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DDDB" w14:textId="77777777" w:rsidR="00823751" w:rsidRDefault="00823751" w:rsidP="00A03803">
      <w:pPr>
        <w:rPr>
          <w:b/>
          <w:sz w:val="22"/>
          <w:szCs w:val="22"/>
        </w:rPr>
      </w:pPr>
      <w:bookmarkStart w:id="0" w:name="_Hlk142727395"/>
    </w:p>
    <w:p w14:paraId="70F690E9" w14:textId="77777777" w:rsidR="00263D3B" w:rsidRDefault="00A32F06">
      <w:pPr>
        <w:jc w:val="center"/>
        <w:rPr>
          <w:b/>
          <w:sz w:val="22"/>
          <w:szCs w:val="22"/>
        </w:rPr>
      </w:pPr>
      <w:r w:rsidRPr="00A32F06">
        <w:rPr>
          <w:b/>
          <w:sz w:val="22"/>
          <w:szCs w:val="22"/>
        </w:rPr>
        <w:t>Nationwide Organization of Visually</w:t>
      </w:r>
      <w:r w:rsidR="002E7C31">
        <w:rPr>
          <w:b/>
          <w:sz w:val="22"/>
          <w:szCs w:val="22"/>
        </w:rPr>
        <w:t>-</w:t>
      </w:r>
      <w:r w:rsidRPr="00A32F06">
        <w:rPr>
          <w:b/>
          <w:sz w:val="22"/>
          <w:szCs w:val="22"/>
        </w:rPr>
        <w:t>Impaired Empowered Ladies</w:t>
      </w:r>
      <w:r w:rsidR="008A0B28">
        <w:rPr>
          <w:b/>
          <w:sz w:val="22"/>
          <w:szCs w:val="22"/>
        </w:rPr>
        <w:t xml:space="preserve"> and</w:t>
      </w:r>
      <w:bookmarkEnd w:id="0"/>
      <w:r w:rsidR="008A0B28">
        <w:rPr>
          <w:b/>
          <w:sz w:val="22"/>
          <w:szCs w:val="22"/>
        </w:rPr>
        <w:t xml:space="preserve"> </w:t>
      </w:r>
    </w:p>
    <w:p w14:paraId="605A3F51" w14:textId="69295033" w:rsidR="0006082B" w:rsidRDefault="008A0B28">
      <w:pPr>
        <w:jc w:val="center"/>
        <w:rPr>
          <w:b/>
          <w:sz w:val="22"/>
          <w:szCs w:val="22"/>
        </w:rPr>
      </w:pPr>
      <w:r>
        <w:rPr>
          <w:b/>
          <w:sz w:val="22"/>
          <w:szCs w:val="22"/>
        </w:rPr>
        <w:t>Women Enabled International</w:t>
      </w:r>
    </w:p>
    <w:p w14:paraId="605A3F52" w14:textId="269C96C4" w:rsidR="0006082B" w:rsidRDefault="008A0B28">
      <w:pPr>
        <w:jc w:val="center"/>
        <w:rPr>
          <w:b/>
          <w:sz w:val="22"/>
          <w:szCs w:val="22"/>
        </w:rPr>
      </w:pPr>
      <w:r>
        <w:rPr>
          <w:b/>
          <w:sz w:val="22"/>
          <w:szCs w:val="22"/>
        </w:rPr>
        <w:t>S</w:t>
      </w:r>
      <w:r w:rsidR="00495F9D">
        <w:rPr>
          <w:b/>
          <w:sz w:val="22"/>
          <w:szCs w:val="22"/>
        </w:rPr>
        <w:t>hadow Report to the CEDAW</w:t>
      </w:r>
      <w:r>
        <w:rPr>
          <w:b/>
          <w:sz w:val="22"/>
          <w:szCs w:val="22"/>
        </w:rPr>
        <w:t xml:space="preserve"> Committee, </w:t>
      </w:r>
      <w:r w:rsidR="00C142B0">
        <w:rPr>
          <w:b/>
          <w:sz w:val="22"/>
          <w:szCs w:val="22"/>
        </w:rPr>
        <w:t>8</w:t>
      </w:r>
      <w:r>
        <w:rPr>
          <w:b/>
          <w:sz w:val="22"/>
          <w:szCs w:val="22"/>
        </w:rPr>
        <w:t>6</w:t>
      </w:r>
      <w:r>
        <w:rPr>
          <w:b/>
          <w:sz w:val="22"/>
          <w:szCs w:val="22"/>
          <w:vertAlign w:val="superscript"/>
        </w:rPr>
        <w:t>th</w:t>
      </w:r>
      <w:r>
        <w:rPr>
          <w:b/>
          <w:sz w:val="22"/>
          <w:szCs w:val="22"/>
        </w:rPr>
        <w:t xml:space="preserve"> session, for the Review of </w:t>
      </w:r>
      <w:r w:rsidR="00770163">
        <w:rPr>
          <w:b/>
          <w:sz w:val="22"/>
          <w:szCs w:val="22"/>
        </w:rPr>
        <w:t>the Philippines</w:t>
      </w:r>
    </w:p>
    <w:p w14:paraId="605A3F54" w14:textId="77777777" w:rsidR="0006082B" w:rsidRDefault="0006082B">
      <w:pPr>
        <w:jc w:val="center"/>
        <w:rPr>
          <w:b/>
          <w:sz w:val="22"/>
          <w:szCs w:val="22"/>
        </w:rPr>
      </w:pPr>
    </w:p>
    <w:p w14:paraId="605A3F5E" w14:textId="0A184695" w:rsidR="0006082B" w:rsidRDefault="0006082B">
      <w:pPr>
        <w:rPr>
          <w:sz w:val="22"/>
          <w:szCs w:val="22"/>
        </w:rPr>
      </w:pPr>
    </w:p>
    <w:p w14:paraId="605A3F5F" w14:textId="77777777" w:rsidR="0006082B" w:rsidRDefault="008A0B28" w:rsidP="00A52DD8">
      <w:pPr>
        <w:numPr>
          <w:ilvl w:val="0"/>
          <w:numId w:val="12"/>
        </w:numPr>
        <w:pBdr>
          <w:top w:val="nil"/>
          <w:left w:val="nil"/>
          <w:bottom w:val="nil"/>
          <w:right w:val="nil"/>
          <w:between w:val="nil"/>
        </w:pBdr>
        <w:rPr>
          <w:color w:val="000000"/>
          <w:sz w:val="22"/>
          <w:szCs w:val="22"/>
        </w:rPr>
      </w:pPr>
      <w:r>
        <w:rPr>
          <w:b/>
          <w:color w:val="000000"/>
          <w:sz w:val="22"/>
          <w:szCs w:val="22"/>
        </w:rPr>
        <w:t>Introduction</w:t>
      </w:r>
    </w:p>
    <w:p w14:paraId="4C8E080B" w14:textId="77777777" w:rsidR="00770163" w:rsidRDefault="00770163" w:rsidP="00A52DD8">
      <w:pPr>
        <w:rPr>
          <w:sz w:val="22"/>
          <w:szCs w:val="22"/>
        </w:rPr>
      </w:pPr>
    </w:p>
    <w:p w14:paraId="605A3F61" w14:textId="5E168FA2" w:rsidR="0006082B" w:rsidRDefault="00024208" w:rsidP="00A52DD8">
      <w:pPr>
        <w:rPr>
          <w:sz w:val="22"/>
          <w:szCs w:val="22"/>
        </w:rPr>
      </w:pPr>
      <w:r w:rsidRPr="005E72F1">
        <w:rPr>
          <w:sz w:val="22"/>
          <w:szCs w:val="22"/>
        </w:rPr>
        <w:t>Nationwide Organization of Visually</w:t>
      </w:r>
      <w:r w:rsidR="00F51C77">
        <w:rPr>
          <w:sz w:val="22"/>
          <w:szCs w:val="22"/>
        </w:rPr>
        <w:t>-</w:t>
      </w:r>
      <w:r w:rsidRPr="005E72F1">
        <w:rPr>
          <w:sz w:val="22"/>
          <w:szCs w:val="22"/>
        </w:rPr>
        <w:t>Impaired Empowered Ladies (NOVEL) and</w:t>
      </w:r>
      <w:r w:rsidR="008A0B28" w:rsidRPr="005E72F1">
        <w:rPr>
          <w:sz w:val="22"/>
          <w:szCs w:val="22"/>
        </w:rPr>
        <w:t xml:space="preserve"> Women Enabled International </w:t>
      </w:r>
      <w:r w:rsidRPr="005E72F1">
        <w:rPr>
          <w:sz w:val="22"/>
          <w:szCs w:val="22"/>
        </w:rPr>
        <w:t xml:space="preserve">(WEI) </w:t>
      </w:r>
      <w:r w:rsidR="008A0B28" w:rsidRPr="005E72F1">
        <w:rPr>
          <w:sz w:val="22"/>
          <w:szCs w:val="22"/>
        </w:rPr>
        <w:t>appreciate the opportunity to contribute to the C</w:t>
      </w:r>
      <w:r w:rsidRPr="005E72F1">
        <w:rPr>
          <w:sz w:val="22"/>
          <w:szCs w:val="22"/>
        </w:rPr>
        <w:t xml:space="preserve">EDAW </w:t>
      </w:r>
      <w:r w:rsidR="008A0B28" w:rsidRPr="005E72F1">
        <w:rPr>
          <w:sz w:val="22"/>
          <w:szCs w:val="22"/>
        </w:rPr>
        <w:t xml:space="preserve">Committee’s review of </w:t>
      </w:r>
      <w:r w:rsidR="00F51C77">
        <w:rPr>
          <w:sz w:val="22"/>
          <w:szCs w:val="22"/>
        </w:rPr>
        <w:t>the Philippines</w:t>
      </w:r>
      <w:r w:rsidR="008A0B28" w:rsidRPr="005E72F1">
        <w:rPr>
          <w:sz w:val="22"/>
          <w:szCs w:val="22"/>
        </w:rPr>
        <w:t xml:space="preserve"> during its </w:t>
      </w:r>
      <w:r w:rsidRPr="005E72F1">
        <w:rPr>
          <w:sz w:val="22"/>
          <w:szCs w:val="22"/>
        </w:rPr>
        <w:t>8</w:t>
      </w:r>
      <w:r w:rsidR="008A0B28" w:rsidRPr="005E72F1">
        <w:rPr>
          <w:sz w:val="22"/>
          <w:szCs w:val="22"/>
        </w:rPr>
        <w:t>6</w:t>
      </w:r>
      <w:r w:rsidR="008A0B28" w:rsidRPr="005E72F1">
        <w:rPr>
          <w:sz w:val="22"/>
          <w:szCs w:val="22"/>
          <w:vertAlign w:val="superscript"/>
        </w:rPr>
        <w:t>th</w:t>
      </w:r>
      <w:r w:rsidR="008A0B28" w:rsidRPr="005E72F1">
        <w:rPr>
          <w:sz w:val="22"/>
          <w:szCs w:val="22"/>
        </w:rPr>
        <w:t xml:space="preserve"> session. This submission provides a brief overview of some of the human rights violations women and girls with disabilities face in </w:t>
      </w:r>
      <w:r w:rsidR="00183CBE" w:rsidRPr="005E72F1">
        <w:rPr>
          <w:sz w:val="22"/>
          <w:szCs w:val="22"/>
        </w:rPr>
        <w:t>the Philippines</w:t>
      </w:r>
      <w:r w:rsidR="008A0B28" w:rsidRPr="005E72F1">
        <w:rPr>
          <w:sz w:val="22"/>
          <w:szCs w:val="22"/>
        </w:rPr>
        <w:t xml:space="preserve"> and recommendations on how to address those issues.</w:t>
      </w:r>
    </w:p>
    <w:p w14:paraId="4FDF63E8" w14:textId="77777777" w:rsidR="003E7B7D" w:rsidRDefault="003E7B7D" w:rsidP="00A52DD8">
      <w:pPr>
        <w:rPr>
          <w:sz w:val="22"/>
          <w:szCs w:val="22"/>
        </w:rPr>
      </w:pPr>
    </w:p>
    <w:p w14:paraId="0C089B0A" w14:textId="032419DE" w:rsidR="003E7B7D" w:rsidRPr="005E72F1" w:rsidRDefault="003E7B7D" w:rsidP="00F9092D">
      <w:pPr>
        <w:rPr>
          <w:sz w:val="22"/>
          <w:szCs w:val="22"/>
        </w:rPr>
      </w:pPr>
      <w:r>
        <w:rPr>
          <w:sz w:val="22"/>
          <w:szCs w:val="22"/>
        </w:rPr>
        <w:t xml:space="preserve">The Philippines Statistics Authority </w:t>
      </w:r>
      <w:r w:rsidR="00F9092D">
        <w:rPr>
          <w:sz w:val="22"/>
          <w:szCs w:val="22"/>
        </w:rPr>
        <w:t>estimates</w:t>
      </w:r>
      <w:r>
        <w:rPr>
          <w:sz w:val="22"/>
          <w:szCs w:val="22"/>
        </w:rPr>
        <w:t xml:space="preserve"> that 3</w:t>
      </w:r>
      <w:r w:rsidR="003E6A37">
        <w:rPr>
          <w:sz w:val="22"/>
          <w:szCs w:val="22"/>
        </w:rPr>
        <w:t>.</w:t>
      </w:r>
      <w:r>
        <w:rPr>
          <w:sz w:val="22"/>
          <w:szCs w:val="22"/>
        </w:rPr>
        <w:t>1%</w:t>
      </w:r>
      <w:r w:rsidR="00F9092D" w:rsidRPr="00F9092D">
        <w:t xml:space="preserve"> </w:t>
      </w:r>
      <w:r w:rsidR="00F9092D" w:rsidRPr="00F9092D">
        <w:rPr>
          <w:sz w:val="22"/>
          <w:szCs w:val="22"/>
        </w:rPr>
        <w:t>of the population over the age of five has a disability</w:t>
      </w:r>
      <w:r w:rsidR="00F9092D">
        <w:rPr>
          <w:sz w:val="22"/>
          <w:szCs w:val="22"/>
        </w:rPr>
        <w:t xml:space="preserve"> and that just</w:t>
      </w:r>
      <w:r w:rsidR="00F9092D" w:rsidRPr="00F9092D">
        <w:rPr>
          <w:sz w:val="22"/>
          <w:szCs w:val="22"/>
        </w:rPr>
        <w:t xml:space="preserve"> under half (49.1 %) of all pe</w:t>
      </w:r>
      <w:r w:rsidR="00F9092D">
        <w:rPr>
          <w:sz w:val="22"/>
          <w:szCs w:val="22"/>
        </w:rPr>
        <w:t>rsons</w:t>
      </w:r>
      <w:r w:rsidR="00F9092D" w:rsidRPr="00F9092D">
        <w:rPr>
          <w:sz w:val="22"/>
          <w:szCs w:val="22"/>
        </w:rPr>
        <w:t xml:space="preserve"> with disability</w:t>
      </w:r>
      <w:r w:rsidR="00F9092D">
        <w:rPr>
          <w:sz w:val="22"/>
          <w:szCs w:val="22"/>
        </w:rPr>
        <w:t xml:space="preserve"> </w:t>
      </w:r>
      <w:r w:rsidR="00F9092D" w:rsidRPr="00F9092D">
        <w:rPr>
          <w:sz w:val="22"/>
          <w:szCs w:val="22"/>
        </w:rPr>
        <w:t>are women</w:t>
      </w:r>
      <w:r w:rsidR="00F9092D">
        <w:rPr>
          <w:sz w:val="22"/>
          <w:szCs w:val="22"/>
        </w:rPr>
        <w:t xml:space="preserve">. This percentage, however, </w:t>
      </w:r>
      <w:r w:rsidR="00C56DB4">
        <w:rPr>
          <w:sz w:val="22"/>
          <w:szCs w:val="22"/>
        </w:rPr>
        <w:t xml:space="preserve">is very much below the global average of </w:t>
      </w:r>
      <w:r w:rsidR="00D20071">
        <w:rPr>
          <w:sz w:val="22"/>
          <w:szCs w:val="22"/>
        </w:rPr>
        <w:t>16% of the population</w:t>
      </w:r>
      <w:r w:rsidR="00864CA2">
        <w:rPr>
          <w:sz w:val="22"/>
          <w:szCs w:val="22"/>
        </w:rPr>
        <w:t>,</w:t>
      </w:r>
      <w:r w:rsidR="006109A7">
        <w:rPr>
          <w:rStyle w:val="EndnoteReference"/>
          <w:sz w:val="22"/>
          <w:szCs w:val="22"/>
        </w:rPr>
        <w:endnoteReference w:id="1"/>
      </w:r>
      <w:r w:rsidR="00864CA2">
        <w:rPr>
          <w:sz w:val="22"/>
          <w:szCs w:val="22"/>
        </w:rPr>
        <w:t xml:space="preserve"> which </w:t>
      </w:r>
      <w:r w:rsidR="009328ED">
        <w:rPr>
          <w:sz w:val="22"/>
          <w:szCs w:val="22"/>
        </w:rPr>
        <w:t>may</w:t>
      </w:r>
      <w:r w:rsidR="00864CA2">
        <w:rPr>
          <w:sz w:val="22"/>
          <w:szCs w:val="22"/>
        </w:rPr>
        <w:t xml:space="preserve"> indicate an underestimation of the real number of women with disabilities by the authorities. </w:t>
      </w:r>
      <w:r w:rsidR="000E39FE">
        <w:rPr>
          <w:sz w:val="22"/>
          <w:szCs w:val="22"/>
        </w:rPr>
        <w:t>Legal protection</w:t>
      </w:r>
      <w:r w:rsidR="00410325">
        <w:rPr>
          <w:sz w:val="22"/>
          <w:szCs w:val="22"/>
        </w:rPr>
        <w:t>s</w:t>
      </w:r>
      <w:r w:rsidR="000E39FE">
        <w:rPr>
          <w:sz w:val="22"/>
          <w:szCs w:val="22"/>
        </w:rPr>
        <w:t xml:space="preserve"> are also not fully guaranteed to women with disabilities in the Philippines. As a result—and due to stigma and discrimination they experience at the intersection of gender and disability—their exercise of rights is </w:t>
      </w:r>
      <w:r w:rsidR="00410325">
        <w:rPr>
          <w:sz w:val="22"/>
          <w:szCs w:val="22"/>
        </w:rPr>
        <w:t>i</w:t>
      </w:r>
      <w:r w:rsidR="000E39FE">
        <w:rPr>
          <w:sz w:val="22"/>
          <w:szCs w:val="22"/>
        </w:rPr>
        <w:t xml:space="preserve">nhibited and they face </w:t>
      </w:r>
      <w:r w:rsidR="00410325">
        <w:rPr>
          <w:sz w:val="22"/>
          <w:szCs w:val="22"/>
        </w:rPr>
        <w:t xml:space="preserve">unique and disproportionate violations of those rights. </w:t>
      </w:r>
      <w:r w:rsidR="002A5547" w:rsidRPr="002A5547">
        <w:rPr>
          <w:sz w:val="22"/>
          <w:szCs w:val="22"/>
        </w:rPr>
        <w:t xml:space="preserve"> </w:t>
      </w:r>
    </w:p>
    <w:p w14:paraId="605A3F64" w14:textId="77777777" w:rsidR="0006082B" w:rsidRPr="005E72F1" w:rsidRDefault="0006082B" w:rsidP="00A52DD8">
      <w:pPr>
        <w:rPr>
          <w:sz w:val="22"/>
          <w:szCs w:val="22"/>
        </w:rPr>
      </w:pPr>
    </w:p>
    <w:p w14:paraId="1FFB3E82" w14:textId="2FE339D1" w:rsidR="001475A9" w:rsidRDefault="008A0B28" w:rsidP="00A52DD8">
      <w:pPr>
        <w:rPr>
          <w:sz w:val="22"/>
          <w:szCs w:val="22"/>
        </w:rPr>
      </w:pPr>
      <w:r w:rsidRPr="005E72F1">
        <w:rPr>
          <w:sz w:val="22"/>
          <w:szCs w:val="22"/>
        </w:rPr>
        <w:t xml:space="preserve">This submission addresses some of the most concerning human rights violations women and girls with disabilities experience in </w:t>
      </w:r>
      <w:r w:rsidR="00DE310B" w:rsidRPr="005E72F1">
        <w:rPr>
          <w:sz w:val="22"/>
          <w:szCs w:val="22"/>
        </w:rPr>
        <w:t>the Philippines</w:t>
      </w:r>
      <w:r w:rsidRPr="005E72F1">
        <w:rPr>
          <w:sz w:val="22"/>
          <w:szCs w:val="22"/>
        </w:rPr>
        <w:t xml:space="preserve">, </w:t>
      </w:r>
      <w:r w:rsidR="00FB23D8">
        <w:rPr>
          <w:sz w:val="22"/>
          <w:szCs w:val="22"/>
        </w:rPr>
        <w:t xml:space="preserve">namely, </w:t>
      </w:r>
      <w:r w:rsidRPr="005E72F1">
        <w:rPr>
          <w:sz w:val="22"/>
          <w:szCs w:val="22"/>
        </w:rPr>
        <w:t xml:space="preserve">restrictions on their sexual and reproductive rights, heightened risk of gender-based violence, </w:t>
      </w:r>
      <w:r w:rsidR="00FB23D8">
        <w:rPr>
          <w:sz w:val="22"/>
          <w:szCs w:val="22"/>
        </w:rPr>
        <w:t xml:space="preserve">and </w:t>
      </w:r>
      <w:r w:rsidR="00D748F4" w:rsidRPr="005E72F1">
        <w:rPr>
          <w:sz w:val="22"/>
          <w:szCs w:val="22"/>
        </w:rPr>
        <w:t xml:space="preserve">violations </w:t>
      </w:r>
      <w:r w:rsidR="006F52C4" w:rsidRPr="005E72F1">
        <w:rPr>
          <w:sz w:val="22"/>
          <w:szCs w:val="22"/>
        </w:rPr>
        <w:t>of</w:t>
      </w:r>
      <w:r w:rsidR="00D748F4" w:rsidRPr="005E72F1">
        <w:rPr>
          <w:sz w:val="22"/>
          <w:szCs w:val="22"/>
        </w:rPr>
        <w:t xml:space="preserve"> the right </w:t>
      </w:r>
      <w:r w:rsidR="006F52C4" w:rsidRPr="005E72F1">
        <w:rPr>
          <w:sz w:val="22"/>
          <w:szCs w:val="22"/>
        </w:rPr>
        <w:t>to</w:t>
      </w:r>
      <w:r w:rsidR="00D748F4" w:rsidRPr="005E72F1">
        <w:rPr>
          <w:sz w:val="22"/>
          <w:szCs w:val="22"/>
        </w:rPr>
        <w:t xml:space="preserve"> education</w:t>
      </w:r>
      <w:r w:rsidR="00FB23D8">
        <w:rPr>
          <w:sz w:val="22"/>
          <w:szCs w:val="22"/>
        </w:rPr>
        <w:t xml:space="preserve">. </w:t>
      </w:r>
      <w:r w:rsidRPr="005E72F1">
        <w:rPr>
          <w:sz w:val="22"/>
          <w:szCs w:val="22"/>
        </w:rPr>
        <w:t>This submission also provides suggested recommendations for the C</w:t>
      </w:r>
      <w:r w:rsidR="00607D9B" w:rsidRPr="005E72F1">
        <w:rPr>
          <w:sz w:val="22"/>
          <w:szCs w:val="22"/>
        </w:rPr>
        <w:t xml:space="preserve">EDAW </w:t>
      </w:r>
      <w:r w:rsidRPr="005E72F1">
        <w:rPr>
          <w:sz w:val="22"/>
          <w:szCs w:val="22"/>
        </w:rPr>
        <w:t xml:space="preserve">Committee to consider directing to </w:t>
      </w:r>
      <w:r w:rsidR="00607D9B" w:rsidRPr="005E72F1">
        <w:rPr>
          <w:sz w:val="22"/>
          <w:szCs w:val="22"/>
        </w:rPr>
        <w:t>the Philippines</w:t>
      </w:r>
      <w:r w:rsidRPr="005E72F1">
        <w:rPr>
          <w:sz w:val="22"/>
          <w:szCs w:val="22"/>
        </w:rPr>
        <w:t xml:space="preserve"> to ensure rights at the intersection of gender and disability are respected, protected, and fulfilled. </w:t>
      </w:r>
    </w:p>
    <w:p w14:paraId="5690C915" w14:textId="77777777" w:rsidR="001475A9" w:rsidRDefault="001475A9" w:rsidP="00A52DD8">
      <w:pPr>
        <w:rPr>
          <w:sz w:val="22"/>
          <w:szCs w:val="22"/>
        </w:rPr>
      </w:pPr>
    </w:p>
    <w:p w14:paraId="605A3F65" w14:textId="5BF79B21" w:rsidR="0006082B" w:rsidRPr="005E72F1" w:rsidRDefault="001475A9" w:rsidP="00A52DD8">
      <w:pPr>
        <w:rPr>
          <w:sz w:val="22"/>
          <w:szCs w:val="22"/>
        </w:rPr>
      </w:pPr>
      <w:r>
        <w:rPr>
          <w:sz w:val="22"/>
          <w:szCs w:val="22"/>
        </w:rPr>
        <w:t>The submission focuses on women and girls with disabilities</w:t>
      </w:r>
      <w:r w:rsidR="008A0B28" w:rsidRPr="005E72F1">
        <w:rPr>
          <w:sz w:val="22"/>
          <w:szCs w:val="22"/>
        </w:rPr>
        <w:t xml:space="preserve"> </w:t>
      </w:r>
      <w:r>
        <w:rPr>
          <w:sz w:val="22"/>
          <w:szCs w:val="22"/>
        </w:rPr>
        <w:t>because the</w:t>
      </w:r>
      <w:r w:rsidR="006977B5">
        <w:rPr>
          <w:sz w:val="22"/>
          <w:szCs w:val="22"/>
        </w:rPr>
        <w:t>re was no available</w:t>
      </w:r>
      <w:r>
        <w:rPr>
          <w:sz w:val="22"/>
          <w:szCs w:val="22"/>
        </w:rPr>
        <w:t xml:space="preserve"> data on </w:t>
      </w:r>
      <w:r w:rsidR="00430024">
        <w:rPr>
          <w:sz w:val="22"/>
          <w:szCs w:val="22"/>
        </w:rPr>
        <w:t>gender-diverse persons with disabilities in the Philippines</w:t>
      </w:r>
      <w:r w:rsidR="006977B5">
        <w:rPr>
          <w:sz w:val="22"/>
          <w:szCs w:val="22"/>
        </w:rPr>
        <w:t xml:space="preserve"> while developing this submission</w:t>
      </w:r>
      <w:r w:rsidR="00430024">
        <w:rPr>
          <w:sz w:val="22"/>
          <w:szCs w:val="22"/>
        </w:rPr>
        <w:t xml:space="preserve">. </w:t>
      </w:r>
      <w:r w:rsidR="0080466D">
        <w:rPr>
          <w:sz w:val="22"/>
          <w:szCs w:val="22"/>
        </w:rPr>
        <w:t>However,</w:t>
      </w:r>
      <w:r w:rsidR="00430024">
        <w:rPr>
          <w:sz w:val="22"/>
          <w:szCs w:val="22"/>
        </w:rPr>
        <w:t xml:space="preserve"> </w:t>
      </w:r>
      <w:r w:rsidR="00BE2F61">
        <w:rPr>
          <w:sz w:val="22"/>
          <w:szCs w:val="22"/>
        </w:rPr>
        <w:t xml:space="preserve">anecdotal evidence suggests that they experience </w:t>
      </w:r>
      <w:r w:rsidR="003E6A37">
        <w:rPr>
          <w:sz w:val="22"/>
          <w:szCs w:val="22"/>
        </w:rPr>
        <w:t xml:space="preserve">violations </w:t>
      </w:r>
      <w:r w:rsidR="000F3888">
        <w:rPr>
          <w:sz w:val="22"/>
          <w:szCs w:val="22"/>
        </w:rPr>
        <w:t>similar</w:t>
      </w:r>
      <w:r w:rsidR="00BE2F61">
        <w:rPr>
          <w:sz w:val="22"/>
          <w:szCs w:val="22"/>
        </w:rPr>
        <w:t xml:space="preserve"> </w:t>
      </w:r>
      <w:r w:rsidR="003E6A37">
        <w:rPr>
          <w:sz w:val="22"/>
          <w:szCs w:val="22"/>
        </w:rPr>
        <w:t>to</w:t>
      </w:r>
      <w:r w:rsidR="000F3888">
        <w:rPr>
          <w:sz w:val="22"/>
          <w:szCs w:val="22"/>
        </w:rPr>
        <w:t xml:space="preserve"> the ones described in this shadow report</w:t>
      </w:r>
      <w:r w:rsidR="00432FC7">
        <w:rPr>
          <w:sz w:val="22"/>
          <w:szCs w:val="22"/>
        </w:rPr>
        <w:t xml:space="preserve">, </w:t>
      </w:r>
      <w:r w:rsidR="00A442F0">
        <w:rPr>
          <w:sz w:val="22"/>
          <w:szCs w:val="22"/>
        </w:rPr>
        <w:t xml:space="preserve">as well as unique </w:t>
      </w:r>
      <w:r w:rsidR="003E6A37">
        <w:rPr>
          <w:sz w:val="22"/>
          <w:szCs w:val="22"/>
        </w:rPr>
        <w:t>violations.</w:t>
      </w:r>
      <w:r w:rsidR="00A442F0">
        <w:rPr>
          <w:sz w:val="22"/>
          <w:szCs w:val="22"/>
        </w:rPr>
        <w:t xml:space="preserve"> </w:t>
      </w:r>
      <w:r w:rsidR="003113F4">
        <w:rPr>
          <w:sz w:val="22"/>
          <w:szCs w:val="22"/>
        </w:rPr>
        <w:t>In o</w:t>
      </w:r>
      <w:r w:rsidR="003E6A37">
        <w:rPr>
          <w:sz w:val="22"/>
          <w:szCs w:val="22"/>
        </w:rPr>
        <w:t>rder</w:t>
      </w:r>
      <w:r w:rsidR="003113F4">
        <w:rPr>
          <w:sz w:val="22"/>
          <w:szCs w:val="22"/>
        </w:rPr>
        <w:t xml:space="preserve"> to ensure inclusive implementation of CEDAW, i</w:t>
      </w:r>
      <w:r w:rsidR="00432FC7">
        <w:rPr>
          <w:sz w:val="22"/>
          <w:szCs w:val="22"/>
        </w:rPr>
        <w:t xml:space="preserve">t is crucial to take this group into consideration when </w:t>
      </w:r>
      <w:r w:rsidR="003113F4">
        <w:rPr>
          <w:sz w:val="22"/>
          <w:szCs w:val="22"/>
        </w:rPr>
        <w:t>providing recommendations to the Philippines</w:t>
      </w:r>
      <w:r w:rsidR="00F51C77">
        <w:rPr>
          <w:sz w:val="22"/>
          <w:szCs w:val="22"/>
        </w:rPr>
        <w:t xml:space="preserve"> government</w:t>
      </w:r>
      <w:r w:rsidR="003113F4">
        <w:rPr>
          <w:sz w:val="22"/>
          <w:szCs w:val="22"/>
        </w:rPr>
        <w:t xml:space="preserve">. </w:t>
      </w:r>
    </w:p>
    <w:p w14:paraId="605A3F66" w14:textId="77777777" w:rsidR="0006082B" w:rsidRPr="005E72F1" w:rsidRDefault="0006082B" w:rsidP="00A52DD8">
      <w:pPr>
        <w:rPr>
          <w:sz w:val="22"/>
          <w:szCs w:val="22"/>
        </w:rPr>
      </w:pPr>
    </w:p>
    <w:p w14:paraId="605A3F67" w14:textId="36089F37" w:rsidR="0006082B" w:rsidRPr="005E72F1" w:rsidRDefault="008A0B28" w:rsidP="00A52DD8">
      <w:pPr>
        <w:numPr>
          <w:ilvl w:val="0"/>
          <w:numId w:val="12"/>
        </w:numPr>
        <w:pBdr>
          <w:top w:val="nil"/>
          <w:left w:val="nil"/>
          <w:bottom w:val="nil"/>
          <w:right w:val="nil"/>
          <w:between w:val="nil"/>
        </w:pBdr>
        <w:rPr>
          <w:b/>
          <w:color w:val="000000"/>
          <w:sz w:val="22"/>
          <w:szCs w:val="22"/>
        </w:rPr>
      </w:pPr>
      <w:r w:rsidRPr="005E72F1">
        <w:rPr>
          <w:b/>
          <w:color w:val="000000"/>
          <w:sz w:val="22"/>
          <w:szCs w:val="22"/>
        </w:rPr>
        <w:t xml:space="preserve">Violations of the Rights of Women and Girls with Disabilities in </w:t>
      </w:r>
      <w:r w:rsidR="00F73DAC" w:rsidRPr="005E72F1">
        <w:rPr>
          <w:b/>
          <w:color w:val="000000"/>
          <w:sz w:val="22"/>
          <w:szCs w:val="22"/>
        </w:rPr>
        <w:t>the Philippines</w:t>
      </w:r>
    </w:p>
    <w:p w14:paraId="605A3F68" w14:textId="77777777" w:rsidR="0006082B" w:rsidRPr="005E72F1" w:rsidRDefault="0006082B" w:rsidP="00A52DD8">
      <w:pPr>
        <w:pBdr>
          <w:top w:val="nil"/>
          <w:left w:val="nil"/>
          <w:bottom w:val="nil"/>
          <w:right w:val="nil"/>
          <w:between w:val="nil"/>
        </w:pBdr>
        <w:ind w:left="1080"/>
        <w:rPr>
          <w:b/>
          <w:color w:val="000000"/>
          <w:sz w:val="22"/>
          <w:szCs w:val="22"/>
        </w:rPr>
      </w:pPr>
    </w:p>
    <w:p w14:paraId="3C6E8E15" w14:textId="77777777" w:rsidR="000E39FE" w:rsidRDefault="008A0B28" w:rsidP="00D65556">
      <w:pPr>
        <w:rPr>
          <w:sz w:val="22"/>
          <w:szCs w:val="22"/>
        </w:rPr>
      </w:pPr>
      <w:r w:rsidRPr="005E72F1">
        <w:rPr>
          <w:sz w:val="22"/>
          <w:szCs w:val="22"/>
        </w:rPr>
        <w:t xml:space="preserve">Women with disabilities in </w:t>
      </w:r>
      <w:r w:rsidR="006145DD" w:rsidRPr="005E72F1">
        <w:rPr>
          <w:sz w:val="22"/>
          <w:szCs w:val="22"/>
        </w:rPr>
        <w:t>the Philippines</w:t>
      </w:r>
      <w:r w:rsidRPr="005E72F1">
        <w:rPr>
          <w:sz w:val="22"/>
          <w:szCs w:val="22"/>
        </w:rPr>
        <w:t xml:space="preserve"> face many forms of intersectional discrimination, based on both gender and disability</w:t>
      </w:r>
      <w:r w:rsidR="00526074">
        <w:rPr>
          <w:sz w:val="22"/>
          <w:szCs w:val="22"/>
        </w:rPr>
        <w:t xml:space="preserve">, but there is a lack of information and data about their situation. As the </w:t>
      </w:r>
      <w:r w:rsidR="00526074" w:rsidRPr="00526074">
        <w:rPr>
          <w:sz w:val="22"/>
          <w:szCs w:val="22"/>
        </w:rPr>
        <w:t>Committee on the Rights of Persons with Disabilities (CRPD Committee)</w:t>
      </w:r>
      <w:r w:rsidR="00526074">
        <w:rPr>
          <w:sz w:val="22"/>
          <w:szCs w:val="22"/>
        </w:rPr>
        <w:t xml:space="preserve"> has stated in its concluding observations </w:t>
      </w:r>
      <w:r w:rsidR="00D65556">
        <w:rPr>
          <w:sz w:val="22"/>
          <w:szCs w:val="22"/>
        </w:rPr>
        <w:t>to</w:t>
      </w:r>
      <w:r w:rsidR="00526074">
        <w:rPr>
          <w:sz w:val="22"/>
          <w:szCs w:val="22"/>
        </w:rPr>
        <w:t xml:space="preserve"> the Philippines, there is </w:t>
      </w:r>
      <w:r w:rsidR="00D65556">
        <w:rPr>
          <w:sz w:val="22"/>
          <w:szCs w:val="22"/>
        </w:rPr>
        <w:t>an</w:t>
      </w:r>
      <w:r w:rsidR="00526074">
        <w:rPr>
          <w:sz w:val="22"/>
          <w:szCs w:val="22"/>
        </w:rPr>
        <w:t xml:space="preserve"> </w:t>
      </w:r>
      <w:r w:rsidR="00D65556">
        <w:rPr>
          <w:sz w:val="22"/>
          <w:szCs w:val="22"/>
        </w:rPr>
        <w:t xml:space="preserve">overall lack of information </w:t>
      </w:r>
      <w:r w:rsidR="00D65556" w:rsidRPr="00D65556">
        <w:rPr>
          <w:sz w:val="22"/>
          <w:szCs w:val="22"/>
        </w:rPr>
        <w:t>about the situation of women and girls with disabilities</w:t>
      </w:r>
      <w:r w:rsidR="00D65556">
        <w:rPr>
          <w:sz w:val="22"/>
          <w:szCs w:val="22"/>
        </w:rPr>
        <w:t xml:space="preserve"> in the country.</w:t>
      </w:r>
      <w:r w:rsidR="00943745">
        <w:rPr>
          <w:rStyle w:val="EndnoteReference"/>
          <w:sz w:val="22"/>
          <w:szCs w:val="22"/>
        </w:rPr>
        <w:endnoteReference w:id="2"/>
      </w:r>
      <w:r w:rsidR="00D65556">
        <w:rPr>
          <w:sz w:val="22"/>
          <w:szCs w:val="22"/>
        </w:rPr>
        <w:t xml:space="preserve"> </w:t>
      </w:r>
    </w:p>
    <w:p w14:paraId="477D2D44" w14:textId="77777777" w:rsidR="000E39FE" w:rsidRDefault="000E39FE" w:rsidP="00D65556">
      <w:pPr>
        <w:rPr>
          <w:sz w:val="22"/>
          <w:szCs w:val="22"/>
        </w:rPr>
      </w:pPr>
    </w:p>
    <w:p w14:paraId="33DA9B94" w14:textId="194892E9" w:rsidR="000E39FE" w:rsidRDefault="000E39FE" w:rsidP="00D65556">
      <w:pPr>
        <w:rPr>
          <w:sz w:val="22"/>
          <w:szCs w:val="22"/>
        </w:rPr>
      </w:pPr>
      <w:r>
        <w:rPr>
          <w:sz w:val="22"/>
          <w:szCs w:val="22"/>
        </w:rPr>
        <w:t xml:space="preserve">Although there is a Magna Carta of Women in force in the country to </w:t>
      </w:r>
      <w:r w:rsidRPr="006E0980">
        <w:rPr>
          <w:sz w:val="22"/>
          <w:szCs w:val="22"/>
        </w:rPr>
        <w:t>recognize, respect, protect, fulfill, and promote all human rights and fundamental freedoms of women, especially marginalized wome</w:t>
      </w:r>
      <w:r>
        <w:rPr>
          <w:sz w:val="22"/>
          <w:szCs w:val="22"/>
        </w:rPr>
        <w:t>n inclusive of women with disabilities, the law makes no reference to accessibility, accommodations, and support services, and the definition of persons with disabilities in the Magna Carta is not in line with human rights standards.</w:t>
      </w:r>
      <w:r>
        <w:rPr>
          <w:rStyle w:val="EndnoteReference"/>
          <w:sz w:val="22"/>
          <w:szCs w:val="22"/>
        </w:rPr>
        <w:endnoteReference w:id="3"/>
      </w:r>
      <w:r>
        <w:rPr>
          <w:sz w:val="22"/>
          <w:szCs w:val="22"/>
        </w:rPr>
        <w:t xml:space="preserve"> Rather than adopting the human rights-based approach to disability—which recognizes that impairment is part of human diversity and that the legal, attitudinal, environmental, etc. </w:t>
      </w:r>
      <w:r>
        <w:rPr>
          <w:sz w:val="22"/>
          <w:szCs w:val="22"/>
        </w:rPr>
        <w:lastRenderedPageBreak/>
        <w:t>barriers that “</w:t>
      </w:r>
      <w:r w:rsidRPr="000E39FE">
        <w:rPr>
          <w:sz w:val="22"/>
          <w:szCs w:val="22"/>
        </w:rPr>
        <w:t xml:space="preserve">hinder </w:t>
      </w:r>
      <w:r>
        <w:rPr>
          <w:sz w:val="22"/>
          <w:szCs w:val="22"/>
        </w:rPr>
        <w:t>[persons with disabilities’]</w:t>
      </w:r>
      <w:r w:rsidRPr="000E39FE">
        <w:rPr>
          <w:sz w:val="22"/>
          <w:szCs w:val="22"/>
        </w:rPr>
        <w:t xml:space="preserve"> full and effective participation in society on an equal basis with others</w:t>
      </w:r>
      <w:r>
        <w:rPr>
          <w:sz w:val="22"/>
          <w:szCs w:val="22"/>
        </w:rPr>
        <w:t>” are what need to be changed to ensure human rights,</w:t>
      </w:r>
      <w:r>
        <w:rPr>
          <w:rStyle w:val="EndnoteReference"/>
          <w:sz w:val="22"/>
          <w:szCs w:val="22"/>
        </w:rPr>
        <w:endnoteReference w:id="4"/>
      </w:r>
      <w:r>
        <w:rPr>
          <w:sz w:val="22"/>
          <w:szCs w:val="22"/>
        </w:rPr>
        <w:t xml:space="preserve"> the Magna Carta reflects a</w:t>
      </w:r>
      <w:r w:rsidR="00410325">
        <w:rPr>
          <w:sz w:val="22"/>
          <w:szCs w:val="22"/>
        </w:rPr>
        <w:t>n outdated</w:t>
      </w:r>
      <w:r>
        <w:rPr>
          <w:sz w:val="22"/>
          <w:szCs w:val="22"/>
        </w:rPr>
        <w:t xml:space="preserve"> “medical” model of disability, focusing on the individual and their impairment rather than on barriers to inclusion and rights. This gap in the seminal legislation on women’s rights is largely mirrored in other law</w:t>
      </w:r>
      <w:r w:rsidR="00263D3B">
        <w:rPr>
          <w:sz w:val="22"/>
          <w:szCs w:val="22"/>
        </w:rPr>
        <w:t>s</w:t>
      </w:r>
      <w:r>
        <w:rPr>
          <w:sz w:val="22"/>
          <w:szCs w:val="22"/>
        </w:rPr>
        <w:t>, polic</w:t>
      </w:r>
      <w:r w:rsidR="00263D3B">
        <w:rPr>
          <w:sz w:val="22"/>
          <w:szCs w:val="22"/>
        </w:rPr>
        <w:t>ies</w:t>
      </w:r>
      <w:r>
        <w:rPr>
          <w:sz w:val="22"/>
          <w:szCs w:val="22"/>
        </w:rPr>
        <w:t>, and practice</w:t>
      </w:r>
      <w:r w:rsidR="00263D3B">
        <w:rPr>
          <w:sz w:val="22"/>
          <w:szCs w:val="22"/>
        </w:rPr>
        <w:t>s</w:t>
      </w:r>
      <w:r>
        <w:rPr>
          <w:sz w:val="22"/>
          <w:szCs w:val="22"/>
        </w:rPr>
        <w:t xml:space="preserve"> in the Philippines, leading to rights violations against women and girls with disabilities. </w:t>
      </w:r>
    </w:p>
    <w:p w14:paraId="64A42F5E" w14:textId="77777777" w:rsidR="000E39FE" w:rsidRDefault="000E39FE" w:rsidP="00D65556">
      <w:pPr>
        <w:rPr>
          <w:sz w:val="22"/>
          <w:szCs w:val="22"/>
        </w:rPr>
      </w:pPr>
    </w:p>
    <w:p w14:paraId="25F7B45F" w14:textId="7FE8D152" w:rsidR="006145DD" w:rsidRDefault="00286BD7" w:rsidP="00D65556">
      <w:pPr>
        <w:rPr>
          <w:sz w:val="22"/>
          <w:szCs w:val="22"/>
        </w:rPr>
      </w:pPr>
      <w:r>
        <w:rPr>
          <w:sz w:val="22"/>
          <w:szCs w:val="22"/>
        </w:rPr>
        <w:t xml:space="preserve">To inform this submission, </w:t>
      </w:r>
      <w:r w:rsidR="00E16269">
        <w:rPr>
          <w:sz w:val="22"/>
          <w:szCs w:val="22"/>
        </w:rPr>
        <w:t xml:space="preserve">the authors relied on </w:t>
      </w:r>
      <w:r w:rsidR="003E6A37">
        <w:rPr>
          <w:sz w:val="22"/>
          <w:szCs w:val="22"/>
        </w:rPr>
        <w:t>published studies</w:t>
      </w:r>
      <w:r w:rsidR="00F8101A">
        <w:rPr>
          <w:sz w:val="22"/>
          <w:szCs w:val="22"/>
        </w:rPr>
        <w:t xml:space="preserve"> and</w:t>
      </w:r>
      <w:r w:rsidR="003E6A37">
        <w:rPr>
          <w:sz w:val="22"/>
          <w:szCs w:val="22"/>
        </w:rPr>
        <w:t xml:space="preserve"> </w:t>
      </w:r>
      <w:r w:rsidR="00E16269">
        <w:rPr>
          <w:sz w:val="22"/>
          <w:szCs w:val="22"/>
        </w:rPr>
        <w:t xml:space="preserve">shadow reports </w:t>
      </w:r>
      <w:r w:rsidR="00135CEE">
        <w:rPr>
          <w:sz w:val="22"/>
          <w:szCs w:val="22"/>
        </w:rPr>
        <w:t>presented by NOVEL to other United Nations</w:t>
      </w:r>
      <w:r w:rsidR="003E6A37">
        <w:rPr>
          <w:sz w:val="22"/>
          <w:szCs w:val="22"/>
        </w:rPr>
        <w:t xml:space="preserve"> treaty monitoring bodies,</w:t>
      </w:r>
      <w:r w:rsidR="00135CEE">
        <w:rPr>
          <w:sz w:val="22"/>
          <w:szCs w:val="22"/>
        </w:rPr>
        <w:t xml:space="preserve"> and a focus group discussion held with Filipino women and girls with disabilities on August 18, 2023</w:t>
      </w:r>
      <w:r w:rsidR="00FA3D74">
        <w:rPr>
          <w:sz w:val="22"/>
          <w:szCs w:val="22"/>
        </w:rPr>
        <w:t xml:space="preserve"> in </w:t>
      </w:r>
      <w:proofErr w:type="spellStart"/>
      <w:r w:rsidR="00FA3D74" w:rsidRPr="00FA3D74">
        <w:rPr>
          <w:sz w:val="22"/>
          <w:szCs w:val="22"/>
        </w:rPr>
        <w:t>Laoang</w:t>
      </w:r>
      <w:proofErr w:type="spellEnd"/>
      <w:r w:rsidR="00FA3D74" w:rsidRPr="00FA3D74">
        <w:rPr>
          <w:sz w:val="22"/>
          <w:szCs w:val="22"/>
        </w:rPr>
        <w:t>, Northern Samar and Tacloban City, Leyte.</w:t>
      </w:r>
    </w:p>
    <w:p w14:paraId="605A3F6C" w14:textId="77777777" w:rsidR="0006082B" w:rsidRPr="005E72F1" w:rsidRDefault="0006082B" w:rsidP="009814ED">
      <w:pPr>
        <w:pBdr>
          <w:top w:val="nil"/>
          <w:left w:val="nil"/>
          <w:bottom w:val="nil"/>
          <w:right w:val="nil"/>
          <w:between w:val="nil"/>
        </w:pBdr>
        <w:rPr>
          <w:b/>
          <w:color w:val="000000"/>
          <w:sz w:val="22"/>
          <w:szCs w:val="22"/>
        </w:rPr>
      </w:pPr>
    </w:p>
    <w:p w14:paraId="605A3F6D" w14:textId="2971E6A7" w:rsidR="0006082B" w:rsidRPr="005E72F1" w:rsidRDefault="008A0B28" w:rsidP="00A52DD8">
      <w:pPr>
        <w:numPr>
          <w:ilvl w:val="0"/>
          <w:numId w:val="1"/>
        </w:numPr>
        <w:rPr>
          <w:b/>
          <w:sz w:val="22"/>
          <w:szCs w:val="22"/>
        </w:rPr>
      </w:pPr>
      <w:r w:rsidRPr="005E72F1">
        <w:rPr>
          <w:b/>
          <w:sz w:val="22"/>
          <w:szCs w:val="22"/>
        </w:rPr>
        <w:t xml:space="preserve">Violations of Sexual and Reproductive </w:t>
      </w:r>
      <w:r w:rsidR="0020287B" w:rsidRPr="005E72F1">
        <w:rPr>
          <w:b/>
          <w:sz w:val="22"/>
          <w:szCs w:val="22"/>
        </w:rPr>
        <w:t xml:space="preserve">Health and </w:t>
      </w:r>
      <w:r w:rsidRPr="005E72F1">
        <w:rPr>
          <w:b/>
          <w:sz w:val="22"/>
          <w:szCs w:val="22"/>
        </w:rPr>
        <w:t>Rights</w:t>
      </w:r>
      <w:r w:rsidR="0085441C">
        <w:rPr>
          <w:b/>
          <w:sz w:val="22"/>
          <w:szCs w:val="22"/>
        </w:rPr>
        <w:t xml:space="preserve"> (arts. 12 &amp; 16)</w:t>
      </w:r>
    </w:p>
    <w:p w14:paraId="605A3F6E" w14:textId="77777777" w:rsidR="0006082B" w:rsidRPr="005E72F1" w:rsidRDefault="0006082B" w:rsidP="00A52DD8">
      <w:pPr>
        <w:ind w:left="720"/>
        <w:rPr>
          <w:sz w:val="22"/>
          <w:szCs w:val="22"/>
        </w:rPr>
      </w:pPr>
    </w:p>
    <w:p w14:paraId="2FE829CC" w14:textId="3863CD0F" w:rsidR="003F4B54" w:rsidRPr="005E72F1" w:rsidRDefault="008A0B28" w:rsidP="00A52DD8">
      <w:pPr>
        <w:rPr>
          <w:sz w:val="22"/>
          <w:szCs w:val="22"/>
        </w:rPr>
      </w:pPr>
      <w:r w:rsidRPr="005E72F1">
        <w:rPr>
          <w:sz w:val="22"/>
          <w:szCs w:val="22"/>
        </w:rPr>
        <w:t xml:space="preserve">Women with disabilities in </w:t>
      </w:r>
      <w:r w:rsidR="00DC539F" w:rsidRPr="005E72F1">
        <w:rPr>
          <w:sz w:val="22"/>
          <w:szCs w:val="22"/>
        </w:rPr>
        <w:t>the Philippines</w:t>
      </w:r>
      <w:r w:rsidRPr="005E72F1">
        <w:rPr>
          <w:sz w:val="22"/>
          <w:szCs w:val="22"/>
        </w:rPr>
        <w:t xml:space="preserve"> experience significant barriers to exercising their sexual and reproductive health and rights (SRHR)</w:t>
      </w:r>
      <w:r w:rsidR="003E6A37">
        <w:rPr>
          <w:sz w:val="22"/>
          <w:szCs w:val="22"/>
        </w:rPr>
        <w:t>. This include</w:t>
      </w:r>
      <w:r w:rsidR="002B34A5">
        <w:rPr>
          <w:sz w:val="22"/>
          <w:szCs w:val="22"/>
        </w:rPr>
        <w:t>s</w:t>
      </w:r>
      <w:r w:rsidR="003E6A37">
        <w:rPr>
          <w:sz w:val="22"/>
          <w:szCs w:val="22"/>
        </w:rPr>
        <w:t xml:space="preserve"> barriers to </w:t>
      </w:r>
      <w:r w:rsidRPr="005E72F1">
        <w:rPr>
          <w:sz w:val="22"/>
          <w:szCs w:val="22"/>
        </w:rPr>
        <w:t xml:space="preserve">accessing sexual and reproductive health (SRH) </w:t>
      </w:r>
      <w:r w:rsidR="003E6A37">
        <w:rPr>
          <w:sz w:val="22"/>
          <w:szCs w:val="22"/>
        </w:rPr>
        <w:t>information, as well as</w:t>
      </w:r>
      <w:r w:rsidRPr="005E72F1">
        <w:rPr>
          <w:sz w:val="22"/>
          <w:szCs w:val="22"/>
        </w:rPr>
        <w:t xml:space="preserve"> </w:t>
      </w:r>
      <w:r w:rsidR="00742794">
        <w:rPr>
          <w:sz w:val="22"/>
          <w:szCs w:val="22"/>
        </w:rPr>
        <w:t>negative attitudes</w:t>
      </w:r>
      <w:r w:rsidR="00372AC9">
        <w:rPr>
          <w:sz w:val="22"/>
          <w:szCs w:val="22"/>
        </w:rPr>
        <w:t xml:space="preserve"> </w:t>
      </w:r>
      <w:r w:rsidR="003E6A37">
        <w:rPr>
          <w:sz w:val="22"/>
          <w:szCs w:val="22"/>
        </w:rPr>
        <w:t>from</w:t>
      </w:r>
      <w:r w:rsidR="00372AC9">
        <w:rPr>
          <w:sz w:val="22"/>
          <w:szCs w:val="22"/>
        </w:rPr>
        <w:t xml:space="preserve"> healthcare staff towards </w:t>
      </w:r>
      <w:r w:rsidR="003E6A37">
        <w:rPr>
          <w:sz w:val="22"/>
          <w:szCs w:val="22"/>
        </w:rPr>
        <w:t>women with disabilities</w:t>
      </w:r>
      <w:r w:rsidRPr="005E72F1">
        <w:rPr>
          <w:sz w:val="22"/>
          <w:szCs w:val="22"/>
        </w:rPr>
        <w:t>.</w:t>
      </w:r>
      <w:r w:rsidR="00372AC9">
        <w:rPr>
          <w:rStyle w:val="EndnoteReference"/>
          <w:sz w:val="22"/>
          <w:szCs w:val="22"/>
        </w:rPr>
        <w:endnoteReference w:id="5"/>
      </w:r>
      <w:r w:rsidRPr="005E72F1">
        <w:rPr>
          <w:sz w:val="22"/>
          <w:szCs w:val="22"/>
        </w:rPr>
        <w:t xml:space="preserve"> </w:t>
      </w:r>
      <w:r w:rsidR="003F4B54" w:rsidRPr="005E72F1">
        <w:rPr>
          <w:sz w:val="22"/>
          <w:szCs w:val="22"/>
        </w:rPr>
        <w:t>In this context</w:t>
      </w:r>
      <w:r w:rsidR="00DA5EEC" w:rsidRPr="005E72F1">
        <w:rPr>
          <w:sz w:val="22"/>
          <w:szCs w:val="22"/>
        </w:rPr>
        <w:t xml:space="preserve">, </w:t>
      </w:r>
      <w:r w:rsidR="00DC47E5" w:rsidRPr="005E72F1">
        <w:rPr>
          <w:sz w:val="22"/>
          <w:szCs w:val="22"/>
        </w:rPr>
        <w:t xml:space="preserve">a study conducted in 2015 </w:t>
      </w:r>
      <w:r w:rsidR="00A41E10" w:rsidRPr="005E72F1">
        <w:rPr>
          <w:sz w:val="22"/>
          <w:szCs w:val="22"/>
        </w:rPr>
        <w:t xml:space="preserve">on sexual and reproductive health services for women with disabilities concluded that </w:t>
      </w:r>
      <w:r w:rsidR="000228E1" w:rsidRPr="005E72F1">
        <w:rPr>
          <w:sz w:val="22"/>
          <w:szCs w:val="22"/>
        </w:rPr>
        <w:t>most healthcare</w:t>
      </w:r>
      <w:r w:rsidR="00472B17" w:rsidRPr="005E72F1">
        <w:rPr>
          <w:sz w:val="22"/>
          <w:szCs w:val="22"/>
        </w:rPr>
        <w:t xml:space="preserve"> providers</w:t>
      </w:r>
      <w:r w:rsidR="000228E1" w:rsidRPr="005E72F1">
        <w:rPr>
          <w:sz w:val="22"/>
          <w:szCs w:val="22"/>
        </w:rPr>
        <w:t xml:space="preserve"> have </w:t>
      </w:r>
      <w:r w:rsidR="00472B17" w:rsidRPr="005E72F1">
        <w:rPr>
          <w:sz w:val="22"/>
          <w:szCs w:val="22"/>
        </w:rPr>
        <w:t xml:space="preserve">scarce knowledge </w:t>
      </w:r>
      <w:r w:rsidR="000228E1" w:rsidRPr="005E72F1">
        <w:rPr>
          <w:sz w:val="22"/>
          <w:szCs w:val="22"/>
        </w:rPr>
        <w:t>of</w:t>
      </w:r>
      <w:r w:rsidR="00472B17" w:rsidRPr="005E72F1">
        <w:rPr>
          <w:sz w:val="22"/>
          <w:szCs w:val="22"/>
        </w:rPr>
        <w:t xml:space="preserve"> disability and limited capacity to deliver disability</w:t>
      </w:r>
      <w:r w:rsidR="009E5A07" w:rsidRPr="005E72F1">
        <w:rPr>
          <w:sz w:val="22"/>
          <w:szCs w:val="22"/>
        </w:rPr>
        <w:t>-</w:t>
      </w:r>
      <w:r w:rsidR="00472B17" w:rsidRPr="005E72F1">
        <w:rPr>
          <w:sz w:val="22"/>
          <w:szCs w:val="22"/>
        </w:rPr>
        <w:t>inclusive services</w:t>
      </w:r>
      <w:r w:rsidR="003E6A37">
        <w:rPr>
          <w:sz w:val="22"/>
          <w:szCs w:val="22"/>
        </w:rPr>
        <w:t>,</w:t>
      </w:r>
      <w:r w:rsidR="00472B17" w:rsidRPr="005E72F1">
        <w:rPr>
          <w:sz w:val="22"/>
          <w:szCs w:val="22"/>
        </w:rPr>
        <w:t xml:space="preserve"> and</w:t>
      </w:r>
      <w:r w:rsidR="009E5A07" w:rsidRPr="005E72F1">
        <w:rPr>
          <w:sz w:val="22"/>
          <w:szCs w:val="22"/>
        </w:rPr>
        <w:t xml:space="preserve">, </w:t>
      </w:r>
      <w:r w:rsidR="00472B17" w:rsidRPr="005E72F1">
        <w:rPr>
          <w:sz w:val="22"/>
          <w:szCs w:val="22"/>
        </w:rPr>
        <w:t>in some cases</w:t>
      </w:r>
      <w:r w:rsidR="009E5A07" w:rsidRPr="005E72F1">
        <w:rPr>
          <w:sz w:val="22"/>
          <w:szCs w:val="22"/>
        </w:rPr>
        <w:t>,</w:t>
      </w:r>
      <w:r w:rsidR="00472B17" w:rsidRPr="005E72F1">
        <w:rPr>
          <w:sz w:val="22"/>
          <w:szCs w:val="22"/>
        </w:rPr>
        <w:t xml:space="preserve"> </w:t>
      </w:r>
      <w:r w:rsidR="003E6A37">
        <w:rPr>
          <w:sz w:val="22"/>
          <w:szCs w:val="22"/>
        </w:rPr>
        <w:t xml:space="preserve">these providers </w:t>
      </w:r>
      <w:r w:rsidR="00472B17" w:rsidRPr="005E72F1">
        <w:rPr>
          <w:sz w:val="22"/>
          <w:szCs w:val="22"/>
        </w:rPr>
        <w:t>discriminat</w:t>
      </w:r>
      <w:r w:rsidR="009E5A07" w:rsidRPr="005E72F1">
        <w:rPr>
          <w:sz w:val="22"/>
          <w:szCs w:val="22"/>
        </w:rPr>
        <w:t xml:space="preserve">e </w:t>
      </w:r>
      <w:r w:rsidR="006B7A85" w:rsidRPr="005E72F1">
        <w:rPr>
          <w:sz w:val="22"/>
          <w:szCs w:val="22"/>
        </w:rPr>
        <w:t xml:space="preserve">against </w:t>
      </w:r>
      <w:r w:rsidR="009E5A07" w:rsidRPr="005E72F1">
        <w:rPr>
          <w:sz w:val="22"/>
          <w:szCs w:val="22"/>
        </w:rPr>
        <w:t>women with disabilities.</w:t>
      </w:r>
      <w:r w:rsidR="006B7A85" w:rsidRPr="005E72F1">
        <w:rPr>
          <w:rStyle w:val="EndnoteReference"/>
          <w:sz w:val="22"/>
          <w:szCs w:val="22"/>
        </w:rPr>
        <w:endnoteReference w:id="6"/>
      </w:r>
    </w:p>
    <w:p w14:paraId="1B5A32D6" w14:textId="17CAF643" w:rsidR="00CA2CC0" w:rsidRPr="006C6C38" w:rsidRDefault="003F4B54" w:rsidP="00A52DD8">
      <w:pPr>
        <w:pStyle w:val="ListParagraph"/>
        <w:numPr>
          <w:ilvl w:val="0"/>
          <w:numId w:val="13"/>
        </w:numPr>
        <w:spacing w:line="240" w:lineRule="auto"/>
        <w:contextualSpacing w:val="0"/>
        <w:rPr>
          <w:rFonts w:ascii="Times New Roman" w:eastAsia="Times New Roman" w:hAnsi="Times New Roman" w:cs="Times New Roman"/>
        </w:rPr>
      </w:pPr>
      <w:r w:rsidRPr="005E72F1">
        <w:rPr>
          <w:rFonts w:ascii="Times New Roman" w:eastAsia="Times New Roman" w:hAnsi="Times New Roman" w:cs="Times New Roman"/>
        </w:rPr>
        <w:t xml:space="preserve">For instance, </w:t>
      </w:r>
      <w:r w:rsidR="00810A6D" w:rsidRPr="005E72F1">
        <w:rPr>
          <w:rFonts w:ascii="Times New Roman" w:eastAsia="Times New Roman" w:hAnsi="Times New Roman" w:cs="Times New Roman"/>
        </w:rPr>
        <w:t xml:space="preserve">a nurse interviewed </w:t>
      </w:r>
      <w:r w:rsidR="00AB5624" w:rsidRPr="005E72F1">
        <w:rPr>
          <w:rFonts w:ascii="Times New Roman" w:eastAsia="Times New Roman" w:hAnsi="Times New Roman" w:cs="Times New Roman"/>
        </w:rPr>
        <w:t xml:space="preserve">for the study shared that women with disabilities did not need </w:t>
      </w:r>
      <w:r w:rsidR="00094682" w:rsidRPr="005E72F1">
        <w:rPr>
          <w:rFonts w:ascii="Times New Roman" w:eastAsia="Times New Roman" w:hAnsi="Times New Roman" w:cs="Times New Roman"/>
        </w:rPr>
        <w:t>family planning</w:t>
      </w:r>
      <w:r w:rsidR="002F38C3" w:rsidRPr="005E72F1">
        <w:rPr>
          <w:rFonts w:ascii="Times New Roman" w:eastAsia="Times New Roman" w:hAnsi="Times New Roman" w:cs="Times New Roman"/>
        </w:rPr>
        <w:t xml:space="preserve">, unless they experienced </w:t>
      </w:r>
      <w:r w:rsidR="00BA0255" w:rsidRPr="005E72F1">
        <w:rPr>
          <w:rFonts w:ascii="Times New Roman" w:eastAsia="Times New Roman" w:hAnsi="Times New Roman" w:cs="Times New Roman"/>
        </w:rPr>
        <w:t>sexual violence</w:t>
      </w:r>
      <w:r w:rsidR="003E6A37">
        <w:rPr>
          <w:rFonts w:ascii="Times New Roman" w:eastAsia="Times New Roman" w:hAnsi="Times New Roman" w:cs="Times New Roman"/>
        </w:rPr>
        <w:t xml:space="preserve">: </w:t>
      </w:r>
      <w:r w:rsidR="00BA0255" w:rsidRPr="005E72F1">
        <w:rPr>
          <w:rFonts w:ascii="Times New Roman" w:eastAsia="Times New Roman" w:hAnsi="Times New Roman" w:cs="Times New Roman"/>
        </w:rPr>
        <w:t>“They need medical health service but regarding family planning services, they wouldn’t really get married except if they are abused and get pregnant</w:t>
      </w:r>
      <w:r w:rsidR="003E6A37">
        <w:rPr>
          <w:rFonts w:ascii="Times New Roman" w:eastAsia="Times New Roman" w:hAnsi="Times New Roman" w:cs="Times New Roman"/>
        </w:rPr>
        <w:t>.</w:t>
      </w:r>
      <w:r w:rsidR="00BA0255" w:rsidRPr="005E72F1">
        <w:rPr>
          <w:rFonts w:ascii="Times New Roman" w:eastAsia="Times New Roman" w:hAnsi="Times New Roman" w:cs="Times New Roman"/>
        </w:rPr>
        <w:t>”</w:t>
      </w:r>
      <w:r w:rsidR="008C01A4" w:rsidRPr="005E72F1">
        <w:rPr>
          <w:rStyle w:val="EndnoteReference"/>
          <w:rFonts w:ascii="Times New Roman" w:eastAsia="Times New Roman" w:hAnsi="Times New Roman" w:cs="Times New Roman"/>
        </w:rPr>
        <w:endnoteReference w:id="7"/>
      </w:r>
      <w:r w:rsidR="008C01A4" w:rsidRPr="005E72F1">
        <w:rPr>
          <w:rFonts w:ascii="Times New Roman" w:hAnsi="Times New Roman" w:cs="Times New Roman"/>
        </w:rPr>
        <w:t xml:space="preserve"> </w:t>
      </w:r>
    </w:p>
    <w:p w14:paraId="03768B51" w14:textId="60563224" w:rsidR="006C6C38" w:rsidRPr="005E72F1" w:rsidRDefault="006C6C38" w:rsidP="00A52DD8">
      <w:pPr>
        <w:pStyle w:val="ListParagraph"/>
        <w:numPr>
          <w:ilvl w:val="0"/>
          <w:numId w:val="13"/>
        </w:numPr>
        <w:spacing w:line="240" w:lineRule="auto"/>
        <w:contextualSpacing w:val="0"/>
        <w:rPr>
          <w:rFonts w:ascii="Times New Roman" w:eastAsia="Times New Roman" w:hAnsi="Times New Roman" w:cs="Times New Roman"/>
        </w:rPr>
      </w:pPr>
      <w:r>
        <w:rPr>
          <w:rFonts w:ascii="Times New Roman" w:hAnsi="Times New Roman" w:cs="Times New Roman"/>
        </w:rPr>
        <w:t xml:space="preserve">Another study described discriminatory attitudes from SRH providers towards women with disabilities, such as </w:t>
      </w:r>
      <w:r w:rsidR="00CF39A2">
        <w:rPr>
          <w:rFonts w:ascii="Times New Roman" w:hAnsi="Times New Roman" w:cs="Times New Roman"/>
        </w:rPr>
        <w:t xml:space="preserve">casting judgement on </w:t>
      </w:r>
      <w:r w:rsidR="003E6A37">
        <w:rPr>
          <w:rFonts w:ascii="Times New Roman" w:hAnsi="Times New Roman" w:cs="Times New Roman"/>
        </w:rPr>
        <w:t xml:space="preserve">women with disabilities who were </w:t>
      </w:r>
      <w:r w:rsidR="00CF39A2">
        <w:rPr>
          <w:rFonts w:ascii="Times New Roman" w:hAnsi="Times New Roman" w:cs="Times New Roman"/>
        </w:rPr>
        <w:t>pregnan</w:t>
      </w:r>
      <w:r w:rsidR="003E6A37">
        <w:rPr>
          <w:rFonts w:ascii="Times New Roman" w:hAnsi="Times New Roman" w:cs="Times New Roman"/>
        </w:rPr>
        <w:t>t</w:t>
      </w:r>
      <w:r w:rsidR="00CF39A2">
        <w:rPr>
          <w:rFonts w:ascii="Times New Roman" w:hAnsi="Times New Roman" w:cs="Times New Roman"/>
        </w:rPr>
        <w:t xml:space="preserve"> and having inappropriate curiosity about patients’ </w:t>
      </w:r>
      <w:r w:rsidR="004E4907">
        <w:rPr>
          <w:rFonts w:ascii="Times New Roman" w:hAnsi="Times New Roman" w:cs="Times New Roman"/>
        </w:rPr>
        <w:t>genitals.</w:t>
      </w:r>
      <w:r w:rsidR="001C43C3">
        <w:rPr>
          <w:rStyle w:val="EndnoteReference"/>
          <w:rFonts w:ascii="Times New Roman" w:hAnsi="Times New Roman" w:cs="Times New Roman"/>
        </w:rPr>
        <w:endnoteReference w:id="8"/>
      </w:r>
    </w:p>
    <w:p w14:paraId="0C82A525" w14:textId="52683EB9" w:rsidR="00835E74" w:rsidRPr="0059541F" w:rsidRDefault="00835E74" w:rsidP="0059541F">
      <w:pPr>
        <w:rPr>
          <w:sz w:val="22"/>
          <w:szCs w:val="22"/>
        </w:rPr>
      </w:pPr>
    </w:p>
    <w:p w14:paraId="2A6B1617" w14:textId="0DAF6B1C" w:rsidR="003E6A37" w:rsidRDefault="0059541F" w:rsidP="008C5CAD">
      <w:pPr>
        <w:rPr>
          <w:sz w:val="22"/>
          <w:szCs w:val="22"/>
        </w:rPr>
      </w:pPr>
      <w:r w:rsidRPr="0059541F">
        <w:rPr>
          <w:sz w:val="22"/>
          <w:szCs w:val="22"/>
        </w:rPr>
        <w:t xml:space="preserve">In line with the above, </w:t>
      </w:r>
      <w:r>
        <w:rPr>
          <w:sz w:val="22"/>
          <w:szCs w:val="22"/>
        </w:rPr>
        <w:t xml:space="preserve">the </w:t>
      </w:r>
      <w:r w:rsidR="00BC5CBB" w:rsidRPr="00BC5CBB">
        <w:rPr>
          <w:sz w:val="22"/>
          <w:szCs w:val="22"/>
        </w:rPr>
        <w:t>CRPD Committee</w:t>
      </w:r>
      <w:r w:rsidR="00BC5CBB">
        <w:rPr>
          <w:sz w:val="22"/>
          <w:szCs w:val="22"/>
        </w:rPr>
        <w:t xml:space="preserve"> </w:t>
      </w:r>
      <w:r w:rsidR="00526074">
        <w:rPr>
          <w:sz w:val="22"/>
          <w:szCs w:val="22"/>
        </w:rPr>
        <w:t xml:space="preserve">has </w:t>
      </w:r>
      <w:r w:rsidR="00BC5CBB">
        <w:rPr>
          <w:sz w:val="22"/>
          <w:szCs w:val="22"/>
        </w:rPr>
        <w:t xml:space="preserve">expressed its concern about </w:t>
      </w:r>
      <w:r w:rsidR="00B57450" w:rsidRPr="00B57450">
        <w:rPr>
          <w:sz w:val="22"/>
          <w:szCs w:val="22"/>
        </w:rPr>
        <w:t>the prejudice and discrimination of service providers</w:t>
      </w:r>
      <w:r w:rsidR="00872914">
        <w:rPr>
          <w:sz w:val="22"/>
          <w:szCs w:val="22"/>
        </w:rPr>
        <w:t>, families</w:t>
      </w:r>
      <w:r w:rsidR="007C178B">
        <w:rPr>
          <w:sz w:val="22"/>
          <w:szCs w:val="22"/>
        </w:rPr>
        <w:t>,</w:t>
      </w:r>
      <w:r w:rsidR="00B57450" w:rsidRPr="00B57450">
        <w:rPr>
          <w:sz w:val="22"/>
          <w:szCs w:val="22"/>
        </w:rPr>
        <w:t xml:space="preserve"> and the wider public that prevent women and girls </w:t>
      </w:r>
      <w:r w:rsidR="00872914">
        <w:rPr>
          <w:sz w:val="22"/>
          <w:szCs w:val="22"/>
        </w:rPr>
        <w:t xml:space="preserve">with disabilities </w:t>
      </w:r>
      <w:r w:rsidR="00B57450" w:rsidRPr="00B57450">
        <w:rPr>
          <w:sz w:val="22"/>
          <w:szCs w:val="22"/>
        </w:rPr>
        <w:t>from accessing healthcare.</w:t>
      </w:r>
      <w:r w:rsidR="008E1410">
        <w:rPr>
          <w:rStyle w:val="EndnoteReference"/>
          <w:sz w:val="22"/>
          <w:szCs w:val="22"/>
        </w:rPr>
        <w:endnoteReference w:id="9"/>
      </w:r>
      <w:r w:rsidR="008C5CAD">
        <w:rPr>
          <w:sz w:val="22"/>
          <w:szCs w:val="22"/>
        </w:rPr>
        <w:t xml:space="preserve"> To respond to this distressing situation, the </w:t>
      </w:r>
      <w:r w:rsidR="008C5CAD" w:rsidRPr="00186AC5">
        <w:rPr>
          <w:sz w:val="22"/>
          <w:szCs w:val="22"/>
        </w:rPr>
        <w:t>Committee</w:t>
      </w:r>
      <w:r w:rsidR="00186AC5" w:rsidRPr="00186AC5">
        <w:rPr>
          <w:sz w:val="22"/>
          <w:szCs w:val="22"/>
        </w:rPr>
        <w:t xml:space="preserve"> </w:t>
      </w:r>
      <w:r w:rsidR="008C5CAD" w:rsidRPr="00186AC5">
        <w:rPr>
          <w:sz w:val="22"/>
          <w:szCs w:val="22"/>
        </w:rPr>
        <w:t>recommended that the</w:t>
      </w:r>
      <w:r w:rsidR="008C5CAD">
        <w:rPr>
          <w:sz w:val="22"/>
          <w:szCs w:val="22"/>
        </w:rPr>
        <w:t xml:space="preserve"> Philippines</w:t>
      </w:r>
      <w:r w:rsidR="00F51C77">
        <w:rPr>
          <w:sz w:val="22"/>
          <w:szCs w:val="22"/>
        </w:rPr>
        <w:t>:</w:t>
      </w:r>
    </w:p>
    <w:p w14:paraId="704B5A64" w14:textId="77777777" w:rsidR="003E6A37" w:rsidRDefault="003E6A37" w:rsidP="008C5CAD">
      <w:pPr>
        <w:rPr>
          <w:sz w:val="22"/>
          <w:szCs w:val="22"/>
        </w:rPr>
      </w:pPr>
    </w:p>
    <w:p w14:paraId="0ABF7B81" w14:textId="0999139E" w:rsidR="0059541F" w:rsidRPr="0059541F" w:rsidRDefault="008C5CAD" w:rsidP="00647C61">
      <w:pPr>
        <w:ind w:left="720"/>
        <w:rPr>
          <w:sz w:val="22"/>
          <w:szCs w:val="22"/>
        </w:rPr>
      </w:pPr>
      <w:r>
        <w:rPr>
          <w:sz w:val="22"/>
          <w:szCs w:val="22"/>
        </w:rPr>
        <w:t>e</w:t>
      </w:r>
      <w:r w:rsidRPr="008C5CAD">
        <w:rPr>
          <w:sz w:val="22"/>
          <w:szCs w:val="22"/>
        </w:rPr>
        <w:t>nsure women, girls and persons with psychosocial disabilities comprehensive access to sexual reproductive health and community-based rehabilitation services for rural and remote areas without having to endure the prejudices of others;</w:t>
      </w:r>
      <w:r w:rsidR="001775C0">
        <w:rPr>
          <w:sz w:val="22"/>
          <w:szCs w:val="22"/>
        </w:rPr>
        <w:t xml:space="preserve"> i</w:t>
      </w:r>
      <w:r w:rsidRPr="008C5CAD">
        <w:rPr>
          <w:sz w:val="22"/>
          <w:szCs w:val="22"/>
        </w:rPr>
        <w:t>ncrease healthcare professionals’ training on the provision of sexual and reproductive healthcare education and services to women, girls</w:t>
      </w:r>
      <w:r w:rsidR="00052FBE">
        <w:rPr>
          <w:sz w:val="22"/>
          <w:szCs w:val="22"/>
        </w:rPr>
        <w:t>,</w:t>
      </w:r>
      <w:r w:rsidRPr="008C5CAD">
        <w:rPr>
          <w:sz w:val="22"/>
          <w:szCs w:val="22"/>
        </w:rPr>
        <w:t xml:space="preserve"> and persons with psychosocial disabilities, and their sensitization during the provision of such, in accordance with the Convention;</w:t>
      </w:r>
      <w:r w:rsidR="002948CC">
        <w:rPr>
          <w:sz w:val="22"/>
          <w:szCs w:val="22"/>
        </w:rPr>
        <w:t xml:space="preserve"> and s</w:t>
      </w:r>
      <w:r w:rsidRPr="008C5CAD">
        <w:rPr>
          <w:sz w:val="22"/>
          <w:szCs w:val="22"/>
        </w:rPr>
        <w:t>trengthen training for all regional health workers nationwide</w:t>
      </w:r>
      <w:r w:rsidR="007D3BC5">
        <w:rPr>
          <w:sz w:val="22"/>
          <w:szCs w:val="22"/>
        </w:rPr>
        <w:t>.</w:t>
      </w:r>
      <w:r w:rsidR="007D3BC5">
        <w:rPr>
          <w:rStyle w:val="EndnoteReference"/>
          <w:sz w:val="22"/>
          <w:szCs w:val="22"/>
        </w:rPr>
        <w:endnoteReference w:id="10"/>
      </w:r>
    </w:p>
    <w:p w14:paraId="40ED698D" w14:textId="77777777" w:rsidR="00CA0417" w:rsidRDefault="00CA0417" w:rsidP="00A52DD8">
      <w:pPr>
        <w:rPr>
          <w:sz w:val="22"/>
          <w:szCs w:val="22"/>
        </w:rPr>
      </w:pPr>
    </w:p>
    <w:p w14:paraId="1BEA2A85" w14:textId="15553FA3" w:rsidR="00821E21" w:rsidRPr="002072A1" w:rsidRDefault="00311479" w:rsidP="00A52DD8">
      <w:pPr>
        <w:rPr>
          <w:sz w:val="22"/>
          <w:szCs w:val="22"/>
        </w:rPr>
      </w:pPr>
      <w:r>
        <w:rPr>
          <w:sz w:val="22"/>
          <w:szCs w:val="22"/>
        </w:rPr>
        <w:t xml:space="preserve">Even though research suggests there </w:t>
      </w:r>
      <w:r w:rsidR="00106F45">
        <w:rPr>
          <w:sz w:val="22"/>
          <w:szCs w:val="22"/>
        </w:rPr>
        <w:t>is an exacerbated risk of GBV faced by women with disabilities, as</w:t>
      </w:r>
      <w:r w:rsidR="00540776">
        <w:rPr>
          <w:sz w:val="22"/>
          <w:szCs w:val="22"/>
        </w:rPr>
        <w:t xml:space="preserve"> </w:t>
      </w:r>
      <w:r w:rsidR="00106F45">
        <w:rPr>
          <w:sz w:val="22"/>
          <w:szCs w:val="22"/>
        </w:rPr>
        <w:t xml:space="preserve">will be discussed in the following section, </w:t>
      </w:r>
      <w:r w:rsidR="00540776">
        <w:rPr>
          <w:sz w:val="22"/>
          <w:szCs w:val="22"/>
        </w:rPr>
        <w:t>m</w:t>
      </w:r>
      <w:r w:rsidR="003C3C92" w:rsidRPr="005E72F1">
        <w:rPr>
          <w:sz w:val="22"/>
          <w:szCs w:val="22"/>
        </w:rPr>
        <w:t xml:space="preserve">any healthcare staff </w:t>
      </w:r>
      <w:r w:rsidR="00F2277A" w:rsidRPr="005E72F1">
        <w:rPr>
          <w:sz w:val="22"/>
          <w:szCs w:val="22"/>
        </w:rPr>
        <w:t xml:space="preserve">are unfamiliar with this exacerbated risk </w:t>
      </w:r>
      <w:r w:rsidR="005E72F1" w:rsidRPr="005E72F1">
        <w:rPr>
          <w:sz w:val="22"/>
          <w:szCs w:val="22"/>
        </w:rPr>
        <w:t>and ignore the</w:t>
      </w:r>
      <w:r w:rsidR="003C3C92" w:rsidRPr="005E72F1">
        <w:rPr>
          <w:sz w:val="22"/>
          <w:szCs w:val="22"/>
        </w:rPr>
        <w:t xml:space="preserve"> specific needs of women with disabilities </w:t>
      </w:r>
      <w:r w:rsidR="00A43B48" w:rsidRPr="005E72F1">
        <w:rPr>
          <w:sz w:val="22"/>
          <w:szCs w:val="22"/>
        </w:rPr>
        <w:t>seeking sexual and reproductive healthcare</w:t>
      </w:r>
      <w:r w:rsidR="00355463" w:rsidRPr="005E72F1">
        <w:rPr>
          <w:sz w:val="22"/>
          <w:szCs w:val="22"/>
        </w:rPr>
        <w:t>.</w:t>
      </w:r>
      <w:r w:rsidR="005E72F1" w:rsidRPr="005E72F1">
        <w:rPr>
          <w:rStyle w:val="EndnoteReference"/>
          <w:sz w:val="22"/>
          <w:szCs w:val="22"/>
        </w:rPr>
        <w:endnoteReference w:id="11"/>
      </w:r>
      <w:r w:rsidR="00355463" w:rsidRPr="005E72F1">
        <w:rPr>
          <w:sz w:val="22"/>
          <w:szCs w:val="22"/>
        </w:rPr>
        <w:t xml:space="preserve"> This lack of knowledge </w:t>
      </w:r>
      <w:r w:rsidR="00736915" w:rsidRPr="005E72F1">
        <w:rPr>
          <w:sz w:val="22"/>
          <w:szCs w:val="22"/>
        </w:rPr>
        <w:t xml:space="preserve">may </w:t>
      </w:r>
      <w:r w:rsidR="00261F62" w:rsidRPr="005E72F1">
        <w:rPr>
          <w:sz w:val="22"/>
          <w:szCs w:val="22"/>
        </w:rPr>
        <w:t>impact</w:t>
      </w:r>
      <w:r w:rsidR="00355463" w:rsidRPr="005E72F1">
        <w:rPr>
          <w:sz w:val="22"/>
          <w:szCs w:val="22"/>
        </w:rPr>
        <w:t xml:space="preserve"> </w:t>
      </w:r>
      <w:r w:rsidR="00C57F26" w:rsidRPr="005E72F1">
        <w:rPr>
          <w:sz w:val="22"/>
          <w:szCs w:val="22"/>
        </w:rPr>
        <w:t xml:space="preserve">how </w:t>
      </w:r>
      <w:r w:rsidR="005676B9" w:rsidRPr="005E72F1">
        <w:rPr>
          <w:sz w:val="22"/>
          <w:szCs w:val="22"/>
        </w:rPr>
        <w:t>SRH</w:t>
      </w:r>
      <w:r w:rsidR="00C57F26" w:rsidRPr="005E72F1">
        <w:rPr>
          <w:sz w:val="22"/>
          <w:szCs w:val="22"/>
        </w:rPr>
        <w:t xml:space="preserve"> professionals </w:t>
      </w:r>
      <w:r w:rsidR="007E01F0" w:rsidRPr="005E72F1">
        <w:rPr>
          <w:sz w:val="22"/>
          <w:szCs w:val="22"/>
        </w:rPr>
        <w:t xml:space="preserve">treat </w:t>
      </w:r>
      <w:r w:rsidR="00483F43" w:rsidRPr="002072A1">
        <w:rPr>
          <w:sz w:val="22"/>
          <w:szCs w:val="22"/>
        </w:rPr>
        <w:t xml:space="preserve">patients with disabilities and </w:t>
      </w:r>
      <w:r w:rsidR="00835E74" w:rsidRPr="002072A1">
        <w:rPr>
          <w:sz w:val="22"/>
          <w:szCs w:val="22"/>
        </w:rPr>
        <w:t>assess them for signs of violence.</w:t>
      </w:r>
    </w:p>
    <w:p w14:paraId="7187B04E" w14:textId="2E450766" w:rsidR="00821E21" w:rsidRPr="005E72F1" w:rsidRDefault="000950F3" w:rsidP="00A52DD8">
      <w:pPr>
        <w:pStyle w:val="ListParagraph"/>
        <w:numPr>
          <w:ilvl w:val="0"/>
          <w:numId w:val="13"/>
        </w:numPr>
        <w:spacing w:line="240" w:lineRule="auto"/>
        <w:contextualSpacing w:val="0"/>
        <w:rPr>
          <w:rFonts w:ascii="Times New Roman" w:hAnsi="Times New Roman" w:cs="Times New Roman"/>
        </w:rPr>
      </w:pPr>
      <w:r w:rsidRPr="005E72F1">
        <w:rPr>
          <w:rFonts w:ascii="Times New Roman" w:hAnsi="Times New Roman" w:cs="Times New Roman"/>
        </w:rPr>
        <w:lastRenderedPageBreak/>
        <w:t xml:space="preserve">A doctor reported that </w:t>
      </w:r>
      <w:r w:rsidR="00370F14" w:rsidRPr="005E72F1">
        <w:rPr>
          <w:rFonts w:ascii="Times New Roman" w:hAnsi="Times New Roman" w:cs="Times New Roman"/>
        </w:rPr>
        <w:t xml:space="preserve">“we have not had such a case that the raped woman had a disability or was beaten by the husband. They are not prone to that, those with a </w:t>
      </w:r>
      <w:r w:rsidR="00240A53">
        <w:rPr>
          <w:rFonts w:ascii="Times New Roman" w:hAnsi="Times New Roman" w:cs="Times New Roman"/>
        </w:rPr>
        <w:t>disability/</w:t>
      </w:r>
      <w:r w:rsidR="00370F14" w:rsidRPr="005E72F1">
        <w:rPr>
          <w:rFonts w:ascii="Times New Roman" w:hAnsi="Times New Roman" w:cs="Times New Roman"/>
        </w:rPr>
        <w:t>”</w:t>
      </w:r>
      <w:r w:rsidR="00021271" w:rsidRPr="005E72F1">
        <w:rPr>
          <w:rStyle w:val="EndnoteReference"/>
          <w:rFonts w:ascii="Times New Roman" w:hAnsi="Times New Roman" w:cs="Times New Roman"/>
        </w:rPr>
        <w:endnoteReference w:id="12"/>
      </w:r>
    </w:p>
    <w:p w14:paraId="24F1992E" w14:textId="0F375928" w:rsidR="00564815" w:rsidRDefault="00564815" w:rsidP="00A52DD8">
      <w:pPr>
        <w:pStyle w:val="ListParagraph"/>
        <w:numPr>
          <w:ilvl w:val="0"/>
          <w:numId w:val="13"/>
        </w:numPr>
        <w:spacing w:line="240" w:lineRule="auto"/>
        <w:contextualSpacing w:val="0"/>
        <w:rPr>
          <w:rFonts w:ascii="Times New Roman" w:hAnsi="Times New Roman" w:cs="Times New Roman"/>
        </w:rPr>
      </w:pPr>
      <w:r w:rsidRPr="005E72F1">
        <w:rPr>
          <w:rFonts w:ascii="Times New Roman" w:hAnsi="Times New Roman" w:cs="Times New Roman"/>
        </w:rPr>
        <w:t xml:space="preserve">Another healthcare professional </w:t>
      </w:r>
      <w:r w:rsidR="00FC5C90" w:rsidRPr="005E72F1">
        <w:rPr>
          <w:rFonts w:ascii="Times New Roman" w:hAnsi="Times New Roman" w:cs="Times New Roman"/>
        </w:rPr>
        <w:t>stated the</w:t>
      </w:r>
      <w:r w:rsidR="00A26E9C" w:rsidRPr="005E72F1">
        <w:rPr>
          <w:rFonts w:ascii="Times New Roman" w:hAnsi="Times New Roman" w:cs="Times New Roman"/>
        </w:rPr>
        <w:t xml:space="preserve">re is no specific attention </w:t>
      </w:r>
      <w:r w:rsidR="00F85249" w:rsidRPr="005E72F1">
        <w:rPr>
          <w:rFonts w:ascii="Times New Roman" w:hAnsi="Times New Roman" w:cs="Times New Roman"/>
        </w:rPr>
        <w:t xml:space="preserve">for </w:t>
      </w:r>
      <w:r w:rsidR="00FC5C90" w:rsidRPr="005E72F1">
        <w:rPr>
          <w:rFonts w:ascii="Times New Roman" w:hAnsi="Times New Roman" w:cs="Times New Roman"/>
        </w:rPr>
        <w:t>persons with disabilities</w:t>
      </w:r>
      <w:r w:rsidR="00127F97" w:rsidRPr="005E72F1">
        <w:rPr>
          <w:rFonts w:ascii="Times New Roman" w:hAnsi="Times New Roman" w:cs="Times New Roman"/>
        </w:rPr>
        <w:t xml:space="preserve">, </w:t>
      </w:r>
      <w:r w:rsidR="00240A53">
        <w:rPr>
          <w:rFonts w:ascii="Times New Roman" w:hAnsi="Times New Roman" w:cs="Times New Roman"/>
        </w:rPr>
        <w:t xml:space="preserve">which may in turn mean that services do not anticipate the specific needs of persons with disabilities and thus may not be inclusive. </w:t>
      </w:r>
      <w:r w:rsidR="00127F97" w:rsidRPr="005E72F1">
        <w:rPr>
          <w:rFonts w:ascii="Times New Roman" w:hAnsi="Times New Roman" w:cs="Times New Roman"/>
        </w:rPr>
        <w:t>“</w:t>
      </w:r>
      <w:r w:rsidR="00507734" w:rsidRPr="005E72F1">
        <w:rPr>
          <w:rFonts w:ascii="Times New Roman" w:hAnsi="Times New Roman" w:cs="Times New Roman"/>
        </w:rPr>
        <w:t>[The attention] is not specific because we treat everyone as a regular client whether it’s women, young girls, young women or young people. So it</w:t>
      </w:r>
      <w:r w:rsidR="00736915" w:rsidRPr="005E72F1">
        <w:rPr>
          <w:rFonts w:ascii="Times New Roman" w:hAnsi="Times New Roman" w:cs="Times New Roman"/>
        </w:rPr>
        <w:t xml:space="preserve"> is</w:t>
      </w:r>
      <w:r w:rsidR="00507734" w:rsidRPr="005E72F1">
        <w:rPr>
          <w:rFonts w:ascii="Times New Roman" w:hAnsi="Times New Roman" w:cs="Times New Roman"/>
        </w:rPr>
        <w:t xml:space="preserve"> not exclusive for </w:t>
      </w:r>
      <w:r w:rsidR="000E54A4" w:rsidRPr="005E72F1">
        <w:rPr>
          <w:rFonts w:ascii="Times New Roman" w:hAnsi="Times New Roman" w:cs="Times New Roman"/>
        </w:rPr>
        <w:t>persons with disabilities</w:t>
      </w:r>
      <w:r w:rsidR="00507734" w:rsidRPr="005E72F1">
        <w:rPr>
          <w:rFonts w:ascii="Times New Roman" w:hAnsi="Times New Roman" w:cs="Times New Roman"/>
        </w:rPr>
        <w:t xml:space="preserve"> because they might think that they</w:t>
      </w:r>
      <w:r w:rsidR="00736915" w:rsidRPr="005E72F1">
        <w:rPr>
          <w:rFonts w:ascii="Times New Roman" w:hAnsi="Times New Roman" w:cs="Times New Roman"/>
        </w:rPr>
        <w:t xml:space="preserve"> a</w:t>
      </w:r>
      <w:r w:rsidR="00507734" w:rsidRPr="005E72F1">
        <w:rPr>
          <w:rFonts w:ascii="Times New Roman" w:hAnsi="Times New Roman" w:cs="Times New Roman"/>
        </w:rPr>
        <w:t>re not like the others</w:t>
      </w:r>
      <w:r w:rsidR="00240A53">
        <w:rPr>
          <w:rFonts w:ascii="Times New Roman" w:hAnsi="Times New Roman" w:cs="Times New Roman"/>
        </w:rPr>
        <w:t>.</w:t>
      </w:r>
      <w:r w:rsidR="00507734" w:rsidRPr="005E72F1">
        <w:rPr>
          <w:rFonts w:ascii="Times New Roman" w:hAnsi="Times New Roman" w:cs="Times New Roman"/>
        </w:rPr>
        <w:t>”</w:t>
      </w:r>
      <w:r w:rsidR="000E54A4" w:rsidRPr="005E72F1">
        <w:rPr>
          <w:rStyle w:val="EndnoteReference"/>
          <w:rFonts w:ascii="Times New Roman" w:hAnsi="Times New Roman" w:cs="Times New Roman"/>
        </w:rPr>
        <w:endnoteReference w:id="13"/>
      </w:r>
    </w:p>
    <w:p w14:paraId="4B7635D3" w14:textId="1AFF3ED9" w:rsidR="007D6FBA" w:rsidRPr="00DB17E7" w:rsidRDefault="00ED2BD2" w:rsidP="00A52DD8">
      <w:pPr>
        <w:pStyle w:val="ListParagraph"/>
        <w:numPr>
          <w:ilvl w:val="0"/>
          <w:numId w:val="13"/>
        </w:numPr>
        <w:spacing w:line="240" w:lineRule="auto"/>
        <w:contextualSpacing w:val="0"/>
        <w:rPr>
          <w:rFonts w:ascii="Times New Roman" w:hAnsi="Times New Roman" w:cs="Times New Roman"/>
        </w:rPr>
      </w:pPr>
      <w:r w:rsidRPr="002072A1">
        <w:rPr>
          <w:rFonts w:ascii="Times New Roman" w:hAnsi="Times New Roman" w:cs="Times New Roman"/>
        </w:rPr>
        <w:t xml:space="preserve">Many </w:t>
      </w:r>
      <w:r>
        <w:rPr>
          <w:rFonts w:ascii="Times New Roman" w:hAnsi="Times New Roman" w:cs="Times New Roman"/>
        </w:rPr>
        <w:t>SRH staff</w:t>
      </w:r>
      <w:r w:rsidRPr="002072A1">
        <w:rPr>
          <w:rFonts w:ascii="Times New Roman" w:hAnsi="Times New Roman" w:cs="Times New Roman"/>
        </w:rPr>
        <w:t xml:space="preserve"> in the </w:t>
      </w:r>
      <w:r>
        <w:rPr>
          <w:rFonts w:ascii="Times New Roman" w:hAnsi="Times New Roman" w:cs="Times New Roman"/>
        </w:rPr>
        <w:t xml:space="preserve">abovementioned 2015 study called attention to the need for accurate data on the provision of SRH services for women with disabilities, </w:t>
      </w:r>
      <w:r w:rsidR="00240A53">
        <w:rPr>
          <w:rFonts w:ascii="Times New Roman" w:hAnsi="Times New Roman" w:cs="Times New Roman"/>
        </w:rPr>
        <w:t xml:space="preserve">data on </w:t>
      </w:r>
      <w:r>
        <w:rPr>
          <w:rFonts w:ascii="Times New Roman" w:hAnsi="Times New Roman" w:cs="Times New Roman"/>
        </w:rPr>
        <w:t>the number of women with disabilities using the services available, and more information about their SRH needs.</w:t>
      </w:r>
      <w:r>
        <w:rPr>
          <w:rStyle w:val="EndnoteReference"/>
          <w:rFonts w:ascii="Times New Roman" w:hAnsi="Times New Roman" w:cs="Times New Roman"/>
        </w:rPr>
        <w:endnoteReference w:id="14"/>
      </w:r>
    </w:p>
    <w:p w14:paraId="4F4577E4" w14:textId="77777777" w:rsidR="00DA5EEC" w:rsidRPr="005E72F1" w:rsidRDefault="00DA5EEC" w:rsidP="00A52DD8">
      <w:pPr>
        <w:rPr>
          <w:sz w:val="22"/>
          <w:szCs w:val="22"/>
        </w:rPr>
      </w:pPr>
    </w:p>
    <w:p w14:paraId="1977E39E" w14:textId="28F30F29" w:rsidR="007D17E9" w:rsidRPr="00EC489F" w:rsidRDefault="00FE6A28" w:rsidP="00A52DD8">
      <w:pPr>
        <w:rPr>
          <w:sz w:val="22"/>
          <w:szCs w:val="22"/>
        </w:rPr>
      </w:pPr>
      <w:r w:rsidRPr="005E72F1">
        <w:rPr>
          <w:sz w:val="22"/>
          <w:szCs w:val="22"/>
        </w:rPr>
        <w:t>In the Philippines, information about SRH</w:t>
      </w:r>
      <w:r w:rsidR="0085441C">
        <w:rPr>
          <w:sz w:val="22"/>
          <w:szCs w:val="22"/>
        </w:rPr>
        <w:t xml:space="preserve">R is difficult to access </w:t>
      </w:r>
      <w:r w:rsidR="002D0F1E" w:rsidRPr="005E72F1">
        <w:rPr>
          <w:sz w:val="22"/>
          <w:szCs w:val="22"/>
        </w:rPr>
        <w:t xml:space="preserve">for all women, including those with </w:t>
      </w:r>
      <w:r w:rsidR="002D0F1E" w:rsidRPr="00854DE0">
        <w:rPr>
          <w:sz w:val="22"/>
          <w:szCs w:val="22"/>
        </w:rPr>
        <w:t>disabilities</w:t>
      </w:r>
      <w:r w:rsidR="002D7748" w:rsidRPr="00854DE0">
        <w:rPr>
          <w:sz w:val="22"/>
          <w:szCs w:val="22"/>
        </w:rPr>
        <w:t>. This</w:t>
      </w:r>
      <w:r w:rsidR="002D0F1E" w:rsidRPr="00854DE0">
        <w:rPr>
          <w:sz w:val="22"/>
          <w:szCs w:val="22"/>
        </w:rPr>
        <w:t xml:space="preserve"> is linked to a conservative social-political </w:t>
      </w:r>
      <w:r w:rsidR="002D0F1E" w:rsidRPr="00EC489F">
        <w:rPr>
          <w:sz w:val="22"/>
          <w:szCs w:val="22"/>
        </w:rPr>
        <w:t>context</w:t>
      </w:r>
      <w:r w:rsidR="006B4DA7" w:rsidRPr="00EC489F">
        <w:rPr>
          <w:rStyle w:val="EndnoteReference"/>
          <w:sz w:val="22"/>
          <w:szCs w:val="22"/>
        </w:rPr>
        <w:endnoteReference w:id="15"/>
      </w:r>
      <w:r w:rsidR="002D0F1E" w:rsidRPr="00EC489F">
        <w:rPr>
          <w:sz w:val="22"/>
          <w:szCs w:val="22"/>
        </w:rPr>
        <w:t xml:space="preserve"> and</w:t>
      </w:r>
      <w:r w:rsidR="002D7748" w:rsidRPr="00EC489F">
        <w:rPr>
          <w:sz w:val="22"/>
          <w:szCs w:val="22"/>
        </w:rPr>
        <w:t xml:space="preserve"> lack of </w:t>
      </w:r>
      <w:r w:rsidR="0085441C">
        <w:rPr>
          <w:sz w:val="22"/>
          <w:szCs w:val="22"/>
        </w:rPr>
        <w:t>disability-</w:t>
      </w:r>
      <w:r w:rsidR="002D7748" w:rsidRPr="00EC489F">
        <w:rPr>
          <w:sz w:val="22"/>
          <w:szCs w:val="22"/>
        </w:rPr>
        <w:t>accessib</w:t>
      </w:r>
      <w:r w:rsidR="006B4DA7" w:rsidRPr="00EC489F">
        <w:rPr>
          <w:sz w:val="22"/>
          <w:szCs w:val="22"/>
        </w:rPr>
        <w:t>le information.</w:t>
      </w:r>
      <w:r w:rsidR="00EC489F">
        <w:rPr>
          <w:rStyle w:val="EndnoteReference"/>
          <w:sz w:val="22"/>
          <w:szCs w:val="22"/>
        </w:rPr>
        <w:endnoteReference w:id="16"/>
      </w:r>
      <w:r w:rsidR="006B4DA7" w:rsidRPr="00EC489F">
        <w:rPr>
          <w:sz w:val="22"/>
          <w:szCs w:val="22"/>
        </w:rPr>
        <w:t xml:space="preserve"> </w:t>
      </w:r>
    </w:p>
    <w:p w14:paraId="2F12474D" w14:textId="0F99503E" w:rsidR="0092725D" w:rsidRPr="0089716F" w:rsidRDefault="0092725D" w:rsidP="00A52DD8">
      <w:pPr>
        <w:pStyle w:val="ListParagraph"/>
        <w:numPr>
          <w:ilvl w:val="0"/>
          <w:numId w:val="13"/>
        </w:numPr>
        <w:spacing w:line="240" w:lineRule="auto"/>
        <w:contextualSpacing w:val="0"/>
        <w:rPr>
          <w:rFonts w:ascii="Times New Roman" w:hAnsi="Times New Roman" w:cs="Times New Roman"/>
        </w:rPr>
      </w:pPr>
      <w:r w:rsidRPr="00EC489F">
        <w:rPr>
          <w:rFonts w:ascii="Times New Roman" w:hAnsi="Times New Roman" w:cs="Times New Roman"/>
        </w:rPr>
        <w:t xml:space="preserve">As </w:t>
      </w:r>
      <w:r w:rsidR="003830F0" w:rsidRPr="00EC489F">
        <w:rPr>
          <w:rFonts w:ascii="Times New Roman" w:hAnsi="Times New Roman" w:cs="Times New Roman"/>
        </w:rPr>
        <w:t>an</w:t>
      </w:r>
      <w:r w:rsidRPr="00EC489F">
        <w:rPr>
          <w:rFonts w:ascii="Times New Roman" w:hAnsi="Times New Roman" w:cs="Times New Roman"/>
        </w:rPr>
        <w:t xml:space="preserve"> NGO representative reported in the </w:t>
      </w:r>
      <w:r w:rsidR="00F51C77">
        <w:rPr>
          <w:rFonts w:ascii="Times New Roman" w:hAnsi="Times New Roman" w:cs="Times New Roman"/>
        </w:rPr>
        <w:t>2015</w:t>
      </w:r>
      <w:r w:rsidRPr="00EC489F">
        <w:rPr>
          <w:rFonts w:ascii="Times New Roman" w:hAnsi="Times New Roman" w:cs="Times New Roman"/>
        </w:rPr>
        <w:t xml:space="preserve"> study</w:t>
      </w:r>
      <w:r w:rsidR="0037375C" w:rsidRPr="00EC489F">
        <w:rPr>
          <w:rFonts w:ascii="Times New Roman" w:hAnsi="Times New Roman" w:cs="Times New Roman"/>
        </w:rPr>
        <w:t>,</w:t>
      </w:r>
      <w:r w:rsidR="007D17E9" w:rsidRPr="00EC489F">
        <w:rPr>
          <w:rFonts w:ascii="Times New Roman" w:hAnsi="Times New Roman" w:cs="Times New Roman"/>
        </w:rPr>
        <w:t xml:space="preserve"> “i</w:t>
      </w:r>
      <w:r w:rsidR="00F521F0" w:rsidRPr="00EC489F">
        <w:rPr>
          <w:rFonts w:ascii="Times New Roman" w:hAnsi="Times New Roman" w:cs="Times New Roman"/>
        </w:rPr>
        <w:t>t is very difficult [to talk about SRHR] because Filipinos don’t want to talk about sex and</w:t>
      </w:r>
      <w:r w:rsidR="00F521F0" w:rsidRPr="00854DE0">
        <w:rPr>
          <w:rFonts w:ascii="Times New Roman" w:hAnsi="Times New Roman" w:cs="Times New Roman"/>
        </w:rPr>
        <w:t xml:space="preserve"> all those things about having children or </w:t>
      </w:r>
      <w:r w:rsidR="00F521F0" w:rsidRPr="0089716F">
        <w:rPr>
          <w:rFonts w:ascii="Times New Roman" w:hAnsi="Times New Roman" w:cs="Times New Roman"/>
        </w:rPr>
        <w:t>having menstruation or things like that. It is usually a taboo among women in the Philippines as a whole right? …So all the more when it comes to disability”</w:t>
      </w:r>
      <w:r w:rsidR="00F521F0" w:rsidRPr="0089716F">
        <w:rPr>
          <w:rStyle w:val="EndnoteReference"/>
          <w:rFonts w:ascii="Times New Roman" w:hAnsi="Times New Roman" w:cs="Times New Roman"/>
        </w:rPr>
        <w:endnoteReference w:id="17"/>
      </w:r>
    </w:p>
    <w:p w14:paraId="43651339" w14:textId="07A824C8" w:rsidR="009F12B2" w:rsidRDefault="009F12B2" w:rsidP="00A52DD8">
      <w:pPr>
        <w:pStyle w:val="ListParagraph"/>
        <w:numPr>
          <w:ilvl w:val="0"/>
          <w:numId w:val="13"/>
        </w:numPr>
        <w:spacing w:line="240" w:lineRule="auto"/>
        <w:contextualSpacing w:val="0"/>
        <w:rPr>
          <w:rFonts w:ascii="Times New Roman" w:hAnsi="Times New Roman" w:cs="Times New Roman"/>
        </w:rPr>
      </w:pPr>
      <w:r w:rsidRPr="0089716F">
        <w:rPr>
          <w:rFonts w:ascii="Times New Roman" w:hAnsi="Times New Roman" w:cs="Times New Roman"/>
        </w:rPr>
        <w:t xml:space="preserve">As a </w:t>
      </w:r>
      <w:r w:rsidRPr="00314F41">
        <w:rPr>
          <w:rFonts w:ascii="Times New Roman" w:hAnsi="Times New Roman" w:cs="Times New Roman"/>
        </w:rPr>
        <w:t>deaf woman stated</w:t>
      </w:r>
      <w:r w:rsidR="00240A53">
        <w:rPr>
          <w:rFonts w:ascii="Times New Roman" w:hAnsi="Times New Roman" w:cs="Times New Roman"/>
        </w:rPr>
        <w:t xml:space="preserve">, </w:t>
      </w:r>
      <w:r w:rsidRPr="00314F41">
        <w:rPr>
          <w:rFonts w:ascii="Times New Roman" w:hAnsi="Times New Roman" w:cs="Times New Roman"/>
        </w:rPr>
        <w:t>“</w:t>
      </w:r>
      <w:r w:rsidR="0089716F" w:rsidRPr="00314F41">
        <w:rPr>
          <w:rFonts w:ascii="Times New Roman" w:hAnsi="Times New Roman" w:cs="Times New Roman"/>
        </w:rPr>
        <w:t xml:space="preserve">SRH is very important as an issue in itself for poor people, especially women and young people with </w:t>
      </w:r>
      <w:r w:rsidR="007E2C25" w:rsidRPr="00314F41">
        <w:rPr>
          <w:rFonts w:ascii="Times New Roman" w:hAnsi="Times New Roman" w:cs="Times New Roman"/>
        </w:rPr>
        <w:t xml:space="preserve">a </w:t>
      </w:r>
      <w:r w:rsidR="0089716F" w:rsidRPr="00314F41">
        <w:rPr>
          <w:rFonts w:ascii="Times New Roman" w:hAnsi="Times New Roman" w:cs="Times New Roman"/>
        </w:rPr>
        <w:t>disability. [There are] economic barriers to SRH. Many couples do not have access to the family planning services and contraception they need. Many women die from complications of pregnancy and childbirth. Family planning and modern contraception offer choice and opportunity for women to make informed decisions. SRH information and services are essential to efforts to prevent HIV and AIDS. People have the right to make their own choices and decisions.”</w:t>
      </w:r>
      <w:r w:rsidR="00A00765">
        <w:rPr>
          <w:rStyle w:val="EndnoteReference"/>
          <w:rFonts w:ascii="Times New Roman" w:hAnsi="Times New Roman" w:cs="Times New Roman"/>
        </w:rPr>
        <w:endnoteReference w:id="18"/>
      </w:r>
    </w:p>
    <w:p w14:paraId="7A9929FA" w14:textId="485CDE62" w:rsidR="00173900" w:rsidRPr="007E2C25" w:rsidRDefault="00173900" w:rsidP="00A52DD8">
      <w:pPr>
        <w:pStyle w:val="ListParagraph"/>
        <w:numPr>
          <w:ilvl w:val="0"/>
          <w:numId w:val="13"/>
        </w:numPr>
        <w:spacing w:line="240" w:lineRule="auto"/>
        <w:contextualSpacing w:val="0"/>
        <w:rPr>
          <w:rFonts w:ascii="Times New Roman" w:hAnsi="Times New Roman" w:cs="Times New Roman"/>
        </w:rPr>
      </w:pPr>
      <w:r w:rsidRPr="00173900">
        <w:rPr>
          <w:rFonts w:ascii="Times New Roman" w:hAnsi="Times New Roman" w:cs="Times New Roman"/>
        </w:rPr>
        <w:t xml:space="preserve">A </w:t>
      </w:r>
      <w:r w:rsidR="00F71BA7">
        <w:rPr>
          <w:rFonts w:ascii="Times New Roman" w:hAnsi="Times New Roman" w:cs="Times New Roman"/>
        </w:rPr>
        <w:t xml:space="preserve">deaf </w:t>
      </w:r>
      <w:r w:rsidR="00D321F0">
        <w:rPr>
          <w:rFonts w:ascii="Times New Roman" w:hAnsi="Times New Roman" w:cs="Times New Roman"/>
        </w:rPr>
        <w:t xml:space="preserve">14-year-old </w:t>
      </w:r>
      <w:r w:rsidR="00562C39">
        <w:rPr>
          <w:rFonts w:ascii="Times New Roman" w:hAnsi="Times New Roman" w:cs="Times New Roman"/>
        </w:rPr>
        <w:t xml:space="preserve">girl who </w:t>
      </w:r>
      <w:r w:rsidRPr="00173900">
        <w:rPr>
          <w:rFonts w:ascii="Times New Roman" w:hAnsi="Times New Roman" w:cs="Times New Roman"/>
        </w:rPr>
        <w:t>participated in the focus group held to inform this shadow report shared that</w:t>
      </w:r>
      <w:r w:rsidR="00D321F0">
        <w:rPr>
          <w:rFonts w:ascii="Times New Roman" w:hAnsi="Times New Roman" w:cs="Times New Roman"/>
        </w:rPr>
        <w:t xml:space="preserve"> </w:t>
      </w:r>
      <w:r w:rsidR="006E6CAE">
        <w:rPr>
          <w:rFonts w:ascii="Times New Roman" w:hAnsi="Times New Roman" w:cs="Times New Roman"/>
        </w:rPr>
        <w:t>there are no subjects related to safe sex in school</w:t>
      </w:r>
      <w:r w:rsidR="000970B6">
        <w:rPr>
          <w:rFonts w:ascii="Times New Roman" w:hAnsi="Times New Roman" w:cs="Times New Roman"/>
        </w:rPr>
        <w:t xml:space="preserve">, so all the information she receives comes from home. </w:t>
      </w:r>
      <w:r w:rsidR="00FF6A52" w:rsidRPr="00FF6A52">
        <w:rPr>
          <w:rFonts w:ascii="Times New Roman" w:hAnsi="Times New Roman" w:cs="Times New Roman"/>
        </w:rPr>
        <w:t>“My mother tells me not to have a partner yet. My mother tells me not to engage in it</w:t>
      </w:r>
      <w:r w:rsidR="00240A53">
        <w:rPr>
          <w:rFonts w:ascii="Times New Roman" w:hAnsi="Times New Roman" w:cs="Times New Roman"/>
        </w:rPr>
        <w:t xml:space="preserve"> [sex]</w:t>
      </w:r>
      <w:r w:rsidR="00FF6A52" w:rsidRPr="00FF6A52">
        <w:rPr>
          <w:rFonts w:ascii="Times New Roman" w:hAnsi="Times New Roman" w:cs="Times New Roman"/>
        </w:rPr>
        <w:t>.”</w:t>
      </w:r>
      <w:r w:rsidR="00FF6A52">
        <w:rPr>
          <w:rStyle w:val="EndnoteReference"/>
          <w:rFonts w:ascii="Times New Roman" w:hAnsi="Times New Roman" w:cs="Times New Roman"/>
        </w:rPr>
        <w:endnoteReference w:id="19"/>
      </w:r>
    </w:p>
    <w:p w14:paraId="008D3975" w14:textId="77777777" w:rsidR="00821E21" w:rsidRPr="0089716F" w:rsidRDefault="00821E21" w:rsidP="00A52DD8">
      <w:pPr>
        <w:rPr>
          <w:sz w:val="22"/>
          <w:szCs w:val="22"/>
        </w:rPr>
      </w:pPr>
    </w:p>
    <w:p w14:paraId="25A61321" w14:textId="65409533" w:rsidR="0043361E" w:rsidRDefault="00240A53" w:rsidP="00A52DD8">
      <w:pPr>
        <w:rPr>
          <w:sz w:val="22"/>
          <w:szCs w:val="22"/>
        </w:rPr>
      </w:pPr>
      <w:r>
        <w:rPr>
          <w:sz w:val="22"/>
          <w:szCs w:val="22"/>
        </w:rPr>
        <w:t xml:space="preserve">Sexual and reproductive healthcare is also largely inaccessible </w:t>
      </w:r>
      <w:r w:rsidR="001F762E">
        <w:rPr>
          <w:sz w:val="22"/>
          <w:szCs w:val="22"/>
        </w:rPr>
        <w:t>to</w:t>
      </w:r>
      <w:r>
        <w:rPr>
          <w:sz w:val="22"/>
          <w:szCs w:val="22"/>
        </w:rPr>
        <w:t xml:space="preserve"> persons with disabilities.</w:t>
      </w:r>
      <w:r w:rsidR="00962FDE" w:rsidRPr="00295627">
        <w:rPr>
          <w:sz w:val="22"/>
          <w:szCs w:val="22"/>
        </w:rPr>
        <w:t xml:space="preserve"> </w:t>
      </w:r>
    </w:p>
    <w:p w14:paraId="075460ED" w14:textId="62D79A93" w:rsidR="008D112B" w:rsidRDefault="00D40241" w:rsidP="00A52DD8">
      <w:pPr>
        <w:pStyle w:val="ListParagraph"/>
        <w:numPr>
          <w:ilvl w:val="0"/>
          <w:numId w:val="13"/>
        </w:numPr>
        <w:spacing w:line="240" w:lineRule="auto"/>
        <w:contextualSpacing w:val="0"/>
        <w:rPr>
          <w:rFonts w:ascii="Times New Roman" w:hAnsi="Times New Roman" w:cs="Times New Roman"/>
        </w:rPr>
      </w:pPr>
      <w:r w:rsidRPr="00295627">
        <w:rPr>
          <w:rFonts w:ascii="Times New Roman" w:hAnsi="Times New Roman" w:cs="Times New Roman"/>
        </w:rPr>
        <w:t xml:space="preserve">As a government representative </w:t>
      </w:r>
      <w:r w:rsidR="00295627" w:rsidRPr="00295627">
        <w:rPr>
          <w:rFonts w:ascii="Times New Roman" w:hAnsi="Times New Roman" w:cs="Times New Roman"/>
        </w:rPr>
        <w:t>interviewed for the 2015 study explained, “the facilities are not accessible by the</w:t>
      </w:r>
      <w:r w:rsidR="00072309">
        <w:rPr>
          <w:rFonts w:ascii="Times New Roman" w:hAnsi="Times New Roman" w:cs="Times New Roman"/>
        </w:rPr>
        <w:t xml:space="preserve"> [persons with disabilities]</w:t>
      </w:r>
      <w:r w:rsidR="00295627" w:rsidRPr="00295627">
        <w:rPr>
          <w:rFonts w:ascii="Times New Roman" w:hAnsi="Times New Roman" w:cs="Times New Roman"/>
        </w:rPr>
        <w:t xml:space="preserve">. Second, the front liners are not able to handle the needs of </w:t>
      </w:r>
      <w:r w:rsidR="00994432">
        <w:rPr>
          <w:rFonts w:ascii="Times New Roman" w:hAnsi="Times New Roman" w:cs="Times New Roman"/>
        </w:rPr>
        <w:t>[persons with disabilities]</w:t>
      </w:r>
      <w:r w:rsidR="00072309">
        <w:rPr>
          <w:rFonts w:ascii="Times New Roman" w:hAnsi="Times New Roman" w:cs="Times New Roman"/>
        </w:rPr>
        <w:t>,</w:t>
      </w:r>
      <w:r w:rsidR="00295627" w:rsidRPr="00295627">
        <w:rPr>
          <w:rFonts w:ascii="Times New Roman" w:hAnsi="Times New Roman" w:cs="Times New Roman"/>
        </w:rPr>
        <w:t xml:space="preserve"> especially to the Deaf and to those with intellectual disabilities</w:t>
      </w:r>
      <w:r w:rsidR="00072309">
        <w:rPr>
          <w:rFonts w:ascii="Times New Roman" w:hAnsi="Times New Roman" w:cs="Times New Roman"/>
        </w:rPr>
        <w:t xml:space="preserve">. And </w:t>
      </w:r>
      <w:r w:rsidR="00295627" w:rsidRPr="00295627">
        <w:rPr>
          <w:rFonts w:ascii="Times New Roman" w:hAnsi="Times New Roman" w:cs="Times New Roman"/>
        </w:rPr>
        <w:t xml:space="preserve">also the distance of health </w:t>
      </w:r>
      <w:r w:rsidR="00072309" w:rsidRPr="00314FBD">
        <w:rPr>
          <w:rFonts w:ascii="Times New Roman" w:hAnsi="Times New Roman" w:cs="Times New Roman"/>
        </w:rPr>
        <w:t>centr</w:t>
      </w:r>
      <w:r w:rsidR="00D51343" w:rsidRPr="00314FBD">
        <w:rPr>
          <w:rFonts w:ascii="Times New Roman" w:hAnsi="Times New Roman" w:cs="Times New Roman"/>
        </w:rPr>
        <w:t>es</w:t>
      </w:r>
      <w:r w:rsidR="00295627" w:rsidRPr="00314FBD">
        <w:rPr>
          <w:rFonts w:ascii="Times New Roman" w:hAnsi="Times New Roman" w:cs="Times New Roman"/>
        </w:rPr>
        <w:t xml:space="preserve"> and health facility in the areas. The health centres are far</w:t>
      </w:r>
      <w:r w:rsidR="00D51343" w:rsidRPr="00314FBD">
        <w:rPr>
          <w:rFonts w:ascii="Times New Roman" w:hAnsi="Times New Roman" w:cs="Times New Roman"/>
        </w:rPr>
        <w:t>,</w:t>
      </w:r>
      <w:r w:rsidR="00295627" w:rsidRPr="00314FBD">
        <w:rPr>
          <w:rFonts w:ascii="Times New Roman" w:hAnsi="Times New Roman" w:cs="Times New Roman"/>
        </w:rPr>
        <w:t xml:space="preserve"> and the transport is not accessible”.</w:t>
      </w:r>
      <w:r w:rsidR="00D51343" w:rsidRPr="00314FBD">
        <w:rPr>
          <w:rStyle w:val="EndnoteReference"/>
          <w:rFonts w:ascii="Times New Roman" w:hAnsi="Times New Roman" w:cs="Times New Roman"/>
        </w:rPr>
        <w:endnoteReference w:id="20"/>
      </w:r>
    </w:p>
    <w:p w14:paraId="110EF0EC" w14:textId="5233026B" w:rsidR="00B8477E" w:rsidRDefault="005C5BB2" w:rsidP="00A52DD8">
      <w:pPr>
        <w:pStyle w:val="ListParagraph"/>
        <w:numPr>
          <w:ilvl w:val="0"/>
          <w:numId w:val="13"/>
        </w:numPr>
        <w:spacing w:line="240" w:lineRule="auto"/>
        <w:contextualSpacing w:val="0"/>
        <w:rPr>
          <w:rFonts w:ascii="Times New Roman" w:hAnsi="Times New Roman" w:cs="Times New Roman"/>
        </w:rPr>
      </w:pPr>
      <w:r>
        <w:rPr>
          <w:rFonts w:ascii="Times New Roman" w:hAnsi="Times New Roman" w:cs="Times New Roman"/>
        </w:rPr>
        <w:t xml:space="preserve">A </w:t>
      </w:r>
      <w:r w:rsidR="00240A53">
        <w:rPr>
          <w:rFonts w:ascii="Times New Roman" w:hAnsi="Times New Roman" w:cs="Times New Roman"/>
        </w:rPr>
        <w:t xml:space="preserve">2023 </w:t>
      </w:r>
      <w:r>
        <w:rPr>
          <w:rFonts w:ascii="Times New Roman" w:hAnsi="Times New Roman" w:cs="Times New Roman"/>
        </w:rPr>
        <w:t>f</w:t>
      </w:r>
      <w:r w:rsidR="007512D8">
        <w:rPr>
          <w:rFonts w:ascii="Times New Roman" w:hAnsi="Times New Roman" w:cs="Times New Roman"/>
        </w:rPr>
        <w:t xml:space="preserve">ocus group participant </w:t>
      </w:r>
      <w:r w:rsidR="00240A53">
        <w:rPr>
          <w:rFonts w:ascii="Times New Roman" w:hAnsi="Times New Roman" w:cs="Times New Roman"/>
        </w:rPr>
        <w:t>called</w:t>
      </w:r>
      <w:r>
        <w:rPr>
          <w:rFonts w:ascii="Times New Roman" w:hAnsi="Times New Roman" w:cs="Times New Roman"/>
        </w:rPr>
        <w:t xml:space="preserve"> for more accessibility </w:t>
      </w:r>
      <w:r w:rsidR="008062C0">
        <w:rPr>
          <w:rFonts w:ascii="Times New Roman" w:hAnsi="Times New Roman" w:cs="Times New Roman"/>
        </w:rPr>
        <w:t xml:space="preserve">in healthcare, such as </w:t>
      </w:r>
      <w:r w:rsidR="007512D8" w:rsidRPr="007512D8">
        <w:rPr>
          <w:rFonts w:ascii="Times New Roman" w:hAnsi="Times New Roman" w:cs="Times New Roman"/>
        </w:rPr>
        <w:t>“</w:t>
      </w:r>
      <w:r w:rsidR="008062C0">
        <w:rPr>
          <w:rFonts w:ascii="Times New Roman" w:hAnsi="Times New Roman" w:cs="Times New Roman"/>
        </w:rPr>
        <w:t>p</w:t>
      </w:r>
      <w:r w:rsidR="007512D8" w:rsidRPr="007512D8">
        <w:rPr>
          <w:rFonts w:ascii="Times New Roman" w:hAnsi="Times New Roman" w:cs="Times New Roman"/>
        </w:rPr>
        <w:t xml:space="preserve">roper communication between patients and staff, so that patients are treated properly. </w:t>
      </w:r>
      <w:r w:rsidR="008062C0">
        <w:rPr>
          <w:rFonts w:ascii="Times New Roman" w:hAnsi="Times New Roman" w:cs="Times New Roman"/>
        </w:rPr>
        <w:t xml:space="preserve">And a </w:t>
      </w:r>
      <w:r w:rsidR="007512D8" w:rsidRPr="007512D8">
        <w:rPr>
          <w:rFonts w:ascii="Times New Roman" w:hAnsi="Times New Roman" w:cs="Times New Roman"/>
        </w:rPr>
        <w:t>ramp in the building.”</w:t>
      </w:r>
      <w:r w:rsidR="00185B16">
        <w:rPr>
          <w:rStyle w:val="EndnoteReference"/>
          <w:rFonts w:ascii="Times New Roman" w:hAnsi="Times New Roman" w:cs="Times New Roman"/>
        </w:rPr>
        <w:endnoteReference w:id="21"/>
      </w:r>
    </w:p>
    <w:p w14:paraId="34364FAA" w14:textId="77777777" w:rsidR="009417A9" w:rsidRPr="003F5AA4" w:rsidRDefault="009417A9" w:rsidP="009417A9">
      <w:pPr>
        <w:pStyle w:val="ListParagraph"/>
        <w:numPr>
          <w:ilvl w:val="0"/>
          <w:numId w:val="13"/>
        </w:numPr>
        <w:spacing w:line="240" w:lineRule="auto"/>
        <w:ind w:left="714" w:hanging="357"/>
        <w:contextualSpacing w:val="0"/>
        <w:rPr>
          <w:rFonts w:ascii="Times New Roman" w:hAnsi="Times New Roman" w:cs="Times New Roman"/>
        </w:rPr>
      </w:pPr>
      <w:r w:rsidRPr="003F5AA4">
        <w:rPr>
          <w:rFonts w:ascii="Times New Roman" w:hAnsi="Times New Roman" w:cs="Times New Roman"/>
        </w:rPr>
        <w:t xml:space="preserve">A woman </w:t>
      </w:r>
      <w:r>
        <w:rPr>
          <w:rFonts w:ascii="Times New Roman" w:hAnsi="Times New Roman" w:cs="Times New Roman"/>
        </w:rPr>
        <w:t>with a disability shared that she has to use herbs instead of contraceptive pills because such medicine is either unavailable at the health center or obtained after enduring long lines.</w:t>
      </w:r>
      <w:r>
        <w:rPr>
          <w:rStyle w:val="EndnoteReference"/>
          <w:rFonts w:ascii="Times New Roman" w:hAnsi="Times New Roman" w:cs="Times New Roman"/>
        </w:rPr>
        <w:endnoteReference w:id="22"/>
      </w:r>
    </w:p>
    <w:p w14:paraId="0F39F1CB" w14:textId="77777777" w:rsidR="009417A9" w:rsidRDefault="009417A9" w:rsidP="009417A9"/>
    <w:p w14:paraId="4D8B14F7" w14:textId="75711336" w:rsidR="009417A9" w:rsidRPr="00B8477E" w:rsidRDefault="00240A53" w:rsidP="009417A9">
      <w:pPr>
        <w:rPr>
          <w:sz w:val="22"/>
          <w:szCs w:val="22"/>
        </w:rPr>
      </w:pPr>
      <w:r>
        <w:rPr>
          <w:sz w:val="22"/>
          <w:szCs w:val="22"/>
        </w:rPr>
        <w:t xml:space="preserve">Women and girls with disabilities </w:t>
      </w:r>
      <w:r w:rsidR="001F762E">
        <w:rPr>
          <w:sz w:val="22"/>
          <w:szCs w:val="22"/>
        </w:rPr>
        <w:t>further</w:t>
      </w:r>
      <w:r>
        <w:rPr>
          <w:sz w:val="22"/>
          <w:szCs w:val="22"/>
        </w:rPr>
        <w:t xml:space="preserve"> </w:t>
      </w:r>
      <w:r w:rsidR="002E7C31">
        <w:rPr>
          <w:sz w:val="22"/>
          <w:szCs w:val="22"/>
        </w:rPr>
        <w:t>encounter communication</w:t>
      </w:r>
      <w:r w:rsidR="00B8477E">
        <w:rPr>
          <w:sz w:val="22"/>
          <w:szCs w:val="22"/>
        </w:rPr>
        <w:t xml:space="preserve"> barriers when </w:t>
      </w:r>
      <w:r w:rsidR="00B72776">
        <w:rPr>
          <w:sz w:val="22"/>
          <w:szCs w:val="22"/>
        </w:rPr>
        <w:t>see</w:t>
      </w:r>
      <w:r>
        <w:rPr>
          <w:sz w:val="22"/>
          <w:szCs w:val="22"/>
        </w:rPr>
        <w:t>king SRH</w:t>
      </w:r>
      <w:r w:rsidR="00154F38">
        <w:rPr>
          <w:sz w:val="22"/>
          <w:szCs w:val="22"/>
        </w:rPr>
        <w:t xml:space="preserve">, and there </w:t>
      </w:r>
      <w:r w:rsidR="0042144B">
        <w:rPr>
          <w:sz w:val="22"/>
          <w:szCs w:val="22"/>
        </w:rPr>
        <w:t>is</w:t>
      </w:r>
      <w:r w:rsidR="00154F38">
        <w:rPr>
          <w:sz w:val="22"/>
          <w:szCs w:val="22"/>
        </w:rPr>
        <w:t xml:space="preserve"> no </w:t>
      </w:r>
      <w:r w:rsidR="0042144B">
        <w:rPr>
          <w:sz w:val="22"/>
          <w:szCs w:val="22"/>
        </w:rPr>
        <w:t xml:space="preserve">institutional </w:t>
      </w:r>
      <w:r w:rsidR="00154F38">
        <w:rPr>
          <w:sz w:val="22"/>
          <w:szCs w:val="22"/>
        </w:rPr>
        <w:t xml:space="preserve">support </w:t>
      </w:r>
      <w:r w:rsidR="0042144B">
        <w:rPr>
          <w:sz w:val="22"/>
          <w:szCs w:val="22"/>
        </w:rPr>
        <w:t>to overcome these barriers.</w:t>
      </w:r>
    </w:p>
    <w:p w14:paraId="201FD013" w14:textId="6EC73486" w:rsidR="005E346C" w:rsidRPr="00A82E3A" w:rsidRDefault="006E1F8D" w:rsidP="00A52DD8">
      <w:pPr>
        <w:pStyle w:val="ListParagraph"/>
        <w:numPr>
          <w:ilvl w:val="0"/>
          <w:numId w:val="13"/>
        </w:numPr>
        <w:spacing w:line="240" w:lineRule="auto"/>
        <w:contextualSpacing w:val="0"/>
        <w:rPr>
          <w:rFonts w:ascii="Times New Roman" w:hAnsi="Times New Roman" w:cs="Times New Roman"/>
        </w:rPr>
      </w:pPr>
      <w:r w:rsidRPr="00314FBD">
        <w:rPr>
          <w:rFonts w:ascii="Times New Roman" w:hAnsi="Times New Roman" w:cs="Times New Roman"/>
        </w:rPr>
        <w:t>A healthcare professional s</w:t>
      </w:r>
      <w:r w:rsidR="00314FBD" w:rsidRPr="00314FBD">
        <w:rPr>
          <w:rFonts w:ascii="Times New Roman" w:hAnsi="Times New Roman" w:cs="Times New Roman"/>
        </w:rPr>
        <w:t>hared that</w:t>
      </w:r>
      <w:r w:rsidRPr="00314FBD">
        <w:rPr>
          <w:rFonts w:ascii="Times New Roman" w:hAnsi="Times New Roman" w:cs="Times New Roman"/>
        </w:rPr>
        <w:t xml:space="preserve"> “</w:t>
      </w:r>
      <w:r w:rsidR="00314FBD" w:rsidRPr="00314FBD">
        <w:rPr>
          <w:rFonts w:ascii="Times New Roman" w:hAnsi="Times New Roman" w:cs="Times New Roman"/>
        </w:rPr>
        <w:t xml:space="preserve">I have difficulty explaining what I will be doing, like when I need to inject her </w:t>
      </w:r>
      <w:r w:rsidR="00314FBD">
        <w:rPr>
          <w:rFonts w:ascii="Times New Roman" w:hAnsi="Times New Roman" w:cs="Times New Roman"/>
        </w:rPr>
        <w:t xml:space="preserve">[the patient] </w:t>
      </w:r>
      <w:r w:rsidR="00314FBD" w:rsidRPr="00314FBD">
        <w:rPr>
          <w:rFonts w:ascii="Times New Roman" w:hAnsi="Times New Roman" w:cs="Times New Roman"/>
        </w:rPr>
        <w:t xml:space="preserve">for some medicine; that is our problem. We don’t know sign </w:t>
      </w:r>
      <w:r w:rsidR="00314FBD" w:rsidRPr="00314FBD">
        <w:rPr>
          <w:rFonts w:ascii="Times New Roman" w:hAnsi="Times New Roman" w:cs="Times New Roman"/>
        </w:rPr>
        <w:lastRenderedPageBreak/>
        <w:t xml:space="preserve">language; and it so happens that the mother doesn’t know sign language either; the only thing I know is that she’s pregnant, and she probably is aware that she needs to have a check-up; but we can’t understand each other. Because we have to get data, when her last menstruation was, neither the mother nor the </w:t>
      </w:r>
      <w:r w:rsidR="00314FBD" w:rsidRPr="00A82E3A">
        <w:rPr>
          <w:rFonts w:ascii="Times New Roman" w:hAnsi="Times New Roman" w:cs="Times New Roman"/>
        </w:rPr>
        <w:t>daughter can provide the data; so what I did, I motioned through physical assessment to determine how many months is the baby in her womb; it’s really difficult</w:t>
      </w:r>
      <w:r w:rsidR="00240A53">
        <w:rPr>
          <w:rFonts w:ascii="Times New Roman" w:hAnsi="Times New Roman" w:cs="Times New Roman"/>
        </w:rPr>
        <w:t>.</w:t>
      </w:r>
      <w:r w:rsidR="00314FBD" w:rsidRPr="00A82E3A">
        <w:rPr>
          <w:rFonts w:ascii="Times New Roman" w:hAnsi="Times New Roman" w:cs="Times New Roman"/>
        </w:rPr>
        <w:t>”</w:t>
      </w:r>
      <w:r w:rsidR="002379E1" w:rsidRPr="00A82E3A">
        <w:rPr>
          <w:rStyle w:val="EndnoteReference"/>
          <w:rFonts w:ascii="Times New Roman" w:hAnsi="Times New Roman" w:cs="Times New Roman"/>
        </w:rPr>
        <w:endnoteReference w:id="23"/>
      </w:r>
    </w:p>
    <w:p w14:paraId="57DAE0CD" w14:textId="6F344572" w:rsidR="009F69C1" w:rsidRDefault="009F69C1" w:rsidP="00A52DD8">
      <w:pPr>
        <w:pStyle w:val="ListParagraph"/>
        <w:numPr>
          <w:ilvl w:val="0"/>
          <w:numId w:val="13"/>
        </w:numPr>
        <w:spacing w:line="240" w:lineRule="auto"/>
        <w:contextualSpacing w:val="0"/>
        <w:rPr>
          <w:rFonts w:ascii="Times New Roman" w:hAnsi="Times New Roman" w:cs="Times New Roman"/>
        </w:rPr>
      </w:pPr>
      <w:r w:rsidRPr="00A82E3A">
        <w:rPr>
          <w:rFonts w:ascii="Times New Roman" w:hAnsi="Times New Roman" w:cs="Times New Roman"/>
        </w:rPr>
        <w:t xml:space="preserve">Likewise, a nurse </w:t>
      </w:r>
      <w:r w:rsidR="00886235">
        <w:rPr>
          <w:rFonts w:ascii="Times New Roman" w:hAnsi="Times New Roman" w:cs="Times New Roman"/>
        </w:rPr>
        <w:t>shared</w:t>
      </w:r>
      <w:r w:rsidR="00240A53">
        <w:rPr>
          <w:rFonts w:ascii="Times New Roman" w:hAnsi="Times New Roman" w:cs="Times New Roman"/>
        </w:rPr>
        <w:t xml:space="preserve"> that she sometimes</w:t>
      </w:r>
      <w:r w:rsidR="00647C61">
        <w:rPr>
          <w:rFonts w:ascii="Times New Roman" w:hAnsi="Times New Roman" w:cs="Times New Roman"/>
        </w:rPr>
        <w:t xml:space="preserve"> </w:t>
      </w:r>
      <w:r w:rsidR="00240A53">
        <w:rPr>
          <w:rFonts w:ascii="Times New Roman" w:hAnsi="Times New Roman" w:cs="Times New Roman"/>
        </w:rPr>
        <w:t xml:space="preserve">spoke about the patient’s health with the patient’s companion, rather than the patient herself, infringing on the patients bodily </w:t>
      </w:r>
      <w:r w:rsidR="002E7C31">
        <w:rPr>
          <w:rFonts w:ascii="Times New Roman" w:hAnsi="Times New Roman" w:cs="Times New Roman"/>
        </w:rPr>
        <w:t xml:space="preserve">autonomy, </w:t>
      </w:r>
      <w:r w:rsidR="002E7C31" w:rsidRPr="00A82E3A">
        <w:rPr>
          <w:rFonts w:ascii="Times New Roman" w:hAnsi="Times New Roman" w:cs="Times New Roman"/>
        </w:rPr>
        <w:t>“</w:t>
      </w:r>
      <w:r w:rsidR="00A82E3A" w:rsidRPr="00A82E3A">
        <w:rPr>
          <w:rFonts w:ascii="Times New Roman" w:hAnsi="Times New Roman" w:cs="Times New Roman"/>
        </w:rPr>
        <w:t>If it’s a physical challenge, that’s no problem</w:t>
      </w:r>
      <w:r w:rsidR="00A82E3A">
        <w:rPr>
          <w:rFonts w:ascii="Times New Roman" w:hAnsi="Times New Roman" w:cs="Times New Roman"/>
        </w:rPr>
        <w:t>.</w:t>
      </w:r>
      <w:r w:rsidR="00A82E3A" w:rsidRPr="00A82E3A">
        <w:rPr>
          <w:rFonts w:ascii="Times New Roman" w:hAnsi="Times New Roman" w:cs="Times New Roman"/>
        </w:rPr>
        <w:t xml:space="preserve"> </w:t>
      </w:r>
      <w:r w:rsidR="00A82E3A">
        <w:rPr>
          <w:rFonts w:ascii="Times New Roman" w:hAnsi="Times New Roman" w:cs="Times New Roman"/>
        </w:rPr>
        <w:t>B</w:t>
      </w:r>
      <w:r w:rsidR="00A82E3A" w:rsidRPr="00A82E3A">
        <w:rPr>
          <w:rFonts w:ascii="Times New Roman" w:hAnsi="Times New Roman" w:cs="Times New Roman"/>
        </w:rPr>
        <w:t>ut if</w:t>
      </w:r>
      <w:r w:rsidR="00A82E3A">
        <w:rPr>
          <w:rFonts w:ascii="Times New Roman" w:hAnsi="Times New Roman" w:cs="Times New Roman"/>
        </w:rPr>
        <w:t xml:space="preserve"> it is</w:t>
      </w:r>
      <w:r w:rsidR="00A82E3A" w:rsidRPr="00A82E3A">
        <w:rPr>
          <w:rFonts w:ascii="Times New Roman" w:hAnsi="Times New Roman" w:cs="Times New Roman"/>
        </w:rPr>
        <w:t>, let’s say, a mental challenge – you need to explain, be ready to understand, you need to explain to the parents. Another thing, it is difficult to communicate with the deaf</w:t>
      </w:r>
      <w:r w:rsidR="00886235">
        <w:rPr>
          <w:rFonts w:ascii="Times New Roman" w:hAnsi="Times New Roman" w:cs="Times New Roman"/>
        </w:rPr>
        <w:t xml:space="preserve">. </w:t>
      </w:r>
      <w:r w:rsidR="00A82E3A" w:rsidRPr="00A82E3A">
        <w:rPr>
          <w:rFonts w:ascii="Times New Roman" w:hAnsi="Times New Roman" w:cs="Times New Roman"/>
        </w:rPr>
        <w:t>When the blind come to the centre, they are usually accompanied so you can communicate directly with the companion</w:t>
      </w:r>
      <w:r w:rsidR="00634567">
        <w:rPr>
          <w:rFonts w:ascii="Times New Roman" w:hAnsi="Times New Roman" w:cs="Times New Roman"/>
        </w:rPr>
        <w:t>.</w:t>
      </w:r>
      <w:r w:rsidR="00A82E3A" w:rsidRPr="00A82E3A">
        <w:rPr>
          <w:rFonts w:ascii="Times New Roman" w:hAnsi="Times New Roman" w:cs="Times New Roman"/>
        </w:rPr>
        <w:t>”</w:t>
      </w:r>
      <w:r w:rsidR="00B701D8">
        <w:rPr>
          <w:rStyle w:val="EndnoteReference"/>
          <w:rFonts w:ascii="Times New Roman" w:hAnsi="Times New Roman" w:cs="Times New Roman"/>
        </w:rPr>
        <w:endnoteReference w:id="24"/>
      </w:r>
    </w:p>
    <w:p w14:paraId="4E43CAAE" w14:textId="77777777" w:rsidR="001479BF" w:rsidRDefault="001479BF" w:rsidP="00A52DD8">
      <w:pPr>
        <w:ind w:left="360"/>
      </w:pPr>
    </w:p>
    <w:p w14:paraId="6B921C88" w14:textId="515A99E9" w:rsidR="001479BF" w:rsidRDefault="00240A53" w:rsidP="00A52DD8">
      <w:pPr>
        <w:ind w:left="360"/>
        <w:rPr>
          <w:rFonts w:eastAsia="Arial"/>
          <w:sz w:val="22"/>
          <w:szCs w:val="22"/>
        </w:rPr>
      </w:pPr>
      <w:r>
        <w:rPr>
          <w:rFonts w:eastAsia="Arial"/>
          <w:sz w:val="22"/>
          <w:szCs w:val="22"/>
        </w:rPr>
        <w:t>Women with disabilities, particularly those with intellectual disabilities, also face an</w:t>
      </w:r>
      <w:r w:rsidR="00B60BEC">
        <w:rPr>
          <w:rFonts w:eastAsia="Arial"/>
          <w:sz w:val="22"/>
          <w:szCs w:val="22"/>
        </w:rPr>
        <w:t xml:space="preserve"> exacerbated risk of f</w:t>
      </w:r>
      <w:r w:rsidR="00B60BEC" w:rsidRPr="00B60BEC">
        <w:rPr>
          <w:rFonts w:eastAsia="Arial"/>
          <w:sz w:val="22"/>
          <w:szCs w:val="22"/>
        </w:rPr>
        <w:t>orced ste</w:t>
      </w:r>
      <w:r w:rsidR="00B60BEC">
        <w:rPr>
          <w:rFonts w:eastAsia="Arial"/>
          <w:sz w:val="22"/>
          <w:szCs w:val="22"/>
        </w:rPr>
        <w:t>rilization</w:t>
      </w:r>
      <w:r>
        <w:rPr>
          <w:rFonts w:eastAsia="Arial"/>
          <w:sz w:val="22"/>
          <w:szCs w:val="22"/>
        </w:rPr>
        <w:t xml:space="preserve">, </w:t>
      </w:r>
      <w:r w:rsidR="00C75D3F">
        <w:rPr>
          <w:rFonts w:eastAsia="Arial"/>
          <w:sz w:val="22"/>
          <w:szCs w:val="22"/>
        </w:rPr>
        <w:t xml:space="preserve">In this regard, the CRPD Committee </w:t>
      </w:r>
      <w:r w:rsidR="00800431">
        <w:rPr>
          <w:rFonts w:eastAsia="Arial"/>
          <w:sz w:val="22"/>
          <w:szCs w:val="22"/>
        </w:rPr>
        <w:t xml:space="preserve">has </w:t>
      </w:r>
      <w:r w:rsidR="00C75D3F">
        <w:rPr>
          <w:rFonts w:eastAsia="Arial"/>
          <w:sz w:val="22"/>
          <w:szCs w:val="22"/>
        </w:rPr>
        <w:t xml:space="preserve">expressed its concern about the situation and </w:t>
      </w:r>
      <w:r w:rsidR="007F5D00" w:rsidRPr="007F5D00">
        <w:rPr>
          <w:rFonts w:eastAsia="Arial"/>
          <w:sz w:val="22"/>
          <w:szCs w:val="22"/>
        </w:rPr>
        <w:t>recommend</w:t>
      </w:r>
      <w:r w:rsidR="007F5D00">
        <w:rPr>
          <w:rFonts w:eastAsia="Arial"/>
          <w:sz w:val="22"/>
          <w:szCs w:val="22"/>
        </w:rPr>
        <w:t>ed</w:t>
      </w:r>
      <w:r w:rsidR="007F5D00" w:rsidRPr="007F5D00">
        <w:rPr>
          <w:rFonts w:eastAsia="Arial"/>
          <w:sz w:val="22"/>
          <w:szCs w:val="22"/>
        </w:rPr>
        <w:t xml:space="preserve"> that the </w:t>
      </w:r>
      <w:r w:rsidR="007F5D00">
        <w:rPr>
          <w:rFonts w:eastAsia="Arial"/>
          <w:sz w:val="22"/>
          <w:szCs w:val="22"/>
        </w:rPr>
        <w:t>Philippines</w:t>
      </w:r>
      <w:r w:rsidR="007F5D00" w:rsidRPr="007F5D00">
        <w:rPr>
          <w:rFonts w:eastAsia="Arial"/>
          <w:sz w:val="22"/>
          <w:szCs w:val="22"/>
        </w:rPr>
        <w:t xml:space="preserve"> take measures to protect women with intellectual disabilities from involuntary sterilization</w:t>
      </w:r>
      <w:r w:rsidR="007F5D00">
        <w:rPr>
          <w:rFonts w:eastAsia="Arial"/>
          <w:sz w:val="22"/>
          <w:szCs w:val="22"/>
        </w:rPr>
        <w:t>.</w:t>
      </w:r>
      <w:r w:rsidR="007F5D00">
        <w:rPr>
          <w:rStyle w:val="EndnoteReference"/>
          <w:rFonts w:eastAsia="Arial"/>
          <w:sz w:val="22"/>
          <w:szCs w:val="22"/>
        </w:rPr>
        <w:endnoteReference w:id="25"/>
      </w:r>
      <w:r w:rsidR="007F5D00">
        <w:rPr>
          <w:rFonts w:eastAsia="Arial"/>
          <w:sz w:val="22"/>
          <w:szCs w:val="22"/>
        </w:rPr>
        <w:t xml:space="preserve"> </w:t>
      </w:r>
    </w:p>
    <w:p w14:paraId="150F719E" w14:textId="77777777" w:rsidR="00747A3A" w:rsidRDefault="00747A3A" w:rsidP="00A52DD8">
      <w:pPr>
        <w:ind w:left="360"/>
        <w:rPr>
          <w:rFonts w:eastAsia="Arial"/>
          <w:sz w:val="22"/>
          <w:szCs w:val="22"/>
        </w:rPr>
      </w:pPr>
    </w:p>
    <w:p w14:paraId="26C86545" w14:textId="6C0012F9" w:rsidR="00410325" w:rsidRPr="00B60BEC" w:rsidRDefault="00747A3A" w:rsidP="00A52DD8">
      <w:pPr>
        <w:ind w:left="360"/>
        <w:rPr>
          <w:rFonts w:eastAsia="Arial"/>
          <w:sz w:val="22"/>
          <w:szCs w:val="22"/>
        </w:rPr>
      </w:pPr>
      <w:r>
        <w:rPr>
          <w:rFonts w:eastAsia="Arial"/>
          <w:sz w:val="22"/>
          <w:szCs w:val="22"/>
        </w:rPr>
        <w:t xml:space="preserve">In line with all of the above, the legislation in force in the country does not respond to the needs of women with disabilities. </w:t>
      </w:r>
      <w:r w:rsidR="00E23858">
        <w:rPr>
          <w:rFonts w:eastAsia="Arial"/>
          <w:sz w:val="22"/>
          <w:szCs w:val="22"/>
        </w:rPr>
        <w:t xml:space="preserve">For instance, although </w:t>
      </w:r>
      <w:r w:rsidR="00871745" w:rsidRPr="00871745">
        <w:rPr>
          <w:rFonts w:eastAsia="Arial"/>
          <w:sz w:val="22"/>
          <w:szCs w:val="22"/>
        </w:rPr>
        <w:t>the Responsible Parenthood and Reproductive Health Act also applies to women with disabilities, their specific needs are not addressed in the law.</w:t>
      </w:r>
      <w:r w:rsidR="00037D19" w:rsidRPr="00037D19">
        <w:t xml:space="preserve"> </w:t>
      </w:r>
      <w:r w:rsidR="00037D19">
        <w:rPr>
          <w:rFonts w:eastAsia="Arial"/>
          <w:sz w:val="22"/>
          <w:szCs w:val="22"/>
        </w:rPr>
        <w:t xml:space="preserve">Disability is only mentioned once, when referring to </w:t>
      </w:r>
      <w:r w:rsidR="00037D19" w:rsidRPr="00037D19">
        <w:rPr>
          <w:rFonts w:eastAsia="Arial"/>
          <w:sz w:val="22"/>
          <w:szCs w:val="22"/>
        </w:rPr>
        <w:t>the definition of public health care service providers.</w:t>
      </w:r>
      <w:r w:rsidR="00E10C51">
        <w:rPr>
          <w:rStyle w:val="EndnoteReference"/>
          <w:rFonts w:eastAsia="Arial"/>
          <w:sz w:val="22"/>
          <w:szCs w:val="22"/>
        </w:rPr>
        <w:endnoteReference w:id="26"/>
      </w:r>
      <w:r w:rsidR="00037D19" w:rsidRPr="00037D19">
        <w:rPr>
          <w:rFonts w:eastAsia="Arial"/>
          <w:sz w:val="22"/>
          <w:szCs w:val="22"/>
        </w:rPr>
        <w:t xml:space="preserve"> </w:t>
      </w:r>
      <w:r w:rsidR="00D97ACD">
        <w:rPr>
          <w:rFonts w:eastAsia="Arial"/>
          <w:sz w:val="22"/>
          <w:szCs w:val="22"/>
        </w:rPr>
        <w:t>And even though the law establishes</w:t>
      </w:r>
      <w:r w:rsidR="00037D19" w:rsidRPr="00037D19">
        <w:rPr>
          <w:rFonts w:eastAsia="Arial"/>
          <w:sz w:val="22"/>
          <w:szCs w:val="22"/>
        </w:rPr>
        <w:t xml:space="preserve"> </w:t>
      </w:r>
      <w:r w:rsidR="00743D51">
        <w:rPr>
          <w:rFonts w:eastAsia="Arial"/>
          <w:sz w:val="22"/>
          <w:szCs w:val="22"/>
        </w:rPr>
        <w:t xml:space="preserve">that </w:t>
      </w:r>
      <w:r w:rsidR="00037D19" w:rsidRPr="00037D19">
        <w:rPr>
          <w:rFonts w:eastAsia="Arial"/>
          <w:sz w:val="22"/>
          <w:szCs w:val="22"/>
        </w:rPr>
        <w:t>reproductive health care services and supplies</w:t>
      </w:r>
      <w:r w:rsidR="005545C5">
        <w:rPr>
          <w:rFonts w:eastAsia="Arial"/>
          <w:sz w:val="22"/>
          <w:szCs w:val="22"/>
        </w:rPr>
        <w:t xml:space="preserve"> must be accessible, </w:t>
      </w:r>
      <w:r w:rsidR="00FC6608">
        <w:rPr>
          <w:rFonts w:eastAsia="Arial"/>
          <w:sz w:val="22"/>
          <w:szCs w:val="22"/>
        </w:rPr>
        <w:t xml:space="preserve">there are no </w:t>
      </w:r>
      <w:r w:rsidR="00037D19" w:rsidRPr="00037D19">
        <w:rPr>
          <w:rFonts w:eastAsia="Arial"/>
          <w:sz w:val="22"/>
          <w:szCs w:val="22"/>
        </w:rPr>
        <w:t>plans and measures</w:t>
      </w:r>
      <w:r w:rsidR="00743D51">
        <w:rPr>
          <w:rFonts w:eastAsia="Arial"/>
          <w:sz w:val="22"/>
          <w:szCs w:val="22"/>
        </w:rPr>
        <w:t xml:space="preserve"> in place on how to ensure accessibility</w:t>
      </w:r>
      <w:r w:rsidR="00037D19" w:rsidRPr="00037D19">
        <w:rPr>
          <w:rFonts w:eastAsia="Arial"/>
          <w:sz w:val="22"/>
          <w:szCs w:val="22"/>
        </w:rPr>
        <w:t>. Comprehensive accessibility, support services</w:t>
      </w:r>
      <w:r w:rsidR="00743D51">
        <w:rPr>
          <w:rFonts w:eastAsia="Arial"/>
          <w:sz w:val="22"/>
          <w:szCs w:val="22"/>
        </w:rPr>
        <w:t>,</w:t>
      </w:r>
      <w:r w:rsidR="00037D19" w:rsidRPr="00037D19">
        <w:rPr>
          <w:rFonts w:eastAsia="Arial"/>
          <w:sz w:val="22"/>
          <w:szCs w:val="22"/>
        </w:rPr>
        <w:t xml:space="preserve"> and provision of reasonable accommodation are absent in the law.</w:t>
      </w:r>
      <w:r w:rsidR="00E10C51">
        <w:rPr>
          <w:rStyle w:val="EndnoteReference"/>
          <w:rFonts w:eastAsia="Arial"/>
          <w:sz w:val="22"/>
          <w:szCs w:val="22"/>
        </w:rPr>
        <w:endnoteReference w:id="27"/>
      </w:r>
    </w:p>
    <w:p w14:paraId="605A3FA5" w14:textId="77777777" w:rsidR="0006082B" w:rsidRPr="005E72F1" w:rsidRDefault="0006082B" w:rsidP="00410325">
      <w:pPr>
        <w:ind w:left="360"/>
        <w:rPr>
          <w:sz w:val="22"/>
          <w:szCs w:val="22"/>
        </w:rPr>
      </w:pPr>
    </w:p>
    <w:p w14:paraId="605A3FA6" w14:textId="3119F7E2" w:rsidR="0006082B" w:rsidRPr="005E72F1" w:rsidRDefault="008A0B28" w:rsidP="00A52DD8">
      <w:pPr>
        <w:numPr>
          <w:ilvl w:val="0"/>
          <w:numId w:val="1"/>
        </w:numPr>
        <w:rPr>
          <w:b/>
          <w:sz w:val="22"/>
          <w:szCs w:val="22"/>
        </w:rPr>
      </w:pPr>
      <w:r w:rsidRPr="005E72F1">
        <w:rPr>
          <w:b/>
          <w:sz w:val="22"/>
          <w:szCs w:val="22"/>
        </w:rPr>
        <w:t>Gender</w:t>
      </w:r>
      <w:r w:rsidR="00CF599D" w:rsidRPr="005E72F1">
        <w:rPr>
          <w:b/>
          <w:sz w:val="22"/>
          <w:szCs w:val="22"/>
        </w:rPr>
        <w:t>-</w:t>
      </w:r>
      <w:r w:rsidRPr="005E72F1">
        <w:rPr>
          <w:b/>
          <w:sz w:val="22"/>
          <w:szCs w:val="22"/>
        </w:rPr>
        <w:t>based Violence against Women and Girls with Disabilities</w:t>
      </w:r>
      <w:r w:rsidR="00BA77C5">
        <w:rPr>
          <w:b/>
          <w:sz w:val="22"/>
          <w:szCs w:val="22"/>
        </w:rPr>
        <w:t xml:space="preserve"> (art. 1; General Recommendations No. 19 &amp; 35)</w:t>
      </w:r>
    </w:p>
    <w:p w14:paraId="605A3FA7" w14:textId="77777777" w:rsidR="0006082B" w:rsidRPr="005E72F1" w:rsidRDefault="0006082B" w:rsidP="00A52DD8">
      <w:pPr>
        <w:rPr>
          <w:sz w:val="22"/>
          <w:szCs w:val="22"/>
        </w:rPr>
      </w:pPr>
    </w:p>
    <w:p w14:paraId="0D2D6FB3" w14:textId="05E63696" w:rsidR="008921F5" w:rsidRPr="00AA30C2" w:rsidRDefault="00AA30C2" w:rsidP="00A52DD8">
      <w:pPr>
        <w:rPr>
          <w:sz w:val="22"/>
          <w:szCs w:val="22"/>
        </w:rPr>
      </w:pPr>
      <w:r w:rsidRPr="00AA30C2">
        <w:rPr>
          <w:sz w:val="22"/>
          <w:szCs w:val="22"/>
        </w:rPr>
        <w:t xml:space="preserve">Women with disabilities experience both the same forms of gender-based violence, as well as unique forms as a result of </w:t>
      </w:r>
      <w:r w:rsidR="00F81654">
        <w:rPr>
          <w:sz w:val="22"/>
          <w:szCs w:val="22"/>
        </w:rPr>
        <w:t>stigma around and discrimination</w:t>
      </w:r>
      <w:r w:rsidR="00C119D9">
        <w:rPr>
          <w:sz w:val="22"/>
          <w:szCs w:val="22"/>
        </w:rPr>
        <w:t xml:space="preserve"> at the intersection of gender and</w:t>
      </w:r>
      <w:r w:rsidR="00F81654">
        <w:rPr>
          <w:sz w:val="22"/>
          <w:szCs w:val="22"/>
        </w:rPr>
        <w:t xml:space="preserve"> </w:t>
      </w:r>
      <w:r w:rsidRPr="00AA30C2">
        <w:rPr>
          <w:sz w:val="22"/>
          <w:szCs w:val="22"/>
        </w:rPr>
        <w:t>disability; they also experience distinct barriers to escaping such violence and seeking justice</w:t>
      </w:r>
      <w:r w:rsidR="00C119D9">
        <w:rPr>
          <w:sz w:val="22"/>
          <w:szCs w:val="22"/>
        </w:rPr>
        <w:t xml:space="preserve"> and support services</w:t>
      </w:r>
      <w:r w:rsidRPr="00AA30C2">
        <w:rPr>
          <w:sz w:val="22"/>
          <w:szCs w:val="22"/>
        </w:rPr>
        <w:t>.</w:t>
      </w:r>
      <w:r w:rsidR="00D877D8">
        <w:rPr>
          <w:rStyle w:val="EndnoteReference"/>
          <w:sz w:val="22"/>
          <w:szCs w:val="22"/>
        </w:rPr>
        <w:endnoteReference w:id="28"/>
      </w:r>
      <w:r w:rsidRPr="00AA30C2">
        <w:rPr>
          <w:sz w:val="22"/>
          <w:szCs w:val="22"/>
        </w:rPr>
        <w:t xml:space="preserve"> However, existing laws, policies, and programs on gender-based violence </w:t>
      </w:r>
      <w:r w:rsidR="00DE3969">
        <w:rPr>
          <w:sz w:val="22"/>
          <w:szCs w:val="22"/>
        </w:rPr>
        <w:t xml:space="preserve">in most countries, including the Philippines, </w:t>
      </w:r>
      <w:r w:rsidRPr="00AA30C2">
        <w:rPr>
          <w:sz w:val="22"/>
          <w:szCs w:val="22"/>
        </w:rPr>
        <w:t>seldom address the specific concerns of women and girls with disabilities,</w:t>
      </w:r>
      <w:r w:rsidR="00D877D8">
        <w:rPr>
          <w:rStyle w:val="EndnoteReference"/>
          <w:sz w:val="22"/>
          <w:szCs w:val="22"/>
        </w:rPr>
        <w:endnoteReference w:id="29"/>
      </w:r>
      <w:r w:rsidRPr="00AA30C2">
        <w:rPr>
          <w:sz w:val="22"/>
          <w:szCs w:val="22"/>
        </w:rPr>
        <w:t xml:space="preserve"> and it is difficult to find accurate and comprehensive data disaggregated by both gender and disability.</w:t>
      </w:r>
      <w:r w:rsidR="00DA187F">
        <w:rPr>
          <w:sz w:val="22"/>
          <w:szCs w:val="22"/>
        </w:rPr>
        <w:t xml:space="preserve"> The current law on </w:t>
      </w:r>
      <w:r w:rsidR="005A433D">
        <w:rPr>
          <w:sz w:val="22"/>
          <w:szCs w:val="22"/>
        </w:rPr>
        <w:t>safe spaces addresses gender-based vio</w:t>
      </w:r>
      <w:r w:rsidR="00392767">
        <w:rPr>
          <w:sz w:val="22"/>
          <w:szCs w:val="22"/>
        </w:rPr>
        <w:t>lence in public spaces and online</w:t>
      </w:r>
      <w:r w:rsidR="00410325">
        <w:rPr>
          <w:sz w:val="22"/>
          <w:szCs w:val="22"/>
        </w:rPr>
        <w:t xml:space="preserve"> and</w:t>
      </w:r>
      <w:r w:rsidR="00392767">
        <w:rPr>
          <w:sz w:val="22"/>
          <w:szCs w:val="22"/>
        </w:rPr>
        <w:t xml:space="preserve"> </w:t>
      </w:r>
      <w:r w:rsidR="00087F03">
        <w:rPr>
          <w:sz w:val="22"/>
          <w:szCs w:val="22"/>
        </w:rPr>
        <w:t xml:space="preserve">increases the penalty for GBV against persons with disabilities but </w:t>
      </w:r>
      <w:r w:rsidR="00C05B86">
        <w:rPr>
          <w:sz w:val="22"/>
          <w:szCs w:val="22"/>
        </w:rPr>
        <w:t xml:space="preserve">does not establish provisions for </w:t>
      </w:r>
      <w:r w:rsidR="00F813A1">
        <w:rPr>
          <w:sz w:val="22"/>
          <w:szCs w:val="22"/>
        </w:rPr>
        <w:t xml:space="preserve">accessible and inclusive </w:t>
      </w:r>
      <w:r w:rsidR="00430717">
        <w:rPr>
          <w:sz w:val="22"/>
          <w:szCs w:val="22"/>
        </w:rPr>
        <w:t xml:space="preserve">information on GBV identification and prevention, </w:t>
      </w:r>
      <w:r w:rsidR="00F813A1">
        <w:rPr>
          <w:sz w:val="22"/>
          <w:szCs w:val="22"/>
        </w:rPr>
        <w:t>reporting</w:t>
      </w:r>
      <w:r w:rsidR="00430717">
        <w:rPr>
          <w:sz w:val="22"/>
          <w:szCs w:val="22"/>
        </w:rPr>
        <w:t>,</w:t>
      </w:r>
      <w:r w:rsidR="00F813A1">
        <w:rPr>
          <w:sz w:val="22"/>
          <w:szCs w:val="22"/>
        </w:rPr>
        <w:t xml:space="preserve"> and referral mechanisms </w:t>
      </w:r>
      <w:r w:rsidR="00EE2B23">
        <w:rPr>
          <w:sz w:val="22"/>
          <w:szCs w:val="22"/>
        </w:rPr>
        <w:t>for victims/survivors with disabilities.</w:t>
      </w:r>
      <w:r w:rsidR="00D7722A">
        <w:rPr>
          <w:rStyle w:val="EndnoteReference"/>
          <w:sz w:val="22"/>
          <w:szCs w:val="22"/>
        </w:rPr>
        <w:endnoteReference w:id="30"/>
      </w:r>
      <w:r w:rsidR="00EE2B23">
        <w:rPr>
          <w:sz w:val="22"/>
          <w:szCs w:val="22"/>
        </w:rPr>
        <w:t xml:space="preserve"> </w:t>
      </w:r>
    </w:p>
    <w:p w14:paraId="1D90D7C1" w14:textId="77777777" w:rsidR="00AA30C2" w:rsidRDefault="00AA30C2" w:rsidP="00A52DD8">
      <w:pPr>
        <w:rPr>
          <w:sz w:val="22"/>
          <w:szCs w:val="22"/>
        </w:rPr>
      </w:pPr>
    </w:p>
    <w:p w14:paraId="28980B5D" w14:textId="7D881BE8" w:rsidR="00F73B08" w:rsidRDefault="00884F02" w:rsidP="00A52DD8">
      <w:pPr>
        <w:rPr>
          <w:sz w:val="22"/>
          <w:szCs w:val="22"/>
        </w:rPr>
      </w:pPr>
      <w:r>
        <w:rPr>
          <w:sz w:val="22"/>
          <w:szCs w:val="22"/>
        </w:rPr>
        <w:t>Al</w:t>
      </w:r>
      <w:r w:rsidR="00BA1B8D" w:rsidRPr="00BA1B8D">
        <w:rPr>
          <w:sz w:val="22"/>
          <w:szCs w:val="22"/>
        </w:rPr>
        <w:t xml:space="preserve">though </w:t>
      </w:r>
      <w:r w:rsidR="00BA1B8D">
        <w:rPr>
          <w:sz w:val="22"/>
          <w:szCs w:val="22"/>
        </w:rPr>
        <w:t xml:space="preserve">data on gender-based violence </w:t>
      </w:r>
      <w:r w:rsidR="00DD1B5B">
        <w:rPr>
          <w:sz w:val="22"/>
          <w:szCs w:val="22"/>
        </w:rPr>
        <w:t xml:space="preserve">is not </w:t>
      </w:r>
      <w:r w:rsidR="00113839">
        <w:rPr>
          <w:sz w:val="22"/>
          <w:szCs w:val="22"/>
        </w:rPr>
        <w:t xml:space="preserve">disaggregated by disability </w:t>
      </w:r>
      <w:r w:rsidR="00BA1B8D">
        <w:rPr>
          <w:sz w:val="22"/>
          <w:szCs w:val="22"/>
        </w:rPr>
        <w:t>in the Philippines,</w:t>
      </w:r>
      <w:r w:rsidR="009E5201">
        <w:rPr>
          <w:rStyle w:val="EndnoteReference"/>
          <w:sz w:val="22"/>
          <w:szCs w:val="22"/>
        </w:rPr>
        <w:endnoteReference w:id="31"/>
      </w:r>
      <w:r w:rsidR="00BA1B8D">
        <w:rPr>
          <w:sz w:val="22"/>
          <w:szCs w:val="22"/>
        </w:rPr>
        <w:t xml:space="preserve"> </w:t>
      </w:r>
      <w:r w:rsidR="00A37D01">
        <w:rPr>
          <w:sz w:val="22"/>
          <w:szCs w:val="22"/>
        </w:rPr>
        <w:t xml:space="preserve">at least </w:t>
      </w:r>
      <w:r w:rsidR="00A37D01" w:rsidRPr="00A37D01">
        <w:rPr>
          <w:sz w:val="22"/>
          <w:szCs w:val="22"/>
        </w:rPr>
        <w:t xml:space="preserve">one in five women in the Philippines </w:t>
      </w:r>
      <w:r w:rsidR="00DC5FA9">
        <w:rPr>
          <w:sz w:val="22"/>
          <w:szCs w:val="22"/>
        </w:rPr>
        <w:t xml:space="preserve">from age </w:t>
      </w:r>
      <w:r w:rsidR="00A37D01" w:rsidRPr="00A37D01">
        <w:rPr>
          <w:sz w:val="22"/>
          <w:szCs w:val="22"/>
        </w:rPr>
        <w:t xml:space="preserve">15 </w:t>
      </w:r>
      <w:r w:rsidR="00DC5FA9">
        <w:rPr>
          <w:sz w:val="22"/>
          <w:szCs w:val="22"/>
        </w:rPr>
        <w:t>to</w:t>
      </w:r>
      <w:r w:rsidR="00A37D01" w:rsidRPr="00A37D01">
        <w:rPr>
          <w:sz w:val="22"/>
          <w:szCs w:val="22"/>
        </w:rPr>
        <w:t xml:space="preserve"> 49 experience physical violence</w:t>
      </w:r>
      <w:r w:rsidR="00C72F25">
        <w:rPr>
          <w:sz w:val="22"/>
          <w:szCs w:val="22"/>
        </w:rPr>
        <w:t xml:space="preserve">, and evidence in </w:t>
      </w:r>
      <w:r w:rsidR="00AE7D11">
        <w:rPr>
          <w:sz w:val="22"/>
          <w:szCs w:val="22"/>
        </w:rPr>
        <w:t xml:space="preserve">the </w:t>
      </w:r>
      <w:r w:rsidR="00C72F25">
        <w:rPr>
          <w:sz w:val="22"/>
          <w:szCs w:val="22"/>
        </w:rPr>
        <w:t xml:space="preserve">literature suggests </w:t>
      </w:r>
      <w:r w:rsidR="00417FB1">
        <w:rPr>
          <w:sz w:val="22"/>
          <w:szCs w:val="22"/>
        </w:rPr>
        <w:t xml:space="preserve">such rates are higher for those with disabilities. </w:t>
      </w:r>
      <w:r w:rsidR="00790903">
        <w:rPr>
          <w:sz w:val="22"/>
          <w:szCs w:val="22"/>
        </w:rPr>
        <w:t xml:space="preserve">Reinforcing this </w:t>
      </w:r>
      <w:r w:rsidR="00BB59C7">
        <w:rPr>
          <w:sz w:val="22"/>
          <w:szCs w:val="22"/>
        </w:rPr>
        <w:t>hypothesis</w:t>
      </w:r>
      <w:r w:rsidR="00790903">
        <w:rPr>
          <w:sz w:val="22"/>
          <w:szCs w:val="22"/>
        </w:rPr>
        <w:t xml:space="preserve">, </w:t>
      </w:r>
      <w:r w:rsidR="00C271E5">
        <w:rPr>
          <w:sz w:val="22"/>
          <w:szCs w:val="22"/>
        </w:rPr>
        <w:t>t</w:t>
      </w:r>
      <w:r w:rsidR="00A33BB3">
        <w:rPr>
          <w:sz w:val="22"/>
          <w:szCs w:val="22"/>
        </w:rPr>
        <w:t xml:space="preserve">he </w:t>
      </w:r>
      <w:r w:rsidR="00824940">
        <w:rPr>
          <w:sz w:val="22"/>
          <w:szCs w:val="22"/>
        </w:rPr>
        <w:t xml:space="preserve">CRPD Committee </w:t>
      </w:r>
      <w:r w:rsidR="00EB35F5">
        <w:rPr>
          <w:sz w:val="22"/>
          <w:szCs w:val="22"/>
        </w:rPr>
        <w:t xml:space="preserve">called attention to the high level of GBV, including sexual violence and abuse, against women and girls with disabilities in the </w:t>
      </w:r>
      <w:r w:rsidR="00C22708">
        <w:rPr>
          <w:sz w:val="22"/>
          <w:szCs w:val="22"/>
        </w:rPr>
        <w:t>Philippines</w:t>
      </w:r>
      <w:r w:rsidR="00C119D9">
        <w:rPr>
          <w:sz w:val="22"/>
          <w:szCs w:val="22"/>
        </w:rPr>
        <w:t>,</w:t>
      </w:r>
      <w:r w:rsidR="00944B4B">
        <w:rPr>
          <w:rStyle w:val="EndnoteReference"/>
          <w:sz w:val="22"/>
          <w:szCs w:val="22"/>
        </w:rPr>
        <w:endnoteReference w:id="32"/>
      </w:r>
      <w:r w:rsidR="00C119D9">
        <w:rPr>
          <w:sz w:val="22"/>
          <w:szCs w:val="22"/>
        </w:rPr>
        <w:t xml:space="preserve"> including among </w:t>
      </w:r>
      <w:r w:rsidR="000C54BE">
        <w:rPr>
          <w:sz w:val="22"/>
          <w:szCs w:val="22"/>
        </w:rPr>
        <w:t>d</w:t>
      </w:r>
      <w:r w:rsidR="00E10E09">
        <w:rPr>
          <w:sz w:val="22"/>
          <w:szCs w:val="22"/>
        </w:rPr>
        <w:t xml:space="preserve">eaf and </w:t>
      </w:r>
      <w:r w:rsidR="000C54BE">
        <w:rPr>
          <w:sz w:val="22"/>
          <w:szCs w:val="22"/>
        </w:rPr>
        <w:t>hard-of-hearing</w:t>
      </w:r>
      <w:r w:rsidR="00E10E09">
        <w:rPr>
          <w:sz w:val="22"/>
          <w:szCs w:val="22"/>
        </w:rPr>
        <w:t xml:space="preserve"> </w:t>
      </w:r>
      <w:r w:rsidR="000C54BE">
        <w:rPr>
          <w:sz w:val="22"/>
          <w:szCs w:val="22"/>
        </w:rPr>
        <w:t>women and girls face an exacerbated risk</w:t>
      </w:r>
      <w:r w:rsidR="0077082F">
        <w:rPr>
          <w:sz w:val="22"/>
          <w:szCs w:val="22"/>
        </w:rPr>
        <w:t>.</w:t>
      </w:r>
      <w:r w:rsidR="0057190A">
        <w:rPr>
          <w:rStyle w:val="EndnoteReference"/>
          <w:sz w:val="22"/>
          <w:szCs w:val="22"/>
        </w:rPr>
        <w:endnoteReference w:id="33"/>
      </w:r>
      <w:r w:rsidR="0077082F">
        <w:rPr>
          <w:sz w:val="22"/>
          <w:szCs w:val="22"/>
        </w:rPr>
        <w:t xml:space="preserve"> T</w:t>
      </w:r>
      <w:r w:rsidR="006031EE">
        <w:rPr>
          <w:sz w:val="22"/>
          <w:szCs w:val="22"/>
        </w:rPr>
        <w:t xml:space="preserve">heir complaints </w:t>
      </w:r>
      <w:r w:rsidR="00C00F42">
        <w:rPr>
          <w:sz w:val="22"/>
          <w:szCs w:val="22"/>
        </w:rPr>
        <w:t xml:space="preserve">on </w:t>
      </w:r>
      <w:r w:rsidR="00821286">
        <w:rPr>
          <w:sz w:val="22"/>
          <w:szCs w:val="22"/>
        </w:rPr>
        <w:t xml:space="preserve">rape cases </w:t>
      </w:r>
      <w:r w:rsidR="006031EE">
        <w:rPr>
          <w:sz w:val="22"/>
          <w:szCs w:val="22"/>
        </w:rPr>
        <w:t xml:space="preserve">outnumber </w:t>
      </w:r>
      <w:r w:rsidR="00821286" w:rsidRPr="00821286">
        <w:rPr>
          <w:sz w:val="22"/>
          <w:szCs w:val="22"/>
        </w:rPr>
        <w:t>all other types of complaints of women with disabilities by a factor of 10 to 1</w:t>
      </w:r>
      <w:r w:rsidR="00821286">
        <w:rPr>
          <w:sz w:val="22"/>
          <w:szCs w:val="22"/>
        </w:rPr>
        <w:t>, according to the Committee.</w:t>
      </w:r>
      <w:r w:rsidR="00931067">
        <w:rPr>
          <w:rStyle w:val="EndnoteReference"/>
          <w:sz w:val="22"/>
          <w:szCs w:val="22"/>
        </w:rPr>
        <w:endnoteReference w:id="34"/>
      </w:r>
      <w:r w:rsidR="00821286">
        <w:rPr>
          <w:sz w:val="22"/>
          <w:szCs w:val="22"/>
        </w:rPr>
        <w:t xml:space="preserve"> </w:t>
      </w:r>
    </w:p>
    <w:p w14:paraId="41947B0A" w14:textId="77777777" w:rsidR="00F73B08" w:rsidRDefault="00F73B08" w:rsidP="00A52DD8">
      <w:pPr>
        <w:rPr>
          <w:sz w:val="22"/>
          <w:szCs w:val="22"/>
        </w:rPr>
      </w:pPr>
    </w:p>
    <w:p w14:paraId="03F7F680" w14:textId="74615141" w:rsidR="00AD783D" w:rsidRPr="00AD783D" w:rsidRDefault="00944B4B" w:rsidP="00647C61">
      <w:r>
        <w:rPr>
          <w:sz w:val="22"/>
          <w:szCs w:val="22"/>
        </w:rPr>
        <w:lastRenderedPageBreak/>
        <w:t>Likewise, w</w:t>
      </w:r>
      <w:r w:rsidR="004B0B57">
        <w:rPr>
          <w:sz w:val="22"/>
          <w:szCs w:val="22"/>
        </w:rPr>
        <w:t xml:space="preserve">omen with psychosocial disabilities </w:t>
      </w:r>
      <w:r w:rsidR="00E160BA">
        <w:rPr>
          <w:sz w:val="22"/>
          <w:szCs w:val="22"/>
        </w:rPr>
        <w:t xml:space="preserve">are </w:t>
      </w:r>
      <w:r w:rsidR="00E160BA" w:rsidRPr="00AD783D">
        <w:rPr>
          <w:sz w:val="22"/>
          <w:szCs w:val="22"/>
        </w:rPr>
        <w:t xml:space="preserve">overrepresented in </w:t>
      </w:r>
      <w:r w:rsidR="00F312D0" w:rsidRPr="00AD783D">
        <w:rPr>
          <w:sz w:val="22"/>
          <w:szCs w:val="22"/>
        </w:rPr>
        <w:t>Supreme Court cases about gender-based violence when compared to other women.</w:t>
      </w:r>
      <w:r w:rsidR="00F96E09" w:rsidRPr="00AD783D">
        <w:rPr>
          <w:rStyle w:val="EndnoteReference"/>
          <w:sz w:val="22"/>
          <w:szCs w:val="22"/>
        </w:rPr>
        <w:endnoteReference w:id="35"/>
      </w:r>
      <w:r w:rsidR="00F73B08" w:rsidRPr="00AD783D">
        <w:rPr>
          <w:sz w:val="22"/>
          <w:szCs w:val="22"/>
        </w:rPr>
        <w:t xml:space="preserve"> </w:t>
      </w:r>
      <w:r w:rsidR="00C119D9">
        <w:rPr>
          <w:sz w:val="22"/>
          <w:szCs w:val="22"/>
        </w:rPr>
        <w:t>They also may encounter stigma and discrimination related to their disability that elevates their risk of violence</w:t>
      </w:r>
      <w:r w:rsidR="00C119D9" w:rsidRPr="00C119D9">
        <w:rPr>
          <w:sz w:val="22"/>
          <w:szCs w:val="22"/>
          <w:vertAlign w:val="superscript"/>
        </w:rPr>
        <w:endnoteReference w:id="36"/>
      </w:r>
      <w:r w:rsidR="00C119D9">
        <w:rPr>
          <w:sz w:val="22"/>
          <w:szCs w:val="22"/>
        </w:rPr>
        <w:t xml:space="preserve"> and, due to their disabilities, may not be believed when reporting violence.</w:t>
      </w:r>
      <w:r w:rsidR="00C119D9" w:rsidRPr="00C119D9">
        <w:rPr>
          <w:sz w:val="22"/>
          <w:szCs w:val="22"/>
          <w:vertAlign w:val="superscript"/>
        </w:rPr>
        <w:endnoteReference w:id="37"/>
      </w:r>
      <w:r w:rsidR="00C119D9" w:rsidRPr="00C119D9">
        <w:rPr>
          <w:sz w:val="22"/>
          <w:szCs w:val="22"/>
        </w:rPr>
        <w:t xml:space="preserve"> </w:t>
      </w:r>
    </w:p>
    <w:p w14:paraId="0D042434" w14:textId="77777777" w:rsidR="009E6C42" w:rsidRDefault="009E6C42" w:rsidP="00151556">
      <w:pPr>
        <w:rPr>
          <w:sz w:val="22"/>
          <w:szCs w:val="22"/>
        </w:rPr>
      </w:pPr>
    </w:p>
    <w:p w14:paraId="7A281F4F" w14:textId="3906C1EB" w:rsidR="0057349D" w:rsidRDefault="009E6C42" w:rsidP="00151556">
      <w:pPr>
        <w:rPr>
          <w:sz w:val="22"/>
          <w:szCs w:val="22"/>
        </w:rPr>
      </w:pPr>
      <w:r>
        <w:rPr>
          <w:sz w:val="22"/>
          <w:szCs w:val="22"/>
        </w:rPr>
        <w:t xml:space="preserve">To respond to this alarming situation, the CRPD </w:t>
      </w:r>
      <w:r w:rsidR="00800431">
        <w:rPr>
          <w:sz w:val="22"/>
          <w:szCs w:val="22"/>
        </w:rPr>
        <w:t xml:space="preserve">has </w:t>
      </w:r>
      <w:r>
        <w:rPr>
          <w:sz w:val="22"/>
          <w:szCs w:val="22"/>
        </w:rPr>
        <w:t>recommended th</w:t>
      </w:r>
      <w:r w:rsidR="00824940">
        <w:rPr>
          <w:sz w:val="22"/>
          <w:szCs w:val="22"/>
        </w:rPr>
        <w:t xml:space="preserve">at the Philippines </w:t>
      </w:r>
      <w:r w:rsidR="00F1641D">
        <w:rPr>
          <w:sz w:val="22"/>
          <w:szCs w:val="22"/>
        </w:rPr>
        <w:t>“p</w:t>
      </w:r>
      <w:r w:rsidR="00F1641D" w:rsidRPr="00F1641D">
        <w:rPr>
          <w:sz w:val="22"/>
          <w:szCs w:val="22"/>
        </w:rPr>
        <w:t>rovide women and girls with disabilities with accessible information and reporting mechanisms to detect, prevent and combat all forms of violence, including sexual violence against women and girls with disabilities</w:t>
      </w:r>
      <w:r w:rsidR="00F1641D">
        <w:rPr>
          <w:sz w:val="22"/>
          <w:szCs w:val="22"/>
        </w:rPr>
        <w:t>”</w:t>
      </w:r>
      <w:r w:rsidR="007E2708" w:rsidRPr="007E2708">
        <w:rPr>
          <w:sz w:val="22"/>
          <w:szCs w:val="22"/>
        </w:rPr>
        <w:t xml:space="preserve"> </w:t>
      </w:r>
      <w:r w:rsidR="007E2708">
        <w:rPr>
          <w:rStyle w:val="EndnoteReference"/>
          <w:sz w:val="22"/>
          <w:szCs w:val="22"/>
        </w:rPr>
        <w:endnoteReference w:id="38"/>
      </w:r>
      <w:r w:rsidR="00F1641D">
        <w:rPr>
          <w:sz w:val="22"/>
          <w:szCs w:val="22"/>
        </w:rPr>
        <w:t xml:space="preserve"> and that</w:t>
      </w:r>
      <w:r w:rsidR="00A253B9">
        <w:rPr>
          <w:sz w:val="22"/>
          <w:szCs w:val="22"/>
        </w:rPr>
        <w:t xml:space="preserve"> </w:t>
      </w:r>
      <w:r w:rsidR="00523030">
        <w:rPr>
          <w:sz w:val="22"/>
          <w:szCs w:val="22"/>
        </w:rPr>
        <w:t xml:space="preserve">it </w:t>
      </w:r>
      <w:r w:rsidR="007D0F88">
        <w:rPr>
          <w:sz w:val="22"/>
          <w:szCs w:val="22"/>
        </w:rPr>
        <w:t>“</w:t>
      </w:r>
      <w:r w:rsidR="00BF4B5F">
        <w:rPr>
          <w:sz w:val="22"/>
          <w:szCs w:val="22"/>
        </w:rPr>
        <w:t>a</w:t>
      </w:r>
      <w:r w:rsidR="00F1641D" w:rsidRPr="00F1641D">
        <w:rPr>
          <w:sz w:val="22"/>
          <w:szCs w:val="22"/>
        </w:rPr>
        <w:t>dopt</w:t>
      </w:r>
      <w:r w:rsidR="007D0F88">
        <w:rPr>
          <w:sz w:val="22"/>
          <w:szCs w:val="22"/>
        </w:rPr>
        <w:t>(s)</w:t>
      </w:r>
      <w:r w:rsidR="00F1641D" w:rsidRPr="00F1641D">
        <w:rPr>
          <w:sz w:val="22"/>
          <w:szCs w:val="22"/>
        </w:rPr>
        <w:t xml:space="preserve"> measures to provide women with disabilities with redress in cases of violence, including access to rehabilitation, and compensation.</w:t>
      </w:r>
      <w:r w:rsidR="007D0F88">
        <w:rPr>
          <w:sz w:val="22"/>
          <w:szCs w:val="22"/>
        </w:rPr>
        <w:t>”</w:t>
      </w:r>
      <w:r w:rsidR="007D0F88">
        <w:rPr>
          <w:rStyle w:val="EndnoteReference"/>
          <w:sz w:val="22"/>
          <w:szCs w:val="22"/>
        </w:rPr>
        <w:endnoteReference w:id="39"/>
      </w:r>
    </w:p>
    <w:p w14:paraId="015BB71F" w14:textId="77777777" w:rsidR="00EB56D7" w:rsidRDefault="00EB56D7" w:rsidP="00A52DD8">
      <w:pPr>
        <w:rPr>
          <w:sz w:val="22"/>
          <w:szCs w:val="22"/>
        </w:rPr>
      </w:pPr>
    </w:p>
    <w:p w14:paraId="54CEBDE2" w14:textId="28A5A44E" w:rsidR="00EB56D7" w:rsidRDefault="00EB56D7" w:rsidP="003C00D5">
      <w:pPr>
        <w:rPr>
          <w:sz w:val="22"/>
          <w:szCs w:val="22"/>
        </w:rPr>
      </w:pPr>
      <w:r>
        <w:rPr>
          <w:sz w:val="22"/>
          <w:szCs w:val="22"/>
        </w:rPr>
        <w:t xml:space="preserve">In some cases, </w:t>
      </w:r>
      <w:r w:rsidR="002D7DF3">
        <w:rPr>
          <w:sz w:val="22"/>
          <w:szCs w:val="22"/>
        </w:rPr>
        <w:t xml:space="preserve">the </w:t>
      </w:r>
      <w:r>
        <w:rPr>
          <w:sz w:val="22"/>
          <w:szCs w:val="22"/>
        </w:rPr>
        <w:t xml:space="preserve">stigma around disability </w:t>
      </w:r>
      <w:r w:rsidR="002D7DF3">
        <w:rPr>
          <w:sz w:val="22"/>
          <w:szCs w:val="22"/>
        </w:rPr>
        <w:t xml:space="preserve">dictates how society perceives </w:t>
      </w:r>
      <w:r w:rsidR="00247F78">
        <w:rPr>
          <w:sz w:val="22"/>
          <w:szCs w:val="22"/>
        </w:rPr>
        <w:t xml:space="preserve">women with disabilities experiencing GBV. For instance, </w:t>
      </w:r>
      <w:r w:rsidR="00B3660B">
        <w:rPr>
          <w:sz w:val="22"/>
          <w:szCs w:val="22"/>
        </w:rPr>
        <w:t xml:space="preserve">in a study, </w:t>
      </w:r>
      <w:r w:rsidR="00024C7C">
        <w:rPr>
          <w:sz w:val="22"/>
          <w:szCs w:val="22"/>
        </w:rPr>
        <w:t xml:space="preserve">a professional </w:t>
      </w:r>
      <w:r w:rsidR="000B7942">
        <w:rPr>
          <w:sz w:val="22"/>
          <w:szCs w:val="22"/>
        </w:rPr>
        <w:t xml:space="preserve">shared that </w:t>
      </w:r>
      <w:r w:rsidR="003C00D5">
        <w:rPr>
          <w:sz w:val="22"/>
          <w:szCs w:val="22"/>
        </w:rPr>
        <w:t>a</w:t>
      </w:r>
      <w:r w:rsidR="003C00D5" w:rsidRPr="003C00D5">
        <w:rPr>
          <w:sz w:val="22"/>
          <w:szCs w:val="22"/>
        </w:rPr>
        <w:t xml:space="preserve"> woman with </w:t>
      </w:r>
      <w:r w:rsidR="003C00D5">
        <w:rPr>
          <w:sz w:val="22"/>
          <w:szCs w:val="22"/>
        </w:rPr>
        <w:t xml:space="preserve">a </w:t>
      </w:r>
      <w:r w:rsidR="003C00D5" w:rsidRPr="003C00D5">
        <w:rPr>
          <w:sz w:val="22"/>
          <w:szCs w:val="22"/>
        </w:rPr>
        <w:t>disability was raped by a neighbor</w:t>
      </w:r>
      <w:r w:rsidR="0090721E">
        <w:rPr>
          <w:sz w:val="22"/>
          <w:szCs w:val="22"/>
        </w:rPr>
        <w:t>. T</w:t>
      </w:r>
      <w:r w:rsidR="003C00D5">
        <w:rPr>
          <w:sz w:val="22"/>
          <w:szCs w:val="22"/>
        </w:rPr>
        <w:t xml:space="preserve">he </w:t>
      </w:r>
      <w:r w:rsidR="00E17848">
        <w:rPr>
          <w:sz w:val="22"/>
          <w:szCs w:val="22"/>
        </w:rPr>
        <w:t>perpetrator</w:t>
      </w:r>
      <w:r w:rsidR="003C00D5">
        <w:rPr>
          <w:sz w:val="22"/>
          <w:szCs w:val="22"/>
        </w:rPr>
        <w:t xml:space="preserve"> could not be found, but t</w:t>
      </w:r>
      <w:r w:rsidR="003C00D5" w:rsidRPr="003C00D5">
        <w:rPr>
          <w:sz w:val="22"/>
          <w:szCs w:val="22"/>
        </w:rPr>
        <w:t xml:space="preserve">he hearing </w:t>
      </w:r>
      <w:r w:rsidR="003C00D5">
        <w:rPr>
          <w:sz w:val="22"/>
          <w:szCs w:val="22"/>
        </w:rPr>
        <w:t xml:space="preserve">was </w:t>
      </w:r>
      <w:r w:rsidR="00E17848">
        <w:rPr>
          <w:sz w:val="22"/>
          <w:szCs w:val="22"/>
        </w:rPr>
        <w:t>ongoing</w:t>
      </w:r>
      <w:r w:rsidR="003C00D5">
        <w:rPr>
          <w:sz w:val="22"/>
          <w:szCs w:val="22"/>
        </w:rPr>
        <w:t xml:space="preserve"> </w:t>
      </w:r>
      <w:r w:rsidR="00E17848">
        <w:rPr>
          <w:sz w:val="22"/>
          <w:szCs w:val="22"/>
        </w:rPr>
        <w:t>by the time the interview was given. And p</w:t>
      </w:r>
      <w:r w:rsidR="003C00D5" w:rsidRPr="003C00D5">
        <w:rPr>
          <w:sz w:val="22"/>
          <w:szCs w:val="22"/>
        </w:rPr>
        <w:t xml:space="preserve">eople </w:t>
      </w:r>
      <w:r w:rsidR="00E17848">
        <w:rPr>
          <w:sz w:val="22"/>
          <w:szCs w:val="22"/>
        </w:rPr>
        <w:t xml:space="preserve">suggested </w:t>
      </w:r>
      <w:r w:rsidR="003C00D5" w:rsidRPr="003C00D5">
        <w:rPr>
          <w:sz w:val="22"/>
          <w:szCs w:val="22"/>
        </w:rPr>
        <w:t xml:space="preserve">that the </w:t>
      </w:r>
      <w:r w:rsidR="00E17848">
        <w:rPr>
          <w:sz w:val="22"/>
          <w:szCs w:val="22"/>
        </w:rPr>
        <w:t>victim/survivor</w:t>
      </w:r>
      <w:r w:rsidR="003C00D5" w:rsidRPr="003C00D5">
        <w:rPr>
          <w:sz w:val="22"/>
          <w:szCs w:val="22"/>
        </w:rPr>
        <w:t xml:space="preserve"> </w:t>
      </w:r>
      <w:r w:rsidR="00E17848">
        <w:rPr>
          <w:sz w:val="22"/>
          <w:szCs w:val="22"/>
        </w:rPr>
        <w:t xml:space="preserve">was taken </w:t>
      </w:r>
      <w:r w:rsidR="003C00D5" w:rsidRPr="003C00D5">
        <w:rPr>
          <w:sz w:val="22"/>
          <w:szCs w:val="22"/>
        </w:rPr>
        <w:t xml:space="preserve">to </w:t>
      </w:r>
      <w:r w:rsidR="00E17848">
        <w:rPr>
          <w:sz w:val="22"/>
          <w:szCs w:val="22"/>
        </w:rPr>
        <w:t>a</w:t>
      </w:r>
      <w:r w:rsidR="003C00D5" w:rsidRPr="003C00D5">
        <w:rPr>
          <w:sz w:val="22"/>
          <w:szCs w:val="22"/>
        </w:rPr>
        <w:t xml:space="preserve"> mental health facility because she </w:t>
      </w:r>
      <w:r w:rsidR="00E17848">
        <w:rPr>
          <w:sz w:val="22"/>
          <w:szCs w:val="22"/>
        </w:rPr>
        <w:t xml:space="preserve">was </w:t>
      </w:r>
      <w:r w:rsidR="003C00D5" w:rsidRPr="003C00D5">
        <w:rPr>
          <w:sz w:val="22"/>
          <w:szCs w:val="22"/>
        </w:rPr>
        <w:t>unable to speak</w:t>
      </w:r>
      <w:r w:rsidR="00E17848">
        <w:rPr>
          <w:sz w:val="22"/>
          <w:szCs w:val="22"/>
        </w:rPr>
        <w:t xml:space="preserve"> orally</w:t>
      </w:r>
      <w:r w:rsidR="00F2286F">
        <w:rPr>
          <w:sz w:val="22"/>
          <w:szCs w:val="22"/>
        </w:rPr>
        <w:t>.</w:t>
      </w:r>
      <w:r w:rsidR="00DC11B9">
        <w:rPr>
          <w:rStyle w:val="EndnoteReference"/>
          <w:sz w:val="22"/>
          <w:szCs w:val="22"/>
        </w:rPr>
        <w:endnoteReference w:id="40"/>
      </w:r>
      <w:r w:rsidR="00E17848">
        <w:rPr>
          <w:sz w:val="22"/>
          <w:szCs w:val="22"/>
        </w:rPr>
        <w:t xml:space="preserve"> </w:t>
      </w:r>
    </w:p>
    <w:p w14:paraId="576CFF60" w14:textId="77777777" w:rsidR="006B2AA9" w:rsidRDefault="006B2AA9" w:rsidP="003C00D5">
      <w:pPr>
        <w:rPr>
          <w:rFonts w:eastAsia="Arial"/>
          <w:sz w:val="22"/>
          <w:szCs w:val="22"/>
        </w:rPr>
      </w:pPr>
    </w:p>
    <w:p w14:paraId="5E0872ED" w14:textId="61412E21" w:rsidR="006B2AA9" w:rsidRDefault="006B2AA9" w:rsidP="003C00D5">
      <w:pPr>
        <w:rPr>
          <w:rFonts w:eastAsia="Arial"/>
          <w:sz w:val="22"/>
          <w:szCs w:val="22"/>
        </w:rPr>
      </w:pPr>
      <w:r>
        <w:rPr>
          <w:rFonts w:eastAsia="Arial"/>
          <w:sz w:val="22"/>
          <w:szCs w:val="22"/>
        </w:rPr>
        <w:t xml:space="preserve">In other situations, </w:t>
      </w:r>
      <w:r w:rsidR="00A926F7">
        <w:rPr>
          <w:rFonts w:eastAsia="Arial"/>
          <w:sz w:val="22"/>
          <w:szCs w:val="22"/>
        </w:rPr>
        <w:t xml:space="preserve">GBV is not taken seriously by the authorities. A </w:t>
      </w:r>
      <w:r w:rsidR="001205CD">
        <w:rPr>
          <w:rFonts w:eastAsia="Arial"/>
          <w:sz w:val="22"/>
          <w:szCs w:val="22"/>
        </w:rPr>
        <w:t xml:space="preserve">young </w:t>
      </w:r>
      <w:r w:rsidR="00A926F7">
        <w:rPr>
          <w:rFonts w:eastAsia="Arial"/>
          <w:sz w:val="22"/>
          <w:szCs w:val="22"/>
        </w:rPr>
        <w:t>woman with</w:t>
      </w:r>
      <w:r w:rsidR="001205CD">
        <w:rPr>
          <w:rFonts w:eastAsia="Arial"/>
          <w:sz w:val="22"/>
          <w:szCs w:val="22"/>
        </w:rPr>
        <w:t xml:space="preserve"> low vision who </w:t>
      </w:r>
      <w:r w:rsidR="00D00ACA">
        <w:rPr>
          <w:rFonts w:eastAsia="Arial"/>
          <w:sz w:val="22"/>
          <w:szCs w:val="22"/>
        </w:rPr>
        <w:t xml:space="preserve">lives in a rural area in the Philippines and </w:t>
      </w:r>
      <w:r w:rsidR="001205CD">
        <w:rPr>
          <w:rFonts w:eastAsia="Arial"/>
          <w:sz w:val="22"/>
          <w:szCs w:val="22"/>
        </w:rPr>
        <w:t xml:space="preserve">participated in the </w:t>
      </w:r>
      <w:r w:rsidR="00F2286F">
        <w:rPr>
          <w:rFonts w:eastAsia="Arial"/>
          <w:sz w:val="22"/>
          <w:szCs w:val="22"/>
        </w:rPr>
        <w:t xml:space="preserve">2023 </w:t>
      </w:r>
      <w:r w:rsidR="001205CD">
        <w:rPr>
          <w:rFonts w:eastAsia="Arial"/>
          <w:sz w:val="22"/>
          <w:szCs w:val="22"/>
        </w:rPr>
        <w:t>focus group held to inform this shadow report shared that</w:t>
      </w:r>
      <w:r w:rsidR="00D77D37">
        <w:rPr>
          <w:rFonts w:eastAsia="Arial"/>
          <w:sz w:val="22"/>
          <w:szCs w:val="22"/>
        </w:rPr>
        <w:t xml:space="preserve"> she experienced online harassment, but received no support from the police</w:t>
      </w:r>
      <w:r w:rsidR="008B0B96">
        <w:rPr>
          <w:rFonts w:eastAsia="Arial"/>
          <w:sz w:val="22"/>
          <w:szCs w:val="22"/>
        </w:rPr>
        <w:t xml:space="preserve">, </w:t>
      </w:r>
      <w:r w:rsidR="00D00ACA">
        <w:rPr>
          <w:rFonts w:eastAsia="Arial"/>
          <w:sz w:val="22"/>
          <w:szCs w:val="22"/>
        </w:rPr>
        <w:t>which</w:t>
      </w:r>
      <w:r w:rsidR="008B0B96">
        <w:rPr>
          <w:rFonts w:eastAsia="Arial"/>
          <w:sz w:val="22"/>
          <w:szCs w:val="22"/>
        </w:rPr>
        <w:t xml:space="preserve"> led to anger and disappointment.</w:t>
      </w:r>
    </w:p>
    <w:p w14:paraId="1A7CDA30" w14:textId="14657EA9" w:rsidR="008B0B96" w:rsidRPr="00D00ACA" w:rsidRDefault="005A1299" w:rsidP="00D00ACA">
      <w:pPr>
        <w:pStyle w:val="ListParagraph"/>
        <w:numPr>
          <w:ilvl w:val="0"/>
          <w:numId w:val="13"/>
        </w:numPr>
        <w:spacing w:line="240" w:lineRule="auto"/>
        <w:ind w:left="714" w:hanging="357"/>
        <w:contextualSpacing w:val="0"/>
        <w:rPr>
          <w:rFonts w:ascii="Times New Roman" w:hAnsi="Times New Roman" w:cs="Times New Roman"/>
        </w:rPr>
      </w:pPr>
      <w:r>
        <w:rPr>
          <w:rFonts w:ascii="Times New Roman" w:hAnsi="Times New Roman" w:cs="Times New Roman"/>
        </w:rPr>
        <w:t>“</w:t>
      </w:r>
      <w:r w:rsidR="00D00ACA" w:rsidRPr="00D00ACA">
        <w:rPr>
          <w:rFonts w:ascii="Times New Roman" w:hAnsi="Times New Roman" w:cs="Times New Roman"/>
        </w:rPr>
        <w:t>Someone from Facebook kept on sending me lewd messages and asked me to have sex with him. He kept on sending threatening chats even if I did not reply. My father accompanied me when we went to the women’s desk in Laoang. We were welcomed by a woman police officer then referred us to a male police officer. The male police officer said that it happened because I was pretty. I showed him the screenshots of the conversation and he just laughed. They told us they did not have means to trace the account, they referred us to Tacloban office. We do not have money to go to Tacloban.</w:t>
      </w:r>
      <w:r>
        <w:rPr>
          <w:rFonts w:ascii="Times New Roman" w:hAnsi="Times New Roman" w:cs="Times New Roman"/>
        </w:rPr>
        <w:t>”</w:t>
      </w:r>
      <w:r w:rsidR="00091F07">
        <w:rPr>
          <w:rStyle w:val="EndnoteReference"/>
          <w:rFonts w:ascii="Times New Roman" w:hAnsi="Times New Roman" w:cs="Times New Roman"/>
        </w:rPr>
        <w:endnoteReference w:id="41"/>
      </w:r>
    </w:p>
    <w:p w14:paraId="456D6402" w14:textId="77777777" w:rsidR="002F6E84" w:rsidRDefault="002F6E84" w:rsidP="00A52DD8">
      <w:pPr>
        <w:rPr>
          <w:sz w:val="22"/>
          <w:szCs w:val="22"/>
        </w:rPr>
      </w:pPr>
    </w:p>
    <w:p w14:paraId="43258058" w14:textId="60636337" w:rsidR="00752A9B" w:rsidRDefault="00B32285" w:rsidP="00E2495A">
      <w:pPr>
        <w:rPr>
          <w:sz w:val="22"/>
          <w:szCs w:val="22"/>
        </w:rPr>
      </w:pPr>
      <w:r>
        <w:rPr>
          <w:sz w:val="22"/>
          <w:szCs w:val="22"/>
        </w:rPr>
        <w:t xml:space="preserve">The streets are also a threat for many Filipino women with disabilities, afraid </w:t>
      </w:r>
      <w:r w:rsidR="00230F83">
        <w:rPr>
          <w:sz w:val="22"/>
          <w:szCs w:val="22"/>
        </w:rPr>
        <w:t xml:space="preserve">of experiencing violence when out of the house. </w:t>
      </w:r>
      <w:r w:rsidR="00576031">
        <w:rPr>
          <w:sz w:val="22"/>
          <w:szCs w:val="22"/>
        </w:rPr>
        <w:t>As a focus group participant shared</w:t>
      </w:r>
      <w:r w:rsidR="0007543D">
        <w:rPr>
          <w:sz w:val="22"/>
          <w:szCs w:val="22"/>
        </w:rPr>
        <w:t>,</w:t>
      </w:r>
      <w:r w:rsidR="00576031">
        <w:rPr>
          <w:sz w:val="22"/>
          <w:szCs w:val="22"/>
        </w:rPr>
        <w:t xml:space="preserve"> </w:t>
      </w:r>
      <w:r w:rsidR="00927101" w:rsidRPr="00927101">
        <w:rPr>
          <w:sz w:val="22"/>
          <w:szCs w:val="22"/>
        </w:rPr>
        <w:t>“If I go out, it is no longer safe. The school is also not a safe space. I have to be with someone, my sibling</w:t>
      </w:r>
      <w:r w:rsidR="00927101">
        <w:rPr>
          <w:sz w:val="22"/>
          <w:szCs w:val="22"/>
        </w:rPr>
        <w:t>,</w:t>
      </w:r>
      <w:r w:rsidR="00927101" w:rsidRPr="00927101">
        <w:rPr>
          <w:sz w:val="22"/>
          <w:szCs w:val="22"/>
        </w:rPr>
        <w:t xml:space="preserve"> when going out.”</w:t>
      </w:r>
      <w:r w:rsidR="00D972FD">
        <w:rPr>
          <w:rStyle w:val="EndnoteReference"/>
          <w:sz w:val="22"/>
          <w:szCs w:val="22"/>
        </w:rPr>
        <w:endnoteReference w:id="42"/>
      </w:r>
      <w:r w:rsidR="00D509AF">
        <w:rPr>
          <w:sz w:val="22"/>
          <w:szCs w:val="22"/>
        </w:rPr>
        <w:t xml:space="preserve"> </w:t>
      </w:r>
      <w:r w:rsidR="00230F83">
        <w:rPr>
          <w:sz w:val="22"/>
          <w:szCs w:val="22"/>
        </w:rPr>
        <w:t>Furthermore, w</w:t>
      </w:r>
      <w:r w:rsidR="002F6E84">
        <w:rPr>
          <w:sz w:val="22"/>
          <w:szCs w:val="22"/>
        </w:rPr>
        <w:t xml:space="preserve">omen and girls with disabilities living on the streets </w:t>
      </w:r>
      <w:r w:rsidR="00230F83">
        <w:rPr>
          <w:sz w:val="22"/>
          <w:szCs w:val="22"/>
        </w:rPr>
        <w:t xml:space="preserve">in the country </w:t>
      </w:r>
      <w:r w:rsidR="005F7165">
        <w:rPr>
          <w:sz w:val="22"/>
          <w:szCs w:val="22"/>
        </w:rPr>
        <w:t>face an increased risk of sexual assault</w:t>
      </w:r>
      <w:r w:rsidR="007D2ADD">
        <w:rPr>
          <w:sz w:val="22"/>
          <w:szCs w:val="22"/>
        </w:rPr>
        <w:t xml:space="preserve"> and trafficking</w:t>
      </w:r>
      <w:r w:rsidR="001A4EE9">
        <w:rPr>
          <w:sz w:val="22"/>
          <w:szCs w:val="22"/>
        </w:rPr>
        <w:t>, and some of them reported</w:t>
      </w:r>
      <w:r w:rsidR="00600318">
        <w:rPr>
          <w:sz w:val="22"/>
          <w:szCs w:val="22"/>
        </w:rPr>
        <w:t xml:space="preserve"> participating in pornography</w:t>
      </w:r>
      <w:r w:rsidR="001A4EE9">
        <w:rPr>
          <w:sz w:val="22"/>
          <w:szCs w:val="22"/>
        </w:rPr>
        <w:t xml:space="preserve"> </w:t>
      </w:r>
      <w:r w:rsidR="00577FF8">
        <w:rPr>
          <w:sz w:val="22"/>
          <w:szCs w:val="22"/>
        </w:rPr>
        <w:t>in exchange for money.</w:t>
      </w:r>
      <w:r w:rsidR="00014532">
        <w:rPr>
          <w:rStyle w:val="EndnoteReference"/>
          <w:sz w:val="22"/>
          <w:szCs w:val="22"/>
        </w:rPr>
        <w:endnoteReference w:id="43"/>
      </w:r>
      <w:r w:rsidR="00577FF8">
        <w:rPr>
          <w:sz w:val="22"/>
          <w:szCs w:val="22"/>
        </w:rPr>
        <w:t xml:space="preserve"> </w:t>
      </w:r>
    </w:p>
    <w:p w14:paraId="1264E9B0" w14:textId="77777777" w:rsidR="00480765" w:rsidRDefault="00480765" w:rsidP="00E2495A">
      <w:pPr>
        <w:rPr>
          <w:sz w:val="22"/>
          <w:szCs w:val="22"/>
        </w:rPr>
      </w:pPr>
    </w:p>
    <w:p w14:paraId="0E913E79" w14:textId="4E9B682D" w:rsidR="00480765" w:rsidRDefault="0007543D" w:rsidP="00E2495A">
      <w:pPr>
        <w:rPr>
          <w:sz w:val="22"/>
          <w:szCs w:val="22"/>
        </w:rPr>
      </w:pPr>
      <w:r>
        <w:rPr>
          <w:sz w:val="22"/>
          <w:szCs w:val="22"/>
        </w:rPr>
        <w:t>Compounding this situation</w:t>
      </w:r>
      <w:r w:rsidR="00480765">
        <w:rPr>
          <w:sz w:val="22"/>
          <w:szCs w:val="22"/>
        </w:rPr>
        <w:t>,</w:t>
      </w:r>
      <w:r>
        <w:rPr>
          <w:sz w:val="22"/>
          <w:szCs w:val="22"/>
        </w:rPr>
        <w:t xml:space="preserve"> </w:t>
      </w:r>
      <w:r w:rsidR="00480765">
        <w:rPr>
          <w:sz w:val="22"/>
          <w:szCs w:val="22"/>
        </w:rPr>
        <w:t xml:space="preserve">accessible information </w:t>
      </w:r>
      <w:r>
        <w:rPr>
          <w:sz w:val="22"/>
          <w:szCs w:val="22"/>
        </w:rPr>
        <w:t xml:space="preserve">is not available </w:t>
      </w:r>
      <w:r w:rsidR="002E7C31">
        <w:rPr>
          <w:sz w:val="22"/>
          <w:szCs w:val="22"/>
        </w:rPr>
        <w:t>to women</w:t>
      </w:r>
      <w:r w:rsidR="00480765">
        <w:rPr>
          <w:sz w:val="22"/>
          <w:szCs w:val="22"/>
        </w:rPr>
        <w:t xml:space="preserve"> with disabilities </w:t>
      </w:r>
      <w:r>
        <w:rPr>
          <w:sz w:val="22"/>
          <w:szCs w:val="22"/>
        </w:rPr>
        <w:t xml:space="preserve">about how they </w:t>
      </w:r>
      <w:r w:rsidR="00480765">
        <w:rPr>
          <w:sz w:val="22"/>
          <w:szCs w:val="22"/>
        </w:rPr>
        <w:t xml:space="preserve">can </w:t>
      </w:r>
      <w:r w:rsidR="00B472AD">
        <w:rPr>
          <w:sz w:val="22"/>
          <w:szCs w:val="22"/>
        </w:rPr>
        <w:t xml:space="preserve">identify, prevent, and respond to GBV. A Community Government Official shared </w:t>
      </w:r>
      <w:r w:rsidR="00DA4C7B">
        <w:rPr>
          <w:sz w:val="22"/>
          <w:szCs w:val="22"/>
        </w:rPr>
        <w:t xml:space="preserve">that </w:t>
      </w:r>
      <w:r w:rsidR="00806062">
        <w:rPr>
          <w:sz w:val="22"/>
          <w:szCs w:val="22"/>
        </w:rPr>
        <w:t>the government</w:t>
      </w:r>
      <w:r w:rsidR="00D31D5B">
        <w:rPr>
          <w:sz w:val="22"/>
          <w:szCs w:val="22"/>
        </w:rPr>
        <w:t xml:space="preserve"> </w:t>
      </w:r>
      <w:r w:rsidR="008C3788">
        <w:rPr>
          <w:sz w:val="22"/>
          <w:szCs w:val="22"/>
        </w:rPr>
        <w:t xml:space="preserve">holds </w:t>
      </w:r>
      <w:r w:rsidR="00806062">
        <w:rPr>
          <w:sz w:val="22"/>
          <w:szCs w:val="22"/>
        </w:rPr>
        <w:t xml:space="preserve">seminars on physical </w:t>
      </w:r>
      <w:r w:rsidR="00D31D5B">
        <w:rPr>
          <w:sz w:val="22"/>
          <w:szCs w:val="22"/>
        </w:rPr>
        <w:t>violence against women</w:t>
      </w:r>
      <w:r w:rsidR="00DA4C7B">
        <w:rPr>
          <w:sz w:val="22"/>
          <w:szCs w:val="22"/>
        </w:rPr>
        <w:t>, including those with disabilities</w:t>
      </w:r>
      <w:r>
        <w:rPr>
          <w:sz w:val="22"/>
          <w:szCs w:val="22"/>
        </w:rPr>
        <w:t>, b</w:t>
      </w:r>
      <w:r w:rsidR="00DA4C7B">
        <w:rPr>
          <w:sz w:val="22"/>
          <w:szCs w:val="22"/>
        </w:rPr>
        <w:t xml:space="preserve">ut admitted </w:t>
      </w:r>
      <w:r w:rsidR="007E2728" w:rsidRPr="007E2728">
        <w:rPr>
          <w:sz w:val="22"/>
          <w:szCs w:val="22"/>
        </w:rPr>
        <w:t xml:space="preserve">that there is no designated sign language interpreter and </w:t>
      </w:r>
      <w:r w:rsidR="007E2728">
        <w:rPr>
          <w:sz w:val="22"/>
          <w:szCs w:val="22"/>
        </w:rPr>
        <w:t>that they were</w:t>
      </w:r>
      <w:r w:rsidR="007E2728" w:rsidRPr="007E2728">
        <w:rPr>
          <w:sz w:val="22"/>
          <w:szCs w:val="22"/>
        </w:rPr>
        <w:t xml:space="preserve"> not sure how to support a person with low vision </w:t>
      </w:r>
      <w:r w:rsidR="007E2728">
        <w:rPr>
          <w:sz w:val="22"/>
          <w:szCs w:val="22"/>
        </w:rPr>
        <w:t xml:space="preserve">in case they </w:t>
      </w:r>
      <w:r w:rsidR="007E2728" w:rsidRPr="007E2728">
        <w:rPr>
          <w:sz w:val="22"/>
          <w:szCs w:val="22"/>
        </w:rPr>
        <w:t>ask</w:t>
      </w:r>
      <w:r w:rsidR="007E2728">
        <w:rPr>
          <w:sz w:val="22"/>
          <w:szCs w:val="22"/>
        </w:rPr>
        <w:t>ed</w:t>
      </w:r>
      <w:r w:rsidR="007E2728" w:rsidRPr="007E2728">
        <w:rPr>
          <w:sz w:val="22"/>
          <w:szCs w:val="22"/>
        </w:rPr>
        <w:t xml:space="preserve"> for help</w:t>
      </w:r>
      <w:r w:rsidR="007E2728">
        <w:rPr>
          <w:sz w:val="22"/>
          <w:szCs w:val="22"/>
        </w:rPr>
        <w:t>.</w:t>
      </w:r>
      <w:r w:rsidR="005F24E0">
        <w:rPr>
          <w:rStyle w:val="EndnoteReference"/>
          <w:sz w:val="22"/>
          <w:szCs w:val="22"/>
        </w:rPr>
        <w:endnoteReference w:id="44"/>
      </w:r>
      <w:r>
        <w:rPr>
          <w:sz w:val="22"/>
          <w:szCs w:val="22"/>
        </w:rPr>
        <w:t xml:space="preserve"> According to one of the participants in the 2023</w:t>
      </w:r>
      <w:r w:rsidR="00EB714F">
        <w:rPr>
          <w:sz w:val="22"/>
          <w:szCs w:val="22"/>
        </w:rPr>
        <w:t xml:space="preserve"> focus group, there </w:t>
      </w:r>
      <w:r w:rsidR="00BE090A">
        <w:rPr>
          <w:sz w:val="22"/>
          <w:szCs w:val="22"/>
        </w:rPr>
        <w:t>need</w:t>
      </w:r>
      <w:r w:rsidR="00C66D32">
        <w:rPr>
          <w:sz w:val="22"/>
          <w:szCs w:val="22"/>
        </w:rPr>
        <w:t>s</w:t>
      </w:r>
      <w:r w:rsidR="00EB714F">
        <w:rPr>
          <w:sz w:val="22"/>
          <w:szCs w:val="22"/>
        </w:rPr>
        <w:t xml:space="preserve"> to be more discussions about GBV </w:t>
      </w:r>
      <w:r w:rsidR="00BE090A">
        <w:rPr>
          <w:sz w:val="22"/>
          <w:szCs w:val="22"/>
        </w:rPr>
        <w:t>“</w:t>
      </w:r>
      <w:r w:rsidR="00BE090A" w:rsidRPr="00BE090A">
        <w:rPr>
          <w:sz w:val="22"/>
          <w:szCs w:val="22"/>
        </w:rPr>
        <w:t>so that other girls and women with disabilities become aware of the issues and realize they are not alone</w:t>
      </w:r>
      <w:r w:rsidR="00AF6721">
        <w:rPr>
          <w:sz w:val="22"/>
          <w:szCs w:val="22"/>
        </w:rPr>
        <w:t>.”</w:t>
      </w:r>
      <w:r w:rsidR="00C66D32">
        <w:rPr>
          <w:rStyle w:val="EndnoteReference"/>
          <w:sz w:val="22"/>
          <w:szCs w:val="22"/>
        </w:rPr>
        <w:endnoteReference w:id="45"/>
      </w:r>
    </w:p>
    <w:p w14:paraId="277AC2B9" w14:textId="77777777" w:rsidR="00597DF6" w:rsidRDefault="00597DF6" w:rsidP="00E2495A">
      <w:pPr>
        <w:rPr>
          <w:sz w:val="22"/>
          <w:szCs w:val="22"/>
        </w:rPr>
      </w:pPr>
    </w:p>
    <w:p w14:paraId="58F8E80B" w14:textId="39B664D0" w:rsidR="00597DF6" w:rsidRPr="004E5A10" w:rsidRDefault="00597DF6" w:rsidP="004E5A10">
      <w:pPr>
        <w:pStyle w:val="ListParagraph"/>
        <w:numPr>
          <w:ilvl w:val="0"/>
          <w:numId w:val="1"/>
        </w:numPr>
        <w:rPr>
          <w:rFonts w:ascii="Times New Roman" w:eastAsia="Times New Roman" w:hAnsi="Times New Roman" w:cs="Times New Roman"/>
          <w:b/>
          <w:bCs/>
        </w:rPr>
      </w:pPr>
      <w:r w:rsidRPr="004E5A10">
        <w:rPr>
          <w:rFonts w:ascii="Times New Roman" w:eastAsia="Times New Roman" w:hAnsi="Times New Roman" w:cs="Times New Roman"/>
          <w:b/>
          <w:bCs/>
        </w:rPr>
        <w:t xml:space="preserve">Violations </w:t>
      </w:r>
      <w:r w:rsidR="003F01F4" w:rsidRPr="004E5A10">
        <w:rPr>
          <w:rFonts w:ascii="Times New Roman" w:eastAsia="Times New Roman" w:hAnsi="Times New Roman" w:cs="Times New Roman"/>
          <w:b/>
          <w:bCs/>
        </w:rPr>
        <w:t>of</w:t>
      </w:r>
      <w:r w:rsidRPr="004E5A10">
        <w:rPr>
          <w:rFonts w:ascii="Times New Roman" w:eastAsia="Times New Roman" w:hAnsi="Times New Roman" w:cs="Times New Roman"/>
          <w:b/>
          <w:bCs/>
        </w:rPr>
        <w:t xml:space="preserve"> the right to education </w:t>
      </w:r>
      <w:r w:rsidR="0007543D">
        <w:rPr>
          <w:rFonts w:ascii="Times New Roman" w:eastAsia="Times New Roman" w:hAnsi="Times New Roman" w:cs="Times New Roman"/>
          <w:b/>
          <w:bCs/>
        </w:rPr>
        <w:t>(art</w:t>
      </w:r>
      <w:r w:rsidR="002E7C31">
        <w:rPr>
          <w:rFonts w:ascii="Times New Roman" w:eastAsia="Times New Roman" w:hAnsi="Times New Roman" w:cs="Times New Roman"/>
          <w:b/>
          <w:bCs/>
        </w:rPr>
        <w:t>.</w:t>
      </w:r>
      <w:r w:rsidR="0007543D">
        <w:rPr>
          <w:rFonts w:ascii="Times New Roman" w:eastAsia="Times New Roman" w:hAnsi="Times New Roman" w:cs="Times New Roman"/>
          <w:b/>
          <w:bCs/>
        </w:rPr>
        <w:t xml:space="preserve"> </w:t>
      </w:r>
      <w:r w:rsidR="00410325">
        <w:rPr>
          <w:rFonts w:ascii="Times New Roman" w:eastAsia="Times New Roman" w:hAnsi="Times New Roman" w:cs="Times New Roman"/>
          <w:b/>
          <w:bCs/>
        </w:rPr>
        <w:t>10</w:t>
      </w:r>
      <w:r w:rsidR="002E7C31">
        <w:rPr>
          <w:rFonts w:ascii="Times New Roman" w:eastAsia="Times New Roman" w:hAnsi="Times New Roman" w:cs="Times New Roman"/>
          <w:b/>
          <w:bCs/>
        </w:rPr>
        <w:t>)</w:t>
      </w:r>
    </w:p>
    <w:p w14:paraId="50847609" w14:textId="77777777" w:rsidR="00597DF6" w:rsidRDefault="00597DF6" w:rsidP="00E2495A">
      <w:pPr>
        <w:rPr>
          <w:sz w:val="22"/>
          <w:szCs w:val="22"/>
        </w:rPr>
      </w:pPr>
    </w:p>
    <w:p w14:paraId="3C3A8551" w14:textId="77777777" w:rsidR="00410325" w:rsidRDefault="003F01F4" w:rsidP="007F2298">
      <w:pPr>
        <w:rPr>
          <w:rFonts w:eastAsia="Calibri"/>
          <w:sz w:val="22"/>
          <w:szCs w:val="22"/>
          <w:lang w:eastAsia="en-US"/>
        </w:rPr>
      </w:pPr>
      <w:r w:rsidRPr="003F01F4">
        <w:rPr>
          <w:rFonts w:eastAsia="Calibri"/>
          <w:sz w:val="22"/>
          <w:szCs w:val="22"/>
          <w:lang w:eastAsia="en-US"/>
        </w:rPr>
        <w:t xml:space="preserve">As the CRPD Committee </w:t>
      </w:r>
      <w:r w:rsidR="00A80976">
        <w:rPr>
          <w:rFonts w:eastAsia="Calibri"/>
          <w:sz w:val="22"/>
          <w:szCs w:val="22"/>
          <w:lang w:eastAsia="en-US"/>
        </w:rPr>
        <w:t xml:space="preserve">has stated, </w:t>
      </w:r>
      <w:r w:rsidR="0011310D">
        <w:rPr>
          <w:rFonts w:eastAsia="Calibri"/>
          <w:sz w:val="22"/>
          <w:szCs w:val="22"/>
          <w:lang w:eastAsia="en-US"/>
        </w:rPr>
        <w:t>i</w:t>
      </w:r>
      <w:r w:rsidR="00A80976" w:rsidRPr="00A80976">
        <w:rPr>
          <w:rFonts w:eastAsia="Calibri"/>
          <w:sz w:val="22"/>
          <w:szCs w:val="22"/>
          <w:lang w:eastAsia="en-US"/>
        </w:rPr>
        <w:t xml:space="preserve">ntersectional discrimination and exclusion </w:t>
      </w:r>
      <w:r w:rsidR="00E14877">
        <w:rPr>
          <w:rFonts w:eastAsia="Calibri"/>
          <w:sz w:val="22"/>
          <w:szCs w:val="22"/>
          <w:lang w:eastAsia="en-US"/>
        </w:rPr>
        <w:t xml:space="preserve">lead to </w:t>
      </w:r>
      <w:r w:rsidR="00A80976" w:rsidRPr="00A80976">
        <w:rPr>
          <w:rFonts w:eastAsia="Calibri"/>
          <w:sz w:val="22"/>
          <w:szCs w:val="22"/>
          <w:lang w:eastAsia="en-US"/>
        </w:rPr>
        <w:t>significant barriers to the</w:t>
      </w:r>
      <w:r w:rsidR="00E14877">
        <w:rPr>
          <w:rFonts w:eastAsia="Calibri"/>
          <w:sz w:val="22"/>
          <w:szCs w:val="22"/>
          <w:lang w:eastAsia="en-US"/>
        </w:rPr>
        <w:t xml:space="preserve"> </w:t>
      </w:r>
      <w:r w:rsidR="00A80976" w:rsidRPr="00A80976">
        <w:rPr>
          <w:rFonts w:eastAsia="Calibri"/>
          <w:sz w:val="22"/>
          <w:szCs w:val="22"/>
          <w:lang w:eastAsia="en-US"/>
        </w:rPr>
        <w:t>realization of the right to education for women and girls with disabilities</w:t>
      </w:r>
      <w:r w:rsidR="00863B7A">
        <w:rPr>
          <w:rFonts w:eastAsia="Calibri"/>
          <w:sz w:val="22"/>
          <w:szCs w:val="22"/>
          <w:lang w:eastAsia="en-US"/>
        </w:rPr>
        <w:t>,</w:t>
      </w:r>
      <w:r w:rsidR="00863B7A">
        <w:rPr>
          <w:rStyle w:val="EndnoteReference"/>
          <w:rFonts w:eastAsia="Calibri"/>
          <w:sz w:val="22"/>
          <w:szCs w:val="22"/>
          <w:lang w:eastAsia="en-US"/>
        </w:rPr>
        <w:endnoteReference w:id="46"/>
      </w:r>
      <w:r w:rsidR="00863B7A">
        <w:rPr>
          <w:rFonts w:eastAsia="Calibri"/>
          <w:sz w:val="22"/>
          <w:szCs w:val="22"/>
          <w:lang w:eastAsia="en-US"/>
        </w:rPr>
        <w:t xml:space="preserve"> and the situation in the Philippines is not an exception. </w:t>
      </w:r>
      <w:r w:rsidR="00EB59CC">
        <w:rPr>
          <w:rFonts w:eastAsia="Calibri"/>
          <w:sz w:val="22"/>
          <w:szCs w:val="22"/>
          <w:lang w:eastAsia="en-US"/>
        </w:rPr>
        <w:t xml:space="preserve">Even </w:t>
      </w:r>
      <w:r w:rsidR="00AC50EA">
        <w:rPr>
          <w:rFonts w:eastAsia="Calibri"/>
          <w:sz w:val="22"/>
          <w:szCs w:val="22"/>
          <w:lang w:eastAsia="en-US"/>
        </w:rPr>
        <w:t xml:space="preserve">though </w:t>
      </w:r>
      <w:r w:rsidR="00AC50EA" w:rsidRPr="00AC50EA">
        <w:rPr>
          <w:rFonts w:eastAsia="Calibri"/>
          <w:sz w:val="22"/>
          <w:szCs w:val="22"/>
          <w:lang w:eastAsia="en-US"/>
        </w:rPr>
        <w:t xml:space="preserve">Republic Act 11650, or the Inclusive </w:t>
      </w:r>
      <w:r w:rsidR="00AC50EA" w:rsidRPr="00AC50EA">
        <w:rPr>
          <w:rFonts w:eastAsia="Calibri"/>
          <w:sz w:val="22"/>
          <w:szCs w:val="22"/>
          <w:lang w:eastAsia="en-US"/>
        </w:rPr>
        <w:lastRenderedPageBreak/>
        <w:t>Education Act</w:t>
      </w:r>
      <w:r w:rsidR="00AC50EA">
        <w:rPr>
          <w:rFonts w:eastAsia="Calibri"/>
          <w:sz w:val="22"/>
          <w:szCs w:val="22"/>
          <w:lang w:eastAsia="en-US"/>
        </w:rPr>
        <w:t xml:space="preserve">, was signed into law </w:t>
      </w:r>
      <w:r w:rsidR="00F62A0B">
        <w:rPr>
          <w:rFonts w:eastAsia="Calibri"/>
          <w:sz w:val="22"/>
          <w:szCs w:val="22"/>
          <w:lang w:eastAsia="en-US"/>
        </w:rPr>
        <w:t xml:space="preserve">in </w:t>
      </w:r>
      <w:r w:rsidR="00AC50EA">
        <w:rPr>
          <w:rFonts w:eastAsia="Calibri"/>
          <w:sz w:val="22"/>
          <w:szCs w:val="22"/>
          <w:lang w:eastAsia="en-US"/>
        </w:rPr>
        <w:t xml:space="preserve">March </w:t>
      </w:r>
      <w:r w:rsidR="00F62A0B">
        <w:rPr>
          <w:rFonts w:eastAsia="Calibri"/>
          <w:sz w:val="22"/>
          <w:szCs w:val="22"/>
          <w:lang w:eastAsia="en-US"/>
        </w:rPr>
        <w:t xml:space="preserve">2022, </w:t>
      </w:r>
      <w:r w:rsidR="00213359">
        <w:rPr>
          <w:rFonts w:eastAsia="Calibri"/>
          <w:sz w:val="22"/>
          <w:szCs w:val="22"/>
          <w:lang w:eastAsia="en-US"/>
        </w:rPr>
        <w:t>the conclusion of its Implemen</w:t>
      </w:r>
      <w:r w:rsidR="00205183">
        <w:rPr>
          <w:rFonts w:eastAsia="Calibri"/>
          <w:sz w:val="22"/>
          <w:szCs w:val="22"/>
          <w:lang w:eastAsia="en-US"/>
        </w:rPr>
        <w:t>ting Rules and Regulations</w:t>
      </w:r>
      <w:r w:rsidR="00F62A0B">
        <w:rPr>
          <w:rFonts w:eastAsia="Calibri"/>
          <w:sz w:val="22"/>
          <w:szCs w:val="22"/>
          <w:lang w:eastAsia="en-US"/>
        </w:rPr>
        <w:t xml:space="preserve"> is still pending</w:t>
      </w:r>
      <w:r w:rsidR="00E75D53">
        <w:rPr>
          <w:rFonts w:eastAsia="Calibri"/>
          <w:sz w:val="22"/>
          <w:szCs w:val="22"/>
          <w:lang w:eastAsia="en-US"/>
        </w:rPr>
        <w:t>.</w:t>
      </w:r>
      <w:r w:rsidR="00497CC2">
        <w:rPr>
          <w:rStyle w:val="EndnoteReference"/>
          <w:rFonts w:eastAsia="Calibri"/>
          <w:sz w:val="22"/>
          <w:szCs w:val="22"/>
          <w:lang w:eastAsia="en-US"/>
        </w:rPr>
        <w:endnoteReference w:id="47"/>
      </w:r>
      <w:r w:rsidR="00E75D53">
        <w:rPr>
          <w:rFonts w:eastAsia="Calibri"/>
          <w:sz w:val="22"/>
          <w:szCs w:val="22"/>
          <w:lang w:eastAsia="en-US"/>
        </w:rPr>
        <w:t xml:space="preserve"> The Act </w:t>
      </w:r>
      <w:r w:rsidR="00BD028A">
        <w:rPr>
          <w:rFonts w:eastAsia="Calibri"/>
          <w:sz w:val="22"/>
          <w:szCs w:val="22"/>
          <w:lang w:eastAsia="en-US"/>
        </w:rPr>
        <w:t>establishe</w:t>
      </w:r>
      <w:r w:rsidR="0024492E">
        <w:rPr>
          <w:rFonts w:eastAsia="Calibri"/>
          <w:sz w:val="22"/>
          <w:szCs w:val="22"/>
          <w:lang w:eastAsia="en-US"/>
        </w:rPr>
        <w:t xml:space="preserve">s </w:t>
      </w:r>
      <w:r w:rsidR="00F66F6A">
        <w:rPr>
          <w:rFonts w:eastAsia="Calibri"/>
          <w:sz w:val="22"/>
          <w:szCs w:val="22"/>
          <w:lang w:eastAsia="en-US"/>
        </w:rPr>
        <w:t xml:space="preserve">that </w:t>
      </w:r>
      <w:r w:rsidR="00BD028A">
        <w:rPr>
          <w:rFonts w:eastAsia="Calibri"/>
          <w:sz w:val="22"/>
          <w:szCs w:val="22"/>
          <w:lang w:eastAsia="en-US"/>
        </w:rPr>
        <w:t>all cities and municipalities must have an inclusive learning resource center</w:t>
      </w:r>
      <w:r w:rsidR="002D1665">
        <w:rPr>
          <w:rFonts w:eastAsia="Calibri"/>
          <w:sz w:val="22"/>
          <w:szCs w:val="22"/>
          <w:lang w:eastAsia="en-US"/>
        </w:rPr>
        <w:t xml:space="preserve"> providing free services</w:t>
      </w:r>
      <w:r w:rsidR="0024492E">
        <w:rPr>
          <w:rFonts w:eastAsia="Calibri"/>
          <w:sz w:val="22"/>
          <w:szCs w:val="22"/>
          <w:lang w:eastAsia="en-US"/>
        </w:rPr>
        <w:t xml:space="preserve"> and that there must be a community-based approach to </w:t>
      </w:r>
      <w:r w:rsidR="00F66F6A">
        <w:rPr>
          <w:rFonts w:eastAsia="Calibri"/>
          <w:sz w:val="22"/>
          <w:szCs w:val="22"/>
          <w:lang w:eastAsia="en-US"/>
        </w:rPr>
        <w:t>implement inclusive education policies in the country.</w:t>
      </w:r>
      <w:r w:rsidR="00E074E3">
        <w:rPr>
          <w:rStyle w:val="EndnoteReference"/>
          <w:rFonts w:eastAsia="Calibri"/>
          <w:sz w:val="22"/>
          <w:szCs w:val="22"/>
          <w:lang w:eastAsia="en-US"/>
        </w:rPr>
        <w:endnoteReference w:id="48"/>
      </w:r>
      <w:r w:rsidR="00F66F6A">
        <w:rPr>
          <w:rFonts w:eastAsia="Calibri"/>
          <w:sz w:val="22"/>
          <w:szCs w:val="22"/>
          <w:lang w:eastAsia="en-US"/>
        </w:rPr>
        <w:t xml:space="preserve"> </w:t>
      </w:r>
      <w:r w:rsidR="002B59D1">
        <w:rPr>
          <w:rFonts w:eastAsia="Calibri"/>
          <w:sz w:val="22"/>
          <w:szCs w:val="22"/>
          <w:lang w:eastAsia="en-US"/>
        </w:rPr>
        <w:t xml:space="preserve">As the law has not been enacted, the reality of students with disabilities is very different. </w:t>
      </w:r>
    </w:p>
    <w:p w14:paraId="7ACCF223" w14:textId="77777777" w:rsidR="00410325" w:rsidRDefault="00410325" w:rsidP="007F2298">
      <w:pPr>
        <w:rPr>
          <w:rFonts w:eastAsia="Calibri"/>
          <w:sz w:val="22"/>
          <w:szCs w:val="22"/>
          <w:lang w:eastAsia="en-US"/>
        </w:rPr>
      </w:pPr>
    </w:p>
    <w:p w14:paraId="30B5B718" w14:textId="4A675FA4" w:rsidR="00582D7A" w:rsidRPr="006F6E23" w:rsidRDefault="00095632" w:rsidP="007F2298">
      <w:pPr>
        <w:rPr>
          <w:rFonts w:eastAsia="Calibri"/>
          <w:sz w:val="22"/>
          <w:szCs w:val="22"/>
          <w:lang w:eastAsia="en-US"/>
        </w:rPr>
      </w:pPr>
      <w:r>
        <w:rPr>
          <w:sz w:val="22"/>
          <w:szCs w:val="22"/>
        </w:rPr>
        <w:t xml:space="preserve">According to a </w:t>
      </w:r>
      <w:r w:rsidR="00053E40">
        <w:rPr>
          <w:sz w:val="22"/>
          <w:szCs w:val="22"/>
        </w:rPr>
        <w:t xml:space="preserve">report published in 2022, </w:t>
      </w:r>
      <w:r w:rsidR="0007543D">
        <w:rPr>
          <w:sz w:val="22"/>
          <w:szCs w:val="22"/>
        </w:rPr>
        <w:t xml:space="preserve">the education system lacks </w:t>
      </w:r>
      <w:r w:rsidR="00B14E9B">
        <w:rPr>
          <w:sz w:val="22"/>
          <w:szCs w:val="22"/>
        </w:rPr>
        <w:t>teachers trained to teach and support students with disabilities</w:t>
      </w:r>
      <w:r w:rsidR="00E42578">
        <w:rPr>
          <w:sz w:val="22"/>
          <w:szCs w:val="22"/>
        </w:rPr>
        <w:t>;</w:t>
      </w:r>
      <w:r w:rsidR="00521B90">
        <w:rPr>
          <w:rStyle w:val="EndnoteReference"/>
          <w:sz w:val="22"/>
          <w:szCs w:val="22"/>
        </w:rPr>
        <w:endnoteReference w:id="49"/>
      </w:r>
      <w:r w:rsidR="00D544B5">
        <w:rPr>
          <w:sz w:val="22"/>
          <w:szCs w:val="22"/>
        </w:rPr>
        <w:t xml:space="preserve"> </w:t>
      </w:r>
      <w:r w:rsidR="0007543D">
        <w:rPr>
          <w:sz w:val="22"/>
          <w:szCs w:val="22"/>
        </w:rPr>
        <w:t>p</w:t>
      </w:r>
      <w:r w:rsidR="00D544B5" w:rsidRPr="00D544B5">
        <w:rPr>
          <w:sz w:val="22"/>
          <w:szCs w:val="22"/>
        </w:rPr>
        <w:t xml:space="preserve">rofessional Sign Language </w:t>
      </w:r>
      <w:r w:rsidR="0007543D">
        <w:rPr>
          <w:sz w:val="22"/>
          <w:szCs w:val="22"/>
        </w:rPr>
        <w:t>i</w:t>
      </w:r>
      <w:r w:rsidR="00D544B5" w:rsidRPr="00D544B5">
        <w:rPr>
          <w:sz w:val="22"/>
          <w:szCs w:val="22"/>
        </w:rPr>
        <w:t xml:space="preserve">nterpreters in schools and </w:t>
      </w:r>
      <w:r w:rsidR="00D544B5">
        <w:rPr>
          <w:sz w:val="22"/>
          <w:szCs w:val="22"/>
        </w:rPr>
        <w:t>universities</w:t>
      </w:r>
      <w:r w:rsidR="00E42578">
        <w:rPr>
          <w:sz w:val="22"/>
          <w:szCs w:val="22"/>
        </w:rPr>
        <w:t>;</w:t>
      </w:r>
      <w:r w:rsidR="00034EE7">
        <w:rPr>
          <w:rStyle w:val="EndnoteReference"/>
          <w:sz w:val="22"/>
          <w:szCs w:val="22"/>
        </w:rPr>
        <w:endnoteReference w:id="50"/>
      </w:r>
      <w:r w:rsidR="00D544B5">
        <w:rPr>
          <w:sz w:val="22"/>
          <w:szCs w:val="22"/>
        </w:rPr>
        <w:t xml:space="preserve"> </w:t>
      </w:r>
      <w:r w:rsidR="006F6E23">
        <w:rPr>
          <w:sz w:val="22"/>
          <w:szCs w:val="22"/>
        </w:rPr>
        <w:t>and</w:t>
      </w:r>
      <w:r w:rsidR="003B6C69" w:rsidRPr="00EB58C3">
        <w:rPr>
          <w:sz w:val="22"/>
          <w:szCs w:val="22"/>
        </w:rPr>
        <w:t xml:space="preserve"> </w:t>
      </w:r>
      <w:r w:rsidR="0007543D">
        <w:rPr>
          <w:sz w:val="22"/>
          <w:szCs w:val="22"/>
        </w:rPr>
        <w:t xml:space="preserve">an </w:t>
      </w:r>
      <w:r w:rsidR="003B6C69" w:rsidRPr="00EB58C3">
        <w:rPr>
          <w:sz w:val="22"/>
          <w:szCs w:val="22"/>
        </w:rPr>
        <w:t>understanding of disability and how to include those with disabilities</w:t>
      </w:r>
      <w:r w:rsidR="0007543D">
        <w:rPr>
          <w:sz w:val="22"/>
          <w:szCs w:val="22"/>
        </w:rPr>
        <w:t xml:space="preserve"> in education</w:t>
      </w:r>
      <w:r w:rsidR="00EB58C3" w:rsidRPr="00EB58C3">
        <w:rPr>
          <w:sz w:val="22"/>
          <w:szCs w:val="22"/>
        </w:rPr>
        <w:t>.</w:t>
      </w:r>
      <w:r w:rsidR="00E90669">
        <w:rPr>
          <w:rStyle w:val="EndnoteReference"/>
          <w:sz w:val="22"/>
          <w:szCs w:val="22"/>
        </w:rPr>
        <w:endnoteReference w:id="51"/>
      </w:r>
      <w:r w:rsidR="006D7CD7">
        <w:rPr>
          <w:sz w:val="22"/>
          <w:szCs w:val="22"/>
        </w:rPr>
        <w:t xml:space="preserve"> For instance</w:t>
      </w:r>
      <w:r w:rsidR="005A1606">
        <w:rPr>
          <w:sz w:val="22"/>
          <w:szCs w:val="22"/>
        </w:rPr>
        <w:t>:</w:t>
      </w:r>
    </w:p>
    <w:p w14:paraId="15DF5899" w14:textId="3C5ECF98" w:rsidR="00EB58C3" w:rsidRPr="007F2298" w:rsidRDefault="005A1606" w:rsidP="007F2298">
      <w:pPr>
        <w:pStyle w:val="ListParagraph"/>
        <w:numPr>
          <w:ilvl w:val="0"/>
          <w:numId w:val="13"/>
        </w:numPr>
        <w:spacing w:line="240" w:lineRule="auto"/>
        <w:contextualSpacing w:val="0"/>
        <w:rPr>
          <w:rFonts w:ascii="Times New Roman" w:hAnsi="Times New Roman" w:cs="Times New Roman"/>
        </w:rPr>
      </w:pPr>
      <w:r>
        <w:rPr>
          <w:rFonts w:ascii="Times New Roman" w:hAnsi="Times New Roman" w:cs="Times New Roman"/>
        </w:rPr>
        <w:t>S</w:t>
      </w:r>
      <w:r w:rsidR="0086219B">
        <w:rPr>
          <w:rFonts w:ascii="Times New Roman" w:hAnsi="Times New Roman" w:cs="Times New Roman"/>
        </w:rPr>
        <w:t>ome hard-</w:t>
      </w:r>
      <w:r w:rsidR="0086219B" w:rsidRPr="007F2298">
        <w:rPr>
          <w:rFonts w:ascii="Times New Roman" w:hAnsi="Times New Roman" w:cs="Times New Roman"/>
        </w:rPr>
        <w:t>of-hearing s</w:t>
      </w:r>
      <w:r w:rsidR="00EB58C3" w:rsidRPr="007F2298">
        <w:rPr>
          <w:rFonts w:ascii="Times New Roman" w:hAnsi="Times New Roman" w:cs="Times New Roman"/>
        </w:rPr>
        <w:t xml:space="preserve">tudents </w:t>
      </w:r>
      <w:r w:rsidR="0086219B" w:rsidRPr="007F2298">
        <w:rPr>
          <w:rFonts w:ascii="Times New Roman" w:hAnsi="Times New Roman" w:cs="Times New Roman"/>
        </w:rPr>
        <w:t xml:space="preserve">and other </w:t>
      </w:r>
      <w:r w:rsidR="00EB58C3" w:rsidRPr="007F2298">
        <w:rPr>
          <w:rFonts w:ascii="Times New Roman" w:hAnsi="Times New Roman" w:cs="Times New Roman"/>
        </w:rPr>
        <w:t xml:space="preserve">with psychosocial </w:t>
      </w:r>
      <w:r w:rsidR="0086219B" w:rsidRPr="007F2298">
        <w:rPr>
          <w:rFonts w:ascii="Times New Roman" w:hAnsi="Times New Roman" w:cs="Times New Roman"/>
        </w:rPr>
        <w:t xml:space="preserve">disabilities shared </w:t>
      </w:r>
      <w:r w:rsidR="001E46DF" w:rsidRPr="007F2298">
        <w:rPr>
          <w:rFonts w:ascii="Times New Roman" w:hAnsi="Times New Roman" w:cs="Times New Roman"/>
        </w:rPr>
        <w:t>preferring not to inform their schools about the disability because of concerns about how they would be perceived by the school community.</w:t>
      </w:r>
      <w:r w:rsidR="007F2298">
        <w:rPr>
          <w:rStyle w:val="EndnoteReference"/>
          <w:rFonts w:ascii="Times New Roman" w:hAnsi="Times New Roman" w:cs="Times New Roman"/>
        </w:rPr>
        <w:endnoteReference w:id="52"/>
      </w:r>
      <w:r w:rsidR="001E46DF" w:rsidRPr="007F2298">
        <w:rPr>
          <w:rFonts w:ascii="Times New Roman" w:hAnsi="Times New Roman" w:cs="Times New Roman"/>
        </w:rPr>
        <w:t xml:space="preserve"> </w:t>
      </w:r>
    </w:p>
    <w:p w14:paraId="2BE22E15" w14:textId="1C4ED556" w:rsidR="007F2298" w:rsidRPr="00A11562" w:rsidRDefault="005A1606" w:rsidP="007F2298">
      <w:pPr>
        <w:pStyle w:val="ListParagraph"/>
        <w:numPr>
          <w:ilvl w:val="0"/>
          <w:numId w:val="13"/>
        </w:numPr>
        <w:spacing w:line="240" w:lineRule="auto"/>
        <w:contextualSpacing w:val="0"/>
        <w:rPr>
          <w:rFonts w:ascii="Times New Roman" w:hAnsi="Times New Roman" w:cs="Times New Roman"/>
        </w:rPr>
      </w:pPr>
      <w:r>
        <w:rPr>
          <w:rFonts w:ascii="Times New Roman" w:hAnsi="Times New Roman" w:cs="Times New Roman"/>
        </w:rPr>
        <w:t>A</w:t>
      </w:r>
      <w:r w:rsidR="006E21E7" w:rsidRPr="00A11562">
        <w:rPr>
          <w:rFonts w:ascii="Times New Roman" w:hAnsi="Times New Roman" w:cs="Times New Roman"/>
        </w:rPr>
        <w:t xml:space="preserve"> girl with a psychosocial disability reported </w:t>
      </w:r>
      <w:r w:rsidR="007F2298" w:rsidRPr="00A11562">
        <w:rPr>
          <w:rFonts w:ascii="Times New Roman" w:hAnsi="Times New Roman" w:cs="Times New Roman"/>
        </w:rPr>
        <w:t>going to a Catholic school and being discouraged from taking her medicine by the nuns, as they did not believe in taking medicine and instead asked her to pray.</w:t>
      </w:r>
      <w:r w:rsidR="007F2298" w:rsidRPr="00A11562">
        <w:rPr>
          <w:rStyle w:val="EndnoteReference"/>
          <w:rFonts w:ascii="Times New Roman" w:hAnsi="Times New Roman" w:cs="Times New Roman"/>
        </w:rPr>
        <w:endnoteReference w:id="53"/>
      </w:r>
      <w:r w:rsidR="007F2298" w:rsidRPr="00A11562">
        <w:rPr>
          <w:rFonts w:ascii="Times New Roman" w:hAnsi="Times New Roman" w:cs="Times New Roman"/>
        </w:rPr>
        <w:t xml:space="preserve"> </w:t>
      </w:r>
    </w:p>
    <w:p w14:paraId="51A28018" w14:textId="175AF2ED" w:rsidR="00405593" w:rsidRPr="00A11562" w:rsidRDefault="005A1606" w:rsidP="00A11562">
      <w:pPr>
        <w:pStyle w:val="ListParagraph"/>
        <w:numPr>
          <w:ilvl w:val="0"/>
          <w:numId w:val="13"/>
        </w:numPr>
        <w:rPr>
          <w:rFonts w:ascii="Times New Roman" w:hAnsi="Times New Roman" w:cs="Times New Roman"/>
        </w:rPr>
      </w:pPr>
      <w:r>
        <w:rPr>
          <w:rFonts w:ascii="Times New Roman" w:hAnsi="Times New Roman" w:cs="Times New Roman"/>
        </w:rPr>
        <w:t>T</w:t>
      </w:r>
      <w:r w:rsidR="00A11562" w:rsidRPr="00A11562">
        <w:rPr>
          <w:rFonts w:ascii="Times New Roman" w:hAnsi="Times New Roman" w:cs="Times New Roman"/>
        </w:rPr>
        <w:t>eachers mentioned that training on how to work with learners with disabilities is not readily available.</w:t>
      </w:r>
      <w:r w:rsidR="00A11562">
        <w:rPr>
          <w:rStyle w:val="EndnoteReference"/>
          <w:rFonts w:ascii="Times New Roman" w:hAnsi="Times New Roman" w:cs="Times New Roman"/>
        </w:rPr>
        <w:endnoteReference w:id="54"/>
      </w:r>
    </w:p>
    <w:p w14:paraId="7815733B" w14:textId="77777777" w:rsidR="004635AA" w:rsidRDefault="004635AA" w:rsidP="007F2298">
      <w:pPr>
        <w:rPr>
          <w:sz w:val="22"/>
          <w:szCs w:val="22"/>
        </w:rPr>
      </w:pPr>
    </w:p>
    <w:p w14:paraId="5DFE0C4D" w14:textId="7222C374" w:rsidR="006D3442" w:rsidRDefault="00582D7A" w:rsidP="00BA7E79">
      <w:pPr>
        <w:rPr>
          <w:sz w:val="22"/>
          <w:szCs w:val="22"/>
        </w:rPr>
      </w:pPr>
      <w:r>
        <w:rPr>
          <w:sz w:val="22"/>
          <w:szCs w:val="22"/>
        </w:rPr>
        <w:t xml:space="preserve">Accessibility in schools is another major issue. </w:t>
      </w:r>
      <w:r w:rsidR="005A1606">
        <w:rPr>
          <w:sz w:val="22"/>
          <w:szCs w:val="22"/>
        </w:rPr>
        <w:t>A</w:t>
      </w:r>
      <w:r w:rsidR="001B6075" w:rsidRPr="001B6075">
        <w:rPr>
          <w:sz w:val="22"/>
          <w:szCs w:val="22"/>
        </w:rPr>
        <w:t>ccessible transportation</w:t>
      </w:r>
      <w:r w:rsidR="005A1606">
        <w:rPr>
          <w:sz w:val="22"/>
          <w:szCs w:val="22"/>
        </w:rPr>
        <w:t xml:space="preserve"> to school</w:t>
      </w:r>
      <w:r w:rsidR="001B6075" w:rsidRPr="001B6075">
        <w:rPr>
          <w:sz w:val="22"/>
          <w:szCs w:val="22"/>
        </w:rPr>
        <w:t xml:space="preserve"> for students</w:t>
      </w:r>
      <w:r w:rsidR="005A1606">
        <w:rPr>
          <w:sz w:val="22"/>
          <w:szCs w:val="22"/>
        </w:rPr>
        <w:t xml:space="preserve"> is scarce</w:t>
      </w:r>
      <w:r w:rsidR="00D8725F">
        <w:rPr>
          <w:sz w:val="22"/>
          <w:szCs w:val="22"/>
        </w:rPr>
        <w:t>, which leads to additional expenses to ensure attendance in classes.</w:t>
      </w:r>
      <w:r w:rsidR="00682A64">
        <w:rPr>
          <w:rStyle w:val="EndnoteReference"/>
          <w:sz w:val="22"/>
          <w:szCs w:val="22"/>
        </w:rPr>
        <w:endnoteReference w:id="55"/>
      </w:r>
      <w:r w:rsidR="00D8725F">
        <w:rPr>
          <w:sz w:val="22"/>
          <w:szCs w:val="22"/>
        </w:rPr>
        <w:t xml:space="preserve"> F</w:t>
      </w:r>
      <w:r w:rsidR="00C865F3" w:rsidRPr="00C865F3">
        <w:rPr>
          <w:sz w:val="22"/>
          <w:szCs w:val="22"/>
        </w:rPr>
        <w:t>acilities and infrastructure</w:t>
      </w:r>
      <w:r w:rsidR="00034EE7">
        <w:rPr>
          <w:sz w:val="22"/>
          <w:szCs w:val="22"/>
        </w:rPr>
        <w:t xml:space="preserve"> are</w:t>
      </w:r>
      <w:r w:rsidR="00C865F3" w:rsidRPr="00C865F3">
        <w:rPr>
          <w:sz w:val="22"/>
          <w:szCs w:val="22"/>
        </w:rPr>
        <w:t xml:space="preserve"> also </w:t>
      </w:r>
      <w:r w:rsidR="00C865F3">
        <w:rPr>
          <w:sz w:val="22"/>
          <w:szCs w:val="22"/>
        </w:rPr>
        <w:t xml:space="preserve">frequently </w:t>
      </w:r>
      <w:r w:rsidR="00C865F3" w:rsidRPr="00C865F3">
        <w:rPr>
          <w:sz w:val="22"/>
          <w:szCs w:val="22"/>
        </w:rPr>
        <w:t xml:space="preserve">inaccessible for teachers and learners with disabilities despite the existence of </w:t>
      </w:r>
      <w:r w:rsidR="00D8725F">
        <w:rPr>
          <w:sz w:val="22"/>
          <w:szCs w:val="22"/>
        </w:rPr>
        <w:t xml:space="preserve">the </w:t>
      </w:r>
      <w:r w:rsidR="00C865F3" w:rsidRPr="00C865F3">
        <w:rPr>
          <w:sz w:val="22"/>
          <w:szCs w:val="22"/>
        </w:rPr>
        <w:t>Accessibility Law.</w:t>
      </w:r>
      <w:r w:rsidR="00682A64">
        <w:rPr>
          <w:rStyle w:val="EndnoteReference"/>
          <w:sz w:val="22"/>
          <w:szCs w:val="22"/>
        </w:rPr>
        <w:endnoteReference w:id="56"/>
      </w:r>
      <w:r w:rsidR="00C865F3" w:rsidRPr="00C865F3">
        <w:rPr>
          <w:sz w:val="22"/>
          <w:szCs w:val="22"/>
        </w:rPr>
        <w:t xml:space="preserve"> </w:t>
      </w:r>
      <w:r w:rsidR="00C63473">
        <w:rPr>
          <w:sz w:val="22"/>
          <w:szCs w:val="22"/>
        </w:rPr>
        <w:t>Although t</w:t>
      </w:r>
      <w:r w:rsidR="004453B1">
        <w:rPr>
          <w:sz w:val="22"/>
          <w:szCs w:val="22"/>
        </w:rPr>
        <w:t>his law</w:t>
      </w:r>
      <w:r w:rsidR="00C63473">
        <w:rPr>
          <w:sz w:val="22"/>
          <w:szCs w:val="22"/>
        </w:rPr>
        <w:t xml:space="preserve"> </w:t>
      </w:r>
      <w:r w:rsidR="00965B8B">
        <w:rPr>
          <w:sz w:val="22"/>
          <w:szCs w:val="22"/>
        </w:rPr>
        <w:t xml:space="preserve">was passed in 1981, its implementation has been very slow, as organizations of persons with disabilities </w:t>
      </w:r>
      <w:r w:rsidR="00B82AC8">
        <w:rPr>
          <w:sz w:val="22"/>
          <w:szCs w:val="22"/>
        </w:rPr>
        <w:t>criticize</w:t>
      </w:r>
      <w:r w:rsidR="00286B11">
        <w:rPr>
          <w:sz w:val="22"/>
          <w:szCs w:val="22"/>
        </w:rPr>
        <w:t>,</w:t>
      </w:r>
      <w:r w:rsidR="00B82AC8">
        <w:rPr>
          <w:rStyle w:val="EndnoteReference"/>
          <w:sz w:val="22"/>
          <w:szCs w:val="22"/>
        </w:rPr>
        <w:endnoteReference w:id="57"/>
      </w:r>
      <w:r w:rsidR="00B82AC8">
        <w:rPr>
          <w:sz w:val="22"/>
          <w:szCs w:val="22"/>
        </w:rPr>
        <w:t xml:space="preserve"> </w:t>
      </w:r>
      <w:r w:rsidR="00C3633D">
        <w:rPr>
          <w:sz w:val="22"/>
          <w:szCs w:val="22"/>
        </w:rPr>
        <w:t>reporting that r</w:t>
      </w:r>
      <w:r w:rsidR="00A22FF5">
        <w:rPr>
          <w:sz w:val="22"/>
          <w:szCs w:val="22"/>
        </w:rPr>
        <w:t>amps, accessible toilets, and parking lots are missing in many buildings, including educational centers.</w:t>
      </w:r>
      <w:r w:rsidR="00B23C63">
        <w:rPr>
          <w:rStyle w:val="EndnoteReference"/>
          <w:sz w:val="22"/>
          <w:szCs w:val="22"/>
        </w:rPr>
        <w:endnoteReference w:id="58"/>
      </w:r>
      <w:r w:rsidR="00A22FF5">
        <w:rPr>
          <w:sz w:val="22"/>
          <w:szCs w:val="22"/>
        </w:rPr>
        <w:t xml:space="preserve"> Even though </w:t>
      </w:r>
      <w:r w:rsidR="00C3633D">
        <w:rPr>
          <w:sz w:val="22"/>
          <w:szCs w:val="22"/>
        </w:rPr>
        <w:t>the</w:t>
      </w:r>
      <w:r w:rsidR="0046690D">
        <w:rPr>
          <w:sz w:val="22"/>
          <w:szCs w:val="22"/>
        </w:rPr>
        <w:t>re was no reference to</w:t>
      </w:r>
      <w:r w:rsidR="00C3633D">
        <w:rPr>
          <w:sz w:val="22"/>
          <w:szCs w:val="22"/>
        </w:rPr>
        <w:t xml:space="preserve"> </w:t>
      </w:r>
      <w:r w:rsidR="005221F3">
        <w:rPr>
          <w:sz w:val="22"/>
          <w:szCs w:val="22"/>
        </w:rPr>
        <w:t xml:space="preserve">visual and hearing accessibility and </w:t>
      </w:r>
      <w:r w:rsidR="00C3633D">
        <w:rPr>
          <w:sz w:val="22"/>
          <w:szCs w:val="22"/>
        </w:rPr>
        <w:t>accessibility in information</w:t>
      </w:r>
      <w:r w:rsidR="005221F3">
        <w:rPr>
          <w:sz w:val="22"/>
          <w:szCs w:val="22"/>
        </w:rPr>
        <w:t xml:space="preserve">, </w:t>
      </w:r>
      <w:r w:rsidR="00530E2F">
        <w:rPr>
          <w:sz w:val="22"/>
          <w:szCs w:val="22"/>
        </w:rPr>
        <w:t xml:space="preserve">it could be inferred that implementation in those spheres has been slow </w:t>
      </w:r>
      <w:r w:rsidR="00B23C63">
        <w:rPr>
          <w:sz w:val="22"/>
          <w:szCs w:val="22"/>
        </w:rPr>
        <w:t>too.</w:t>
      </w:r>
      <w:r w:rsidR="00C3633D">
        <w:rPr>
          <w:sz w:val="22"/>
          <w:szCs w:val="22"/>
        </w:rPr>
        <w:t xml:space="preserve"> </w:t>
      </w:r>
      <w:r w:rsidR="0064585D">
        <w:rPr>
          <w:sz w:val="22"/>
          <w:szCs w:val="22"/>
        </w:rPr>
        <w:t xml:space="preserve">Civil society also claims for </w:t>
      </w:r>
      <w:r w:rsidR="00A24094">
        <w:rPr>
          <w:sz w:val="22"/>
          <w:szCs w:val="22"/>
        </w:rPr>
        <w:t xml:space="preserve">an update in the </w:t>
      </w:r>
      <w:r w:rsidR="00244F16">
        <w:rPr>
          <w:sz w:val="22"/>
          <w:szCs w:val="22"/>
        </w:rPr>
        <w:t xml:space="preserve">Accessibility Law, which currently does not include </w:t>
      </w:r>
      <w:r w:rsidR="00350EDB">
        <w:rPr>
          <w:sz w:val="22"/>
          <w:szCs w:val="22"/>
        </w:rPr>
        <w:t xml:space="preserve">exclusive parking space for </w:t>
      </w:r>
      <w:r w:rsidR="004A54A4">
        <w:rPr>
          <w:sz w:val="22"/>
          <w:szCs w:val="22"/>
        </w:rPr>
        <w:t>drivers</w:t>
      </w:r>
      <w:r w:rsidR="00350EDB">
        <w:rPr>
          <w:sz w:val="22"/>
          <w:szCs w:val="22"/>
        </w:rPr>
        <w:t xml:space="preserve"> with disabilities, </w:t>
      </w:r>
      <w:r w:rsidR="007B57F8">
        <w:rPr>
          <w:sz w:val="22"/>
          <w:szCs w:val="22"/>
        </w:rPr>
        <w:t>who could be heading to school facilities</w:t>
      </w:r>
      <w:r w:rsidR="00AA2B93">
        <w:rPr>
          <w:sz w:val="22"/>
          <w:szCs w:val="22"/>
        </w:rPr>
        <w:t xml:space="preserve">, and effective provisions to ensure </w:t>
      </w:r>
      <w:r w:rsidR="006E7293">
        <w:rPr>
          <w:sz w:val="22"/>
          <w:szCs w:val="22"/>
        </w:rPr>
        <w:t>access to education.</w:t>
      </w:r>
      <w:r w:rsidR="00C25BA3">
        <w:rPr>
          <w:rStyle w:val="EndnoteReference"/>
          <w:sz w:val="22"/>
          <w:szCs w:val="22"/>
        </w:rPr>
        <w:endnoteReference w:id="59"/>
      </w:r>
      <w:r w:rsidR="006E7293">
        <w:rPr>
          <w:sz w:val="22"/>
          <w:szCs w:val="22"/>
        </w:rPr>
        <w:t xml:space="preserve"> </w:t>
      </w:r>
    </w:p>
    <w:p w14:paraId="51143F65" w14:textId="77777777" w:rsidR="00733659" w:rsidRDefault="00733659" w:rsidP="00673E55">
      <w:pPr>
        <w:rPr>
          <w:sz w:val="22"/>
          <w:szCs w:val="22"/>
        </w:rPr>
      </w:pPr>
    </w:p>
    <w:p w14:paraId="4668D110" w14:textId="506E83EE" w:rsidR="00E90669" w:rsidRPr="005169F8" w:rsidRDefault="002F2757" w:rsidP="00673E55">
      <w:r>
        <w:rPr>
          <w:sz w:val="22"/>
          <w:szCs w:val="22"/>
        </w:rPr>
        <w:t>In addition, m</w:t>
      </w:r>
      <w:r w:rsidR="00E90669">
        <w:rPr>
          <w:sz w:val="22"/>
          <w:szCs w:val="22"/>
        </w:rPr>
        <w:t xml:space="preserve">any girls with disabilities </w:t>
      </w:r>
      <w:r>
        <w:rPr>
          <w:sz w:val="22"/>
          <w:szCs w:val="22"/>
        </w:rPr>
        <w:t xml:space="preserve">enrolled in schools experience bullying. This </w:t>
      </w:r>
      <w:r w:rsidR="00E90669">
        <w:rPr>
          <w:sz w:val="22"/>
          <w:szCs w:val="22"/>
        </w:rPr>
        <w:t xml:space="preserve">is </w:t>
      </w:r>
      <w:r w:rsidR="00E0491C">
        <w:rPr>
          <w:sz w:val="22"/>
          <w:szCs w:val="22"/>
        </w:rPr>
        <w:t>a common and</w:t>
      </w:r>
      <w:r w:rsidR="00E90669">
        <w:rPr>
          <w:sz w:val="22"/>
          <w:szCs w:val="22"/>
        </w:rPr>
        <w:t xml:space="preserve"> </w:t>
      </w:r>
      <w:r w:rsidR="00E0491C">
        <w:rPr>
          <w:sz w:val="22"/>
          <w:szCs w:val="22"/>
        </w:rPr>
        <w:t xml:space="preserve">frequent </w:t>
      </w:r>
      <w:r w:rsidR="00E90669">
        <w:rPr>
          <w:sz w:val="22"/>
          <w:szCs w:val="22"/>
        </w:rPr>
        <w:t>reason for dropouts,</w:t>
      </w:r>
      <w:r w:rsidR="00E90669">
        <w:rPr>
          <w:rStyle w:val="EndnoteReference"/>
          <w:sz w:val="22"/>
          <w:szCs w:val="22"/>
        </w:rPr>
        <w:endnoteReference w:id="60"/>
      </w:r>
      <w:r w:rsidR="00E90669">
        <w:rPr>
          <w:sz w:val="22"/>
          <w:szCs w:val="22"/>
        </w:rPr>
        <w:t xml:space="preserve"> </w:t>
      </w:r>
      <w:r w:rsidR="00E0491C">
        <w:rPr>
          <w:sz w:val="22"/>
          <w:szCs w:val="22"/>
        </w:rPr>
        <w:t xml:space="preserve">and </w:t>
      </w:r>
      <w:r w:rsidR="00E90669">
        <w:rPr>
          <w:sz w:val="22"/>
          <w:szCs w:val="22"/>
        </w:rPr>
        <w:t xml:space="preserve">girls </w:t>
      </w:r>
      <w:r w:rsidR="00E0491C">
        <w:rPr>
          <w:sz w:val="22"/>
          <w:szCs w:val="22"/>
        </w:rPr>
        <w:t>experience</w:t>
      </w:r>
      <w:r w:rsidR="00E90669" w:rsidRPr="00EB58C3">
        <w:rPr>
          <w:sz w:val="22"/>
          <w:szCs w:val="22"/>
        </w:rPr>
        <w:t xml:space="preserve"> bullying at a higher rate compared to boys.</w:t>
      </w:r>
      <w:r w:rsidR="00E90669" w:rsidRPr="00EB58C3">
        <w:rPr>
          <w:rStyle w:val="EndnoteReference"/>
          <w:sz w:val="22"/>
          <w:szCs w:val="22"/>
        </w:rPr>
        <w:endnoteReference w:id="61"/>
      </w:r>
      <w:r w:rsidR="00E0491C">
        <w:rPr>
          <w:sz w:val="22"/>
          <w:szCs w:val="22"/>
        </w:rPr>
        <w:t xml:space="preserve"> </w:t>
      </w:r>
      <w:r w:rsidR="00E0491C" w:rsidRPr="005169F8">
        <w:rPr>
          <w:sz w:val="22"/>
          <w:szCs w:val="22"/>
        </w:rPr>
        <w:t xml:space="preserve">According to </w:t>
      </w:r>
      <w:r w:rsidR="00C80133" w:rsidRPr="005169F8">
        <w:rPr>
          <w:sz w:val="22"/>
          <w:szCs w:val="22"/>
        </w:rPr>
        <w:t xml:space="preserve">a 2022 report, </w:t>
      </w:r>
      <w:r w:rsidR="005E4B50" w:rsidRPr="005169F8">
        <w:rPr>
          <w:sz w:val="22"/>
          <w:szCs w:val="22"/>
        </w:rPr>
        <w:t>70,5% of female students inquired had experienced bullying at least once, against 59,8</w:t>
      </w:r>
      <w:r w:rsidR="00ED0A60" w:rsidRPr="005169F8">
        <w:rPr>
          <w:sz w:val="22"/>
          <w:szCs w:val="22"/>
        </w:rPr>
        <w:t>% of male students.</w:t>
      </w:r>
      <w:r w:rsidR="00ED0A60" w:rsidRPr="005169F8">
        <w:rPr>
          <w:rStyle w:val="EndnoteReference"/>
          <w:sz w:val="22"/>
          <w:szCs w:val="22"/>
        </w:rPr>
        <w:endnoteReference w:id="62"/>
      </w:r>
      <w:r w:rsidR="00ED0A60" w:rsidRPr="005169F8">
        <w:rPr>
          <w:sz w:val="22"/>
          <w:szCs w:val="22"/>
        </w:rPr>
        <w:t xml:space="preserve"> </w:t>
      </w:r>
    </w:p>
    <w:p w14:paraId="59DCC1EE" w14:textId="1426C24E" w:rsidR="00E90669" w:rsidRPr="006B6193" w:rsidRDefault="005169F8" w:rsidP="00673E55">
      <w:pPr>
        <w:pStyle w:val="ListParagraph"/>
        <w:numPr>
          <w:ilvl w:val="0"/>
          <w:numId w:val="13"/>
        </w:numPr>
        <w:spacing w:line="240" w:lineRule="auto"/>
        <w:contextualSpacing w:val="0"/>
        <w:rPr>
          <w:rFonts w:ascii="Times New Roman" w:hAnsi="Times New Roman" w:cs="Times New Roman"/>
        </w:rPr>
      </w:pPr>
      <w:r w:rsidRPr="005169F8">
        <w:rPr>
          <w:rFonts w:ascii="Times New Roman" w:hAnsi="Times New Roman" w:cs="Times New Roman"/>
        </w:rPr>
        <w:t>A student with a psychosocial di</w:t>
      </w:r>
      <w:r>
        <w:rPr>
          <w:rFonts w:ascii="Times New Roman" w:hAnsi="Times New Roman" w:cs="Times New Roman"/>
        </w:rPr>
        <w:t xml:space="preserve">sability shared that </w:t>
      </w:r>
      <w:r w:rsidR="00B61DDA">
        <w:rPr>
          <w:rFonts w:ascii="Times New Roman" w:hAnsi="Times New Roman" w:cs="Times New Roman"/>
        </w:rPr>
        <w:t>a teacher bullied her, mimicking her during her episodes</w:t>
      </w:r>
      <w:r w:rsidR="00B61DDA" w:rsidRPr="006B6193">
        <w:rPr>
          <w:rFonts w:ascii="Times New Roman" w:hAnsi="Times New Roman" w:cs="Times New Roman"/>
        </w:rPr>
        <w:t>.</w:t>
      </w:r>
      <w:r w:rsidR="006B6193">
        <w:rPr>
          <w:rStyle w:val="EndnoteReference"/>
          <w:rFonts w:ascii="Times New Roman" w:hAnsi="Times New Roman" w:cs="Times New Roman"/>
        </w:rPr>
        <w:endnoteReference w:id="63"/>
      </w:r>
      <w:r w:rsidR="00B61DDA" w:rsidRPr="006B6193">
        <w:rPr>
          <w:rFonts w:ascii="Times New Roman" w:hAnsi="Times New Roman" w:cs="Times New Roman"/>
        </w:rPr>
        <w:t xml:space="preserve"> </w:t>
      </w:r>
    </w:p>
    <w:p w14:paraId="2D8DD479" w14:textId="7A1BEBEE" w:rsidR="00AE068F" w:rsidRPr="006B6193" w:rsidRDefault="00AE068F" w:rsidP="00673E55">
      <w:pPr>
        <w:pStyle w:val="ListParagraph"/>
        <w:numPr>
          <w:ilvl w:val="0"/>
          <w:numId w:val="13"/>
        </w:numPr>
        <w:spacing w:line="240" w:lineRule="auto"/>
        <w:contextualSpacing w:val="0"/>
        <w:rPr>
          <w:rFonts w:ascii="Times New Roman" w:hAnsi="Times New Roman" w:cs="Times New Roman"/>
        </w:rPr>
      </w:pPr>
      <w:r w:rsidRPr="006B6193">
        <w:rPr>
          <w:rFonts w:ascii="Times New Roman" w:hAnsi="Times New Roman" w:cs="Times New Roman"/>
        </w:rPr>
        <w:t xml:space="preserve">Another student with a disability </w:t>
      </w:r>
      <w:r w:rsidR="00975E52" w:rsidRPr="006B6193">
        <w:rPr>
          <w:rFonts w:ascii="Times New Roman" w:hAnsi="Times New Roman" w:cs="Times New Roman"/>
        </w:rPr>
        <w:t>got turned into a meme in class as they posted a photo of her online, and she had to leave her school group.</w:t>
      </w:r>
      <w:r w:rsidR="00BA7E79">
        <w:rPr>
          <w:rStyle w:val="EndnoteReference"/>
          <w:rFonts w:ascii="Times New Roman" w:hAnsi="Times New Roman" w:cs="Times New Roman"/>
        </w:rPr>
        <w:endnoteReference w:id="64"/>
      </w:r>
    </w:p>
    <w:p w14:paraId="168BB3F2" w14:textId="6AAF279E" w:rsidR="0089491C" w:rsidRDefault="006B6193" w:rsidP="00673E55">
      <w:pPr>
        <w:pStyle w:val="ListParagraph"/>
        <w:numPr>
          <w:ilvl w:val="0"/>
          <w:numId w:val="13"/>
        </w:numPr>
        <w:spacing w:line="240" w:lineRule="auto"/>
        <w:contextualSpacing w:val="0"/>
        <w:rPr>
          <w:rFonts w:ascii="Times New Roman" w:hAnsi="Times New Roman" w:cs="Times New Roman"/>
        </w:rPr>
      </w:pPr>
      <w:r w:rsidRPr="006B6193">
        <w:rPr>
          <w:rFonts w:ascii="Times New Roman" w:hAnsi="Times New Roman" w:cs="Times New Roman"/>
        </w:rPr>
        <w:t>Classmates of a student with a visual disability would flatten the braille dots and hide things from them.</w:t>
      </w:r>
      <w:r w:rsidR="00920D84">
        <w:rPr>
          <w:rStyle w:val="EndnoteReference"/>
          <w:rFonts w:ascii="Times New Roman" w:hAnsi="Times New Roman" w:cs="Times New Roman"/>
        </w:rPr>
        <w:endnoteReference w:id="65"/>
      </w:r>
    </w:p>
    <w:p w14:paraId="0FA1211D" w14:textId="5EE8C934" w:rsidR="00267EFE" w:rsidRPr="0089491C" w:rsidRDefault="00267EFE" w:rsidP="00673E55">
      <w:pPr>
        <w:pStyle w:val="ListParagraph"/>
        <w:numPr>
          <w:ilvl w:val="0"/>
          <w:numId w:val="13"/>
        </w:numPr>
        <w:spacing w:line="240" w:lineRule="auto"/>
        <w:contextualSpacing w:val="0"/>
        <w:rPr>
          <w:rFonts w:ascii="Times New Roman" w:hAnsi="Times New Roman" w:cs="Times New Roman"/>
        </w:rPr>
      </w:pPr>
      <w:r>
        <w:rPr>
          <w:rFonts w:ascii="Times New Roman" w:hAnsi="Times New Roman" w:cs="Times New Roman"/>
        </w:rPr>
        <w:t xml:space="preserve">A focus group participant with a </w:t>
      </w:r>
      <w:r w:rsidR="008526EF">
        <w:rPr>
          <w:rFonts w:ascii="Times New Roman" w:hAnsi="Times New Roman" w:cs="Times New Roman"/>
        </w:rPr>
        <w:t>physical disability shared that</w:t>
      </w:r>
      <w:r w:rsidR="001B55BB">
        <w:rPr>
          <w:rFonts w:ascii="Times New Roman" w:hAnsi="Times New Roman" w:cs="Times New Roman"/>
        </w:rPr>
        <w:t xml:space="preserve"> “</w:t>
      </w:r>
      <w:r w:rsidR="00217969">
        <w:rPr>
          <w:rFonts w:ascii="Times New Roman" w:hAnsi="Times New Roman" w:cs="Times New Roman"/>
        </w:rPr>
        <w:t>i</w:t>
      </w:r>
      <w:r w:rsidR="00217969" w:rsidRPr="00217969">
        <w:rPr>
          <w:rFonts w:ascii="Times New Roman" w:hAnsi="Times New Roman" w:cs="Times New Roman"/>
        </w:rPr>
        <w:t>n high school, there was a vacant seat beside me</w:t>
      </w:r>
      <w:r w:rsidR="00217969">
        <w:rPr>
          <w:rFonts w:ascii="Times New Roman" w:hAnsi="Times New Roman" w:cs="Times New Roman"/>
        </w:rPr>
        <w:t>,</w:t>
      </w:r>
      <w:r w:rsidR="00217969" w:rsidRPr="00217969">
        <w:rPr>
          <w:rFonts w:ascii="Times New Roman" w:hAnsi="Times New Roman" w:cs="Times New Roman"/>
        </w:rPr>
        <w:t xml:space="preserve"> but nobody wanted to use it.</w:t>
      </w:r>
      <w:r w:rsidR="00217969">
        <w:rPr>
          <w:rFonts w:ascii="Times New Roman" w:hAnsi="Times New Roman" w:cs="Times New Roman"/>
        </w:rPr>
        <w:t>”</w:t>
      </w:r>
      <w:r w:rsidR="00217969">
        <w:rPr>
          <w:rStyle w:val="EndnoteReference"/>
          <w:rFonts w:ascii="Times New Roman" w:hAnsi="Times New Roman" w:cs="Times New Roman"/>
        </w:rPr>
        <w:endnoteReference w:id="66"/>
      </w:r>
    </w:p>
    <w:p w14:paraId="3B0EEB62" w14:textId="77777777" w:rsidR="00E90669" w:rsidRPr="006B6193" w:rsidRDefault="00E90669" w:rsidP="00673E55">
      <w:pPr>
        <w:rPr>
          <w:sz w:val="22"/>
          <w:szCs w:val="22"/>
        </w:rPr>
      </w:pPr>
    </w:p>
    <w:p w14:paraId="3838F4C9" w14:textId="7295048E" w:rsidR="00733659" w:rsidRDefault="00733659" w:rsidP="00673E55">
      <w:pPr>
        <w:rPr>
          <w:sz w:val="22"/>
          <w:szCs w:val="22"/>
        </w:rPr>
      </w:pPr>
      <w:r>
        <w:rPr>
          <w:sz w:val="22"/>
          <w:szCs w:val="22"/>
        </w:rPr>
        <w:t xml:space="preserve">Furthermore, there is no </w:t>
      </w:r>
      <w:r w:rsidR="008B016E">
        <w:rPr>
          <w:sz w:val="22"/>
          <w:szCs w:val="22"/>
        </w:rPr>
        <w:t xml:space="preserve">gender perspective when addressing disabilities and diversity in schools, </w:t>
      </w:r>
      <w:r w:rsidR="004C5566">
        <w:rPr>
          <w:sz w:val="22"/>
          <w:szCs w:val="22"/>
        </w:rPr>
        <w:t xml:space="preserve">with students with disabilities being considered one </w:t>
      </w:r>
      <w:r w:rsidR="00634ADF">
        <w:rPr>
          <w:sz w:val="22"/>
          <w:szCs w:val="22"/>
        </w:rPr>
        <w:t xml:space="preserve">unique group, ignoring </w:t>
      </w:r>
      <w:r w:rsidR="00013C6B">
        <w:rPr>
          <w:sz w:val="22"/>
          <w:szCs w:val="22"/>
        </w:rPr>
        <w:t>gender dynamics and specific needs.</w:t>
      </w:r>
      <w:r w:rsidR="00DB5833">
        <w:rPr>
          <w:rStyle w:val="EndnoteReference"/>
          <w:sz w:val="22"/>
          <w:szCs w:val="22"/>
        </w:rPr>
        <w:endnoteReference w:id="67"/>
      </w:r>
      <w:r w:rsidR="00013C6B">
        <w:rPr>
          <w:sz w:val="22"/>
          <w:szCs w:val="22"/>
        </w:rPr>
        <w:t xml:space="preserve"> </w:t>
      </w:r>
      <w:r w:rsidR="00324835">
        <w:rPr>
          <w:sz w:val="22"/>
          <w:szCs w:val="22"/>
        </w:rPr>
        <w:t xml:space="preserve">Nonetheless, there is an urgent need for a gender-inclusive perspective in schools, as </w:t>
      </w:r>
      <w:r w:rsidR="00273B90" w:rsidRPr="00273B90">
        <w:rPr>
          <w:sz w:val="22"/>
          <w:szCs w:val="22"/>
        </w:rPr>
        <w:t xml:space="preserve">gender-based violence remains a major barrier </w:t>
      </w:r>
      <w:r w:rsidR="00187923">
        <w:rPr>
          <w:sz w:val="22"/>
          <w:szCs w:val="22"/>
        </w:rPr>
        <w:t>to</w:t>
      </w:r>
      <w:r w:rsidR="00273B90" w:rsidRPr="00273B90">
        <w:rPr>
          <w:sz w:val="22"/>
          <w:szCs w:val="22"/>
        </w:rPr>
        <w:t xml:space="preserve"> women’s access to education</w:t>
      </w:r>
      <w:r w:rsidR="00181904">
        <w:rPr>
          <w:sz w:val="22"/>
          <w:szCs w:val="22"/>
        </w:rPr>
        <w:t xml:space="preserve">, including those with </w:t>
      </w:r>
      <w:r w:rsidR="00181904">
        <w:rPr>
          <w:sz w:val="22"/>
          <w:szCs w:val="22"/>
        </w:rPr>
        <w:lastRenderedPageBreak/>
        <w:t>disabilities</w:t>
      </w:r>
      <w:r w:rsidR="00273B90" w:rsidRPr="00273B90">
        <w:rPr>
          <w:sz w:val="22"/>
          <w:szCs w:val="22"/>
        </w:rPr>
        <w:t>.</w:t>
      </w:r>
      <w:r w:rsidR="007E1C2C">
        <w:rPr>
          <w:rStyle w:val="EndnoteReference"/>
          <w:sz w:val="22"/>
          <w:szCs w:val="22"/>
        </w:rPr>
        <w:endnoteReference w:id="68"/>
      </w:r>
      <w:r w:rsidR="00273B90" w:rsidRPr="00273B90">
        <w:rPr>
          <w:sz w:val="22"/>
          <w:szCs w:val="22"/>
        </w:rPr>
        <w:t xml:space="preserve"> </w:t>
      </w:r>
      <w:r w:rsidR="00E1676D">
        <w:rPr>
          <w:sz w:val="22"/>
          <w:szCs w:val="22"/>
        </w:rPr>
        <w:t xml:space="preserve">Reports show that parents and carers </w:t>
      </w:r>
      <w:r w:rsidR="00273B90" w:rsidRPr="00273B90">
        <w:rPr>
          <w:sz w:val="22"/>
          <w:szCs w:val="22"/>
        </w:rPr>
        <w:t xml:space="preserve">raised concerns </w:t>
      </w:r>
      <w:r w:rsidR="00E1676D">
        <w:rPr>
          <w:sz w:val="22"/>
          <w:szCs w:val="22"/>
        </w:rPr>
        <w:t>about</w:t>
      </w:r>
      <w:r w:rsidR="00273B90" w:rsidRPr="00273B90">
        <w:rPr>
          <w:sz w:val="22"/>
          <w:szCs w:val="22"/>
        </w:rPr>
        <w:t xml:space="preserve"> female learners reaching puberty</w:t>
      </w:r>
      <w:r w:rsidR="00187923">
        <w:rPr>
          <w:sz w:val="22"/>
          <w:szCs w:val="22"/>
        </w:rPr>
        <w:t>,</w:t>
      </w:r>
      <w:r w:rsidR="00273B90" w:rsidRPr="00273B90">
        <w:rPr>
          <w:sz w:val="22"/>
          <w:szCs w:val="22"/>
        </w:rPr>
        <w:t xml:space="preserve"> as they worry about </w:t>
      </w:r>
      <w:r w:rsidR="00187923">
        <w:rPr>
          <w:sz w:val="22"/>
          <w:szCs w:val="22"/>
        </w:rPr>
        <w:t xml:space="preserve">their </w:t>
      </w:r>
      <w:r w:rsidR="00273B90" w:rsidRPr="00273B90">
        <w:rPr>
          <w:sz w:val="22"/>
          <w:szCs w:val="22"/>
        </w:rPr>
        <w:t>capacity to handle high-risk situations</w:t>
      </w:r>
      <w:r w:rsidR="00187923">
        <w:rPr>
          <w:sz w:val="22"/>
          <w:szCs w:val="22"/>
        </w:rPr>
        <w:t xml:space="preserve"> in school.</w:t>
      </w:r>
      <w:r w:rsidR="007E1C2C">
        <w:rPr>
          <w:rStyle w:val="EndnoteReference"/>
          <w:sz w:val="22"/>
          <w:szCs w:val="22"/>
        </w:rPr>
        <w:endnoteReference w:id="69"/>
      </w:r>
      <w:r w:rsidR="00187923">
        <w:rPr>
          <w:sz w:val="22"/>
          <w:szCs w:val="22"/>
        </w:rPr>
        <w:t xml:space="preserve"> </w:t>
      </w:r>
    </w:p>
    <w:p w14:paraId="0E3C0852" w14:textId="77777777" w:rsidR="0083543B" w:rsidRDefault="0083543B" w:rsidP="00673E55">
      <w:pPr>
        <w:rPr>
          <w:sz w:val="22"/>
          <w:szCs w:val="22"/>
        </w:rPr>
      </w:pPr>
    </w:p>
    <w:p w14:paraId="74FD0EFB" w14:textId="3AC81ED2" w:rsidR="00901418" w:rsidRDefault="0083543B" w:rsidP="00673E55">
      <w:pPr>
        <w:rPr>
          <w:sz w:val="22"/>
          <w:szCs w:val="22"/>
        </w:rPr>
      </w:pPr>
      <w:r>
        <w:rPr>
          <w:sz w:val="22"/>
          <w:szCs w:val="22"/>
        </w:rPr>
        <w:t xml:space="preserve">In certain circumstances, </w:t>
      </w:r>
      <w:r w:rsidR="00901418">
        <w:rPr>
          <w:sz w:val="22"/>
          <w:szCs w:val="22"/>
        </w:rPr>
        <w:t xml:space="preserve">teachers reinforce gender </w:t>
      </w:r>
      <w:r w:rsidR="00901418" w:rsidRPr="00901418">
        <w:rPr>
          <w:sz w:val="22"/>
          <w:szCs w:val="22"/>
        </w:rPr>
        <w:t xml:space="preserve">stereotyping and victim-blaming </w:t>
      </w:r>
      <w:r w:rsidR="00901418">
        <w:rPr>
          <w:sz w:val="22"/>
          <w:szCs w:val="22"/>
        </w:rPr>
        <w:t>in education</w:t>
      </w:r>
      <w:r w:rsidR="004D0BD9">
        <w:rPr>
          <w:sz w:val="22"/>
          <w:szCs w:val="22"/>
        </w:rPr>
        <w:t>. For instance, t</w:t>
      </w:r>
      <w:r w:rsidR="005A1606">
        <w:rPr>
          <w:sz w:val="22"/>
          <w:szCs w:val="22"/>
        </w:rPr>
        <w:t>eachers</w:t>
      </w:r>
      <w:r w:rsidR="004D0BD9">
        <w:rPr>
          <w:sz w:val="22"/>
          <w:szCs w:val="22"/>
        </w:rPr>
        <w:t xml:space="preserve"> are often </w:t>
      </w:r>
      <w:r w:rsidR="00176ED5">
        <w:rPr>
          <w:sz w:val="22"/>
          <w:szCs w:val="22"/>
        </w:rPr>
        <w:t xml:space="preserve">more severe with girls </w:t>
      </w:r>
      <w:r w:rsidR="00D711B4">
        <w:rPr>
          <w:sz w:val="22"/>
          <w:szCs w:val="22"/>
        </w:rPr>
        <w:t xml:space="preserve">in comparison to boys </w:t>
      </w:r>
      <w:r w:rsidR="00176ED5">
        <w:rPr>
          <w:sz w:val="22"/>
          <w:szCs w:val="22"/>
        </w:rPr>
        <w:t xml:space="preserve">when asking for </w:t>
      </w:r>
      <w:r w:rsidR="004D0BD9">
        <w:rPr>
          <w:sz w:val="22"/>
          <w:szCs w:val="22"/>
        </w:rPr>
        <w:t>good behavior</w:t>
      </w:r>
      <w:r w:rsidR="00D711B4">
        <w:rPr>
          <w:sz w:val="22"/>
          <w:szCs w:val="22"/>
        </w:rPr>
        <w:t xml:space="preserve">, based on the </w:t>
      </w:r>
      <w:r w:rsidR="00D711B4" w:rsidRPr="00D711B4">
        <w:rPr>
          <w:sz w:val="22"/>
          <w:szCs w:val="22"/>
        </w:rPr>
        <w:t xml:space="preserve">stereotype that females must be prim and proper, and males </w:t>
      </w:r>
      <w:r w:rsidR="00D711B4">
        <w:rPr>
          <w:sz w:val="22"/>
          <w:szCs w:val="22"/>
        </w:rPr>
        <w:t xml:space="preserve">can </w:t>
      </w:r>
      <w:r w:rsidR="00D711B4" w:rsidRPr="00D711B4">
        <w:rPr>
          <w:sz w:val="22"/>
          <w:szCs w:val="22"/>
        </w:rPr>
        <w:t>be unruly</w:t>
      </w:r>
      <w:r w:rsidR="00D711B4">
        <w:rPr>
          <w:sz w:val="22"/>
          <w:szCs w:val="22"/>
        </w:rPr>
        <w:t>.</w:t>
      </w:r>
      <w:r w:rsidR="00D711B4">
        <w:rPr>
          <w:rStyle w:val="EndnoteReference"/>
          <w:sz w:val="22"/>
          <w:szCs w:val="22"/>
        </w:rPr>
        <w:endnoteReference w:id="70"/>
      </w:r>
    </w:p>
    <w:p w14:paraId="416131DA" w14:textId="77777777" w:rsidR="00FB1DAC" w:rsidRDefault="00FB1DAC" w:rsidP="00673E55">
      <w:pPr>
        <w:rPr>
          <w:sz w:val="22"/>
          <w:szCs w:val="22"/>
        </w:rPr>
      </w:pPr>
    </w:p>
    <w:p w14:paraId="711446C6" w14:textId="08E3A5A3" w:rsidR="00110B92" w:rsidRDefault="00110B92" w:rsidP="00D657C4">
      <w:pPr>
        <w:rPr>
          <w:sz w:val="22"/>
          <w:szCs w:val="22"/>
        </w:rPr>
      </w:pPr>
      <w:r>
        <w:rPr>
          <w:sz w:val="22"/>
          <w:szCs w:val="22"/>
        </w:rPr>
        <w:t xml:space="preserve">The COVID-19 pandemic also </w:t>
      </w:r>
      <w:r w:rsidR="00A1244F">
        <w:rPr>
          <w:sz w:val="22"/>
          <w:szCs w:val="22"/>
        </w:rPr>
        <w:t xml:space="preserve">highlighted the </w:t>
      </w:r>
      <w:r w:rsidR="00E7537C">
        <w:rPr>
          <w:sz w:val="22"/>
          <w:szCs w:val="22"/>
        </w:rPr>
        <w:t xml:space="preserve">negative impact of gender roles in </w:t>
      </w:r>
      <w:r w:rsidR="005D763E">
        <w:rPr>
          <w:sz w:val="22"/>
          <w:szCs w:val="22"/>
        </w:rPr>
        <w:t>access</w:t>
      </w:r>
      <w:r w:rsidR="00E7537C">
        <w:rPr>
          <w:sz w:val="22"/>
          <w:szCs w:val="22"/>
        </w:rPr>
        <w:t xml:space="preserve"> to education. </w:t>
      </w:r>
      <w:r w:rsidR="003440A0">
        <w:rPr>
          <w:sz w:val="22"/>
          <w:szCs w:val="22"/>
        </w:rPr>
        <w:t xml:space="preserve">According to </w:t>
      </w:r>
      <w:r w:rsidR="00F354D5">
        <w:rPr>
          <w:sz w:val="22"/>
          <w:szCs w:val="22"/>
        </w:rPr>
        <w:t xml:space="preserve">a study </w:t>
      </w:r>
      <w:r w:rsidR="003440A0">
        <w:rPr>
          <w:sz w:val="22"/>
          <w:szCs w:val="22"/>
        </w:rPr>
        <w:t xml:space="preserve">conducted by Plan </w:t>
      </w:r>
      <w:r w:rsidR="00F354D5">
        <w:rPr>
          <w:sz w:val="22"/>
          <w:szCs w:val="22"/>
        </w:rPr>
        <w:t>International</w:t>
      </w:r>
      <w:r w:rsidR="003440A0">
        <w:rPr>
          <w:sz w:val="22"/>
          <w:szCs w:val="22"/>
        </w:rPr>
        <w:t>, t</w:t>
      </w:r>
      <w:r w:rsidR="00D657C4" w:rsidRPr="00D657C4">
        <w:rPr>
          <w:sz w:val="22"/>
          <w:szCs w:val="22"/>
        </w:rPr>
        <w:t>he pandemic has significantly reduced the number of</w:t>
      </w:r>
      <w:r w:rsidR="003440A0">
        <w:rPr>
          <w:sz w:val="22"/>
          <w:szCs w:val="22"/>
        </w:rPr>
        <w:t xml:space="preserve"> </w:t>
      </w:r>
      <w:r w:rsidR="00D657C4" w:rsidRPr="00D657C4">
        <w:rPr>
          <w:sz w:val="22"/>
          <w:szCs w:val="22"/>
        </w:rPr>
        <w:t>hours that girls and young women devote to learning.</w:t>
      </w:r>
      <w:r w:rsidR="003440A0">
        <w:rPr>
          <w:sz w:val="22"/>
          <w:szCs w:val="22"/>
        </w:rPr>
        <w:t xml:space="preserve"> 28% </w:t>
      </w:r>
      <w:r w:rsidR="00D657C4" w:rsidRPr="00D657C4">
        <w:rPr>
          <w:sz w:val="22"/>
          <w:szCs w:val="22"/>
        </w:rPr>
        <w:t xml:space="preserve">of </w:t>
      </w:r>
      <w:r w:rsidR="004B49B9">
        <w:rPr>
          <w:sz w:val="22"/>
          <w:szCs w:val="22"/>
        </w:rPr>
        <w:t xml:space="preserve">learners inquired </w:t>
      </w:r>
      <w:r w:rsidR="00D657C4" w:rsidRPr="00D657C4">
        <w:rPr>
          <w:sz w:val="22"/>
          <w:szCs w:val="22"/>
        </w:rPr>
        <w:t>said they studied</w:t>
      </w:r>
      <w:r w:rsidR="004B49B9">
        <w:rPr>
          <w:sz w:val="22"/>
          <w:szCs w:val="22"/>
        </w:rPr>
        <w:t xml:space="preserve"> </w:t>
      </w:r>
      <w:r w:rsidR="00D657C4" w:rsidRPr="00D657C4">
        <w:rPr>
          <w:sz w:val="22"/>
          <w:szCs w:val="22"/>
        </w:rPr>
        <w:t xml:space="preserve">for one to two hours a day. </w:t>
      </w:r>
      <w:r w:rsidR="003440A0">
        <w:rPr>
          <w:sz w:val="22"/>
          <w:szCs w:val="22"/>
        </w:rPr>
        <w:t xml:space="preserve">20% </w:t>
      </w:r>
      <w:r w:rsidR="00D657C4" w:rsidRPr="00D657C4">
        <w:rPr>
          <w:sz w:val="22"/>
          <w:szCs w:val="22"/>
        </w:rPr>
        <w:t>said they</w:t>
      </w:r>
      <w:r w:rsidR="003440A0">
        <w:rPr>
          <w:sz w:val="22"/>
          <w:szCs w:val="22"/>
        </w:rPr>
        <w:t xml:space="preserve"> </w:t>
      </w:r>
      <w:r w:rsidR="00D657C4" w:rsidRPr="00D657C4">
        <w:rPr>
          <w:sz w:val="22"/>
          <w:szCs w:val="22"/>
        </w:rPr>
        <w:t>studied for less than an hour</w:t>
      </w:r>
      <w:r w:rsidR="003440A0">
        <w:rPr>
          <w:sz w:val="22"/>
          <w:szCs w:val="22"/>
        </w:rPr>
        <w:t xml:space="preserve">, and merely </w:t>
      </w:r>
      <w:r w:rsidR="00D657C4" w:rsidRPr="00D657C4">
        <w:rPr>
          <w:sz w:val="22"/>
          <w:szCs w:val="22"/>
        </w:rPr>
        <w:t>12% said</w:t>
      </w:r>
      <w:r w:rsidR="005A1606">
        <w:rPr>
          <w:sz w:val="22"/>
          <w:szCs w:val="22"/>
        </w:rPr>
        <w:t xml:space="preserve"> </w:t>
      </w:r>
      <w:r w:rsidR="00D657C4" w:rsidRPr="00D657C4">
        <w:rPr>
          <w:sz w:val="22"/>
          <w:szCs w:val="22"/>
        </w:rPr>
        <w:t>they still</w:t>
      </w:r>
      <w:r w:rsidR="005A1606">
        <w:rPr>
          <w:sz w:val="22"/>
          <w:szCs w:val="22"/>
        </w:rPr>
        <w:t xml:space="preserve"> </w:t>
      </w:r>
      <w:r w:rsidR="00D657C4" w:rsidRPr="00D657C4">
        <w:rPr>
          <w:sz w:val="22"/>
          <w:szCs w:val="22"/>
        </w:rPr>
        <w:t>studied between three and five hours a day.</w:t>
      </w:r>
      <w:r w:rsidR="00D62390">
        <w:rPr>
          <w:rStyle w:val="EndnoteReference"/>
          <w:sz w:val="22"/>
          <w:szCs w:val="22"/>
        </w:rPr>
        <w:endnoteReference w:id="71"/>
      </w:r>
      <w:r w:rsidR="004B49B9">
        <w:rPr>
          <w:sz w:val="22"/>
          <w:szCs w:val="22"/>
        </w:rPr>
        <w:t xml:space="preserve"> </w:t>
      </w:r>
      <w:r w:rsidR="00D657C4" w:rsidRPr="00D657C4">
        <w:rPr>
          <w:sz w:val="22"/>
          <w:szCs w:val="22"/>
        </w:rPr>
        <w:t xml:space="preserve">This inability to study at home has </w:t>
      </w:r>
      <w:r w:rsidR="00BC6EDF">
        <w:rPr>
          <w:sz w:val="22"/>
          <w:szCs w:val="22"/>
        </w:rPr>
        <w:t>as</w:t>
      </w:r>
      <w:r w:rsidR="00D657C4" w:rsidRPr="00D657C4">
        <w:rPr>
          <w:sz w:val="22"/>
          <w:szCs w:val="22"/>
        </w:rPr>
        <w:t xml:space="preserve"> main causes</w:t>
      </w:r>
      <w:r w:rsidR="00BC6EDF">
        <w:rPr>
          <w:sz w:val="22"/>
          <w:szCs w:val="22"/>
        </w:rPr>
        <w:t xml:space="preserve"> i</w:t>
      </w:r>
      <w:r w:rsidR="00D657C4" w:rsidRPr="00D657C4">
        <w:rPr>
          <w:sz w:val="22"/>
          <w:szCs w:val="22"/>
        </w:rPr>
        <w:t>nternet connectivity problems and the need to help</w:t>
      </w:r>
      <w:r w:rsidR="00BC6EDF">
        <w:rPr>
          <w:sz w:val="22"/>
          <w:szCs w:val="22"/>
        </w:rPr>
        <w:t xml:space="preserve"> </w:t>
      </w:r>
      <w:r w:rsidR="00D657C4" w:rsidRPr="00D657C4">
        <w:rPr>
          <w:sz w:val="22"/>
          <w:szCs w:val="22"/>
        </w:rPr>
        <w:t>with household chores</w:t>
      </w:r>
      <w:r w:rsidR="00765976">
        <w:rPr>
          <w:sz w:val="22"/>
          <w:szCs w:val="22"/>
        </w:rPr>
        <w:t>.</w:t>
      </w:r>
      <w:r w:rsidR="00765976">
        <w:rPr>
          <w:rStyle w:val="EndnoteReference"/>
          <w:sz w:val="22"/>
          <w:szCs w:val="22"/>
        </w:rPr>
        <w:endnoteReference w:id="72"/>
      </w:r>
      <w:r w:rsidR="00765976">
        <w:rPr>
          <w:sz w:val="22"/>
          <w:szCs w:val="22"/>
        </w:rPr>
        <w:t xml:space="preserve"> The latter</w:t>
      </w:r>
      <w:r w:rsidR="00AB1A37">
        <w:rPr>
          <w:sz w:val="22"/>
          <w:szCs w:val="22"/>
        </w:rPr>
        <w:t xml:space="preserve"> disproportionately falls under </w:t>
      </w:r>
      <w:r w:rsidR="00EE6B9F">
        <w:rPr>
          <w:sz w:val="22"/>
          <w:szCs w:val="22"/>
        </w:rPr>
        <w:t>women</w:t>
      </w:r>
      <w:r w:rsidR="00AB1A37">
        <w:rPr>
          <w:sz w:val="22"/>
          <w:szCs w:val="22"/>
        </w:rPr>
        <w:t>’s responsibility</w:t>
      </w:r>
      <w:r w:rsidR="00EE6B9F">
        <w:rPr>
          <w:sz w:val="22"/>
          <w:szCs w:val="22"/>
        </w:rPr>
        <w:t xml:space="preserve">, as </w:t>
      </w:r>
      <w:r w:rsidR="006A37D5">
        <w:rPr>
          <w:sz w:val="22"/>
          <w:szCs w:val="22"/>
        </w:rPr>
        <w:t xml:space="preserve">the study concluded </w:t>
      </w:r>
      <w:r w:rsidR="00EE6B9F">
        <w:rPr>
          <w:sz w:val="22"/>
          <w:szCs w:val="22"/>
        </w:rPr>
        <w:t xml:space="preserve">female students </w:t>
      </w:r>
      <w:r w:rsidR="00D657C4" w:rsidRPr="00D657C4">
        <w:rPr>
          <w:sz w:val="22"/>
          <w:szCs w:val="22"/>
        </w:rPr>
        <w:t>are given</w:t>
      </w:r>
      <w:r w:rsidR="00F354D5">
        <w:rPr>
          <w:sz w:val="22"/>
          <w:szCs w:val="22"/>
        </w:rPr>
        <w:t xml:space="preserve"> much more</w:t>
      </w:r>
      <w:r w:rsidR="005A1606">
        <w:rPr>
          <w:sz w:val="22"/>
          <w:szCs w:val="22"/>
        </w:rPr>
        <w:t xml:space="preserve"> </w:t>
      </w:r>
      <w:r w:rsidR="00D657C4" w:rsidRPr="00D657C4">
        <w:rPr>
          <w:sz w:val="22"/>
          <w:szCs w:val="22"/>
        </w:rPr>
        <w:t>responsibilities around the house than the male</w:t>
      </w:r>
      <w:r w:rsidR="00F354D5">
        <w:rPr>
          <w:sz w:val="22"/>
          <w:szCs w:val="22"/>
        </w:rPr>
        <w:t xml:space="preserve"> </w:t>
      </w:r>
      <w:r w:rsidR="00D657C4" w:rsidRPr="00D657C4">
        <w:rPr>
          <w:sz w:val="22"/>
          <w:szCs w:val="22"/>
        </w:rPr>
        <w:t>members of their families.</w:t>
      </w:r>
      <w:r w:rsidR="00765976">
        <w:rPr>
          <w:rStyle w:val="EndnoteReference"/>
          <w:sz w:val="22"/>
          <w:szCs w:val="22"/>
        </w:rPr>
        <w:endnoteReference w:id="73"/>
      </w:r>
      <w:r w:rsidR="00D657C4" w:rsidRPr="00D657C4">
        <w:rPr>
          <w:sz w:val="22"/>
          <w:szCs w:val="22"/>
        </w:rPr>
        <w:t xml:space="preserve"> </w:t>
      </w:r>
      <w:r w:rsidR="006A37D5">
        <w:rPr>
          <w:sz w:val="22"/>
          <w:szCs w:val="22"/>
        </w:rPr>
        <w:t xml:space="preserve">Although this data was no disaggregated by disabilities, </w:t>
      </w:r>
      <w:r w:rsidR="00EE1115">
        <w:rPr>
          <w:sz w:val="22"/>
          <w:szCs w:val="22"/>
        </w:rPr>
        <w:t xml:space="preserve">it is possible to assume that students with and without disabilities follow a similar pattern. </w:t>
      </w:r>
    </w:p>
    <w:p w14:paraId="1C043A7B" w14:textId="77777777" w:rsidR="00901418" w:rsidRDefault="00901418" w:rsidP="00901418">
      <w:pPr>
        <w:rPr>
          <w:sz w:val="22"/>
          <w:szCs w:val="22"/>
        </w:rPr>
      </w:pPr>
    </w:p>
    <w:p w14:paraId="605A3FE0" w14:textId="3F58FC7F" w:rsidR="0006082B" w:rsidRPr="004E31C8" w:rsidRDefault="00752A9B" w:rsidP="00A52DD8">
      <w:pPr>
        <w:rPr>
          <w:sz w:val="22"/>
          <w:szCs w:val="22"/>
        </w:rPr>
      </w:pPr>
      <w:r w:rsidRPr="005E72F1">
        <w:rPr>
          <w:b/>
          <w:color w:val="000000"/>
          <w:sz w:val="22"/>
          <w:szCs w:val="22"/>
        </w:rPr>
        <w:t>Recommendations</w:t>
      </w:r>
    </w:p>
    <w:p w14:paraId="3A194E2A" w14:textId="77777777" w:rsidR="00752A9B" w:rsidRPr="005E72F1" w:rsidRDefault="00752A9B" w:rsidP="00A52DD8">
      <w:pPr>
        <w:rPr>
          <w:b/>
          <w:color w:val="000000"/>
          <w:sz w:val="22"/>
          <w:szCs w:val="22"/>
        </w:rPr>
      </w:pPr>
    </w:p>
    <w:p w14:paraId="3712A2E3" w14:textId="57F44198" w:rsidR="001B7CD7" w:rsidRPr="004A3C01" w:rsidRDefault="008B3783" w:rsidP="001B7CD7">
      <w:pPr>
        <w:rPr>
          <w:iCs/>
          <w:sz w:val="22"/>
          <w:szCs w:val="22"/>
        </w:rPr>
      </w:pPr>
      <w:r>
        <w:rPr>
          <w:iCs/>
          <w:sz w:val="22"/>
          <w:szCs w:val="22"/>
        </w:rPr>
        <w:t>Considering the rights violations described above and the urgency t</w:t>
      </w:r>
      <w:r w:rsidR="001B7CD7">
        <w:rPr>
          <w:iCs/>
          <w:sz w:val="22"/>
          <w:szCs w:val="22"/>
        </w:rPr>
        <w:t>hat the Philippines</w:t>
      </w:r>
      <w:r>
        <w:rPr>
          <w:iCs/>
          <w:sz w:val="22"/>
          <w:szCs w:val="22"/>
        </w:rPr>
        <w:t xml:space="preserve"> </w:t>
      </w:r>
      <w:r w:rsidR="00994432">
        <w:rPr>
          <w:iCs/>
          <w:sz w:val="22"/>
          <w:szCs w:val="22"/>
        </w:rPr>
        <w:t xml:space="preserve">government </w:t>
      </w:r>
      <w:r w:rsidR="00A17A36">
        <w:rPr>
          <w:iCs/>
          <w:sz w:val="22"/>
          <w:szCs w:val="22"/>
        </w:rPr>
        <w:t>ensure</w:t>
      </w:r>
      <w:r w:rsidR="001B7CD7">
        <w:rPr>
          <w:iCs/>
          <w:sz w:val="22"/>
          <w:szCs w:val="22"/>
        </w:rPr>
        <w:t>s</w:t>
      </w:r>
      <w:r w:rsidR="00A17A36">
        <w:rPr>
          <w:iCs/>
          <w:sz w:val="22"/>
          <w:szCs w:val="22"/>
        </w:rPr>
        <w:t xml:space="preserve"> </w:t>
      </w:r>
      <w:r w:rsidR="00C953FA">
        <w:rPr>
          <w:iCs/>
          <w:sz w:val="22"/>
          <w:szCs w:val="22"/>
        </w:rPr>
        <w:t xml:space="preserve">measures to implement CEDAW </w:t>
      </w:r>
      <w:r w:rsidR="00A17A36">
        <w:rPr>
          <w:iCs/>
          <w:sz w:val="22"/>
          <w:szCs w:val="22"/>
        </w:rPr>
        <w:t xml:space="preserve">that </w:t>
      </w:r>
      <w:r w:rsidR="00C953FA">
        <w:rPr>
          <w:iCs/>
          <w:sz w:val="22"/>
          <w:szCs w:val="22"/>
        </w:rPr>
        <w:t>are</w:t>
      </w:r>
      <w:r w:rsidR="00A17A36">
        <w:rPr>
          <w:iCs/>
          <w:sz w:val="22"/>
          <w:szCs w:val="22"/>
        </w:rPr>
        <w:t xml:space="preserve"> inclusive of </w:t>
      </w:r>
      <w:r w:rsidR="005A1606">
        <w:rPr>
          <w:iCs/>
          <w:sz w:val="22"/>
          <w:szCs w:val="22"/>
        </w:rPr>
        <w:t>women and girls with disabilities</w:t>
      </w:r>
      <w:r w:rsidR="005C4766">
        <w:rPr>
          <w:iCs/>
          <w:sz w:val="22"/>
          <w:szCs w:val="22"/>
        </w:rPr>
        <w:t xml:space="preserve">, </w:t>
      </w:r>
      <w:r w:rsidR="00223A3B" w:rsidRPr="00223A3B">
        <w:rPr>
          <w:iCs/>
          <w:sz w:val="22"/>
          <w:szCs w:val="22"/>
        </w:rPr>
        <w:t>we</w:t>
      </w:r>
      <w:r w:rsidR="005A1606">
        <w:rPr>
          <w:iCs/>
          <w:sz w:val="22"/>
          <w:szCs w:val="22"/>
        </w:rPr>
        <w:t xml:space="preserve"> suggest the following and </w:t>
      </w:r>
      <w:r w:rsidR="00C953FA">
        <w:rPr>
          <w:iCs/>
          <w:sz w:val="22"/>
          <w:szCs w:val="22"/>
        </w:rPr>
        <w:t xml:space="preserve">hope </w:t>
      </w:r>
      <w:r w:rsidR="00223A3B" w:rsidRPr="00223A3B">
        <w:rPr>
          <w:iCs/>
          <w:sz w:val="22"/>
          <w:szCs w:val="22"/>
        </w:rPr>
        <w:t>that the CEDAW Committee will consider</w:t>
      </w:r>
      <w:r w:rsidR="001B7CD7">
        <w:rPr>
          <w:iCs/>
          <w:sz w:val="22"/>
          <w:szCs w:val="22"/>
        </w:rPr>
        <w:t xml:space="preserve"> </w:t>
      </w:r>
      <w:r w:rsidR="001B7CD7" w:rsidRPr="001B7CD7">
        <w:rPr>
          <w:iCs/>
          <w:sz w:val="22"/>
          <w:szCs w:val="22"/>
        </w:rPr>
        <w:t>including these recommendations in its</w:t>
      </w:r>
      <w:r w:rsidR="005A1606">
        <w:rPr>
          <w:iCs/>
          <w:sz w:val="22"/>
          <w:szCs w:val="22"/>
        </w:rPr>
        <w:t xml:space="preserve"> review and</w:t>
      </w:r>
      <w:r w:rsidR="00C953FA">
        <w:rPr>
          <w:iCs/>
          <w:sz w:val="22"/>
          <w:szCs w:val="22"/>
        </w:rPr>
        <w:t xml:space="preserve"> </w:t>
      </w:r>
      <w:r w:rsidR="001B7CD7" w:rsidRPr="001B7CD7">
        <w:rPr>
          <w:iCs/>
          <w:sz w:val="22"/>
          <w:szCs w:val="22"/>
        </w:rPr>
        <w:t>Concluding</w:t>
      </w:r>
      <w:r w:rsidR="00C953FA">
        <w:rPr>
          <w:iCs/>
          <w:sz w:val="22"/>
          <w:szCs w:val="22"/>
        </w:rPr>
        <w:t xml:space="preserve"> </w:t>
      </w:r>
      <w:r w:rsidR="001B7CD7" w:rsidRPr="004A3C01">
        <w:rPr>
          <w:iCs/>
          <w:sz w:val="22"/>
          <w:szCs w:val="22"/>
        </w:rPr>
        <w:t xml:space="preserve">Observations to the </w:t>
      </w:r>
      <w:r w:rsidR="005A1606">
        <w:rPr>
          <w:iCs/>
          <w:sz w:val="22"/>
          <w:szCs w:val="22"/>
        </w:rPr>
        <w:t>Philippines</w:t>
      </w:r>
      <w:r w:rsidR="001B7CD7" w:rsidRPr="004A3C01">
        <w:rPr>
          <w:iCs/>
          <w:sz w:val="22"/>
          <w:szCs w:val="22"/>
        </w:rPr>
        <w:t>:</w:t>
      </w:r>
    </w:p>
    <w:p w14:paraId="31C3314E" w14:textId="77777777" w:rsidR="00223A3B" w:rsidRPr="004A3C01" w:rsidRDefault="00223A3B" w:rsidP="00A52DD8">
      <w:pPr>
        <w:rPr>
          <w:iCs/>
          <w:sz w:val="22"/>
          <w:szCs w:val="22"/>
        </w:rPr>
      </w:pPr>
    </w:p>
    <w:p w14:paraId="2A3C1CAD" w14:textId="29B0A603" w:rsidR="00E148A7" w:rsidRDefault="00E148A7" w:rsidP="00E148A7">
      <w:pPr>
        <w:pStyle w:val="ListParagraph"/>
        <w:numPr>
          <w:ilvl w:val="0"/>
          <w:numId w:val="4"/>
        </w:numPr>
        <w:rPr>
          <w:rFonts w:ascii="Times New Roman" w:eastAsia="Times New Roman" w:hAnsi="Times New Roman" w:cs="Times New Roman"/>
          <w:bCs/>
          <w:color w:val="000000"/>
        </w:rPr>
      </w:pPr>
      <w:r w:rsidRPr="00E148A7">
        <w:rPr>
          <w:rFonts w:ascii="Times New Roman" w:eastAsia="Times New Roman" w:hAnsi="Times New Roman" w:cs="Times New Roman"/>
          <w:bCs/>
          <w:color w:val="000000"/>
        </w:rPr>
        <w:t>Include women</w:t>
      </w:r>
      <w:r w:rsidR="00A86BAD">
        <w:rPr>
          <w:rFonts w:ascii="Times New Roman" w:eastAsia="Times New Roman" w:hAnsi="Times New Roman" w:cs="Times New Roman"/>
          <w:bCs/>
          <w:color w:val="000000"/>
        </w:rPr>
        <w:t xml:space="preserve">, girls, and gender-diverse persons with </w:t>
      </w:r>
      <w:r w:rsidRPr="00E148A7">
        <w:rPr>
          <w:rFonts w:ascii="Times New Roman" w:eastAsia="Times New Roman" w:hAnsi="Times New Roman" w:cs="Times New Roman"/>
          <w:bCs/>
          <w:color w:val="000000"/>
        </w:rPr>
        <w:t xml:space="preserve">all types of disabilities, as well as their representative organizations, in the </w:t>
      </w:r>
      <w:r w:rsidR="00185E79">
        <w:rPr>
          <w:rFonts w:ascii="Times New Roman" w:eastAsia="Times New Roman" w:hAnsi="Times New Roman" w:cs="Times New Roman"/>
          <w:bCs/>
          <w:color w:val="000000"/>
        </w:rPr>
        <w:t xml:space="preserve">planning, </w:t>
      </w:r>
      <w:r w:rsidRPr="00E148A7">
        <w:rPr>
          <w:rFonts w:ascii="Times New Roman" w:eastAsia="Times New Roman" w:hAnsi="Times New Roman" w:cs="Times New Roman"/>
          <w:bCs/>
          <w:color w:val="000000"/>
        </w:rPr>
        <w:t>development</w:t>
      </w:r>
      <w:r w:rsidR="00185E79">
        <w:rPr>
          <w:rFonts w:ascii="Times New Roman" w:eastAsia="Times New Roman" w:hAnsi="Times New Roman" w:cs="Times New Roman"/>
          <w:bCs/>
          <w:color w:val="000000"/>
        </w:rPr>
        <w:t>,</w:t>
      </w:r>
      <w:r w:rsidRPr="00E148A7">
        <w:rPr>
          <w:rFonts w:ascii="Times New Roman" w:eastAsia="Times New Roman" w:hAnsi="Times New Roman" w:cs="Times New Roman"/>
          <w:bCs/>
          <w:color w:val="000000"/>
        </w:rPr>
        <w:t xml:space="preserve"> implementation</w:t>
      </w:r>
      <w:r w:rsidR="00185E79">
        <w:rPr>
          <w:rFonts w:ascii="Times New Roman" w:eastAsia="Times New Roman" w:hAnsi="Times New Roman" w:cs="Times New Roman"/>
          <w:bCs/>
          <w:color w:val="000000"/>
        </w:rPr>
        <w:t>, monitoring and evaluation</w:t>
      </w:r>
      <w:r w:rsidRPr="00E148A7">
        <w:rPr>
          <w:rFonts w:ascii="Times New Roman" w:eastAsia="Times New Roman" w:hAnsi="Times New Roman" w:cs="Times New Roman"/>
          <w:bCs/>
          <w:color w:val="000000"/>
        </w:rPr>
        <w:t xml:space="preserve"> of laws and policies on any issue that directly or indirectly affects their lives, and that their needs and rights are reflected in these laws and policies, with corresponding budget allocation and government representation. </w:t>
      </w:r>
    </w:p>
    <w:p w14:paraId="5B0A015C" w14:textId="4ABFE092" w:rsidR="00994432" w:rsidRDefault="00994432" w:rsidP="00E148A7">
      <w:pPr>
        <w:pStyle w:val="ListParagraph"/>
        <w:numPr>
          <w:ilvl w:val="0"/>
          <w:numId w:val="4"/>
        </w:numPr>
        <w:rPr>
          <w:rFonts w:ascii="Times New Roman" w:eastAsia="Times New Roman" w:hAnsi="Times New Roman" w:cs="Times New Roman"/>
          <w:bCs/>
          <w:color w:val="000000"/>
        </w:rPr>
      </w:pPr>
      <w:r>
        <w:rPr>
          <w:rFonts w:ascii="Times New Roman" w:eastAsia="Times New Roman" w:hAnsi="Times New Roman" w:cs="Times New Roman"/>
          <w:bCs/>
          <w:color w:val="000000"/>
        </w:rPr>
        <w:t>Directly support organizations of</w:t>
      </w:r>
      <w:r w:rsidRPr="00994432">
        <w:rPr>
          <w:rFonts w:ascii="Times New Roman" w:eastAsia="Times New Roman" w:hAnsi="Times New Roman" w:cs="Times New Roman"/>
          <w:bCs/>
          <w:color w:val="000000"/>
        </w:rPr>
        <w:t xml:space="preserve"> women, girls, and gender diverse persons with disabilities </w:t>
      </w:r>
      <w:r>
        <w:rPr>
          <w:rFonts w:ascii="Times New Roman" w:eastAsia="Times New Roman" w:hAnsi="Times New Roman" w:cs="Times New Roman"/>
          <w:bCs/>
          <w:color w:val="000000"/>
        </w:rPr>
        <w:t xml:space="preserve">and the leadership of these individuals to undertake advocacy and programmatic activities in support of their rights, including </w:t>
      </w:r>
      <w:r w:rsidRPr="00994432">
        <w:rPr>
          <w:rFonts w:ascii="Times New Roman" w:eastAsia="Times New Roman" w:hAnsi="Times New Roman" w:cs="Times New Roman"/>
          <w:bCs/>
          <w:color w:val="000000"/>
        </w:rPr>
        <w:t>through capacity-building</w:t>
      </w:r>
      <w:r>
        <w:rPr>
          <w:rFonts w:ascii="Times New Roman" w:eastAsia="Times New Roman" w:hAnsi="Times New Roman" w:cs="Times New Roman"/>
          <w:bCs/>
          <w:color w:val="000000"/>
        </w:rPr>
        <w:t xml:space="preserve"> and </w:t>
      </w:r>
      <w:r w:rsidRPr="00994432">
        <w:rPr>
          <w:rFonts w:ascii="Times New Roman" w:eastAsia="Times New Roman" w:hAnsi="Times New Roman" w:cs="Times New Roman"/>
          <w:bCs/>
          <w:color w:val="000000"/>
        </w:rPr>
        <w:t xml:space="preserve">human rights education and training </w:t>
      </w:r>
      <w:r>
        <w:rPr>
          <w:rFonts w:ascii="Times New Roman" w:eastAsia="Times New Roman" w:hAnsi="Times New Roman" w:cs="Times New Roman"/>
          <w:bCs/>
          <w:color w:val="000000"/>
        </w:rPr>
        <w:t>which</w:t>
      </w:r>
      <w:r w:rsidRPr="00994432">
        <w:rPr>
          <w:rFonts w:ascii="Times New Roman" w:eastAsia="Times New Roman" w:hAnsi="Times New Roman" w:cs="Times New Roman"/>
          <w:bCs/>
          <w:color w:val="000000"/>
        </w:rPr>
        <w:t xml:space="preserve"> highlight</w:t>
      </w:r>
      <w:r>
        <w:rPr>
          <w:rFonts w:ascii="Times New Roman" w:eastAsia="Times New Roman" w:hAnsi="Times New Roman" w:cs="Times New Roman"/>
          <w:bCs/>
          <w:color w:val="000000"/>
        </w:rPr>
        <w:t>s</w:t>
      </w:r>
      <w:r w:rsidRPr="00994432">
        <w:rPr>
          <w:rFonts w:ascii="Times New Roman" w:eastAsia="Times New Roman" w:hAnsi="Times New Roman" w:cs="Times New Roman"/>
          <w:bCs/>
          <w:color w:val="000000"/>
        </w:rPr>
        <w:t xml:space="preserve"> on the intersection of gender and disability</w:t>
      </w:r>
      <w:r>
        <w:rPr>
          <w:rFonts w:ascii="Times New Roman" w:eastAsia="Times New Roman" w:hAnsi="Times New Roman" w:cs="Times New Roman"/>
          <w:bCs/>
          <w:color w:val="000000"/>
        </w:rPr>
        <w:t xml:space="preserve"> and through</w:t>
      </w:r>
      <w:r w:rsidRPr="00994432">
        <w:rPr>
          <w:rFonts w:ascii="Times New Roman" w:eastAsia="Times New Roman" w:hAnsi="Times New Roman" w:cs="Times New Roman"/>
          <w:bCs/>
          <w:color w:val="000000"/>
        </w:rPr>
        <w:t xml:space="preserve"> financial, technical, administrative, and human resources that will ensure accessibility and </w:t>
      </w:r>
      <w:r>
        <w:rPr>
          <w:rFonts w:ascii="Times New Roman" w:eastAsia="Times New Roman" w:hAnsi="Times New Roman" w:cs="Times New Roman"/>
          <w:bCs/>
          <w:color w:val="000000"/>
        </w:rPr>
        <w:t xml:space="preserve">that the </w:t>
      </w:r>
      <w:r w:rsidRPr="00994432">
        <w:rPr>
          <w:rFonts w:ascii="Times New Roman" w:eastAsia="Times New Roman" w:hAnsi="Times New Roman" w:cs="Times New Roman"/>
          <w:bCs/>
          <w:color w:val="000000"/>
        </w:rPr>
        <w:t>specific support requirements are met.</w:t>
      </w:r>
    </w:p>
    <w:p w14:paraId="044BEB95" w14:textId="630557DD" w:rsidR="00911E51" w:rsidRPr="00647C61" w:rsidRDefault="00911E51" w:rsidP="001F762E">
      <w:pPr>
        <w:pStyle w:val="ListParagraph"/>
        <w:numPr>
          <w:ilvl w:val="0"/>
          <w:numId w:val="4"/>
        </w:numPr>
        <w:rPr>
          <w:rFonts w:ascii="Times New Roman" w:hAnsi="Times New Roman" w:cs="Times New Roman"/>
          <w:bCs/>
          <w:color w:val="000000"/>
        </w:rPr>
      </w:pPr>
      <w:r w:rsidRPr="00911E51">
        <w:rPr>
          <w:rFonts w:ascii="Times New Roman" w:eastAsia="Times New Roman" w:hAnsi="Times New Roman" w:cs="Times New Roman"/>
          <w:bCs/>
          <w:color w:val="000000"/>
        </w:rPr>
        <w:t xml:space="preserve">Ensure that SRHR is respected, protected, and fulfilled for women with disabilities, including by repealing all laws and policies that </w:t>
      </w:r>
      <w:r w:rsidR="0042187A">
        <w:rPr>
          <w:rFonts w:ascii="Times New Roman" w:eastAsia="Times New Roman" w:hAnsi="Times New Roman" w:cs="Times New Roman"/>
          <w:bCs/>
          <w:color w:val="000000"/>
        </w:rPr>
        <w:t xml:space="preserve">directly or indirectly </w:t>
      </w:r>
      <w:r w:rsidRPr="00911E51">
        <w:rPr>
          <w:rFonts w:ascii="Times New Roman" w:eastAsia="Times New Roman" w:hAnsi="Times New Roman" w:cs="Times New Roman"/>
          <w:bCs/>
          <w:color w:val="000000"/>
        </w:rPr>
        <w:t xml:space="preserve">discriminate against women with </w:t>
      </w:r>
      <w:r w:rsidRPr="001F762E">
        <w:rPr>
          <w:rFonts w:ascii="Times New Roman" w:eastAsia="Times New Roman" w:hAnsi="Times New Roman" w:cs="Times New Roman"/>
          <w:bCs/>
          <w:color w:val="000000"/>
        </w:rPr>
        <w:t xml:space="preserve">disabilities in health provision (such as laws that limit legal capacity), ensuring that health facilities are physically and financially accessible, including through accessible public </w:t>
      </w:r>
      <w:r w:rsidR="001F762E" w:rsidRPr="001F762E">
        <w:rPr>
          <w:rFonts w:ascii="Times New Roman" w:eastAsia="Times New Roman" w:hAnsi="Times New Roman" w:cs="Times New Roman"/>
          <w:bCs/>
          <w:color w:val="000000"/>
        </w:rPr>
        <w:t>transportation, and mandating disability rights training for SRH providers</w:t>
      </w:r>
      <w:r w:rsidR="00185E79">
        <w:rPr>
          <w:rFonts w:ascii="Times New Roman" w:eastAsia="Times New Roman" w:hAnsi="Times New Roman" w:cs="Times New Roman"/>
          <w:bCs/>
          <w:color w:val="000000"/>
        </w:rPr>
        <w:t xml:space="preserve"> from national to local levels, in both private and public healthcare facilities,</w:t>
      </w:r>
      <w:r w:rsidR="001F762E" w:rsidRPr="001F762E">
        <w:rPr>
          <w:rFonts w:ascii="Times New Roman" w:eastAsia="Times New Roman" w:hAnsi="Times New Roman" w:cs="Times New Roman"/>
          <w:bCs/>
          <w:color w:val="000000"/>
        </w:rPr>
        <w:t xml:space="preserve"> to ensure respectful and rights-based care for and dismantle stereotypes about persons with disabilities. </w:t>
      </w:r>
      <w:r w:rsidR="00E54DB3" w:rsidRPr="00647C61">
        <w:rPr>
          <w:rFonts w:ascii="Times New Roman" w:hAnsi="Times New Roman" w:cs="Times New Roman"/>
          <w:bCs/>
          <w:color w:val="000000"/>
        </w:rPr>
        <w:t>Guarantee</w:t>
      </w:r>
      <w:r w:rsidRPr="00647C61">
        <w:rPr>
          <w:rFonts w:ascii="Times New Roman" w:hAnsi="Times New Roman" w:cs="Times New Roman"/>
          <w:bCs/>
          <w:color w:val="000000"/>
        </w:rPr>
        <w:t xml:space="preserve"> that persons with disabilities have access to information about SRH in accessible formats</w:t>
      </w:r>
      <w:r w:rsidR="001F762E">
        <w:rPr>
          <w:rFonts w:ascii="Times New Roman" w:hAnsi="Times New Roman" w:cs="Times New Roman"/>
          <w:bCs/>
          <w:color w:val="000000"/>
        </w:rPr>
        <w:t xml:space="preserve">, including through </w:t>
      </w:r>
      <w:r w:rsidR="001F762E">
        <w:rPr>
          <w:rFonts w:ascii="Times New Roman" w:hAnsi="Times New Roman" w:cs="Times New Roman"/>
          <w:bCs/>
          <w:color w:val="000000"/>
        </w:rPr>
        <w:lastRenderedPageBreak/>
        <w:t xml:space="preserve">comprehensive sexuality education that is inclusive of disability and provided inside and outside of schools, </w:t>
      </w:r>
      <w:r w:rsidRPr="00647C61">
        <w:rPr>
          <w:rFonts w:ascii="Times New Roman" w:hAnsi="Times New Roman" w:cs="Times New Roman"/>
          <w:bCs/>
          <w:color w:val="000000"/>
        </w:rPr>
        <w:t xml:space="preserve">and free or </w:t>
      </w:r>
      <w:r w:rsidR="002C529E" w:rsidRPr="00647C61">
        <w:rPr>
          <w:rFonts w:ascii="Times New Roman" w:hAnsi="Times New Roman" w:cs="Times New Roman"/>
          <w:bCs/>
          <w:color w:val="000000"/>
        </w:rPr>
        <w:t>affordable</w:t>
      </w:r>
      <w:r w:rsidRPr="00647C61">
        <w:rPr>
          <w:rFonts w:ascii="Times New Roman" w:hAnsi="Times New Roman" w:cs="Times New Roman"/>
          <w:bCs/>
          <w:color w:val="000000"/>
        </w:rPr>
        <w:t xml:space="preserve"> communication support. </w:t>
      </w:r>
    </w:p>
    <w:p w14:paraId="33F04D3F" w14:textId="27FBD70A" w:rsidR="00911E51" w:rsidRDefault="00911E51" w:rsidP="00911E51">
      <w:pPr>
        <w:pStyle w:val="ListParagraph"/>
        <w:numPr>
          <w:ilvl w:val="0"/>
          <w:numId w:val="4"/>
        </w:numPr>
        <w:rPr>
          <w:rFonts w:ascii="Times New Roman" w:eastAsia="Times New Roman" w:hAnsi="Times New Roman" w:cs="Times New Roman"/>
          <w:bCs/>
          <w:color w:val="000000"/>
        </w:rPr>
      </w:pPr>
      <w:r w:rsidRPr="00911E51">
        <w:rPr>
          <w:rFonts w:ascii="Times New Roman" w:eastAsia="Times New Roman" w:hAnsi="Times New Roman" w:cs="Times New Roman"/>
          <w:bCs/>
          <w:color w:val="000000"/>
        </w:rPr>
        <w:t>Increase the availability of accessible SRH and GBV prevention and response services</w:t>
      </w:r>
      <w:r w:rsidR="00994432">
        <w:rPr>
          <w:rFonts w:ascii="Times New Roman" w:eastAsia="Times New Roman" w:hAnsi="Times New Roman" w:cs="Times New Roman"/>
          <w:bCs/>
          <w:color w:val="000000"/>
        </w:rPr>
        <w:t>, inclusive of legal services, in ur</w:t>
      </w:r>
      <w:r w:rsidR="00185E79">
        <w:rPr>
          <w:rFonts w:ascii="Times New Roman" w:eastAsia="Times New Roman" w:hAnsi="Times New Roman" w:cs="Times New Roman"/>
          <w:bCs/>
          <w:color w:val="000000"/>
        </w:rPr>
        <w:t>ban,</w:t>
      </w:r>
      <w:r w:rsidRPr="00911E51">
        <w:rPr>
          <w:rFonts w:ascii="Times New Roman" w:eastAsia="Times New Roman" w:hAnsi="Times New Roman" w:cs="Times New Roman"/>
          <w:bCs/>
          <w:color w:val="000000"/>
        </w:rPr>
        <w:t xml:space="preserve"> rural</w:t>
      </w:r>
      <w:r w:rsidR="00185E79">
        <w:rPr>
          <w:rFonts w:ascii="Times New Roman" w:eastAsia="Times New Roman" w:hAnsi="Times New Roman" w:cs="Times New Roman"/>
          <w:bCs/>
          <w:color w:val="000000"/>
        </w:rPr>
        <w:t xml:space="preserve">, </w:t>
      </w:r>
      <w:r w:rsidRPr="00911E51">
        <w:rPr>
          <w:rFonts w:ascii="Times New Roman" w:eastAsia="Times New Roman" w:hAnsi="Times New Roman" w:cs="Times New Roman"/>
          <w:bCs/>
          <w:color w:val="000000"/>
        </w:rPr>
        <w:t>and remote areas</w:t>
      </w:r>
      <w:r w:rsidR="001F762E">
        <w:rPr>
          <w:rFonts w:ascii="Times New Roman" w:eastAsia="Times New Roman" w:hAnsi="Times New Roman" w:cs="Times New Roman"/>
          <w:bCs/>
          <w:color w:val="000000"/>
        </w:rPr>
        <w:t xml:space="preserve">, </w:t>
      </w:r>
      <w:r w:rsidRPr="00911E51">
        <w:rPr>
          <w:rFonts w:ascii="Times New Roman" w:eastAsia="Times New Roman" w:hAnsi="Times New Roman" w:cs="Times New Roman"/>
          <w:bCs/>
          <w:color w:val="000000"/>
        </w:rPr>
        <w:t xml:space="preserve">and </w:t>
      </w:r>
      <w:r w:rsidR="001F762E">
        <w:rPr>
          <w:rFonts w:ascii="Times New Roman" w:eastAsia="Times New Roman" w:hAnsi="Times New Roman" w:cs="Times New Roman"/>
          <w:bCs/>
          <w:color w:val="000000"/>
        </w:rPr>
        <w:t xml:space="preserve">provide </w:t>
      </w:r>
      <w:r w:rsidRPr="00911E51">
        <w:rPr>
          <w:rFonts w:ascii="Times New Roman" w:eastAsia="Times New Roman" w:hAnsi="Times New Roman" w:cs="Times New Roman"/>
          <w:bCs/>
          <w:color w:val="000000"/>
        </w:rPr>
        <w:t>accessible information</w:t>
      </w:r>
      <w:r w:rsidR="001F762E">
        <w:rPr>
          <w:rFonts w:ascii="Times New Roman" w:eastAsia="Times New Roman" w:hAnsi="Times New Roman" w:cs="Times New Roman"/>
          <w:bCs/>
          <w:color w:val="000000"/>
        </w:rPr>
        <w:t xml:space="preserve"> </w:t>
      </w:r>
      <w:r w:rsidRPr="00911E51">
        <w:rPr>
          <w:rFonts w:ascii="Times New Roman" w:eastAsia="Times New Roman" w:hAnsi="Times New Roman" w:cs="Times New Roman"/>
          <w:bCs/>
          <w:color w:val="000000"/>
        </w:rPr>
        <w:t>about their work and importance</w:t>
      </w:r>
      <w:r w:rsidR="001F762E">
        <w:rPr>
          <w:rFonts w:ascii="Times New Roman" w:eastAsia="Times New Roman" w:hAnsi="Times New Roman" w:cs="Times New Roman"/>
          <w:bCs/>
          <w:color w:val="000000"/>
        </w:rPr>
        <w:t xml:space="preserve">. Ensure </w:t>
      </w:r>
      <w:r w:rsidRPr="00911E51">
        <w:rPr>
          <w:rFonts w:ascii="Times New Roman" w:eastAsia="Times New Roman" w:hAnsi="Times New Roman" w:cs="Times New Roman"/>
          <w:bCs/>
          <w:color w:val="000000"/>
        </w:rPr>
        <w:t xml:space="preserve">free or affordable accessible transportation to reach these services. </w:t>
      </w:r>
    </w:p>
    <w:p w14:paraId="1DD57A60" w14:textId="11EBCF2A" w:rsidR="002E4553" w:rsidRPr="00F357DA" w:rsidRDefault="001F762E" w:rsidP="002E4553">
      <w:pPr>
        <w:pStyle w:val="ListParagraph"/>
        <w:numPr>
          <w:ilvl w:val="0"/>
          <w:numId w:val="4"/>
        </w:numPr>
        <w:rPr>
          <w:rFonts w:ascii="Times New Roman" w:eastAsia="Times New Roman" w:hAnsi="Times New Roman" w:cs="Times New Roman"/>
          <w:bCs/>
          <w:color w:val="000000"/>
        </w:rPr>
      </w:pPr>
      <w:r>
        <w:rPr>
          <w:rFonts w:ascii="Times New Roman" w:eastAsia="Times New Roman" w:hAnsi="Times New Roman" w:cs="Times New Roman"/>
          <w:bCs/>
          <w:color w:val="000000"/>
        </w:rPr>
        <w:t>E</w:t>
      </w:r>
      <w:r w:rsidR="002E4553" w:rsidRPr="00F357DA">
        <w:rPr>
          <w:rFonts w:ascii="Times New Roman" w:eastAsia="Times New Roman" w:hAnsi="Times New Roman" w:cs="Times New Roman"/>
          <w:bCs/>
          <w:color w:val="000000"/>
        </w:rPr>
        <w:t>nsure that information about how to identify situations of GBV</w:t>
      </w:r>
      <w:r w:rsidR="00F357DA" w:rsidRPr="00F357DA">
        <w:rPr>
          <w:rFonts w:ascii="Times New Roman" w:eastAsia="Times New Roman" w:hAnsi="Times New Roman" w:cs="Times New Roman"/>
          <w:bCs/>
          <w:color w:val="000000"/>
        </w:rPr>
        <w:t xml:space="preserve"> </w:t>
      </w:r>
      <w:r w:rsidR="002E4553" w:rsidRPr="00F357DA">
        <w:rPr>
          <w:rFonts w:ascii="Times New Roman" w:eastAsia="Times New Roman" w:hAnsi="Times New Roman" w:cs="Times New Roman"/>
          <w:bCs/>
          <w:color w:val="000000"/>
        </w:rPr>
        <w:t xml:space="preserve">and how to seek help are available in accessible formats—such as plain language, Braille, sign language, and Easy-Read, among others—and are specifically </w:t>
      </w:r>
      <w:r>
        <w:rPr>
          <w:rFonts w:ascii="Times New Roman" w:eastAsia="Times New Roman" w:hAnsi="Times New Roman" w:cs="Times New Roman"/>
          <w:bCs/>
          <w:color w:val="000000"/>
        </w:rPr>
        <w:t>targeted at</w:t>
      </w:r>
      <w:r w:rsidR="002E4553" w:rsidRPr="00F357DA">
        <w:rPr>
          <w:rFonts w:ascii="Times New Roman" w:eastAsia="Times New Roman" w:hAnsi="Times New Roman" w:cs="Times New Roman"/>
          <w:bCs/>
          <w:color w:val="000000"/>
        </w:rPr>
        <w:t xml:space="preserve"> to women, girls, </w:t>
      </w:r>
      <w:r w:rsidR="00F357DA" w:rsidRPr="00F357DA">
        <w:rPr>
          <w:rFonts w:ascii="Times New Roman" w:eastAsia="Times New Roman" w:hAnsi="Times New Roman" w:cs="Times New Roman"/>
          <w:bCs/>
          <w:color w:val="000000"/>
        </w:rPr>
        <w:t>and gender-diverse persons with disabilities</w:t>
      </w:r>
      <w:r w:rsidR="002E4553" w:rsidRPr="00F357DA">
        <w:rPr>
          <w:rFonts w:ascii="Times New Roman" w:eastAsia="Times New Roman" w:hAnsi="Times New Roman" w:cs="Times New Roman"/>
          <w:bCs/>
          <w:color w:val="000000"/>
        </w:rPr>
        <w:t>, their representative organizations, and those that provide services to this group. Also, ensure the availability of GBV services in</w:t>
      </w:r>
      <w:r w:rsidR="00185E79">
        <w:rPr>
          <w:rFonts w:ascii="Times New Roman" w:eastAsia="Times New Roman" w:hAnsi="Times New Roman" w:cs="Times New Roman"/>
          <w:bCs/>
          <w:color w:val="000000"/>
        </w:rPr>
        <w:t xml:space="preserve"> urban,</w:t>
      </w:r>
      <w:r w:rsidR="002E4553" w:rsidRPr="00F357DA">
        <w:rPr>
          <w:rFonts w:ascii="Times New Roman" w:eastAsia="Times New Roman" w:hAnsi="Times New Roman" w:cs="Times New Roman"/>
          <w:bCs/>
          <w:color w:val="000000"/>
        </w:rPr>
        <w:t xml:space="preserve"> rural</w:t>
      </w:r>
      <w:r w:rsidR="00185E79">
        <w:rPr>
          <w:rFonts w:ascii="Times New Roman" w:eastAsia="Times New Roman" w:hAnsi="Times New Roman" w:cs="Times New Roman"/>
          <w:bCs/>
          <w:color w:val="000000"/>
        </w:rPr>
        <w:t>, and</w:t>
      </w:r>
      <w:r w:rsidR="002E4553" w:rsidRPr="00F357DA">
        <w:rPr>
          <w:rFonts w:ascii="Times New Roman" w:eastAsia="Times New Roman" w:hAnsi="Times New Roman" w:cs="Times New Roman"/>
          <w:bCs/>
          <w:color w:val="000000"/>
        </w:rPr>
        <w:t xml:space="preserve"> remote areas and accessible shelters for those who experience GBV.</w:t>
      </w:r>
    </w:p>
    <w:p w14:paraId="474A1C36" w14:textId="10D4D480" w:rsidR="007B2A7E" w:rsidRPr="00087239" w:rsidRDefault="007B2A7E" w:rsidP="00B16905">
      <w:pPr>
        <w:pStyle w:val="ListParagraph"/>
        <w:numPr>
          <w:ilvl w:val="0"/>
          <w:numId w:val="4"/>
        </w:numPr>
        <w:rPr>
          <w:rFonts w:ascii="Times New Roman" w:eastAsia="Times New Roman" w:hAnsi="Times New Roman" w:cs="Times New Roman"/>
          <w:bCs/>
          <w:color w:val="000000"/>
        </w:rPr>
      </w:pPr>
      <w:r w:rsidRPr="00B16905">
        <w:rPr>
          <w:rFonts w:ascii="Times New Roman" w:eastAsia="Times New Roman" w:hAnsi="Times New Roman" w:cs="Times New Roman"/>
          <w:bCs/>
          <w:color w:val="000000"/>
        </w:rPr>
        <w:t xml:space="preserve">Ensure human rights-based training </w:t>
      </w:r>
      <w:r w:rsidR="00AF297E">
        <w:rPr>
          <w:rFonts w:ascii="Times New Roman" w:eastAsia="Times New Roman" w:hAnsi="Times New Roman" w:cs="Times New Roman"/>
          <w:bCs/>
          <w:color w:val="000000"/>
        </w:rPr>
        <w:t>for</w:t>
      </w:r>
      <w:r w:rsidRPr="00B16905">
        <w:rPr>
          <w:rFonts w:ascii="Times New Roman" w:eastAsia="Times New Roman" w:hAnsi="Times New Roman" w:cs="Times New Roman"/>
          <w:bCs/>
          <w:color w:val="000000"/>
        </w:rPr>
        <w:t xml:space="preserve"> teachers</w:t>
      </w:r>
      <w:r w:rsidR="00B16905" w:rsidRPr="00B16905">
        <w:rPr>
          <w:rFonts w:ascii="Times New Roman" w:eastAsia="Times New Roman" w:hAnsi="Times New Roman" w:cs="Times New Roman"/>
          <w:bCs/>
          <w:color w:val="000000"/>
        </w:rPr>
        <w:t xml:space="preserve"> and other educational staff</w:t>
      </w:r>
      <w:r w:rsidR="00185E79">
        <w:rPr>
          <w:rFonts w:ascii="Times New Roman" w:eastAsia="Times New Roman" w:hAnsi="Times New Roman" w:cs="Times New Roman"/>
          <w:bCs/>
          <w:color w:val="000000"/>
        </w:rPr>
        <w:t>, and raise awareness among parents (including Parent-Teacher Associations) and other students about the rights of persons with disabilities</w:t>
      </w:r>
      <w:r w:rsidR="00B16905" w:rsidRPr="00B16905">
        <w:rPr>
          <w:rFonts w:ascii="Times New Roman" w:eastAsia="Times New Roman" w:hAnsi="Times New Roman" w:cs="Times New Roman"/>
          <w:bCs/>
          <w:color w:val="000000"/>
        </w:rPr>
        <w:t xml:space="preserve">. </w:t>
      </w:r>
      <w:r w:rsidRPr="00B16905">
        <w:rPr>
          <w:rFonts w:ascii="Times New Roman" w:hAnsi="Times New Roman" w:cs="Times New Roman"/>
          <w:bCs/>
          <w:color w:val="000000"/>
        </w:rPr>
        <w:t xml:space="preserve">Such training </w:t>
      </w:r>
      <w:r w:rsidR="00B16905">
        <w:rPr>
          <w:rFonts w:ascii="Times New Roman" w:hAnsi="Times New Roman" w:cs="Times New Roman"/>
          <w:bCs/>
          <w:color w:val="000000"/>
        </w:rPr>
        <w:t xml:space="preserve">must </w:t>
      </w:r>
      <w:r w:rsidRPr="00B16905">
        <w:rPr>
          <w:rFonts w:ascii="Times New Roman" w:hAnsi="Times New Roman" w:cs="Times New Roman"/>
          <w:bCs/>
          <w:color w:val="000000"/>
        </w:rPr>
        <w:t>include a disability</w:t>
      </w:r>
      <w:r w:rsidR="00B16905">
        <w:rPr>
          <w:rFonts w:ascii="Times New Roman" w:hAnsi="Times New Roman" w:cs="Times New Roman"/>
          <w:bCs/>
          <w:color w:val="000000"/>
        </w:rPr>
        <w:t xml:space="preserve"> and </w:t>
      </w:r>
      <w:r w:rsidRPr="00B16905">
        <w:rPr>
          <w:rFonts w:ascii="Times New Roman" w:hAnsi="Times New Roman" w:cs="Times New Roman"/>
          <w:bCs/>
          <w:color w:val="000000"/>
        </w:rPr>
        <w:t xml:space="preserve">gender perspective to dismantle harmful stereotypes </w:t>
      </w:r>
      <w:r w:rsidR="00AF297E">
        <w:rPr>
          <w:rFonts w:ascii="Times New Roman" w:hAnsi="Times New Roman" w:cs="Times New Roman"/>
          <w:bCs/>
          <w:color w:val="000000"/>
        </w:rPr>
        <w:t>about persons living at this intersection.</w:t>
      </w:r>
      <w:r w:rsidR="001F762E">
        <w:rPr>
          <w:rFonts w:ascii="Times New Roman" w:hAnsi="Times New Roman" w:cs="Times New Roman"/>
          <w:bCs/>
          <w:color w:val="000000"/>
        </w:rPr>
        <w:t xml:space="preserve"> </w:t>
      </w:r>
    </w:p>
    <w:p w14:paraId="7E413F06" w14:textId="2C17CBEB" w:rsidR="00087239" w:rsidRPr="002E4553" w:rsidRDefault="00087239" w:rsidP="00B16905">
      <w:pPr>
        <w:pStyle w:val="ListParagraph"/>
        <w:numPr>
          <w:ilvl w:val="0"/>
          <w:numId w:val="4"/>
        </w:numPr>
        <w:rPr>
          <w:rFonts w:ascii="Times New Roman" w:eastAsia="Times New Roman" w:hAnsi="Times New Roman" w:cs="Times New Roman"/>
          <w:bCs/>
          <w:color w:val="000000"/>
        </w:rPr>
      </w:pPr>
      <w:r>
        <w:rPr>
          <w:rFonts w:ascii="Times New Roman" w:hAnsi="Times New Roman" w:cs="Times New Roman"/>
          <w:bCs/>
          <w:color w:val="000000"/>
        </w:rPr>
        <w:t xml:space="preserve">Implement </w:t>
      </w:r>
      <w:r w:rsidR="006C23CF">
        <w:rPr>
          <w:rFonts w:ascii="Times New Roman" w:hAnsi="Times New Roman" w:cs="Times New Roman"/>
          <w:bCs/>
          <w:color w:val="000000"/>
        </w:rPr>
        <w:t>measures to identify, prevent, and respond to bullying in school</w:t>
      </w:r>
      <w:r w:rsidR="001F762E">
        <w:rPr>
          <w:rFonts w:ascii="Times New Roman" w:hAnsi="Times New Roman" w:cs="Times New Roman"/>
          <w:bCs/>
          <w:color w:val="000000"/>
        </w:rPr>
        <w:t xml:space="preserve">, including bullying that is centered in disability discrimination and stereotypes. Ensure </w:t>
      </w:r>
      <w:r w:rsidR="006C23CF">
        <w:rPr>
          <w:rFonts w:ascii="Times New Roman" w:hAnsi="Times New Roman" w:cs="Times New Roman"/>
          <w:bCs/>
          <w:color w:val="000000"/>
        </w:rPr>
        <w:t xml:space="preserve">a safe and healthy environment to learn and </w:t>
      </w:r>
      <w:r w:rsidR="00C43A86">
        <w:rPr>
          <w:rFonts w:ascii="Times New Roman" w:hAnsi="Times New Roman" w:cs="Times New Roman"/>
          <w:bCs/>
          <w:color w:val="000000"/>
        </w:rPr>
        <w:t>interact</w:t>
      </w:r>
      <w:r w:rsidR="00C306DF">
        <w:rPr>
          <w:rFonts w:ascii="Times New Roman" w:hAnsi="Times New Roman" w:cs="Times New Roman"/>
          <w:bCs/>
          <w:color w:val="000000"/>
        </w:rPr>
        <w:t>,</w:t>
      </w:r>
      <w:r w:rsidR="001F762E">
        <w:rPr>
          <w:rFonts w:ascii="Times New Roman" w:hAnsi="Times New Roman" w:cs="Times New Roman"/>
          <w:bCs/>
          <w:color w:val="000000"/>
        </w:rPr>
        <w:t xml:space="preserve"> with</w:t>
      </w:r>
      <w:r w:rsidR="00C43A86">
        <w:rPr>
          <w:rFonts w:ascii="Times New Roman" w:hAnsi="Times New Roman" w:cs="Times New Roman"/>
          <w:bCs/>
          <w:color w:val="000000"/>
        </w:rPr>
        <w:t xml:space="preserve"> respect </w:t>
      </w:r>
      <w:r w:rsidR="00C306DF">
        <w:rPr>
          <w:rFonts w:ascii="Times New Roman" w:hAnsi="Times New Roman" w:cs="Times New Roman"/>
          <w:bCs/>
          <w:color w:val="000000"/>
        </w:rPr>
        <w:t>for</w:t>
      </w:r>
      <w:r w:rsidR="00C43A86">
        <w:rPr>
          <w:rFonts w:ascii="Times New Roman" w:hAnsi="Times New Roman" w:cs="Times New Roman"/>
          <w:bCs/>
          <w:color w:val="000000"/>
        </w:rPr>
        <w:t xml:space="preserve"> diversity </w:t>
      </w:r>
      <w:r w:rsidR="001F762E">
        <w:rPr>
          <w:rFonts w:ascii="Times New Roman" w:hAnsi="Times New Roman" w:cs="Times New Roman"/>
          <w:bCs/>
          <w:color w:val="000000"/>
        </w:rPr>
        <w:t xml:space="preserve">as a </w:t>
      </w:r>
      <w:r w:rsidR="00C43A86">
        <w:rPr>
          <w:rFonts w:ascii="Times New Roman" w:hAnsi="Times New Roman" w:cs="Times New Roman"/>
          <w:bCs/>
          <w:color w:val="000000"/>
        </w:rPr>
        <w:t xml:space="preserve">crucial value in education. </w:t>
      </w:r>
    </w:p>
    <w:p w14:paraId="3CE84E19" w14:textId="011140B7" w:rsidR="002E4553" w:rsidRPr="00B16905" w:rsidRDefault="002E4553" w:rsidP="00B16905">
      <w:pPr>
        <w:pStyle w:val="ListParagraph"/>
        <w:numPr>
          <w:ilvl w:val="0"/>
          <w:numId w:val="4"/>
        </w:numPr>
        <w:rPr>
          <w:rFonts w:ascii="Times New Roman" w:eastAsia="Times New Roman" w:hAnsi="Times New Roman" w:cs="Times New Roman"/>
          <w:bCs/>
          <w:color w:val="000000"/>
        </w:rPr>
      </w:pPr>
      <w:r>
        <w:rPr>
          <w:rFonts w:ascii="Times New Roman" w:hAnsi="Times New Roman" w:cs="Times New Roman"/>
          <w:bCs/>
          <w:color w:val="000000"/>
        </w:rPr>
        <w:t xml:space="preserve">Ensure that </w:t>
      </w:r>
      <w:r w:rsidR="000879C4">
        <w:rPr>
          <w:rFonts w:ascii="Times New Roman" w:hAnsi="Times New Roman" w:cs="Times New Roman"/>
          <w:bCs/>
          <w:color w:val="000000"/>
        </w:rPr>
        <w:t xml:space="preserve">healthcare and educational services are accessible to all types of disabilities and that </w:t>
      </w:r>
      <w:r w:rsidR="0040702D">
        <w:rPr>
          <w:rFonts w:ascii="Times New Roman" w:hAnsi="Times New Roman" w:cs="Times New Roman"/>
          <w:bCs/>
          <w:color w:val="000000"/>
        </w:rPr>
        <w:t xml:space="preserve">accommodations requirements are provided </w:t>
      </w:r>
      <w:r w:rsidR="00FA4A4D">
        <w:rPr>
          <w:rFonts w:ascii="Times New Roman" w:hAnsi="Times New Roman" w:cs="Times New Roman"/>
          <w:bCs/>
          <w:color w:val="000000"/>
        </w:rPr>
        <w:t>to patients and students with disabilities.</w:t>
      </w:r>
    </w:p>
    <w:p w14:paraId="605A401C" w14:textId="27F6B982" w:rsidR="0006082B" w:rsidRPr="004A3C01" w:rsidRDefault="00CE262F" w:rsidP="004A3C01">
      <w:pPr>
        <w:pStyle w:val="ListParagraph"/>
        <w:numPr>
          <w:ilvl w:val="0"/>
          <w:numId w:val="4"/>
        </w:numPr>
        <w:rPr>
          <w:rFonts w:ascii="Times New Roman" w:eastAsia="Times New Roman" w:hAnsi="Times New Roman" w:cs="Times New Roman"/>
          <w:bCs/>
          <w:color w:val="000000"/>
        </w:rPr>
      </w:pPr>
      <w:r w:rsidRPr="004A3C01">
        <w:rPr>
          <w:rFonts w:ascii="Times New Roman" w:hAnsi="Times New Roman" w:cs="Times New Roman"/>
          <w:bCs/>
          <w:color w:val="000000"/>
        </w:rPr>
        <w:t>Disaggregate data</w:t>
      </w:r>
      <w:r w:rsidR="001F762E">
        <w:rPr>
          <w:rFonts w:ascii="Times New Roman" w:hAnsi="Times New Roman" w:cs="Times New Roman"/>
          <w:bCs/>
          <w:color w:val="000000"/>
        </w:rPr>
        <w:t xml:space="preserve"> </w:t>
      </w:r>
      <w:r w:rsidR="00D6329A" w:rsidRPr="004A3C01">
        <w:rPr>
          <w:rFonts w:ascii="Times New Roman" w:hAnsi="Times New Roman" w:cs="Times New Roman"/>
          <w:bCs/>
          <w:color w:val="000000"/>
        </w:rPr>
        <w:t xml:space="preserve">by gender, age, </w:t>
      </w:r>
      <w:r w:rsidR="00C306DF">
        <w:rPr>
          <w:rFonts w:ascii="Times New Roman" w:hAnsi="Times New Roman" w:cs="Times New Roman"/>
          <w:bCs/>
          <w:color w:val="000000"/>
        </w:rPr>
        <w:t xml:space="preserve">and </w:t>
      </w:r>
      <w:r w:rsidR="00D6329A" w:rsidRPr="004A3C01">
        <w:rPr>
          <w:rFonts w:ascii="Times New Roman" w:hAnsi="Times New Roman" w:cs="Times New Roman"/>
          <w:bCs/>
          <w:color w:val="000000"/>
        </w:rPr>
        <w:t xml:space="preserve">type of disability, among other factors, </w:t>
      </w:r>
      <w:r w:rsidR="004A3C01" w:rsidRPr="004A3C01">
        <w:rPr>
          <w:rFonts w:ascii="Times New Roman" w:eastAsia="Times New Roman" w:hAnsi="Times New Roman" w:cs="Times New Roman"/>
          <w:bCs/>
          <w:color w:val="000000"/>
        </w:rPr>
        <w:t xml:space="preserve">and increase the research available on women and </w:t>
      </w:r>
      <w:r w:rsidR="004A3C01">
        <w:rPr>
          <w:rFonts w:ascii="Times New Roman" w:eastAsia="Times New Roman" w:hAnsi="Times New Roman" w:cs="Times New Roman"/>
          <w:bCs/>
          <w:color w:val="000000"/>
        </w:rPr>
        <w:t xml:space="preserve">gender-diverse persons </w:t>
      </w:r>
      <w:r w:rsidR="004A3C01" w:rsidRPr="004A3C01">
        <w:rPr>
          <w:rFonts w:ascii="Times New Roman" w:eastAsia="Times New Roman" w:hAnsi="Times New Roman" w:cs="Times New Roman"/>
          <w:bCs/>
          <w:color w:val="000000"/>
        </w:rPr>
        <w:t>with disabilities, analyzing data and its impact accordingly.</w:t>
      </w:r>
    </w:p>
    <w:p w14:paraId="605A4029" w14:textId="77777777" w:rsidR="0006082B" w:rsidRDefault="0006082B">
      <w:pPr>
        <w:jc w:val="both"/>
        <w:rPr>
          <w:sz w:val="22"/>
          <w:szCs w:val="22"/>
        </w:rPr>
      </w:pPr>
      <w:bookmarkStart w:id="4" w:name="_heading=h.30j0zll" w:colFirst="0" w:colLast="0"/>
      <w:bookmarkEnd w:id="4"/>
    </w:p>
    <w:sectPr w:rsidR="0006082B">
      <w:headerReference w:type="default" r:id="rId9"/>
      <w:footerReference w:type="even" r:id="rId10"/>
      <w:footerReference w:type="default" r:id="rId11"/>
      <w:endnotePr>
        <w:numFmt w:val="decimal"/>
      </w:endnotePr>
      <w:pgSz w:w="12240" w:h="15840"/>
      <w:pgMar w:top="209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16F3" w14:textId="77777777" w:rsidR="00A40C4E" w:rsidRDefault="00A40C4E">
      <w:r>
        <w:separator/>
      </w:r>
    </w:p>
  </w:endnote>
  <w:endnote w:type="continuationSeparator" w:id="0">
    <w:p w14:paraId="6DF58184" w14:textId="77777777" w:rsidR="00A40C4E" w:rsidRDefault="00A40C4E">
      <w:r>
        <w:continuationSeparator/>
      </w:r>
    </w:p>
  </w:endnote>
  <w:endnote w:id="1">
    <w:p w14:paraId="787A2034" w14:textId="750F160C" w:rsidR="006109A7" w:rsidRDefault="006109A7">
      <w:pPr>
        <w:pStyle w:val="EndnoteText"/>
      </w:pPr>
      <w:r>
        <w:rPr>
          <w:rStyle w:val="EndnoteReference"/>
        </w:rPr>
        <w:endnoteRef/>
      </w:r>
      <w:r>
        <w:t xml:space="preserve"> World Health Organization, </w:t>
      </w:r>
      <w:r w:rsidRPr="00165B26">
        <w:rPr>
          <w:i/>
          <w:iCs/>
        </w:rPr>
        <w:t>Disability</w:t>
      </w:r>
      <w:r w:rsidR="00165B26" w:rsidRPr="00165B26">
        <w:rPr>
          <w:i/>
          <w:iCs/>
        </w:rPr>
        <w:t xml:space="preserve"> fact sheet</w:t>
      </w:r>
      <w:r>
        <w:t xml:space="preserve"> (2023), </w:t>
      </w:r>
      <w:hyperlink r:id="rId1" w:history="1">
        <w:r w:rsidR="00165B26" w:rsidRPr="005113AC">
          <w:rPr>
            <w:rStyle w:val="Hyperlink"/>
          </w:rPr>
          <w:t>https://www.who.int/news-room/fact-sheets/detail/disability-and-health</w:t>
        </w:r>
      </w:hyperlink>
      <w:r w:rsidR="00165B26">
        <w:t xml:space="preserve"> </w:t>
      </w:r>
    </w:p>
  </w:endnote>
  <w:endnote w:id="2">
    <w:p w14:paraId="6F3DA95D" w14:textId="46733492" w:rsidR="00943745" w:rsidRDefault="00943745">
      <w:pPr>
        <w:pStyle w:val="EndnoteText"/>
      </w:pPr>
      <w:r>
        <w:rPr>
          <w:rStyle w:val="EndnoteReference"/>
        </w:rPr>
        <w:endnoteRef/>
      </w:r>
      <w:r>
        <w:t xml:space="preserve"> </w:t>
      </w:r>
      <w:r w:rsidRPr="005068DD">
        <w:rPr>
          <w:rFonts w:eastAsia="Calibri"/>
          <w:lang w:eastAsia="en-US"/>
        </w:rPr>
        <w:t xml:space="preserve">CRPD Committee, </w:t>
      </w:r>
      <w:r w:rsidRPr="005068DD">
        <w:rPr>
          <w:rFonts w:eastAsia="Calibri"/>
          <w:i/>
          <w:iCs/>
          <w:lang w:eastAsia="en-US"/>
        </w:rPr>
        <w:t xml:space="preserve">Concluding observations on the initial report of </w:t>
      </w:r>
      <w:r>
        <w:rPr>
          <w:rFonts w:eastAsia="Calibri"/>
          <w:i/>
          <w:iCs/>
          <w:lang w:eastAsia="en-US"/>
        </w:rPr>
        <w:t>the Philippines</w:t>
      </w:r>
      <w:r w:rsidRPr="005068DD">
        <w:rPr>
          <w:rFonts w:eastAsia="Calibri"/>
          <w:lang w:eastAsia="en-US"/>
        </w:rPr>
        <w:t xml:space="preserve">, ¶ </w:t>
      </w:r>
      <w:r>
        <w:rPr>
          <w:rFonts w:eastAsia="Calibri"/>
          <w:lang w:eastAsia="en-US"/>
        </w:rPr>
        <w:t>12</w:t>
      </w:r>
      <w:r w:rsidRPr="005068DD">
        <w:rPr>
          <w:rFonts w:eastAsia="Calibri"/>
          <w:lang w:eastAsia="en-US"/>
        </w:rPr>
        <w:t>, U.N. Doc. CRPD/C</w:t>
      </w:r>
      <w:r>
        <w:rPr>
          <w:rFonts w:eastAsia="Calibri"/>
          <w:lang w:eastAsia="en-US"/>
        </w:rPr>
        <w:t>/PHL</w:t>
      </w:r>
      <w:r w:rsidRPr="005068DD">
        <w:rPr>
          <w:rFonts w:eastAsia="Calibri"/>
          <w:lang w:eastAsia="en-US"/>
        </w:rPr>
        <w:t>/CO/1 (201</w:t>
      </w:r>
      <w:r>
        <w:rPr>
          <w:rFonts w:eastAsia="Calibri"/>
          <w:lang w:eastAsia="en-US"/>
        </w:rPr>
        <w:t>8</w:t>
      </w:r>
      <w:r w:rsidRPr="005068DD">
        <w:rPr>
          <w:rFonts w:eastAsia="Calibri"/>
          <w:lang w:eastAsia="en-US"/>
        </w:rPr>
        <w:t>).</w:t>
      </w:r>
    </w:p>
  </w:endnote>
  <w:endnote w:id="3">
    <w:p w14:paraId="79760EDB" w14:textId="77777777" w:rsidR="000E39FE" w:rsidRDefault="000E39FE" w:rsidP="000E39FE">
      <w:pPr>
        <w:pStyle w:val="EndnoteText"/>
      </w:pPr>
      <w:r>
        <w:rPr>
          <w:rStyle w:val="EndnoteReference"/>
        </w:rPr>
        <w:endnoteRef/>
      </w:r>
      <w:r>
        <w:t xml:space="preserve"> Government of the Philippines, </w:t>
      </w:r>
      <w:r w:rsidRPr="007D2546">
        <w:rPr>
          <w:i/>
          <w:iCs/>
        </w:rPr>
        <w:t>Republic Act 9710: Magna Carta of Women: Implementing Rules and Regulations</w:t>
      </w:r>
      <w:r>
        <w:t xml:space="preserve"> </w:t>
      </w:r>
    </w:p>
    <w:p w14:paraId="4124E942" w14:textId="77777777" w:rsidR="000E39FE" w:rsidRDefault="000E39FE" w:rsidP="000E39FE">
      <w:pPr>
        <w:pStyle w:val="EndnoteText"/>
      </w:pPr>
      <w:r>
        <w:t>(2009), https://library.pcw.gov.ph/wp-content/uploads/2021/09/PCW-RA-9710-Magna-Carta-of-Women-Implementing-Rules-and-Regulations-2011.pdf</w:t>
      </w:r>
    </w:p>
  </w:endnote>
  <w:endnote w:id="4">
    <w:p w14:paraId="0B7B7434" w14:textId="7B22E76C" w:rsidR="00410325" w:rsidRDefault="000E39FE" w:rsidP="00410325">
      <w:pPr>
        <w:pStyle w:val="EndnoteText"/>
      </w:pPr>
      <w:r>
        <w:rPr>
          <w:rStyle w:val="EndnoteReference"/>
        </w:rPr>
        <w:endnoteRef/>
      </w:r>
      <w:r>
        <w:t xml:space="preserve"> </w:t>
      </w:r>
      <w:r w:rsidR="00410325">
        <w:t>Convention on the Rights of Persons with Disabilities, adopted Dec. 13, 2006, art. 1, G.A.</w:t>
      </w:r>
    </w:p>
    <w:p w14:paraId="1A259BB3" w14:textId="0A903B2A" w:rsidR="00410325" w:rsidRDefault="00410325" w:rsidP="00410325">
      <w:pPr>
        <w:pStyle w:val="EndnoteText"/>
      </w:pPr>
      <w:r>
        <w:t>Res. A/RES/61/106, U.N. GAOR, 61st Sess., U.N. Doc. A/61/611 (entered into force May</w:t>
      </w:r>
      <w:r w:rsidR="00263D3B">
        <w:t xml:space="preserve"> </w:t>
      </w:r>
      <w:r>
        <w:t>3</w:t>
      </w:r>
      <w:r w:rsidR="00263D3B">
        <w:t>,</w:t>
      </w:r>
      <w:r>
        <w:t xml:space="preserve"> 2008)</w:t>
      </w:r>
    </w:p>
    <w:p w14:paraId="40157300" w14:textId="2FD2ED55" w:rsidR="000E39FE" w:rsidRDefault="00410325" w:rsidP="00410325">
      <w:pPr>
        <w:pStyle w:val="EndnoteText"/>
      </w:pPr>
      <w:r>
        <w:t>[hereinafter CRPD].</w:t>
      </w:r>
    </w:p>
  </w:endnote>
  <w:endnote w:id="5">
    <w:p w14:paraId="6D4842E3" w14:textId="15F75666" w:rsidR="00BE695E" w:rsidRPr="00C605A4" w:rsidRDefault="00372AC9" w:rsidP="00BE695E">
      <w:pPr>
        <w:pStyle w:val="EndnoteText"/>
        <w:rPr>
          <w:i/>
          <w:iCs/>
        </w:rPr>
      </w:pPr>
      <w:r>
        <w:rPr>
          <w:rStyle w:val="EndnoteReference"/>
        </w:rPr>
        <w:endnoteRef/>
      </w:r>
      <w:r>
        <w:t xml:space="preserve"> </w:t>
      </w:r>
      <w:r w:rsidR="00BE695E">
        <w:t xml:space="preserve">Devine </w:t>
      </w:r>
      <w:r w:rsidR="00BE695E" w:rsidRPr="00C605A4">
        <w:rPr>
          <w:i/>
          <w:iCs/>
        </w:rPr>
        <w:t>et al</w:t>
      </w:r>
      <w:r w:rsidR="00BE695E">
        <w:t xml:space="preserve">, </w:t>
      </w:r>
      <w:r w:rsidR="00BE695E" w:rsidRPr="00C605A4">
        <w:rPr>
          <w:i/>
          <w:iCs/>
        </w:rPr>
        <w:t>“Freedom to go where I want”: improving access to sexual and reproductive health for women with</w:t>
      </w:r>
    </w:p>
    <w:p w14:paraId="4C5886C0" w14:textId="2D5F74A1" w:rsidR="00372AC9" w:rsidRDefault="00BE695E" w:rsidP="00BE695E">
      <w:pPr>
        <w:pStyle w:val="EndnoteText"/>
      </w:pPr>
      <w:r w:rsidRPr="00C605A4">
        <w:rPr>
          <w:i/>
          <w:iCs/>
        </w:rPr>
        <w:t xml:space="preserve">disabilities in the Philippines - </w:t>
      </w:r>
      <w:r w:rsidR="005C38F7" w:rsidRPr="00C605A4">
        <w:rPr>
          <w:i/>
          <w:iCs/>
        </w:rPr>
        <w:t>Reproductive Health Matters</w:t>
      </w:r>
      <w:r w:rsidR="001D6285">
        <w:t xml:space="preserve"> 56 (2017), </w:t>
      </w:r>
      <w:hyperlink r:id="rId2" w:history="1">
        <w:r w:rsidR="001D6285" w:rsidRPr="00CB7CEF">
          <w:rPr>
            <w:rStyle w:val="Hyperlink"/>
          </w:rPr>
          <w:t>https://pubmed.ncbi.nlm.nih.gov/28784061/</w:t>
        </w:r>
      </w:hyperlink>
      <w:r w:rsidR="001D6285">
        <w:t xml:space="preserve"> </w:t>
      </w:r>
    </w:p>
  </w:endnote>
  <w:endnote w:id="6">
    <w:p w14:paraId="1A90E4C8" w14:textId="18D9A70F" w:rsidR="008B563F" w:rsidRDefault="006B7A85" w:rsidP="0005434B">
      <w:pPr>
        <w:pStyle w:val="EndnoteText"/>
      </w:pPr>
      <w:r>
        <w:rPr>
          <w:rStyle w:val="EndnoteReference"/>
        </w:rPr>
        <w:endnoteRef/>
      </w:r>
      <w:r w:rsidR="008B563F">
        <w:t xml:space="preserve"> </w:t>
      </w:r>
      <w:r w:rsidR="003E44C0">
        <w:t xml:space="preserve">Lee </w:t>
      </w:r>
      <w:r w:rsidR="003E44C0" w:rsidRPr="00194844">
        <w:rPr>
          <w:i/>
          <w:iCs/>
        </w:rPr>
        <w:t>et al</w:t>
      </w:r>
      <w:r w:rsidR="003E44C0">
        <w:t xml:space="preserve">, </w:t>
      </w:r>
      <w:r w:rsidR="0005434B" w:rsidRPr="00194844">
        <w:rPr>
          <w:i/>
          <w:iCs/>
        </w:rPr>
        <w:t>Sexual and reproductive health services for women with disability: a qualitative study with service providers in the Philippines</w:t>
      </w:r>
      <w:r w:rsidR="00194844" w:rsidRPr="00194844">
        <w:rPr>
          <w:i/>
          <w:iCs/>
        </w:rPr>
        <w:t xml:space="preserve"> - BMC Women's Health</w:t>
      </w:r>
      <w:r w:rsidR="00194844">
        <w:t xml:space="preserve"> 10</w:t>
      </w:r>
      <w:r w:rsidR="00053B6F">
        <w:t xml:space="preserve"> (2015), </w:t>
      </w:r>
      <w:hyperlink r:id="rId3" w:history="1">
        <w:r w:rsidR="00423514" w:rsidRPr="00CB7CEF">
          <w:rPr>
            <w:rStyle w:val="Hyperlink"/>
          </w:rPr>
          <w:t>https://bmcwomenshealth.biomedcentral.com/articles/10.1186/s12905-015-0244-8</w:t>
        </w:r>
      </w:hyperlink>
      <w:r w:rsidR="00423514">
        <w:t xml:space="preserve"> </w:t>
      </w:r>
    </w:p>
  </w:endnote>
  <w:endnote w:id="7">
    <w:p w14:paraId="119DA1E5" w14:textId="27674839" w:rsidR="008C01A4" w:rsidRDefault="008C01A4">
      <w:pPr>
        <w:pStyle w:val="EndnoteText"/>
      </w:pPr>
      <w:r>
        <w:rPr>
          <w:rStyle w:val="EndnoteReference"/>
        </w:rPr>
        <w:endnoteRef/>
      </w:r>
      <w:r>
        <w:t xml:space="preserve"> </w:t>
      </w:r>
      <w:r w:rsidR="004C65EF" w:rsidRPr="004C65EF">
        <w:rPr>
          <w:i/>
          <w:iCs/>
        </w:rPr>
        <w:t>Id.</w:t>
      </w:r>
      <w:r w:rsidR="004C65EF">
        <w:t xml:space="preserve"> </w:t>
      </w:r>
      <w:r w:rsidR="00404A69">
        <w:t xml:space="preserve">at </w:t>
      </w:r>
      <w:r w:rsidR="004C65EF">
        <w:t>5</w:t>
      </w:r>
      <w:r w:rsidR="00404A69">
        <w:t>.</w:t>
      </w:r>
    </w:p>
  </w:endnote>
  <w:endnote w:id="8">
    <w:p w14:paraId="4119BA63" w14:textId="3A3BE6ED" w:rsidR="00B40B7F" w:rsidRPr="0040582D" w:rsidRDefault="001C43C3" w:rsidP="00B40B7F">
      <w:pPr>
        <w:pStyle w:val="EndnoteText"/>
        <w:rPr>
          <w:i/>
          <w:iCs/>
        </w:rPr>
      </w:pPr>
      <w:r>
        <w:rPr>
          <w:rStyle w:val="EndnoteReference"/>
        </w:rPr>
        <w:endnoteRef/>
      </w:r>
      <w:r>
        <w:t xml:space="preserve"> </w:t>
      </w:r>
      <w:r w:rsidRPr="001C43C3">
        <w:t xml:space="preserve">CEDAW </w:t>
      </w:r>
      <w:r>
        <w:t>W</w:t>
      </w:r>
      <w:r w:rsidRPr="001C43C3">
        <w:t xml:space="preserve">orking </w:t>
      </w:r>
      <w:r>
        <w:t>G</w:t>
      </w:r>
      <w:r w:rsidRPr="001C43C3">
        <w:t xml:space="preserve">roup </w:t>
      </w:r>
      <w:r>
        <w:t>P</w:t>
      </w:r>
      <w:r w:rsidRPr="001C43C3">
        <w:t>hilippines</w:t>
      </w:r>
      <w:r w:rsidR="00B40B7F">
        <w:t xml:space="preserve">, </w:t>
      </w:r>
      <w:r w:rsidR="00B40B7F" w:rsidRPr="0040582D">
        <w:rPr>
          <w:i/>
          <w:iCs/>
        </w:rPr>
        <w:t>Philippine shadow report: access to justice of</w:t>
      </w:r>
    </w:p>
    <w:p w14:paraId="27E5F914" w14:textId="687D8DE9" w:rsidR="001C43C3" w:rsidRDefault="00B40B7F" w:rsidP="00B40B7F">
      <w:pPr>
        <w:pStyle w:val="EndnoteText"/>
      </w:pPr>
      <w:r w:rsidRPr="0040582D">
        <w:rPr>
          <w:i/>
          <w:iCs/>
        </w:rPr>
        <w:t>marginalized women in the Philippines</w:t>
      </w:r>
      <w:r w:rsidR="0040582D">
        <w:t xml:space="preserve"> 13 (2016)</w:t>
      </w:r>
      <w:r w:rsidR="005808BD">
        <w:t>. Submitted to the CEDAW Committee in July 2016,</w:t>
      </w:r>
      <w:r w:rsidR="0040582D">
        <w:t xml:space="preserve"> </w:t>
      </w:r>
      <w:r w:rsidR="003F1702">
        <w:t>unpublished</w:t>
      </w:r>
      <w:r w:rsidR="00263D3B">
        <w:t>.</w:t>
      </w:r>
    </w:p>
  </w:endnote>
  <w:endnote w:id="9">
    <w:p w14:paraId="4E29192F" w14:textId="67C04983" w:rsidR="008E1410" w:rsidRPr="008E1410" w:rsidRDefault="008E1410">
      <w:pPr>
        <w:pStyle w:val="EndnoteText"/>
        <w:rPr>
          <w:rFonts w:eastAsia="Calibri"/>
          <w:lang w:eastAsia="en-US"/>
        </w:rPr>
      </w:pPr>
      <w:r>
        <w:rPr>
          <w:rStyle w:val="EndnoteReference"/>
        </w:rPr>
        <w:endnoteRef/>
      </w:r>
      <w:r>
        <w:t xml:space="preserve"> </w:t>
      </w:r>
      <w:r w:rsidRPr="005068DD">
        <w:rPr>
          <w:rFonts w:eastAsia="Calibri"/>
          <w:lang w:eastAsia="en-US"/>
        </w:rPr>
        <w:t xml:space="preserve">CRPD Committee, </w:t>
      </w:r>
      <w:r w:rsidRPr="005068DD">
        <w:rPr>
          <w:rFonts w:eastAsia="Calibri"/>
          <w:i/>
          <w:iCs/>
          <w:lang w:eastAsia="en-US"/>
        </w:rPr>
        <w:t xml:space="preserve">Concluding observations on the initial report of </w:t>
      </w:r>
      <w:r>
        <w:rPr>
          <w:rFonts w:eastAsia="Calibri"/>
          <w:i/>
          <w:iCs/>
          <w:lang w:eastAsia="en-US"/>
        </w:rPr>
        <w:t>the Philippines</w:t>
      </w:r>
      <w:r w:rsidRPr="005068DD">
        <w:rPr>
          <w:rFonts w:eastAsia="Calibri"/>
          <w:lang w:eastAsia="en-US"/>
        </w:rPr>
        <w:t xml:space="preserve">, ¶ </w:t>
      </w:r>
      <w:r>
        <w:rPr>
          <w:rFonts w:eastAsia="Calibri"/>
          <w:lang w:eastAsia="en-US"/>
        </w:rPr>
        <w:t>4</w:t>
      </w:r>
      <w:r w:rsidR="00C83C5F">
        <w:rPr>
          <w:rFonts w:eastAsia="Calibri"/>
          <w:lang w:eastAsia="en-US"/>
        </w:rPr>
        <w:t>2</w:t>
      </w:r>
      <w:r w:rsidRPr="005068DD">
        <w:rPr>
          <w:rFonts w:eastAsia="Calibri"/>
          <w:lang w:eastAsia="en-US"/>
        </w:rPr>
        <w:t>, U.N. Doc. CRPD/C</w:t>
      </w:r>
      <w:r>
        <w:rPr>
          <w:rFonts w:eastAsia="Calibri"/>
          <w:lang w:eastAsia="en-US"/>
        </w:rPr>
        <w:t>/PHL</w:t>
      </w:r>
      <w:r w:rsidRPr="005068DD">
        <w:rPr>
          <w:rFonts w:eastAsia="Calibri"/>
          <w:lang w:eastAsia="en-US"/>
        </w:rPr>
        <w:t>/CO/1 (201</w:t>
      </w:r>
      <w:r>
        <w:rPr>
          <w:rFonts w:eastAsia="Calibri"/>
          <w:lang w:eastAsia="en-US"/>
        </w:rPr>
        <w:t>8</w:t>
      </w:r>
      <w:r w:rsidRPr="005068DD">
        <w:rPr>
          <w:rFonts w:eastAsia="Calibri"/>
          <w:lang w:eastAsia="en-US"/>
        </w:rPr>
        <w:t>).</w:t>
      </w:r>
    </w:p>
  </w:endnote>
  <w:endnote w:id="10">
    <w:p w14:paraId="3BFEEC67" w14:textId="14A7AB3B" w:rsidR="007D3BC5" w:rsidRPr="005D59CA" w:rsidRDefault="007D3BC5">
      <w:pPr>
        <w:pStyle w:val="EndnoteText"/>
      </w:pPr>
      <w:r>
        <w:rPr>
          <w:rStyle w:val="EndnoteReference"/>
        </w:rPr>
        <w:endnoteRef/>
      </w:r>
      <w:r>
        <w:t xml:space="preserve"> </w:t>
      </w:r>
      <w:r w:rsidR="005D59CA" w:rsidRPr="004C65EF">
        <w:rPr>
          <w:i/>
          <w:iCs/>
        </w:rPr>
        <w:t>Id.</w:t>
      </w:r>
      <w:r w:rsidR="005D59CA">
        <w:t xml:space="preserve"> at </w:t>
      </w:r>
      <w:r w:rsidR="005D59CA" w:rsidRPr="005068DD">
        <w:rPr>
          <w:rFonts w:eastAsia="Calibri"/>
          <w:lang w:eastAsia="en-US"/>
        </w:rPr>
        <w:t xml:space="preserve">¶ </w:t>
      </w:r>
      <w:r w:rsidR="005D59CA">
        <w:rPr>
          <w:rFonts w:eastAsia="Calibri"/>
          <w:lang w:eastAsia="en-US"/>
        </w:rPr>
        <w:t>43.</w:t>
      </w:r>
    </w:p>
  </w:endnote>
  <w:endnote w:id="11">
    <w:p w14:paraId="1B60E645" w14:textId="381B4EFF" w:rsidR="005E72F1" w:rsidRDefault="005E72F1">
      <w:pPr>
        <w:pStyle w:val="EndnoteText"/>
      </w:pPr>
      <w:r>
        <w:rPr>
          <w:rStyle w:val="EndnoteReference"/>
        </w:rPr>
        <w:endnoteRef/>
      </w:r>
      <w:r>
        <w:t xml:space="preserve"> Lee </w:t>
      </w:r>
      <w:r w:rsidRPr="00194844">
        <w:rPr>
          <w:i/>
          <w:iCs/>
        </w:rPr>
        <w:t>et al</w:t>
      </w:r>
      <w:r>
        <w:t xml:space="preserve">, </w:t>
      </w:r>
      <w:r w:rsidRPr="00194844">
        <w:rPr>
          <w:i/>
          <w:iCs/>
        </w:rPr>
        <w:t>Sexual and reproductive health services for women with disability: a qualitative study with service providers in the Philippines - BMC Women's Health</w:t>
      </w:r>
      <w:r>
        <w:t xml:space="preserve"> 5 (2015), </w:t>
      </w:r>
      <w:hyperlink r:id="rId4" w:history="1">
        <w:r w:rsidRPr="00CB7CEF">
          <w:rPr>
            <w:rStyle w:val="Hyperlink"/>
          </w:rPr>
          <w:t>https://bmcwomenshealth.biomedcentral.com/articles/10.1186/s12905-015-0244-8</w:t>
        </w:r>
      </w:hyperlink>
    </w:p>
  </w:endnote>
  <w:endnote w:id="12">
    <w:p w14:paraId="5AE7F78B" w14:textId="6DF58F34" w:rsidR="00021271" w:rsidRDefault="00021271">
      <w:pPr>
        <w:pStyle w:val="EndnoteText"/>
      </w:pPr>
      <w:r>
        <w:rPr>
          <w:rStyle w:val="EndnoteReference"/>
        </w:rPr>
        <w:endnoteRef/>
      </w:r>
      <w:r>
        <w:t xml:space="preserve"> </w:t>
      </w:r>
      <w:r w:rsidR="005D59CA" w:rsidRPr="004C65EF">
        <w:rPr>
          <w:i/>
          <w:iCs/>
        </w:rPr>
        <w:t>Id.</w:t>
      </w:r>
      <w:r w:rsidR="005D59CA">
        <w:t xml:space="preserve"> </w:t>
      </w:r>
    </w:p>
  </w:endnote>
  <w:endnote w:id="13">
    <w:p w14:paraId="116E27B3" w14:textId="1C31333B" w:rsidR="000E54A4" w:rsidRDefault="000E54A4">
      <w:pPr>
        <w:pStyle w:val="EndnoteText"/>
      </w:pPr>
      <w:r>
        <w:rPr>
          <w:rStyle w:val="EndnoteReference"/>
        </w:rPr>
        <w:endnoteRef/>
      </w:r>
      <w:r>
        <w:t xml:space="preserve"> </w:t>
      </w:r>
      <w:r w:rsidR="005D59CA" w:rsidRPr="004C65EF">
        <w:rPr>
          <w:i/>
          <w:iCs/>
        </w:rPr>
        <w:t>Id.</w:t>
      </w:r>
      <w:r w:rsidR="005D59CA">
        <w:t xml:space="preserve"> at 4.</w:t>
      </w:r>
    </w:p>
  </w:endnote>
  <w:endnote w:id="14">
    <w:p w14:paraId="7D56ECC9" w14:textId="17882162" w:rsidR="00ED2BD2" w:rsidRDefault="00ED2BD2" w:rsidP="00ED2BD2">
      <w:pPr>
        <w:pStyle w:val="EndnoteText"/>
      </w:pPr>
      <w:r>
        <w:rPr>
          <w:rStyle w:val="EndnoteReference"/>
        </w:rPr>
        <w:endnoteRef/>
      </w:r>
      <w:r>
        <w:t xml:space="preserve"> </w:t>
      </w:r>
      <w:r w:rsidR="005D59CA" w:rsidRPr="004C65EF">
        <w:rPr>
          <w:i/>
          <w:iCs/>
        </w:rPr>
        <w:t>Id.</w:t>
      </w:r>
      <w:r w:rsidR="005D59CA">
        <w:t xml:space="preserve"> at 7.</w:t>
      </w:r>
    </w:p>
  </w:endnote>
  <w:endnote w:id="15">
    <w:p w14:paraId="68E8BD1C" w14:textId="78145758" w:rsidR="006B4DA7" w:rsidRDefault="006B4DA7">
      <w:pPr>
        <w:pStyle w:val="EndnoteText"/>
      </w:pPr>
      <w:r>
        <w:rPr>
          <w:rStyle w:val="EndnoteReference"/>
        </w:rPr>
        <w:endnoteRef/>
      </w:r>
      <w:r>
        <w:t xml:space="preserve"> </w:t>
      </w:r>
      <w:r w:rsidR="005D59CA" w:rsidRPr="004C65EF">
        <w:rPr>
          <w:i/>
          <w:iCs/>
        </w:rPr>
        <w:t>Id.</w:t>
      </w:r>
      <w:r w:rsidR="005D59CA">
        <w:t xml:space="preserve"> at 4.</w:t>
      </w:r>
    </w:p>
  </w:endnote>
  <w:endnote w:id="16">
    <w:p w14:paraId="560F419B" w14:textId="07EDB692" w:rsidR="00EC489F" w:rsidRDefault="00EC489F">
      <w:pPr>
        <w:pStyle w:val="EndnoteText"/>
      </w:pPr>
      <w:r>
        <w:rPr>
          <w:rStyle w:val="EndnoteReference"/>
        </w:rPr>
        <w:endnoteRef/>
      </w:r>
      <w:r>
        <w:t xml:space="preserve"> </w:t>
      </w:r>
      <w:r w:rsidR="005D59CA" w:rsidRPr="004C65EF">
        <w:rPr>
          <w:i/>
          <w:iCs/>
        </w:rPr>
        <w:t>Id.</w:t>
      </w:r>
      <w:r w:rsidR="005D59CA">
        <w:t xml:space="preserve"> at 5.</w:t>
      </w:r>
    </w:p>
  </w:endnote>
  <w:endnote w:id="17">
    <w:p w14:paraId="2C65BEDA" w14:textId="77AAAC4A" w:rsidR="00F521F0" w:rsidRDefault="00F521F0">
      <w:pPr>
        <w:pStyle w:val="EndnoteText"/>
      </w:pPr>
      <w:r>
        <w:rPr>
          <w:rStyle w:val="EndnoteReference"/>
        </w:rPr>
        <w:endnoteRef/>
      </w:r>
      <w:r>
        <w:t xml:space="preserve"> </w:t>
      </w:r>
      <w:r w:rsidR="00697B5F" w:rsidRPr="004C65EF">
        <w:rPr>
          <w:i/>
          <w:iCs/>
        </w:rPr>
        <w:t>Id.</w:t>
      </w:r>
      <w:r w:rsidR="00697B5F">
        <w:t xml:space="preserve"> at 4.</w:t>
      </w:r>
    </w:p>
  </w:endnote>
  <w:endnote w:id="18">
    <w:p w14:paraId="118F0B69" w14:textId="77777777" w:rsidR="00A00765" w:rsidRPr="00C605A4" w:rsidRDefault="00A00765" w:rsidP="00A00765">
      <w:pPr>
        <w:pStyle w:val="EndnoteText"/>
        <w:rPr>
          <w:i/>
          <w:iCs/>
        </w:rPr>
      </w:pPr>
      <w:r>
        <w:rPr>
          <w:rStyle w:val="EndnoteReference"/>
        </w:rPr>
        <w:endnoteRef/>
      </w:r>
      <w:r>
        <w:t xml:space="preserve"> Devine </w:t>
      </w:r>
      <w:r w:rsidRPr="00C605A4">
        <w:rPr>
          <w:i/>
          <w:iCs/>
        </w:rPr>
        <w:t>et al</w:t>
      </w:r>
      <w:r>
        <w:t xml:space="preserve">, </w:t>
      </w:r>
      <w:r w:rsidRPr="00C605A4">
        <w:rPr>
          <w:i/>
          <w:iCs/>
        </w:rPr>
        <w:t>“Freedom to go where I want”: improving access to sexual and reproductive health for women with</w:t>
      </w:r>
    </w:p>
    <w:p w14:paraId="32EA2A62" w14:textId="15712206" w:rsidR="00A00765" w:rsidRDefault="00A00765">
      <w:pPr>
        <w:pStyle w:val="EndnoteText"/>
      </w:pPr>
      <w:r w:rsidRPr="00C605A4">
        <w:rPr>
          <w:i/>
          <w:iCs/>
        </w:rPr>
        <w:t>disabilities in the Philippines - Reproductive Health Matters</w:t>
      </w:r>
      <w:r>
        <w:t xml:space="preserve"> 60 (2017), </w:t>
      </w:r>
      <w:hyperlink r:id="rId5" w:history="1">
        <w:r w:rsidRPr="00CB7CEF">
          <w:rPr>
            <w:rStyle w:val="Hyperlink"/>
          </w:rPr>
          <w:t>https://pubmed.ncbi.nlm.nih.gov/28784061/</w:t>
        </w:r>
      </w:hyperlink>
      <w:r>
        <w:t xml:space="preserve"> </w:t>
      </w:r>
    </w:p>
  </w:endnote>
  <w:endnote w:id="19">
    <w:p w14:paraId="01501AF9" w14:textId="4FF05709" w:rsidR="00FF6A52" w:rsidRDefault="00FF6A52">
      <w:pPr>
        <w:pStyle w:val="EndnoteText"/>
      </w:pPr>
      <w:r>
        <w:rPr>
          <w:rStyle w:val="EndnoteReference"/>
        </w:rPr>
        <w:endnoteRef/>
      </w:r>
      <w:r>
        <w:t xml:space="preserve"> </w:t>
      </w:r>
      <w:r w:rsidRPr="00686C43">
        <w:t>Focus group participan</w:t>
      </w:r>
      <w:r>
        <w:t>t</w:t>
      </w:r>
      <w:r w:rsidRPr="00686C43">
        <w:t xml:space="preserve">, </w:t>
      </w:r>
      <w:r>
        <w:t>14</w:t>
      </w:r>
      <w:r w:rsidRPr="00686C43">
        <w:t xml:space="preserve"> years old</w:t>
      </w:r>
      <w:r>
        <w:t>, deaf</w:t>
      </w:r>
      <w:r w:rsidRPr="00686C43">
        <w:t>. The focus group was held to inform this shadow report and was conducted on August 18, 2023.</w:t>
      </w:r>
    </w:p>
  </w:endnote>
  <w:endnote w:id="20">
    <w:p w14:paraId="7456507D" w14:textId="260FE175" w:rsidR="00D51343" w:rsidRDefault="00D51343">
      <w:pPr>
        <w:pStyle w:val="EndnoteText"/>
      </w:pPr>
      <w:r>
        <w:rPr>
          <w:rStyle w:val="EndnoteReference"/>
        </w:rPr>
        <w:endnoteRef/>
      </w:r>
      <w:r>
        <w:t xml:space="preserve"> Lee </w:t>
      </w:r>
      <w:r w:rsidRPr="00194844">
        <w:rPr>
          <w:i/>
          <w:iCs/>
        </w:rPr>
        <w:t>et al</w:t>
      </w:r>
      <w:r>
        <w:t xml:space="preserve">, </w:t>
      </w:r>
      <w:r w:rsidRPr="00194844">
        <w:rPr>
          <w:i/>
          <w:iCs/>
        </w:rPr>
        <w:t>Sexual and reproductive health services for women with disability</w:t>
      </w:r>
      <w:r w:rsidR="008D1A92">
        <w:rPr>
          <w:i/>
          <w:iCs/>
        </w:rPr>
        <w:t>, supra note</w:t>
      </w:r>
      <w:r w:rsidR="00D72C0F">
        <w:rPr>
          <w:i/>
          <w:iCs/>
        </w:rPr>
        <w:t xml:space="preserve"> </w:t>
      </w:r>
      <w:r w:rsidR="00D72C0F" w:rsidRPr="00BC338E">
        <w:t>6</w:t>
      </w:r>
      <w:r w:rsidR="00AF0BF8" w:rsidRPr="00BC338E">
        <w:t>,</w:t>
      </w:r>
      <w:r w:rsidR="00AF0BF8">
        <w:t xml:space="preserve"> at 7.</w:t>
      </w:r>
    </w:p>
  </w:endnote>
  <w:endnote w:id="21">
    <w:p w14:paraId="0DBA5640" w14:textId="4B4FEFDD" w:rsidR="00185B16" w:rsidRDefault="00185B16">
      <w:pPr>
        <w:pStyle w:val="EndnoteText"/>
      </w:pPr>
      <w:r>
        <w:rPr>
          <w:rStyle w:val="EndnoteReference"/>
        </w:rPr>
        <w:endnoteRef/>
      </w:r>
      <w:r>
        <w:t xml:space="preserve"> Focus group participant with a physical disability, 59 years old. The focus group was held to inform this shadow report and was conducted on August 18, </w:t>
      </w:r>
      <w:r>
        <w:t>2023</w:t>
      </w:r>
      <w:r w:rsidR="0038003E">
        <w:t xml:space="preserve"> in </w:t>
      </w:r>
      <w:r w:rsidR="0038003E" w:rsidRPr="0038003E">
        <w:t>Laoang, Northern Samar and Tacloban City, Leyte.</w:t>
      </w:r>
    </w:p>
  </w:endnote>
  <w:endnote w:id="22">
    <w:p w14:paraId="229AEC73" w14:textId="40F765FD" w:rsidR="009417A9" w:rsidRDefault="009417A9" w:rsidP="009417A9">
      <w:pPr>
        <w:pStyle w:val="EndnoteText"/>
      </w:pPr>
      <w:r>
        <w:rPr>
          <w:rStyle w:val="EndnoteReference"/>
        </w:rPr>
        <w:endnoteRef/>
      </w:r>
      <w:r>
        <w:t xml:space="preserve"> Commission of Human Rights of the Republic of the Philippines, </w:t>
      </w:r>
      <w:r w:rsidRPr="00F82AED">
        <w:rPr>
          <w:i/>
          <w:iCs/>
        </w:rPr>
        <w:t>Community-Based Peer Monitoring of Access to Services by Women with Disabilities during COVID-19 Pandemic</w:t>
      </w:r>
      <w:r>
        <w:t xml:space="preserve"> 12 (2020)</w:t>
      </w:r>
      <w:r w:rsidR="006159B4">
        <w:t>.</w:t>
      </w:r>
    </w:p>
  </w:endnote>
  <w:endnote w:id="23">
    <w:p w14:paraId="559CE667" w14:textId="1B0189B3" w:rsidR="002379E1" w:rsidRDefault="002379E1">
      <w:pPr>
        <w:pStyle w:val="EndnoteText"/>
      </w:pPr>
      <w:r>
        <w:rPr>
          <w:rStyle w:val="EndnoteReference"/>
        </w:rPr>
        <w:endnoteRef/>
      </w:r>
      <w:r>
        <w:t xml:space="preserve"> Lee </w:t>
      </w:r>
      <w:r w:rsidRPr="00194844">
        <w:rPr>
          <w:i/>
          <w:iCs/>
        </w:rPr>
        <w:t>et al</w:t>
      </w:r>
      <w:r>
        <w:t xml:space="preserve">, </w:t>
      </w:r>
      <w:r w:rsidRPr="00194844">
        <w:rPr>
          <w:i/>
          <w:iCs/>
        </w:rPr>
        <w:t>Sexual and reproductive health services for women with disability</w:t>
      </w:r>
      <w:r w:rsidR="00AF0BF8">
        <w:rPr>
          <w:i/>
          <w:iCs/>
        </w:rPr>
        <w:t xml:space="preserve">, supra note </w:t>
      </w:r>
      <w:r w:rsidR="00963C24">
        <w:t>6,</w:t>
      </w:r>
      <w:r w:rsidR="00AF0BF8">
        <w:t xml:space="preserve"> at 8.</w:t>
      </w:r>
    </w:p>
  </w:endnote>
  <w:endnote w:id="24">
    <w:p w14:paraId="42FB6B67" w14:textId="1DAFC6E9" w:rsidR="00B701D8" w:rsidRDefault="00B701D8">
      <w:pPr>
        <w:pStyle w:val="EndnoteText"/>
      </w:pPr>
      <w:r>
        <w:rPr>
          <w:rStyle w:val="EndnoteReference"/>
        </w:rPr>
        <w:endnoteRef/>
      </w:r>
      <w:r>
        <w:t xml:space="preserve"> Lee </w:t>
      </w:r>
      <w:r w:rsidRPr="00194844">
        <w:rPr>
          <w:i/>
          <w:iCs/>
        </w:rPr>
        <w:t>et al</w:t>
      </w:r>
      <w:r>
        <w:t xml:space="preserve">, </w:t>
      </w:r>
      <w:r w:rsidRPr="00194844">
        <w:rPr>
          <w:i/>
          <w:iCs/>
        </w:rPr>
        <w:t>Sexual and reproductive health services for women with disability</w:t>
      </w:r>
      <w:r w:rsidR="00AF0BF8">
        <w:rPr>
          <w:i/>
          <w:iCs/>
        </w:rPr>
        <w:t xml:space="preserve">, supra note </w:t>
      </w:r>
      <w:r w:rsidR="00963C24">
        <w:t>6,</w:t>
      </w:r>
      <w:r w:rsidR="00AF0BF8">
        <w:t xml:space="preserve"> at 8.</w:t>
      </w:r>
    </w:p>
  </w:endnote>
  <w:endnote w:id="25">
    <w:p w14:paraId="2BDEB4AE" w14:textId="1D56CAAF" w:rsidR="007F5D00" w:rsidRPr="007F5D00" w:rsidRDefault="007F5D00">
      <w:pPr>
        <w:pStyle w:val="EndnoteText"/>
        <w:rPr>
          <w:rFonts w:eastAsia="Calibri"/>
          <w:lang w:eastAsia="en-US"/>
        </w:rPr>
      </w:pPr>
      <w:r>
        <w:rPr>
          <w:rStyle w:val="EndnoteReference"/>
        </w:rPr>
        <w:endnoteRef/>
      </w:r>
      <w:r>
        <w:t xml:space="preserve"> </w:t>
      </w:r>
      <w:r w:rsidRPr="005068DD">
        <w:rPr>
          <w:rFonts w:eastAsia="Calibri"/>
          <w:lang w:eastAsia="en-US"/>
        </w:rPr>
        <w:t xml:space="preserve">CRPD Committee, </w:t>
      </w:r>
      <w:r w:rsidRPr="005068DD">
        <w:rPr>
          <w:rFonts w:eastAsia="Calibri"/>
          <w:i/>
          <w:iCs/>
          <w:lang w:eastAsia="en-US"/>
        </w:rPr>
        <w:t xml:space="preserve">Concluding observations on the initial report of </w:t>
      </w:r>
      <w:r>
        <w:rPr>
          <w:rFonts w:eastAsia="Calibri"/>
          <w:i/>
          <w:iCs/>
          <w:lang w:eastAsia="en-US"/>
        </w:rPr>
        <w:t>the Philippines</w:t>
      </w:r>
      <w:r w:rsidRPr="005068DD">
        <w:rPr>
          <w:rFonts w:eastAsia="Calibri"/>
          <w:lang w:eastAsia="en-US"/>
        </w:rPr>
        <w:t xml:space="preserve">, </w:t>
      </w:r>
      <w:r w:rsidR="00E12CA9" w:rsidRPr="00E12CA9">
        <w:rPr>
          <w:rFonts w:eastAsia="Calibri"/>
          <w:i/>
          <w:iCs/>
          <w:lang w:eastAsia="en-US"/>
        </w:rPr>
        <w:t>supra note</w:t>
      </w:r>
      <w:r w:rsidR="00E12CA9">
        <w:rPr>
          <w:rFonts w:eastAsia="Calibri"/>
          <w:lang w:eastAsia="en-US"/>
        </w:rPr>
        <w:t xml:space="preserve"> </w:t>
      </w:r>
      <w:r w:rsidR="00B93DCA">
        <w:rPr>
          <w:rFonts w:eastAsia="Calibri"/>
          <w:lang w:eastAsia="en-US"/>
        </w:rPr>
        <w:t>9,</w:t>
      </w:r>
      <w:r w:rsidR="00E12CA9">
        <w:rPr>
          <w:rFonts w:eastAsia="Calibri"/>
          <w:lang w:eastAsia="en-US"/>
        </w:rPr>
        <w:t xml:space="preserve"> </w:t>
      </w:r>
      <w:r w:rsidRPr="005068DD">
        <w:rPr>
          <w:rFonts w:eastAsia="Calibri"/>
          <w:lang w:eastAsia="en-US"/>
        </w:rPr>
        <w:t>¶</w:t>
      </w:r>
      <w:r w:rsidR="00A52DD8" w:rsidRPr="005068DD">
        <w:rPr>
          <w:rFonts w:eastAsia="Calibri"/>
          <w:lang w:eastAsia="en-US"/>
        </w:rPr>
        <w:t>¶</w:t>
      </w:r>
      <w:r w:rsidR="00A52DD8">
        <w:rPr>
          <w:rFonts w:eastAsia="Calibri"/>
          <w:lang w:eastAsia="en-US"/>
        </w:rPr>
        <w:t xml:space="preserve"> 32</w:t>
      </w:r>
      <w:r w:rsidRPr="005068DD">
        <w:rPr>
          <w:rFonts w:eastAsia="Calibri"/>
          <w:lang w:eastAsia="en-US"/>
        </w:rPr>
        <w:t>,</w:t>
      </w:r>
      <w:r w:rsidR="00A52DD8">
        <w:rPr>
          <w:rFonts w:eastAsia="Calibri"/>
          <w:lang w:eastAsia="en-US"/>
        </w:rPr>
        <w:t>33</w:t>
      </w:r>
      <w:r w:rsidRPr="005068DD">
        <w:rPr>
          <w:rFonts w:eastAsia="Calibri"/>
          <w:lang w:eastAsia="en-US"/>
        </w:rPr>
        <w:t>.</w:t>
      </w:r>
    </w:p>
  </w:endnote>
  <w:endnote w:id="26">
    <w:p w14:paraId="0D2BC4DB" w14:textId="21EB7FE7" w:rsidR="00E10C51" w:rsidRDefault="00E10C51">
      <w:pPr>
        <w:pStyle w:val="EndnoteText"/>
      </w:pPr>
      <w:r>
        <w:rPr>
          <w:rStyle w:val="EndnoteReference"/>
        </w:rPr>
        <w:endnoteRef/>
      </w:r>
      <w:r>
        <w:t xml:space="preserve"> </w:t>
      </w:r>
      <w:r w:rsidR="000F2A3F">
        <w:t xml:space="preserve">Government of the Philippines, </w:t>
      </w:r>
      <w:r w:rsidR="000F2A3F" w:rsidRPr="000F2A3F">
        <w:t xml:space="preserve">Republic Act No. 10354: The Responsible Parenthood and Reproductive Health Act </w:t>
      </w:r>
      <w:r w:rsidR="000F2A3F">
        <w:t>(</w:t>
      </w:r>
      <w:r w:rsidR="000F2A3F" w:rsidRPr="000F2A3F">
        <w:t>2012</w:t>
      </w:r>
      <w:r w:rsidR="000F2A3F">
        <w:t>),</w:t>
      </w:r>
      <w:r w:rsidR="000F2A3F" w:rsidRPr="000F2A3F">
        <w:t xml:space="preserve"> https://lawphil.net/statutes/repacts/ra2012/ra_10354_2012.html</w:t>
      </w:r>
    </w:p>
  </w:endnote>
  <w:endnote w:id="27">
    <w:p w14:paraId="465D4733" w14:textId="46CBF472" w:rsidR="00E10C51" w:rsidRDefault="00E10C51">
      <w:pPr>
        <w:pStyle w:val="EndnoteText"/>
      </w:pPr>
      <w:r>
        <w:rPr>
          <w:rStyle w:val="EndnoteReference"/>
        </w:rPr>
        <w:endnoteRef/>
      </w:r>
      <w:r>
        <w:t xml:space="preserve"> </w:t>
      </w:r>
      <w:r w:rsidR="000F2A3F" w:rsidRPr="00263D3B">
        <w:rPr>
          <w:i/>
          <w:iCs/>
        </w:rPr>
        <w:t>Id.</w:t>
      </w:r>
    </w:p>
  </w:endnote>
  <w:endnote w:id="28">
    <w:p w14:paraId="20A9CD06" w14:textId="62FAF3F8" w:rsidR="00D877D8" w:rsidRDefault="00D877D8">
      <w:pPr>
        <w:pStyle w:val="EndnoteText"/>
      </w:pPr>
      <w:r>
        <w:rPr>
          <w:rStyle w:val="EndnoteReference"/>
        </w:rPr>
        <w:endnoteRef/>
      </w:r>
      <w:r>
        <w:t xml:space="preserve"> Women Enabled International</w:t>
      </w:r>
      <w:r w:rsidR="00684C31">
        <w:t xml:space="preserve">, </w:t>
      </w:r>
      <w:r w:rsidR="00684C31" w:rsidRPr="00684C31">
        <w:rPr>
          <w:i/>
          <w:iCs/>
        </w:rPr>
        <w:t>Fact sheet on gender-based violence</w:t>
      </w:r>
      <w:r w:rsidR="00684C31">
        <w:t xml:space="preserve"> 1 (no date), </w:t>
      </w:r>
      <w:hyperlink r:id="rId6" w:history="1">
        <w:r w:rsidR="00684C31" w:rsidRPr="005113AC">
          <w:rPr>
            <w:rStyle w:val="Hyperlink"/>
          </w:rPr>
          <w:t>https://womenenabled.org/wp-content/uploads/Women%20Enabled%20International%20Facts%20-%20The%20Right%20of%20Women%20and%20Girls%20with%20Disabilities%20to%20be%20Free%20from%20Gender-Based%20Violence%20-%20ENGLISH%20-%20FINAL.pdf</w:t>
        </w:r>
      </w:hyperlink>
      <w:r w:rsidR="00684C31">
        <w:t xml:space="preserve"> </w:t>
      </w:r>
    </w:p>
  </w:endnote>
  <w:endnote w:id="29">
    <w:p w14:paraId="5A4243F1" w14:textId="32C3CAE2" w:rsidR="00D877D8" w:rsidRDefault="00D877D8">
      <w:pPr>
        <w:pStyle w:val="EndnoteText"/>
      </w:pPr>
      <w:r>
        <w:rPr>
          <w:rStyle w:val="EndnoteReference"/>
        </w:rPr>
        <w:endnoteRef/>
      </w:r>
      <w:r>
        <w:t xml:space="preserve"> </w:t>
      </w:r>
      <w:r w:rsidR="000D1182" w:rsidRPr="000D1182">
        <w:rPr>
          <w:i/>
          <w:iCs/>
        </w:rPr>
        <w:t>Id.</w:t>
      </w:r>
    </w:p>
  </w:endnote>
  <w:endnote w:id="30">
    <w:p w14:paraId="53F7A0CF" w14:textId="5C641075" w:rsidR="00D7722A" w:rsidRDefault="00D7722A">
      <w:pPr>
        <w:pStyle w:val="EndnoteText"/>
      </w:pPr>
      <w:r>
        <w:rPr>
          <w:rStyle w:val="EndnoteReference"/>
        </w:rPr>
        <w:endnoteRef/>
      </w:r>
      <w:r>
        <w:t xml:space="preserve"> </w:t>
      </w:r>
      <w:r w:rsidR="00426BB1">
        <w:t xml:space="preserve">Government of the Philippines, </w:t>
      </w:r>
      <w:r w:rsidR="00426BB1" w:rsidRPr="00263D3B">
        <w:rPr>
          <w:i/>
          <w:iCs/>
        </w:rPr>
        <w:t>Republic Act 11313: Safe Spaces Act</w:t>
      </w:r>
      <w:r w:rsidR="00426BB1" w:rsidRPr="00426BB1">
        <w:t xml:space="preserve"> </w:t>
      </w:r>
      <w:r w:rsidR="00426BB1">
        <w:t xml:space="preserve">(2019), </w:t>
      </w:r>
      <w:r w:rsidR="00426BB1" w:rsidRPr="00426BB1">
        <w:t>https://lawphil.net/statutes/repacts/ra2019/ra_11313_2019.html</w:t>
      </w:r>
    </w:p>
  </w:endnote>
  <w:endnote w:id="31">
    <w:p w14:paraId="55BFBE3A" w14:textId="1EE07187" w:rsidR="009E5201" w:rsidRPr="0082544B" w:rsidRDefault="009E5201" w:rsidP="009E5201">
      <w:pPr>
        <w:pStyle w:val="EndnoteText"/>
        <w:rPr>
          <w:i/>
          <w:iCs/>
        </w:rPr>
      </w:pPr>
      <w:r>
        <w:rPr>
          <w:rStyle w:val="EndnoteReference"/>
        </w:rPr>
        <w:endnoteRef/>
      </w:r>
      <w:r>
        <w:t xml:space="preserve"> Vaughan, C. </w:t>
      </w:r>
      <w:r w:rsidRPr="0082544B">
        <w:rPr>
          <w:i/>
          <w:iCs/>
        </w:rPr>
        <w:t>et al</w:t>
      </w:r>
      <w:r>
        <w:t xml:space="preserve">, </w:t>
      </w:r>
      <w:r w:rsidRPr="0082544B">
        <w:rPr>
          <w:i/>
          <w:iCs/>
        </w:rPr>
        <w:t>W-DARE: a three-year program of participatory action research to improve the sexual and</w:t>
      </w:r>
    </w:p>
    <w:p w14:paraId="6FF072E6" w14:textId="319C86D2" w:rsidR="009E5201" w:rsidRDefault="009E5201" w:rsidP="009E5201">
      <w:pPr>
        <w:pStyle w:val="EndnoteText"/>
      </w:pPr>
      <w:r w:rsidRPr="0082544B">
        <w:rPr>
          <w:i/>
          <w:iCs/>
        </w:rPr>
        <w:t>reproductive health of women with disabilities in the Philippines</w:t>
      </w:r>
      <w:r w:rsidR="0082544B">
        <w:t xml:space="preserve"> (2015), </w:t>
      </w:r>
      <w:hyperlink r:id="rId7" w:history="1">
        <w:r w:rsidR="00275FA3" w:rsidRPr="00E25DCC">
          <w:rPr>
            <w:rStyle w:val="Hyperlink"/>
          </w:rPr>
          <w:t>https://bmcpublichealth.biomedcentral.com/articles/10.1186/s12889-015-2308-y</w:t>
        </w:r>
      </w:hyperlink>
      <w:r w:rsidR="00275FA3">
        <w:t xml:space="preserve"> </w:t>
      </w:r>
    </w:p>
  </w:endnote>
  <w:endnote w:id="32">
    <w:p w14:paraId="76647BE1" w14:textId="384E6BA6" w:rsidR="00944B4B" w:rsidRPr="007F5D00" w:rsidRDefault="00944B4B">
      <w:pPr>
        <w:pStyle w:val="EndnoteText"/>
        <w:rPr>
          <w:rFonts w:eastAsia="Calibri"/>
          <w:lang w:eastAsia="en-US"/>
        </w:rPr>
      </w:pPr>
      <w:r>
        <w:rPr>
          <w:rStyle w:val="EndnoteReference"/>
        </w:rPr>
        <w:endnoteRef/>
      </w:r>
      <w:r>
        <w:t xml:space="preserve"> </w:t>
      </w:r>
      <w:r w:rsidRPr="005068DD">
        <w:rPr>
          <w:rFonts w:eastAsia="Calibri"/>
          <w:lang w:eastAsia="en-US"/>
        </w:rPr>
        <w:t xml:space="preserve">CRPD Committee, </w:t>
      </w:r>
      <w:r w:rsidRPr="005068DD">
        <w:rPr>
          <w:rFonts w:eastAsia="Calibri"/>
          <w:i/>
          <w:iCs/>
          <w:lang w:eastAsia="en-US"/>
        </w:rPr>
        <w:t xml:space="preserve">Concluding observations on the initial report of </w:t>
      </w:r>
      <w:r>
        <w:rPr>
          <w:rFonts w:eastAsia="Calibri"/>
          <w:i/>
          <w:iCs/>
          <w:lang w:eastAsia="en-US"/>
        </w:rPr>
        <w:t>the Philippines</w:t>
      </w:r>
      <w:r w:rsidRPr="005068DD">
        <w:rPr>
          <w:rFonts w:eastAsia="Calibri"/>
          <w:lang w:eastAsia="en-US"/>
        </w:rPr>
        <w:t>,</w:t>
      </w:r>
      <w:r w:rsidR="00E12CA9" w:rsidRPr="00E12CA9">
        <w:rPr>
          <w:rFonts w:eastAsia="Calibri"/>
          <w:i/>
          <w:iCs/>
          <w:lang w:eastAsia="en-US"/>
        </w:rPr>
        <w:t xml:space="preserve"> supra note</w:t>
      </w:r>
      <w:r w:rsidR="00E12CA9">
        <w:rPr>
          <w:rFonts w:eastAsia="Calibri"/>
          <w:lang w:eastAsia="en-US"/>
        </w:rPr>
        <w:t xml:space="preserve"> </w:t>
      </w:r>
      <w:r w:rsidR="00B93DCA">
        <w:rPr>
          <w:rFonts w:eastAsia="Calibri"/>
          <w:lang w:eastAsia="en-US"/>
        </w:rPr>
        <w:t>9,</w:t>
      </w:r>
      <w:r w:rsidR="00E12CA9">
        <w:rPr>
          <w:rFonts w:eastAsia="Calibri"/>
          <w:lang w:eastAsia="en-US"/>
        </w:rPr>
        <w:t xml:space="preserve"> </w:t>
      </w:r>
      <w:r w:rsidRPr="005068DD">
        <w:rPr>
          <w:rFonts w:eastAsia="Calibri"/>
          <w:lang w:eastAsia="en-US"/>
        </w:rPr>
        <w:t>¶ 1</w:t>
      </w:r>
      <w:r>
        <w:rPr>
          <w:rFonts w:eastAsia="Calibri"/>
          <w:lang w:eastAsia="en-US"/>
        </w:rPr>
        <w:t>4</w:t>
      </w:r>
      <w:r w:rsidR="00E12CA9">
        <w:rPr>
          <w:rFonts w:eastAsia="Calibri"/>
          <w:lang w:eastAsia="en-US"/>
        </w:rPr>
        <w:t>.</w:t>
      </w:r>
    </w:p>
  </w:endnote>
  <w:endnote w:id="33">
    <w:p w14:paraId="29D6F583" w14:textId="3C76CE28" w:rsidR="0057190A" w:rsidRPr="007D0F88" w:rsidRDefault="0057190A" w:rsidP="0057190A">
      <w:pPr>
        <w:pStyle w:val="EndnoteText"/>
        <w:rPr>
          <w:rFonts w:eastAsia="Calibri"/>
          <w:lang w:eastAsia="en-US"/>
        </w:rPr>
      </w:pPr>
      <w:r>
        <w:rPr>
          <w:rStyle w:val="EndnoteReference"/>
        </w:rPr>
        <w:endnoteRef/>
      </w:r>
      <w:r>
        <w:t xml:space="preserve"> </w:t>
      </w:r>
      <w:r w:rsidR="000D1182" w:rsidRPr="000D1182">
        <w:rPr>
          <w:i/>
          <w:iCs/>
        </w:rPr>
        <w:t>Id.</w:t>
      </w:r>
    </w:p>
  </w:endnote>
  <w:endnote w:id="34">
    <w:p w14:paraId="1FF7F8FE" w14:textId="17F4CEF2" w:rsidR="00931067" w:rsidRPr="007D0F88" w:rsidRDefault="00931067" w:rsidP="00931067">
      <w:pPr>
        <w:pStyle w:val="EndnoteText"/>
        <w:rPr>
          <w:rFonts w:eastAsia="Calibri"/>
          <w:lang w:eastAsia="en-US"/>
        </w:rPr>
      </w:pPr>
      <w:r>
        <w:rPr>
          <w:rStyle w:val="EndnoteReference"/>
        </w:rPr>
        <w:endnoteRef/>
      </w:r>
      <w:r>
        <w:t xml:space="preserve"> </w:t>
      </w:r>
      <w:r w:rsidR="000D1182" w:rsidRPr="000D1182">
        <w:rPr>
          <w:i/>
          <w:iCs/>
        </w:rPr>
        <w:t>Id.</w:t>
      </w:r>
    </w:p>
  </w:endnote>
  <w:endnote w:id="35">
    <w:p w14:paraId="42F2D112" w14:textId="10AA9C98" w:rsidR="00F96E09" w:rsidRPr="007D0F88" w:rsidRDefault="00F96E09" w:rsidP="00F96E09">
      <w:pPr>
        <w:pStyle w:val="EndnoteText"/>
        <w:rPr>
          <w:rFonts w:eastAsia="Calibri"/>
          <w:lang w:eastAsia="en-US"/>
        </w:rPr>
      </w:pPr>
      <w:r>
        <w:rPr>
          <w:rStyle w:val="EndnoteReference"/>
        </w:rPr>
        <w:endnoteRef/>
      </w:r>
      <w:r>
        <w:t xml:space="preserve"> </w:t>
      </w:r>
      <w:r w:rsidR="000D1182" w:rsidRPr="000D1182">
        <w:rPr>
          <w:i/>
          <w:iCs/>
        </w:rPr>
        <w:t>Id.</w:t>
      </w:r>
    </w:p>
  </w:endnote>
  <w:endnote w:id="36">
    <w:p w14:paraId="2B6460C2" w14:textId="74A0F5CD" w:rsidR="00C119D9" w:rsidRDefault="00C119D9" w:rsidP="00C119D9">
      <w:pPr>
        <w:pStyle w:val="EndnoteText"/>
      </w:pPr>
      <w:r>
        <w:rPr>
          <w:rStyle w:val="EndnoteReference"/>
        </w:rPr>
        <w:endnoteRef/>
      </w:r>
      <w:r>
        <w:t xml:space="preserve"> Focus group participant with a physical disability, 59 years old. The focus group was held to inform this shadow report and was conducted on August 18, </w:t>
      </w:r>
      <w:r>
        <w:t>2023</w:t>
      </w:r>
      <w:r w:rsidR="00880B65">
        <w:t xml:space="preserve"> in </w:t>
      </w:r>
      <w:r w:rsidR="00880B65" w:rsidRPr="00880B65">
        <w:t>Laoang, Northern Samar and Tacloban City, Leyte.</w:t>
      </w:r>
      <w:r>
        <w:t xml:space="preserve"> (</w:t>
      </w:r>
      <w:r w:rsidRPr="00C119D9">
        <w:t>A woman with a disability from the Philippines shared that her friend with a psychosocial disability was raped in her own home by someone she did not know. After the crime, “she lost herself,” according to her friend. And as the woman has the tendency to get naked when having episodes related to her psychosocial disability, “people say she asked for it.”</w:t>
      </w:r>
      <w:r>
        <w:t>).</w:t>
      </w:r>
    </w:p>
  </w:endnote>
  <w:endnote w:id="37">
    <w:p w14:paraId="1314D4BF" w14:textId="77777777" w:rsidR="00C119D9" w:rsidRDefault="00C119D9" w:rsidP="00C119D9">
      <w:pPr>
        <w:pStyle w:val="EndnoteText"/>
      </w:pPr>
      <w:r>
        <w:rPr>
          <w:rStyle w:val="EndnoteReference"/>
        </w:rPr>
        <w:endnoteRef/>
      </w:r>
      <w:r>
        <w:t xml:space="preserve"> </w:t>
      </w:r>
      <w:r w:rsidRPr="00686C43">
        <w:t>Focus group participant with a physical disability, 59 years old</w:t>
      </w:r>
      <w:r>
        <w:t>, sharing the experience of another woman with a disability</w:t>
      </w:r>
      <w:r w:rsidRPr="00686C43">
        <w:t>. The focus group was held to inform this shadow report and was conducted on August 18, 2023.</w:t>
      </w:r>
    </w:p>
  </w:endnote>
  <w:endnote w:id="38">
    <w:p w14:paraId="70624433" w14:textId="1A1C7C99" w:rsidR="007E2708" w:rsidRPr="007F5D00" w:rsidRDefault="007E2708" w:rsidP="007E2708">
      <w:pPr>
        <w:pStyle w:val="EndnoteText"/>
        <w:rPr>
          <w:rFonts w:eastAsia="Calibri"/>
          <w:lang w:eastAsia="en-US"/>
        </w:rPr>
      </w:pPr>
      <w:r>
        <w:rPr>
          <w:rStyle w:val="EndnoteReference"/>
        </w:rPr>
        <w:endnoteRef/>
      </w:r>
      <w:r>
        <w:t xml:space="preserve"> </w:t>
      </w:r>
      <w:r w:rsidRPr="005068DD">
        <w:rPr>
          <w:rFonts w:eastAsia="Calibri"/>
          <w:lang w:eastAsia="en-US"/>
        </w:rPr>
        <w:t xml:space="preserve">CRPD Committee, </w:t>
      </w:r>
      <w:r w:rsidRPr="005068DD">
        <w:rPr>
          <w:rFonts w:eastAsia="Calibri"/>
          <w:i/>
          <w:iCs/>
          <w:lang w:eastAsia="en-US"/>
        </w:rPr>
        <w:t xml:space="preserve">Concluding observations on the initial report of </w:t>
      </w:r>
      <w:r>
        <w:rPr>
          <w:rFonts w:eastAsia="Calibri"/>
          <w:i/>
          <w:iCs/>
          <w:lang w:eastAsia="en-US"/>
        </w:rPr>
        <w:t>the Philippines</w:t>
      </w:r>
      <w:r w:rsidRPr="005068DD">
        <w:rPr>
          <w:rFonts w:eastAsia="Calibri"/>
          <w:lang w:eastAsia="en-US"/>
        </w:rPr>
        <w:t xml:space="preserve">, </w:t>
      </w:r>
      <w:r w:rsidR="00E852EE" w:rsidRPr="00E12CA9">
        <w:rPr>
          <w:rFonts w:eastAsia="Calibri"/>
          <w:i/>
          <w:iCs/>
          <w:lang w:eastAsia="en-US"/>
        </w:rPr>
        <w:t>supra note</w:t>
      </w:r>
      <w:r w:rsidR="00E852EE">
        <w:rPr>
          <w:rFonts w:eastAsia="Calibri"/>
          <w:lang w:eastAsia="en-US"/>
        </w:rPr>
        <w:t xml:space="preserve"> </w:t>
      </w:r>
      <w:r w:rsidR="00FD1100">
        <w:rPr>
          <w:rFonts w:eastAsia="Calibri"/>
          <w:lang w:eastAsia="en-US"/>
        </w:rPr>
        <w:t>9,</w:t>
      </w:r>
      <w:r w:rsidR="00E852EE">
        <w:rPr>
          <w:rFonts w:eastAsia="Calibri"/>
          <w:lang w:eastAsia="en-US"/>
        </w:rPr>
        <w:t xml:space="preserve"> </w:t>
      </w:r>
      <w:r w:rsidRPr="005068DD">
        <w:rPr>
          <w:rFonts w:eastAsia="Calibri"/>
          <w:lang w:eastAsia="en-US"/>
        </w:rPr>
        <w:t>¶ 1</w:t>
      </w:r>
      <w:r>
        <w:rPr>
          <w:rFonts w:eastAsia="Calibri"/>
          <w:lang w:eastAsia="en-US"/>
        </w:rPr>
        <w:t>5</w:t>
      </w:r>
      <w:r w:rsidR="00E852EE">
        <w:rPr>
          <w:rFonts w:eastAsia="Calibri"/>
          <w:lang w:eastAsia="en-US"/>
        </w:rPr>
        <w:t>.</w:t>
      </w:r>
    </w:p>
  </w:endnote>
  <w:endnote w:id="39">
    <w:p w14:paraId="178FD498" w14:textId="13923E84" w:rsidR="007D0F88" w:rsidRPr="00014532" w:rsidRDefault="007D0F88">
      <w:pPr>
        <w:pStyle w:val="EndnoteText"/>
        <w:rPr>
          <w:rFonts w:eastAsia="Calibri"/>
          <w:lang w:eastAsia="en-US"/>
        </w:rPr>
      </w:pPr>
      <w:r>
        <w:rPr>
          <w:rStyle w:val="EndnoteReference"/>
        </w:rPr>
        <w:endnoteRef/>
      </w:r>
      <w:r>
        <w:t xml:space="preserve"> </w:t>
      </w:r>
      <w:r w:rsidR="00E852EE" w:rsidRPr="00E852EE">
        <w:rPr>
          <w:i/>
          <w:iCs/>
        </w:rPr>
        <w:t>Id.</w:t>
      </w:r>
    </w:p>
  </w:endnote>
  <w:endnote w:id="40">
    <w:p w14:paraId="011A0C56" w14:textId="3102D929" w:rsidR="00DC11B9" w:rsidRPr="00FD1100" w:rsidRDefault="00DC11B9">
      <w:pPr>
        <w:pStyle w:val="EndnoteText"/>
      </w:pPr>
      <w:r>
        <w:rPr>
          <w:rStyle w:val="EndnoteReference"/>
        </w:rPr>
        <w:endnoteRef/>
      </w:r>
      <w:r>
        <w:t xml:space="preserve"> </w:t>
      </w:r>
      <w:r w:rsidR="00972FC4">
        <w:t xml:space="preserve">Commission of Human Rights of the Republic of the Philippines, </w:t>
      </w:r>
      <w:r w:rsidR="00972FC4" w:rsidRPr="00F82AED">
        <w:rPr>
          <w:i/>
          <w:iCs/>
        </w:rPr>
        <w:t>Community-Based Peer Monitoring of Access to Services by Women with Disabilities during COVID-19 Pandemic</w:t>
      </w:r>
      <w:r w:rsidR="00043C5B">
        <w:rPr>
          <w:i/>
          <w:iCs/>
        </w:rPr>
        <w:t xml:space="preserve">, supra note </w:t>
      </w:r>
      <w:r w:rsidR="00FD1100" w:rsidRPr="00FD1100">
        <w:t xml:space="preserve">22, at </w:t>
      </w:r>
      <w:r w:rsidR="00972FC4" w:rsidRPr="00FD1100">
        <w:t>13</w:t>
      </w:r>
      <w:r w:rsidR="006159B4" w:rsidRPr="00FD1100">
        <w:t>.</w:t>
      </w:r>
    </w:p>
  </w:endnote>
  <w:endnote w:id="41">
    <w:p w14:paraId="14B8E214" w14:textId="1897C50F" w:rsidR="00091F07" w:rsidRDefault="00091F07">
      <w:pPr>
        <w:pStyle w:val="EndnoteText"/>
      </w:pPr>
      <w:r>
        <w:rPr>
          <w:rStyle w:val="EndnoteReference"/>
        </w:rPr>
        <w:endnoteRef/>
      </w:r>
      <w:r>
        <w:t xml:space="preserve"> </w:t>
      </w:r>
      <w:r w:rsidRPr="00686C43">
        <w:t>Focus group participant with</w:t>
      </w:r>
      <w:r>
        <w:t xml:space="preserve"> low vision</w:t>
      </w:r>
      <w:r w:rsidRPr="00686C43">
        <w:t xml:space="preserve">, </w:t>
      </w:r>
      <w:r>
        <w:t>26</w:t>
      </w:r>
      <w:r w:rsidRPr="00686C43">
        <w:t xml:space="preserve"> years old. The focus group was held to inform this shadow report and was conducted on August 18, </w:t>
      </w:r>
      <w:r w:rsidRPr="00686C43">
        <w:t>2023</w:t>
      </w:r>
      <w:r w:rsidR="00880B65">
        <w:t xml:space="preserve"> </w:t>
      </w:r>
      <w:r w:rsidR="00880B65" w:rsidRPr="00880B65">
        <w:t>in Laoang, Northern Samar and Tacloban City, Leyte.</w:t>
      </w:r>
    </w:p>
  </w:endnote>
  <w:endnote w:id="42">
    <w:p w14:paraId="28E3F441" w14:textId="1441C53A" w:rsidR="00D972FD" w:rsidRDefault="00D972FD">
      <w:pPr>
        <w:pStyle w:val="EndnoteText"/>
      </w:pPr>
      <w:r>
        <w:rPr>
          <w:rStyle w:val="EndnoteReference"/>
        </w:rPr>
        <w:endnoteRef/>
      </w:r>
      <w:r>
        <w:t xml:space="preserve"> </w:t>
      </w:r>
      <w:r w:rsidRPr="00D972FD">
        <w:t xml:space="preserve">Focus group participant with a physical disability, 59 years old. The focus group was held to inform this shadow report and was conducted on August 18, </w:t>
      </w:r>
      <w:r w:rsidRPr="00D972FD">
        <w:t>2023</w:t>
      </w:r>
      <w:r w:rsidR="00880B65">
        <w:t xml:space="preserve"> </w:t>
      </w:r>
      <w:r w:rsidR="00880B65" w:rsidRPr="00880B65">
        <w:t>in Laoang, Northern Samar and Tacloban City, Leyte.</w:t>
      </w:r>
    </w:p>
  </w:endnote>
  <w:endnote w:id="43">
    <w:p w14:paraId="56A43C8A" w14:textId="3B4C0587" w:rsidR="00014532" w:rsidRDefault="00014532">
      <w:pPr>
        <w:pStyle w:val="EndnoteText"/>
      </w:pPr>
      <w:r>
        <w:rPr>
          <w:rStyle w:val="EndnoteReference"/>
        </w:rPr>
        <w:endnoteRef/>
      </w:r>
      <w:r>
        <w:t xml:space="preserve"> </w:t>
      </w:r>
      <w:r w:rsidR="00927D2D">
        <w:t xml:space="preserve">Philippine Coalition on the UNCRPD, </w:t>
      </w:r>
      <w:r w:rsidR="00927D2D" w:rsidRPr="00C62499">
        <w:rPr>
          <w:i/>
          <w:iCs/>
        </w:rPr>
        <w:t xml:space="preserve">United Nations Convention on the Rights of Persons with Disabilities </w:t>
      </w:r>
      <w:r w:rsidR="00DC380E" w:rsidRPr="00C62499">
        <w:rPr>
          <w:i/>
          <w:iCs/>
        </w:rPr>
        <w:t>–</w:t>
      </w:r>
      <w:r w:rsidR="00927D2D" w:rsidRPr="00C62499">
        <w:rPr>
          <w:i/>
          <w:iCs/>
        </w:rPr>
        <w:t xml:space="preserve"> </w:t>
      </w:r>
      <w:r w:rsidR="00DC380E" w:rsidRPr="00C62499">
        <w:rPr>
          <w:i/>
          <w:iCs/>
        </w:rPr>
        <w:t>parallel report</w:t>
      </w:r>
      <w:r w:rsidR="00DC380E">
        <w:t xml:space="preserve"> </w:t>
      </w:r>
      <w:r w:rsidR="00C62499">
        <w:t xml:space="preserve">6 </w:t>
      </w:r>
      <w:r w:rsidR="00DC380E">
        <w:t xml:space="preserve">(2013), </w:t>
      </w:r>
      <w:r w:rsidR="00DC380E" w:rsidRPr="00DC380E">
        <w:t>https://www.slideshare.net/akkapppasig/2013-uncrpd-parallel-report-of-the-philippine-coalition</w:t>
      </w:r>
    </w:p>
  </w:endnote>
  <w:endnote w:id="44">
    <w:p w14:paraId="05CA1D75" w14:textId="2138E554" w:rsidR="005F24E0" w:rsidRDefault="005F24E0">
      <w:pPr>
        <w:pStyle w:val="EndnoteText"/>
      </w:pPr>
      <w:r>
        <w:rPr>
          <w:rStyle w:val="EndnoteReference"/>
        </w:rPr>
        <w:endnoteRef/>
      </w:r>
      <w:r>
        <w:t xml:space="preserve"> </w:t>
      </w:r>
      <w:r w:rsidRPr="005F24E0">
        <w:t xml:space="preserve">Focus group participant, </w:t>
      </w:r>
      <w:r>
        <w:t>59</w:t>
      </w:r>
      <w:r w:rsidRPr="005F24E0">
        <w:t xml:space="preserve"> years old. The focus group was held to inform this shadow report and was conducted on August 18, </w:t>
      </w:r>
      <w:r w:rsidRPr="005F24E0">
        <w:t>2023</w:t>
      </w:r>
      <w:r w:rsidR="00880B65">
        <w:t xml:space="preserve"> </w:t>
      </w:r>
      <w:r w:rsidR="00880B65" w:rsidRPr="00880B65">
        <w:t>in Laoang, Northern Samar and Tacloban City, Leyte.</w:t>
      </w:r>
    </w:p>
  </w:endnote>
  <w:endnote w:id="45">
    <w:p w14:paraId="0F8261EB" w14:textId="6F1E0880" w:rsidR="00C66D32" w:rsidRDefault="00C66D32">
      <w:pPr>
        <w:pStyle w:val="EndnoteText"/>
      </w:pPr>
      <w:r>
        <w:rPr>
          <w:rStyle w:val="EndnoteReference"/>
        </w:rPr>
        <w:endnoteRef/>
      </w:r>
      <w:r>
        <w:t xml:space="preserve"> </w:t>
      </w:r>
      <w:r w:rsidR="00FC18E6" w:rsidRPr="00686C43">
        <w:t>Focus group participant with</w:t>
      </w:r>
      <w:r w:rsidR="00FC18E6">
        <w:t xml:space="preserve"> low vision</w:t>
      </w:r>
      <w:r w:rsidR="00FC18E6" w:rsidRPr="00686C43">
        <w:t xml:space="preserve">, </w:t>
      </w:r>
      <w:r w:rsidR="00FC18E6">
        <w:t>26</w:t>
      </w:r>
      <w:r w:rsidR="00FC18E6" w:rsidRPr="00686C43">
        <w:t xml:space="preserve"> years old. The focus group was held to inform this shadow report and was conducted on August 18, </w:t>
      </w:r>
      <w:r w:rsidR="00FC18E6" w:rsidRPr="00686C43">
        <w:t>2023</w:t>
      </w:r>
      <w:r w:rsidR="00880B65">
        <w:t xml:space="preserve"> </w:t>
      </w:r>
      <w:bookmarkStart w:id="1" w:name="_Hlk145346040"/>
      <w:r w:rsidR="00880B65">
        <w:t>in</w:t>
      </w:r>
      <w:r w:rsidR="00880B65" w:rsidRPr="00880B65">
        <w:t xml:space="preserve"> </w:t>
      </w:r>
      <w:r w:rsidR="00880B65" w:rsidRPr="00880B65">
        <w:t>Laoang, Northern Samar and Tacloban City, Leyte.</w:t>
      </w:r>
      <w:bookmarkEnd w:id="1"/>
    </w:p>
  </w:endnote>
  <w:endnote w:id="46">
    <w:p w14:paraId="3CDA51E2" w14:textId="6C2B293C" w:rsidR="00863B7A" w:rsidRDefault="00863B7A">
      <w:pPr>
        <w:pStyle w:val="EndnoteText"/>
      </w:pPr>
      <w:r>
        <w:rPr>
          <w:rStyle w:val="EndnoteReference"/>
        </w:rPr>
        <w:endnoteRef/>
      </w:r>
      <w:r>
        <w:t xml:space="preserve"> </w:t>
      </w:r>
      <w:r w:rsidRPr="007A2BE6">
        <w:t xml:space="preserve">CRPD Committee, </w:t>
      </w:r>
      <w:r w:rsidRPr="007A2BE6">
        <w:rPr>
          <w:i/>
          <w:iCs/>
        </w:rPr>
        <w:t>General Comment No. 4: Right to inclusive education</w:t>
      </w:r>
      <w:r w:rsidRPr="0064431C">
        <w:t xml:space="preserve">, ¶ </w:t>
      </w:r>
      <w:r w:rsidR="00AF6721">
        <w:t>46</w:t>
      </w:r>
      <w:r w:rsidRPr="0064431C">
        <w:t xml:space="preserve"> U.N. Doc. CRPD/C/GC/</w:t>
      </w:r>
      <w:r w:rsidRPr="00175111">
        <w:t>4 (2016).</w:t>
      </w:r>
    </w:p>
  </w:endnote>
  <w:endnote w:id="47">
    <w:p w14:paraId="44103EE8" w14:textId="1D10AD51" w:rsidR="00497CC2" w:rsidRPr="00E074E3" w:rsidRDefault="00497CC2">
      <w:pPr>
        <w:pStyle w:val="EndnoteText"/>
      </w:pPr>
      <w:r>
        <w:rPr>
          <w:rStyle w:val="EndnoteReference"/>
        </w:rPr>
        <w:endnoteRef/>
      </w:r>
      <w:r w:rsidRPr="00E074E3">
        <w:t xml:space="preserve"> </w:t>
      </w:r>
      <w:bookmarkStart w:id="2" w:name="_Hlk145331239"/>
      <w:r w:rsidR="00E074E3" w:rsidRPr="00E074E3">
        <w:t>Philstar G</w:t>
      </w:r>
      <w:r w:rsidR="00E074E3" w:rsidRPr="00263D3B">
        <w:t xml:space="preserve">lobal, </w:t>
      </w:r>
      <w:r w:rsidR="00E074E3" w:rsidRPr="00263D3B">
        <w:rPr>
          <w:i/>
          <w:iCs/>
        </w:rPr>
        <w:t>Landmark law for children with disabilities still unimplemented a year since passage</w:t>
      </w:r>
      <w:r w:rsidR="00E074E3" w:rsidRPr="00263D3B">
        <w:t xml:space="preserve"> (M</w:t>
      </w:r>
      <w:r w:rsidR="00E074E3">
        <w:t xml:space="preserve">arch 2023), </w:t>
      </w:r>
      <w:r w:rsidRPr="00E074E3">
        <w:t>https://www.philstar.com/headlines/2023/03/27/2254876/landmark-law-children-disabilities-still-unimplemented-year-passage#:~:text=Law%20passed%20in%20March%202022,into%20law%20in%20March%202022.</w:t>
      </w:r>
    </w:p>
    <w:bookmarkEnd w:id="2"/>
  </w:endnote>
  <w:endnote w:id="48">
    <w:p w14:paraId="755548CD" w14:textId="2E44412D" w:rsidR="00E074E3" w:rsidRDefault="00E074E3">
      <w:pPr>
        <w:pStyle w:val="EndnoteText"/>
      </w:pPr>
      <w:r>
        <w:rPr>
          <w:rStyle w:val="EndnoteReference"/>
        </w:rPr>
        <w:endnoteRef/>
      </w:r>
      <w:r>
        <w:t xml:space="preserve"> </w:t>
      </w:r>
      <w:r w:rsidR="00263D3B">
        <w:rPr>
          <w:i/>
          <w:iCs/>
        </w:rPr>
        <w:t>Id.</w:t>
      </w:r>
    </w:p>
  </w:endnote>
  <w:endnote w:id="49">
    <w:p w14:paraId="0CE2E9A1" w14:textId="54DE28F5" w:rsidR="00521B90" w:rsidRDefault="00521B90" w:rsidP="003B4AE7">
      <w:pPr>
        <w:pStyle w:val="EndnoteText"/>
      </w:pPr>
      <w:r>
        <w:rPr>
          <w:rStyle w:val="EndnoteReference"/>
        </w:rPr>
        <w:endnoteRef/>
      </w:r>
      <w:r>
        <w:t xml:space="preserve"> </w:t>
      </w:r>
      <w:bookmarkStart w:id="3" w:name="_Hlk145348596"/>
      <w:r w:rsidR="00371ECB" w:rsidRPr="00371ECB">
        <w:t xml:space="preserve">Life Haven Center for Independent Living and Nationwide Organization of </w:t>
      </w:r>
      <w:r w:rsidR="00371ECB" w:rsidRPr="00371ECB">
        <w:t>Visually-Impaired Empowered Ladies (NOVEL)</w:t>
      </w:r>
      <w:r w:rsidR="00840956">
        <w:t xml:space="preserve">, </w:t>
      </w:r>
      <w:r w:rsidR="003B4AE7" w:rsidRPr="005449AC">
        <w:rPr>
          <w:i/>
          <w:iCs/>
        </w:rPr>
        <w:t xml:space="preserve">The parallel report on the implementation of the 2030 Agenda </w:t>
      </w:r>
      <w:bookmarkEnd w:id="3"/>
      <w:r w:rsidR="003B4AE7" w:rsidRPr="005449AC">
        <w:rPr>
          <w:i/>
          <w:iCs/>
        </w:rPr>
        <w:t xml:space="preserve">(SGG 4, 5, 17) in line with the CRPD, the Philippines </w:t>
      </w:r>
      <w:r w:rsidR="003B4AE7">
        <w:t>10 (202</w:t>
      </w:r>
      <w:r w:rsidR="002F2919">
        <w:t>3</w:t>
      </w:r>
      <w:r w:rsidR="003B4AE7">
        <w:t>)</w:t>
      </w:r>
      <w:r w:rsidR="005449AC" w:rsidRPr="00471BFD">
        <w:t>.</w:t>
      </w:r>
    </w:p>
  </w:endnote>
  <w:endnote w:id="50">
    <w:p w14:paraId="38F5975B" w14:textId="41572885" w:rsidR="00034EE7" w:rsidRDefault="00034EE7" w:rsidP="00034EE7">
      <w:pPr>
        <w:pStyle w:val="EndnoteText"/>
      </w:pPr>
      <w:r>
        <w:rPr>
          <w:rStyle w:val="EndnoteReference"/>
        </w:rPr>
        <w:endnoteRef/>
      </w:r>
      <w:r w:rsidR="00D07DB9">
        <w:t xml:space="preserve"> </w:t>
      </w:r>
      <w:r w:rsidR="00BC2A50" w:rsidRPr="00BC2A50">
        <w:rPr>
          <w:i/>
          <w:iCs/>
        </w:rPr>
        <w:t>Id.</w:t>
      </w:r>
    </w:p>
  </w:endnote>
  <w:endnote w:id="51">
    <w:p w14:paraId="4DE63C75" w14:textId="7CED85DD" w:rsidR="00E90669" w:rsidRPr="00BC2A50" w:rsidRDefault="00E90669">
      <w:pPr>
        <w:pStyle w:val="EndnoteText"/>
      </w:pPr>
      <w:r>
        <w:rPr>
          <w:rStyle w:val="EndnoteReference"/>
        </w:rPr>
        <w:endnoteRef/>
      </w:r>
      <w:r w:rsidR="00D07DB9">
        <w:t xml:space="preserve"> </w:t>
      </w:r>
      <w:r w:rsidR="00BC2A50" w:rsidRPr="00BC2A50">
        <w:rPr>
          <w:i/>
          <w:iCs/>
        </w:rPr>
        <w:t>Id</w:t>
      </w:r>
      <w:r w:rsidR="00BC2A50" w:rsidRPr="00BC2A50">
        <w:t>, at 38.</w:t>
      </w:r>
    </w:p>
  </w:endnote>
  <w:endnote w:id="52">
    <w:p w14:paraId="139ECD65" w14:textId="51B57516" w:rsidR="007F2298" w:rsidRDefault="007F2298">
      <w:pPr>
        <w:pStyle w:val="EndnoteText"/>
      </w:pPr>
      <w:r>
        <w:rPr>
          <w:rStyle w:val="EndnoteReference"/>
        </w:rPr>
        <w:endnoteRef/>
      </w:r>
      <w:r w:rsidR="008F3072">
        <w:t xml:space="preserve"> </w:t>
      </w:r>
      <w:r w:rsidR="00BC2A50" w:rsidRPr="00BC2A50">
        <w:rPr>
          <w:i/>
          <w:iCs/>
        </w:rPr>
        <w:t>Id</w:t>
      </w:r>
      <w:r w:rsidR="00BC2A50" w:rsidRPr="00BC2A50">
        <w:t>, at 38.</w:t>
      </w:r>
    </w:p>
  </w:endnote>
  <w:endnote w:id="53">
    <w:p w14:paraId="6573261C" w14:textId="59EEDF3D" w:rsidR="007F2298" w:rsidRDefault="007F2298">
      <w:pPr>
        <w:pStyle w:val="EndnoteText"/>
      </w:pPr>
      <w:r>
        <w:rPr>
          <w:rStyle w:val="EndnoteReference"/>
        </w:rPr>
        <w:endnoteRef/>
      </w:r>
      <w:r w:rsidR="008F3072">
        <w:t xml:space="preserve"> </w:t>
      </w:r>
      <w:r w:rsidR="00BC2A50" w:rsidRPr="00BC2A50">
        <w:rPr>
          <w:i/>
          <w:iCs/>
        </w:rPr>
        <w:t>Id</w:t>
      </w:r>
      <w:r w:rsidR="00BC2A50" w:rsidRPr="00BC2A50">
        <w:t>, at 38.</w:t>
      </w:r>
    </w:p>
  </w:endnote>
  <w:endnote w:id="54">
    <w:p w14:paraId="6D6D96C1" w14:textId="3D9B89BB" w:rsidR="00A11562" w:rsidRDefault="00A11562">
      <w:pPr>
        <w:pStyle w:val="EndnoteText"/>
      </w:pPr>
      <w:r>
        <w:rPr>
          <w:rStyle w:val="EndnoteReference"/>
        </w:rPr>
        <w:endnoteRef/>
      </w:r>
      <w:r>
        <w:t xml:space="preserve"> </w:t>
      </w:r>
      <w:r w:rsidR="00BC2A50" w:rsidRPr="00BC2A50">
        <w:rPr>
          <w:i/>
          <w:iCs/>
        </w:rPr>
        <w:t>Id</w:t>
      </w:r>
      <w:r w:rsidR="00BC2A50" w:rsidRPr="00BC2A50">
        <w:t xml:space="preserve">, at </w:t>
      </w:r>
      <w:r w:rsidR="00BC2A50">
        <w:t>64.</w:t>
      </w:r>
    </w:p>
  </w:endnote>
  <w:endnote w:id="55">
    <w:p w14:paraId="66431535" w14:textId="3565D2C6" w:rsidR="00682A64" w:rsidRDefault="00682A64">
      <w:pPr>
        <w:pStyle w:val="EndnoteText"/>
      </w:pPr>
      <w:r>
        <w:rPr>
          <w:rStyle w:val="EndnoteReference"/>
        </w:rPr>
        <w:endnoteRef/>
      </w:r>
      <w:r>
        <w:t xml:space="preserve"> </w:t>
      </w:r>
      <w:r w:rsidR="00BC2A50" w:rsidRPr="00BC2A50">
        <w:rPr>
          <w:i/>
          <w:iCs/>
        </w:rPr>
        <w:t>Id</w:t>
      </w:r>
      <w:r w:rsidR="00BC2A50" w:rsidRPr="00BC2A50">
        <w:t xml:space="preserve">, at </w:t>
      </w:r>
      <w:r w:rsidR="00BC2A50">
        <w:t>10.</w:t>
      </w:r>
    </w:p>
  </w:endnote>
  <w:endnote w:id="56">
    <w:p w14:paraId="3B13DF68" w14:textId="0BAB004E" w:rsidR="00682A64" w:rsidRDefault="00682A64">
      <w:pPr>
        <w:pStyle w:val="EndnoteText"/>
      </w:pPr>
      <w:r>
        <w:rPr>
          <w:rStyle w:val="EndnoteReference"/>
        </w:rPr>
        <w:endnoteRef/>
      </w:r>
      <w:r>
        <w:t xml:space="preserve"> </w:t>
      </w:r>
      <w:r w:rsidR="00BC2A50" w:rsidRPr="00BC2A50">
        <w:rPr>
          <w:i/>
          <w:iCs/>
        </w:rPr>
        <w:t>Id</w:t>
      </w:r>
      <w:r w:rsidR="00BC2A50" w:rsidRPr="00BC2A50">
        <w:t xml:space="preserve">, at </w:t>
      </w:r>
      <w:r w:rsidR="00BC2A50">
        <w:t>10.</w:t>
      </w:r>
    </w:p>
  </w:endnote>
  <w:endnote w:id="57">
    <w:p w14:paraId="1485725C" w14:textId="167ADCD6" w:rsidR="00B82AC8" w:rsidRDefault="00B82AC8">
      <w:pPr>
        <w:pStyle w:val="EndnoteText"/>
      </w:pPr>
      <w:r>
        <w:rPr>
          <w:rStyle w:val="EndnoteReference"/>
        </w:rPr>
        <w:endnoteRef/>
      </w:r>
      <w:r>
        <w:t xml:space="preserve"> </w:t>
      </w:r>
      <w:r w:rsidR="002E48B2">
        <w:t xml:space="preserve">Mindanan times, </w:t>
      </w:r>
      <w:r w:rsidR="002E48B2" w:rsidRPr="004453B1">
        <w:rPr>
          <w:i/>
          <w:iCs/>
        </w:rPr>
        <w:t>PWD group rues ‘very slow’ enforcement of accessibility law</w:t>
      </w:r>
      <w:r w:rsidR="002E48B2">
        <w:t xml:space="preserve"> (</w:t>
      </w:r>
      <w:r w:rsidR="004453B1">
        <w:t xml:space="preserve">July 2023), </w:t>
      </w:r>
      <w:hyperlink r:id="rId8" w:history="1">
        <w:r w:rsidR="004453B1" w:rsidRPr="00621BB9">
          <w:rPr>
            <w:rStyle w:val="Hyperlink"/>
          </w:rPr>
          <w:t>https://mindanaotimes.com.ph/2023/07/21/pwd-group-rues-very-slow-enforcement-of-accessibility-law/</w:t>
        </w:r>
      </w:hyperlink>
      <w:r w:rsidR="004453B1">
        <w:t xml:space="preserve"> </w:t>
      </w:r>
    </w:p>
  </w:endnote>
  <w:endnote w:id="58">
    <w:p w14:paraId="244ECFA0" w14:textId="17BD9127" w:rsidR="00B23C63" w:rsidRDefault="00B23C63">
      <w:pPr>
        <w:pStyle w:val="EndnoteText"/>
      </w:pPr>
      <w:r>
        <w:rPr>
          <w:rStyle w:val="EndnoteReference"/>
        </w:rPr>
        <w:endnoteRef/>
      </w:r>
      <w:r>
        <w:t xml:space="preserve"> </w:t>
      </w:r>
      <w:r>
        <w:t xml:space="preserve">Philstar Global, </w:t>
      </w:r>
      <w:r w:rsidRPr="001352DC">
        <w:rPr>
          <w:i/>
          <w:iCs/>
        </w:rPr>
        <w:t>CHR lauds bills seeking accessibility and mobility for PWDs</w:t>
      </w:r>
      <w:r>
        <w:t xml:space="preserve"> (February 2021), </w:t>
      </w:r>
      <w:hyperlink r:id="rId9" w:history="1">
        <w:r w:rsidRPr="00621BB9">
          <w:rPr>
            <w:rStyle w:val="Hyperlink"/>
          </w:rPr>
          <w:t>https://www.philstar.com/headlines/2021/02/08/2076233/chr-lauds-bills-seeking-accessibility-and-mobility-pwds</w:t>
        </w:r>
      </w:hyperlink>
      <w:r>
        <w:t xml:space="preserve"> </w:t>
      </w:r>
    </w:p>
  </w:endnote>
  <w:endnote w:id="59">
    <w:p w14:paraId="4C8A0B53" w14:textId="2F5E5A16" w:rsidR="00C25BA3" w:rsidRDefault="00C25BA3">
      <w:pPr>
        <w:pStyle w:val="EndnoteText"/>
      </w:pPr>
      <w:r>
        <w:rPr>
          <w:rStyle w:val="EndnoteReference"/>
        </w:rPr>
        <w:endnoteRef/>
      </w:r>
      <w:r>
        <w:t xml:space="preserve"> </w:t>
      </w:r>
      <w:r w:rsidR="00B23C63" w:rsidRPr="00B23C63">
        <w:rPr>
          <w:i/>
          <w:iCs/>
        </w:rPr>
        <w:t>Id.</w:t>
      </w:r>
      <w:r w:rsidR="001352DC">
        <w:t xml:space="preserve"> </w:t>
      </w:r>
    </w:p>
  </w:endnote>
  <w:endnote w:id="60">
    <w:p w14:paraId="3E293113" w14:textId="31038854" w:rsidR="00E90669" w:rsidRDefault="00E90669" w:rsidP="00E90669">
      <w:pPr>
        <w:pStyle w:val="EndnoteText"/>
      </w:pPr>
      <w:r w:rsidRPr="00FD1100">
        <w:rPr>
          <w:rStyle w:val="EndnoteReference"/>
        </w:rPr>
        <w:endnoteRef/>
      </w:r>
      <w:r w:rsidRPr="00FD1100">
        <w:t xml:space="preserve"> </w:t>
      </w:r>
      <w:r w:rsidR="00FD1100" w:rsidRPr="00FD1100">
        <w:t xml:space="preserve">Life Haven Center for Independent Living and NOVEL, </w:t>
      </w:r>
      <w:r w:rsidR="00FD1100" w:rsidRPr="00A60873">
        <w:rPr>
          <w:i/>
          <w:iCs/>
        </w:rPr>
        <w:t>The parallel report on the implementation of the 2030 Agenda</w:t>
      </w:r>
      <w:r w:rsidR="00A60873">
        <w:t xml:space="preserve">, </w:t>
      </w:r>
      <w:r w:rsidR="00A60873" w:rsidRPr="00A60873">
        <w:rPr>
          <w:i/>
          <w:iCs/>
        </w:rPr>
        <w:t>supra note</w:t>
      </w:r>
      <w:r w:rsidR="00A60873">
        <w:t xml:space="preserve"> 49 at 10.</w:t>
      </w:r>
    </w:p>
  </w:endnote>
  <w:endnote w:id="61">
    <w:p w14:paraId="4D4C6CB6" w14:textId="129DE673" w:rsidR="00E90669" w:rsidRDefault="00E90669" w:rsidP="00E90669">
      <w:pPr>
        <w:pStyle w:val="EndnoteText"/>
      </w:pPr>
      <w:r>
        <w:rPr>
          <w:rStyle w:val="EndnoteReference"/>
        </w:rPr>
        <w:endnoteRef/>
      </w:r>
      <w:r>
        <w:t xml:space="preserve"> </w:t>
      </w:r>
      <w:r w:rsidR="00BC2A50" w:rsidRPr="00BC2A50">
        <w:rPr>
          <w:i/>
          <w:iCs/>
        </w:rPr>
        <w:t>Id</w:t>
      </w:r>
      <w:r w:rsidR="00BC2A50" w:rsidRPr="00BC2A50">
        <w:t xml:space="preserve">, at </w:t>
      </w:r>
      <w:r w:rsidR="00BC2A50">
        <w:t>27.</w:t>
      </w:r>
    </w:p>
  </w:endnote>
  <w:endnote w:id="62">
    <w:p w14:paraId="757FD439" w14:textId="7B458924" w:rsidR="00ED0A60" w:rsidRDefault="00ED0A60">
      <w:pPr>
        <w:pStyle w:val="EndnoteText"/>
      </w:pPr>
      <w:r>
        <w:rPr>
          <w:rStyle w:val="EndnoteReference"/>
        </w:rPr>
        <w:endnoteRef/>
      </w:r>
      <w:r>
        <w:t xml:space="preserve"> </w:t>
      </w:r>
      <w:r w:rsidR="00BC2A50" w:rsidRPr="00BC2A50">
        <w:rPr>
          <w:i/>
          <w:iCs/>
        </w:rPr>
        <w:t>Id</w:t>
      </w:r>
      <w:r w:rsidR="00BC2A50" w:rsidRPr="00BC2A50">
        <w:t xml:space="preserve">, at </w:t>
      </w:r>
      <w:r w:rsidR="00BC2A50">
        <w:t>27.</w:t>
      </w:r>
    </w:p>
  </w:endnote>
  <w:endnote w:id="63">
    <w:p w14:paraId="2DF8E874" w14:textId="37A32AF5" w:rsidR="006B6193" w:rsidRDefault="006B6193">
      <w:pPr>
        <w:pStyle w:val="EndnoteText"/>
      </w:pPr>
      <w:r>
        <w:rPr>
          <w:rStyle w:val="EndnoteReference"/>
        </w:rPr>
        <w:endnoteRef/>
      </w:r>
      <w:r w:rsidR="00BC2A50">
        <w:t xml:space="preserve"> </w:t>
      </w:r>
      <w:r w:rsidR="00BC2A50" w:rsidRPr="00BC2A50">
        <w:rPr>
          <w:i/>
          <w:iCs/>
        </w:rPr>
        <w:t>Id</w:t>
      </w:r>
      <w:r w:rsidR="00BC2A50" w:rsidRPr="00BC2A50">
        <w:t xml:space="preserve">, at </w:t>
      </w:r>
      <w:r w:rsidR="00BC2A50">
        <w:t>27.</w:t>
      </w:r>
    </w:p>
  </w:endnote>
  <w:endnote w:id="64">
    <w:p w14:paraId="1C37114F" w14:textId="38AD84D5" w:rsidR="00BA7E79" w:rsidRDefault="00BA7E79">
      <w:pPr>
        <w:pStyle w:val="EndnoteText"/>
      </w:pPr>
      <w:r>
        <w:rPr>
          <w:rStyle w:val="EndnoteReference"/>
        </w:rPr>
        <w:endnoteRef/>
      </w:r>
      <w:r>
        <w:t xml:space="preserve"> </w:t>
      </w:r>
      <w:r w:rsidR="00255245" w:rsidRPr="00BC2A50">
        <w:rPr>
          <w:i/>
          <w:iCs/>
        </w:rPr>
        <w:t>Id</w:t>
      </w:r>
      <w:r w:rsidR="00255245" w:rsidRPr="00BC2A50">
        <w:t>, at 3</w:t>
      </w:r>
      <w:r w:rsidR="00255245">
        <w:t>9.</w:t>
      </w:r>
    </w:p>
  </w:endnote>
  <w:endnote w:id="65">
    <w:p w14:paraId="17BA0E21" w14:textId="0CF7FA0A" w:rsidR="00920D84" w:rsidRDefault="00920D84">
      <w:pPr>
        <w:pStyle w:val="EndnoteText"/>
      </w:pPr>
      <w:r>
        <w:rPr>
          <w:rStyle w:val="EndnoteReference"/>
        </w:rPr>
        <w:endnoteRef/>
      </w:r>
      <w:r>
        <w:t xml:space="preserve"> </w:t>
      </w:r>
      <w:r w:rsidR="00255245" w:rsidRPr="00BC2A50">
        <w:rPr>
          <w:i/>
          <w:iCs/>
        </w:rPr>
        <w:t>Id</w:t>
      </w:r>
      <w:r w:rsidR="00255245" w:rsidRPr="00BC2A50">
        <w:t>, at 3</w:t>
      </w:r>
      <w:r w:rsidR="00255245">
        <w:t>9.</w:t>
      </w:r>
    </w:p>
  </w:endnote>
  <w:endnote w:id="66">
    <w:p w14:paraId="237BC169" w14:textId="0B43B87B" w:rsidR="00217969" w:rsidRDefault="00217969">
      <w:pPr>
        <w:pStyle w:val="EndnoteText"/>
      </w:pPr>
      <w:r>
        <w:rPr>
          <w:rStyle w:val="EndnoteReference"/>
        </w:rPr>
        <w:endnoteRef/>
      </w:r>
      <w:r>
        <w:t xml:space="preserve"> </w:t>
      </w:r>
      <w:r w:rsidRPr="005F24E0">
        <w:t xml:space="preserve">Focus group participant, </w:t>
      </w:r>
      <w:r>
        <w:t>5</w:t>
      </w:r>
      <w:r w:rsidR="00F53A2D">
        <w:t>6</w:t>
      </w:r>
      <w:r w:rsidRPr="005F24E0">
        <w:t xml:space="preserve"> years old. The focus group was held to inform this shadow report and was conducted on August 18, </w:t>
      </w:r>
      <w:r w:rsidRPr="005F24E0">
        <w:t>2023</w:t>
      </w:r>
      <w:r w:rsidR="00880B65">
        <w:t xml:space="preserve"> </w:t>
      </w:r>
      <w:r w:rsidR="00880B65" w:rsidRPr="00880B65">
        <w:t>in Laoang, Northern Samar and Tacloban City, Leyte.</w:t>
      </w:r>
    </w:p>
  </w:endnote>
  <w:endnote w:id="67">
    <w:p w14:paraId="44032FB0" w14:textId="7254C592" w:rsidR="00DB5833" w:rsidRPr="00255245" w:rsidRDefault="00DB5833">
      <w:pPr>
        <w:pStyle w:val="EndnoteText"/>
      </w:pPr>
      <w:r>
        <w:rPr>
          <w:rStyle w:val="EndnoteReference"/>
        </w:rPr>
        <w:endnoteRef/>
      </w:r>
      <w:r>
        <w:t xml:space="preserve"> </w:t>
      </w:r>
      <w:r w:rsidR="006159B4" w:rsidRPr="00994432">
        <w:t>Life Haven Center for Independent Living and NOVEL</w:t>
      </w:r>
      <w:r w:rsidR="006159B4">
        <w:t xml:space="preserve">, </w:t>
      </w:r>
      <w:r w:rsidR="006159B4" w:rsidRPr="00647C61">
        <w:rPr>
          <w:i/>
          <w:iCs/>
        </w:rPr>
        <w:t>The Parallel Report on the Implementation of the 2030 Agenda</w:t>
      </w:r>
      <w:r w:rsidR="00255245">
        <w:rPr>
          <w:i/>
          <w:iCs/>
        </w:rPr>
        <w:t>, supra note</w:t>
      </w:r>
      <w:r w:rsidR="00227F03">
        <w:rPr>
          <w:i/>
          <w:iCs/>
        </w:rPr>
        <w:t xml:space="preserve"> </w:t>
      </w:r>
      <w:r w:rsidR="00227F03" w:rsidRPr="00227F03">
        <w:t>49,</w:t>
      </w:r>
      <w:r w:rsidR="00255245">
        <w:rPr>
          <w:i/>
          <w:iCs/>
        </w:rPr>
        <w:t xml:space="preserve"> </w:t>
      </w:r>
      <w:r w:rsidR="00255245" w:rsidRPr="00255245">
        <w:t>at 10</w:t>
      </w:r>
      <w:r w:rsidR="006159B4" w:rsidRPr="00255245">
        <w:t>.</w:t>
      </w:r>
    </w:p>
  </w:endnote>
  <w:endnote w:id="68">
    <w:p w14:paraId="32D05DBE" w14:textId="22ED4364" w:rsidR="007E1C2C" w:rsidRDefault="007E1C2C">
      <w:pPr>
        <w:pStyle w:val="EndnoteText"/>
      </w:pPr>
      <w:r>
        <w:rPr>
          <w:rStyle w:val="EndnoteReference"/>
        </w:rPr>
        <w:endnoteRef/>
      </w:r>
      <w:r>
        <w:t xml:space="preserve"> </w:t>
      </w:r>
      <w:r w:rsidR="00255245" w:rsidRPr="00BC2A50">
        <w:rPr>
          <w:i/>
          <w:iCs/>
        </w:rPr>
        <w:t>Id</w:t>
      </w:r>
      <w:r w:rsidR="00255245" w:rsidRPr="00BC2A50">
        <w:t xml:space="preserve">, at </w:t>
      </w:r>
      <w:r w:rsidR="00255245">
        <w:t>11.</w:t>
      </w:r>
    </w:p>
  </w:endnote>
  <w:endnote w:id="69">
    <w:p w14:paraId="0AF654E2" w14:textId="25786206" w:rsidR="007E1C2C" w:rsidRDefault="007E1C2C">
      <w:pPr>
        <w:pStyle w:val="EndnoteText"/>
      </w:pPr>
      <w:r>
        <w:rPr>
          <w:rStyle w:val="EndnoteReference"/>
        </w:rPr>
        <w:endnoteRef/>
      </w:r>
      <w:r>
        <w:t xml:space="preserve"> </w:t>
      </w:r>
      <w:r w:rsidR="00255245" w:rsidRPr="00BC2A50">
        <w:rPr>
          <w:i/>
          <w:iCs/>
        </w:rPr>
        <w:t>Id</w:t>
      </w:r>
      <w:r w:rsidR="00255245" w:rsidRPr="00BC2A50">
        <w:t xml:space="preserve">, at </w:t>
      </w:r>
      <w:r w:rsidR="00255245">
        <w:t>11.</w:t>
      </w:r>
    </w:p>
  </w:endnote>
  <w:endnote w:id="70">
    <w:p w14:paraId="0C070D95" w14:textId="7816FF53" w:rsidR="00D711B4" w:rsidRPr="00255245" w:rsidRDefault="00D711B4">
      <w:pPr>
        <w:pStyle w:val="EndnoteText"/>
      </w:pPr>
      <w:r>
        <w:rPr>
          <w:rStyle w:val="EndnoteReference"/>
        </w:rPr>
        <w:endnoteRef/>
      </w:r>
      <w:r>
        <w:t xml:space="preserve"> </w:t>
      </w:r>
      <w:r w:rsidR="00255245" w:rsidRPr="00BC2A50">
        <w:rPr>
          <w:i/>
          <w:iCs/>
        </w:rPr>
        <w:t>Id</w:t>
      </w:r>
      <w:r w:rsidR="00255245" w:rsidRPr="00BC2A50">
        <w:t xml:space="preserve">, at </w:t>
      </w:r>
      <w:r w:rsidR="00255245">
        <w:t>11.</w:t>
      </w:r>
    </w:p>
  </w:endnote>
  <w:endnote w:id="71">
    <w:p w14:paraId="6F7A1371" w14:textId="0A8A69B4" w:rsidR="00D62390" w:rsidRDefault="00D62390" w:rsidP="00F01070">
      <w:pPr>
        <w:pStyle w:val="EndnoteText"/>
      </w:pPr>
      <w:r>
        <w:rPr>
          <w:rStyle w:val="EndnoteReference"/>
        </w:rPr>
        <w:endnoteRef/>
      </w:r>
      <w:r>
        <w:t xml:space="preserve"> </w:t>
      </w:r>
      <w:r w:rsidR="00F01070">
        <w:t xml:space="preserve">Plan International, </w:t>
      </w:r>
      <w:r w:rsidR="00F01070" w:rsidRPr="00476AB5">
        <w:rPr>
          <w:i/>
          <w:iCs/>
        </w:rPr>
        <w:t xml:space="preserve">Through </w:t>
      </w:r>
      <w:r w:rsidR="00476AB5">
        <w:rPr>
          <w:i/>
          <w:iCs/>
        </w:rPr>
        <w:t>Her</w:t>
      </w:r>
      <w:r w:rsidR="00F01070" w:rsidRPr="00476AB5">
        <w:rPr>
          <w:i/>
          <w:iCs/>
        </w:rPr>
        <w:t xml:space="preserve"> Lens: The Impact of COVID-19 on Filipino Girls and Young Women</w:t>
      </w:r>
      <w:r w:rsidR="00F01070">
        <w:t xml:space="preserve"> 16</w:t>
      </w:r>
      <w:r w:rsidR="00476AB5">
        <w:t xml:space="preserve"> (2020)</w:t>
      </w:r>
      <w:r w:rsidR="00E01C05">
        <w:t xml:space="preserve">, </w:t>
      </w:r>
      <w:hyperlink r:id="rId10" w:history="1">
        <w:r w:rsidR="00E01C05" w:rsidRPr="00420155">
          <w:rPr>
            <w:rStyle w:val="Hyperlink"/>
          </w:rPr>
          <w:t>https://plan-international.org/uploads/sites/25/2022/02/through_her_lens_15oct2020.pdf</w:t>
        </w:r>
      </w:hyperlink>
      <w:r w:rsidR="00E01C05">
        <w:t xml:space="preserve"> </w:t>
      </w:r>
    </w:p>
  </w:endnote>
  <w:endnote w:id="72">
    <w:p w14:paraId="002518E5" w14:textId="2D813B74" w:rsidR="00765976" w:rsidRDefault="00765976">
      <w:pPr>
        <w:pStyle w:val="EndnoteText"/>
      </w:pPr>
      <w:r>
        <w:rPr>
          <w:rStyle w:val="EndnoteReference"/>
        </w:rPr>
        <w:endnoteRef/>
      </w:r>
      <w:r>
        <w:t xml:space="preserve"> </w:t>
      </w:r>
      <w:r w:rsidR="00C54193" w:rsidRPr="00BC2A50">
        <w:rPr>
          <w:i/>
          <w:iCs/>
        </w:rPr>
        <w:t>Id</w:t>
      </w:r>
      <w:r w:rsidR="00C54193">
        <w:t>.</w:t>
      </w:r>
    </w:p>
  </w:endnote>
  <w:endnote w:id="73">
    <w:p w14:paraId="50B83237" w14:textId="6FA144E0" w:rsidR="00476AB5" w:rsidRDefault="00765976" w:rsidP="00476AB5">
      <w:pPr>
        <w:pStyle w:val="EndnoteText"/>
      </w:pPr>
      <w:r>
        <w:rPr>
          <w:rStyle w:val="EndnoteReference"/>
        </w:rPr>
        <w:endnoteRef/>
      </w:r>
      <w:r>
        <w:t xml:space="preserve"> </w:t>
      </w:r>
      <w:r w:rsidR="00C54193" w:rsidRPr="00BC2A50">
        <w:rPr>
          <w:i/>
          <w:iCs/>
        </w:rPr>
        <w:t>Id</w:t>
      </w:r>
      <w:r w:rsidR="00C54193">
        <w:t>.</w:t>
      </w:r>
    </w:p>
    <w:p w14:paraId="4F0266DD" w14:textId="456B53A7" w:rsidR="00765976" w:rsidRDefault="0076597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403B" w14:textId="77777777" w:rsidR="0006082B" w:rsidRDefault="008A0B2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F8101A">
      <w:rPr>
        <w:color w:val="000000"/>
      </w:rPr>
      <w:fldChar w:fldCharType="separate"/>
    </w:r>
    <w:r>
      <w:rPr>
        <w:color w:val="000000"/>
      </w:rPr>
      <w:fldChar w:fldCharType="end"/>
    </w:r>
  </w:p>
  <w:p w14:paraId="605A403C" w14:textId="77777777" w:rsidR="0006082B" w:rsidRDefault="0006082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403D" w14:textId="58C45E60" w:rsidR="0006082B" w:rsidRDefault="008A0B2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C48E2">
      <w:rPr>
        <w:noProof/>
        <w:color w:val="000000"/>
      </w:rPr>
      <w:t>1</w:t>
    </w:r>
    <w:r>
      <w:rPr>
        <w:color w:val="000000"/>
      </w:rPr>
      <w:fldChar w:fldCharType="end"/>
    </w:r>
  </w:p>
  <w:p w14:paraId="605A403E" w14:textId="77777777" w:rsidR="0006082B" w:rsidRDefault="0006082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BB30" w14:textId="77777777" w:rsidR="00A40C4E" w:rsidRDefault="00A40C4E">
      <w:r>
        <w:separator/>
      </w:r>
    </w:p>
  </w:footnote>
  <w:footnote w:type="continuationSeparator" w:id="0">
    <w:p w14:paraId="67B91BE5" w14:textId="77777777" w:rsidR="00A40C4E" w:rsidRDefault="00A40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403A" w14:textId="38352423" w:rsidR="0006082B" w:rsidRDefault="00A03803">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58240" behindDoc="0" locked="0" layoutInCell="1" allowOverlap="1" wp14:anchorId="26510306" wp14:editId="5FECE0AA">
          <wp:simplePos x="0" y="0"/>
          <wp:positionH relativeFrom="column">
            <wp:posOffset>4159250</wp:posOffset>
          </wp:positionH>
          <wp:positionV relativeFrom="paragraph">
            <wp:posOffset>120650</wp:posOffset>
          </wp:positionV>
          <wp:extent cx="1566545" cy="584835"/>
          <wp:effectExtent l="0" t="0" r="0" b="5715"/>
          <wp:wrapSquare wrapText="bothSides"/>
          <wp:docPr id="205760077" name="Picture 2" descr="WEI Logo: Twelve repetitions of the letter i in lowercase lettering, arranged in a circle. To the right of the logo, is the name of the organization “Women Enabled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60077" name="Picture 2" descr="WEI Logo: Twelve repetitions of the letter i in lowercase lettering, arranged in a circle. To the right of the logo, is the name of the organization “Women Enabled International.”"/>
                  <pic:cNvPicPr/>
                </pic:nvPicPr>
                <pic:blipFill>
                  <a:blip r:embed="rId1">
                    <a:extLst>
                      <a:ext uri="{28A0092B-C50C-407E-A947-70E740481C1C}">
                        <a14:useLocalDpi xmlns:a14="http://schemas.microsoft.com/office/drawing/2010/main" val="0"/>
                      </a:ext>
                    </a:extLst>
                  </a:blip>
                  <a:stretch>
                    <a:fillRect/>
                  </a:stretch>
                </pic:blipFill>
                <pic:spPr>
                  <a:xfrm>
                    <a:off x="0" y="0"/>
                    <a:ext cx="1566545" cy="584835"/>
                  </a:xfrm>
                  <a:prstGeom prst="rect">
                    <a:avLst/>
                  </a:prstGeom>
                </pic:spPr>
              </pic:pic>
            </a:graphicData>
          </a:graphic>
        </wp:anchor>
      </w:drawing>
    </w:r>
    <w:r w:rsidR="00B503B5">
      <w:rPr>
        <w:noProof/>
        <w:color w:val="000000"/>
      </w:rPr>
      <w:drawing>
        <wp:inline distT="0" distB="0" distL="0" distR="0" wp14:anchorId="491A0CB5" wp14:editId="2EB5660D">
          <wp:extent cx="936494" cy="739775"/>
          <wp:effectExtent l="0" t="0" r="0" b="3175"/>
          <wp:docPr id="508061009" name="Picture 1" descr="A square logo with white background. In the middle is a blue silhouette of an eye with lashes. Inside the eyeball is a white silhouette of a person identified as a female who has a cane and facing to the right. Below the eye is the word &quot;NOVEL&quot; all capitalized and in blue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061009" name="Picture 1" descr="A square logo with white background. In the middle is a blue silhouette of an eye with lashes. Inside the eyeball is a white silhouette of a person identified as a female who has a cane and facing to the right. Below the eye is the word &quot;NOVEL&quot; all capitalized and in blue fo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842" cy="741630"/>
                  </a:xfrm>
                  <a:prstGeom prst="rect">
                    <a:avLst/>
                  </a:prstGeom>
                  <a:noFill/>
                </pic:spPr>
              </pic:pic>
            </a:graphicData>
          </a:graphic>
        </wp:inline>
      </w:drawing>
    </w:r>
    <w:r w:rsidR="008A0B28">
      <w:rPr>
        <w:color w:val="000000"/>
      </w:rPr>
      <w:tab/>
    </w:r>
    <w:r w:rsidR="008A0B28">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1F8"/>
    <w:multiLevelType w:val="multilevel"/>
    <w:tmpl w:val="BAFA7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3B6D05"/>
    <w:multiLevelType w:val="multilevel"/>
    <w:tmpl w:val="73260360"/>
    <w:lvl w:ilvl="0">
      <w:start w:val="1"/>
      <w:numFmt w:val="upperLetter"/>
      <w:lvlText w:val="%1."/>
      <w:lvlJc w:val="left"/>
      <w:pPr>
        <w:ind w:left="1080" w:hanging="360"/>
      </w:pPr>
      <w:rPr>
        <w:b/>
      </w:rPr>
    </w:lvl>
    <w:lvl w:ilvl="1">
      <w:start w:val="1"/>
      <w:numFmt w:val="lowerLetter"/>
      <w:lvlText w:val="%2."/>
      <w:lvlJc w:val="left"/>
      <w:pPr>
        <w:ind w:left="786"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5E08E1"/>
    <w:multiLevelType w:val="multilevel"/>
    <w:tmpl w:val="B1A0C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A3CC5"/>
    <w:multiLevelType w:val="multilevel"/>
    <w:tmpl w:val="2E607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A42B9E"/>
    <w:multiLevelType w:val="multilevel"/>
    <w:tmpl w:val="063A4C6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CD6A92"/>
    <w:multiLevelType w:val="multilevel"/>
    <w:tmpl w:val="3F806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8E14B4"/>
    <w:multiLevelType w:val="multilevel"/>
    <w:tmpl w:val="DE6C5338"/>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415704"/>
    <w:multiLevelType w:val="multilevel"/>
    <w:tmpl w:val="DCE61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044CFD"/>
    <w:multiLevelType w:val="multilevel"/>
    <w:tmpl w:val="80ACB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5F23BA"/>
    <w:multiLevelType w:val="multilevel"/>
    <w:tmpl w:val="B2D066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8712D8"/>
    <w:multiLevelType w:val="hybridMultilevel"/>
    <w:tmpl w:val="76C4D58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FD6ECD"/>
    <w:multiLevelType w:val="multilevel"/>
    <w:tmpl w:val="EA22A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3D10BB"/>
    <w:multiLevelType w:val="multilevel"/>
    <w:tmpl w:val="3026A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25997068">
    <w:abstractNumId w:val="1"/>
  </w:num>
  <w:num w:numId="2" w16cid:durableId="878707851">
    <w:abstractNumId w:val="12"/>
  </w:num>
  <w:num w:numId="3" w16cid:durableId="1652752928">
    <w:abstractNumId w:val="6"/>
  </w:num>
  <w:num w:numId="4" w16cid:durableId="2009628615">
    <w:abstractNumId w:val="3"/>
  </w:num>
  <w:num w:numId="5" w16cid:durableId="963459440">
    <w:abstractNumId w:val="5"/>
  </w:num>
  <w:num w:numId="6" w16cid:durableId="1596983467">
    <w:abstractNumId w:val="11"/>
  </w:num>
  <w:num w:numId="7" w16cid:durableId="1765030655">
    <w:abstractNumId w:val="2"/>
  </w:num>
  <w:num w:numId="8" w16cid:durableId="416286787">
    <w:abstractNumId w:val="0"/>
  </w:num>
  <w:num w:numId="9" w16cid:durableId="2038458050">
    <w:abstractNumId w:val="7"/>
  </w:num>
  <w:num w:numId="10" w16cid:durableId="466511597">
    <w:abstractNumId w:val="8"/>
  </w:num>
  <w:num w:numId="11" w16cid:durableId="1588154444">
    <w:abstractNumId w:val="9"/>
  </w:num>
  <w:num w:numId="12" w16cid:durableId="229122985">
    <w:abstractNumId w:val="4"/>
  </w:num>
  <w:num w:numId="13" w16cid:durableId="1372344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MLcwNjG1MDQyMTRS0lEKTi0uzszPAykwNKgFAOgstpgtAAAA"/>
  </w:docVars>
  <w:rsids>
    <w:rsidRoot w:val="0006082B"/>
    <w:rsid w:val="00005F87"/>
    <w:rsid w:val="00012194"/>
    <w:rsid w:val="00013C6B"/>
    <w:rsid w:val="000144BA"/>
    <w:rsid w:val="00014532"/>
    <w:rsid w:val="000200E2"/>
    <w:rsid w:val="00021271"/>
    <w:rsid w:val="000228E1"/>
    <w:rsid w:val="00024208"/>
    <w:rsid w:val="00024C7C"/>
    <w:rsid w:val="00034EE7"/>
    <w:rsid w:val="00037D19"/>
    <w:rsid w:val="00043C5B"/>
    <w:rsid w:val="000458A8"/>
    <w:rsid w:val="00052FBE"/>
    <w:rsid w:val="00053B6F"/>
    <w:rsid w:val="00053E40"/>
    <w:rsid w:val="0005434B"/>
    <w:rsid w:val="0006082B"/>
    <w:rsid w:val="00072309"/>
    <w:rsid w:val="00072C54"/>
    <w:rsid w:val="0007543D"/>
    <w:rsid w:val="00077A02"/>
    <w:rsid w:val="00087239"/>
    <w:rsid w:val="000879C4"/>
    <w:rsid w:val="00087F03"/>
    <w:rsid w:val="00091F07"/>
    <w:rsid w:val="00094682"/>
    <w:rsid w:val="000950F3"/>
    <w:rsid w:val="00095632"/>
    <w:rsid w:val="000970B6"/>
    <w:rsid w:val="000B51D9"/>
    <w:rsid w:val="000B7018"/>
    <w:rsid w:val="000B7942"/>
    <w:rsid w:val="000C1CA0"/>
    <w:rsid w:val="000C2B8B"/>
    <w:rsid w:val="000C54BE"/>
    <w:rsid w:val="000D1182"/>
    <w:rsid w:val="000D53C4"/>
    <w:rsid w:val="000D7437"/>
    <w:rsid w:val="000E22DE"/>
    <w:rsid w:val="000E39FE"/>
    <w:rsid w:val="000E54A4"/>
    <w:rsid w:val="000E7408"/>
    <w:rsid w:val="000E7B5F"/>
    <w:rsid w:val="000F1590"/>
    <w:rsid w:val="000F2A3F"/>
    <w:rsid w:val="000F3888"/>
    <w:rsid w:val="000F4D9B"/>
    <w:rsid w:val="000F7FF3"/>
    <w:rsid w:val="00106F45"/>
    <w:rsid w:val="00110B92"/>
    <w:rsid w:val="0011310D"/>
    <w:rsid w:val="00113839"/>
    <w:rsid w:val="00115480"/>
    <w:rsid w:val="001205CD"/>
    <w:rsid w:val="00127F97"/>
    <w:rsid w:val="001352DC"/>
    <w:rsid w:val="00135CEE"/>
    <w:rsid w:val="001431AC"/>
    <w:rsid w:val="001459D2"/>
    <w:rsid w:val="0014759D"/>
    <w:rsid w:val="001475A9"/>
    <w:rsid w:val="001479BF"/>
    <w:rsid w:val="00151556"/>
    <w:rsid w:val="00154F38"/>
    <w:rsid w:val="00157BC2"/>
    <w:rsid w:val="00165B26"/>
    <w:rsid w:val="00167557"/>
    <w:rsid w:val="00173900"/>
    <w:rsid w:val="00176ED5"/>
    <w:rsid w:val="001775C0"/>
    <w:rsid w:val="001804A9"/>
    <w:rsid w:val="00181904"/>
    <w:rsid w:val="00183CBE"/>
    <w:rsid w:val="00185B16"/>
    <w:rsid w:val="00185E79"/>
    <w:rsid w:val="0018613A"/>
    <w:rsid w:val="00186AC5"/>
    <w:rsid w:val="00187923"/>
    <w:rsid w:val="001907E5"/>
    <w:rsid w:val="00190BBA"/>
    <w:rsid w:val="00194844"/>
    <w:rsid w:val="00197B95"/>
    <w:rsid w:val="001A4EE9"/>
    <w:rsid w:val="001B3D93"/>
    <w:rsid w:val="001B55BB"/>
    <w:rsid w:val="001B6075"/>
    <w:rsid w:val="001B7CD7"/>
    <w:rsid w:val="001C1454"/>
    <w:rsid w:val="001C43C3"/>
    <w:rsid w:val="001D6285"/>
    <w:rsid w:val="001D79A9"/>
    <w:rsid w:val="001E46DF"/>
    <w:rsid w:val="001E5C38"/>
    <w:rsid w:val="001F5DDE"/>
    <w:rsid w:val="001F762E"/>
    <w:rsid w:val="001F7707"/>
    <w:rsid w:val="0020287B"/>
    <w:rsid w:val="00205183"/>
    <w:rsid w:val="00206EC3"/>
    <w:rsid w:val="002072A1"/>
    <w:rsid w:val="00212CAD"/>
    <w:rsid w:val="00213359"/>
    <w:rsid w:val="00217969"/>
    <w:rsid w:val="00223A3B"/>
    <w:rsid w:val="00226470"/>
    <w:rsid w:val="00227F03"/>
    <w:rsid w:val="00230F83"/>
    <w:rsid w:val="002340B7"/>
    <w:rsid w:val="002379E1"/>
    <w:rsid w:val="00240A53"/>
    <w:rsid w:val="0024492E"/>
    <w:rsid w:val="00244F16"/>
    <w:rsid w:val="00247E82"/>
    <w:rsid w:val="00247F78"/>
    <w:rsid w:val="00255245"/>
    <w:rsid w:val="0026129E"/>
    <w:rsid w:val="00261BB1"/>
    <w:rsid w:val="00261F62"/>
    <w:rsid w:val="00263D3B"/>
    <w:rsid w:val="00265925"/>
    <w:rsid w:val="00267EFE"/>
    <w:rsid w:val="00273B90"/>
    <w:rsid w:val="00274B77"/>
    <w:rsid w:val="00275FA3"/>
    <w:rsid w:val="002830D0"/>
    <w:rsid w:val="0028645E"/>
    <w:rsid w:val="00286B11"/>
    <w:rsid w:val="00286BD7"/>
    <w:rsid w:val="002903B0"/>
    <w:rsid w:val="002948CC"/>
    <w:rsid w:val="00295627"/>
    <w:rsid w:val="002A5547"/>
    <w:rsid w:val="002B0992"/>
    <w:rsid w:val="002B2150"/>
    <w:rsid w:val="002B34A5"/>
    <w:rsid w:val="002B59D1"/>
    <w:rsid w:val="002C1F3A"/>
    <w:rsid w:val="002C529E"/>
    <w:rsid w:val="002D0F1E"/>
    <w:rsid w:val="002D1665"/>
    <w:rsid w:val="002D7748"/>
    <w:rsid w:val="002D7DF3"/>
    <w:rsid w:val="002E13EB"/>
    <w:rsid w:val="002E2818"/>
    <w:rsid w:val="002E2C76"/>
    <w:rsid w:val="002E3C03"/>
    <w:rsid w:val="002E3FB7"/>
    <w:rsid w:val="002E4553"/>
    <w:rsid w:val="002E46AC"/>
    <w:rsid w:val="002E48B2"/>
    <w:rsid w:val="002E7C31"/>
    <w:rsid w:val="002F2757"/>
    <w:rsid w:val="002F2919"/>
    <w:rsid w:val="002F38C3"/>
    <w:rsid w:val="002F6E84"/>
    <w:rsid w:val="003113F4"/>
    <w:rsid w:val="00311479"/>
    <w:rsid w:val="00314F41"/>
    <w:rsid w:val="00314FBD"/>
    <w:rsid w:val="00324835"/>
    <w:rsid w:val="00332DE3"/>
    <w:rsid w:val="003352AB"/>
    <w:rsid w:val="003440A0"/>
    <w:rsid w:val="00347BF1"/>
    <w:rsid w:val="00350EDB"/>
    <w:rsid w:val="0035260E"/>
    <w:rsid w:val="00355463"/>
    <w:rsid w:val="00357663"/>
    <w:rsid w:val="003640E5"/>
    <w:rsid w:val="00370F14"/>
    <w:rsid w:val="00371ECB"/>
    <w:rsid w:val="00372AC9"/>
    <w:rsid w:val="0037375C"/>
    <w:rsid w:val="0037589E"/>
    <w:rsid w:val="0038003E"/>
    <w:rsid w:val="003830F0"/>
    <w:rsid w:val="00392767"/>
    <w:rsid w:val="00394705"/>
    <w:rsid w:val="003A3AED"/>
    <w:rsid w:val="003B32EC"/>
    <w:rsid w:val="003B4AE7"/>
    <w:rsid w:val="003B6C69"/>
    <w:rsid w:val="003B7670"/>
    <w:rsid w:val="003C00D5"/>
    <w:rsid w:val="003C3C92"/>
    <w:rsid w:val="003D01B7"/>
    <w:rsid w:val="003D4164"/>
    <w:rsid w:val="003D63D7"/>
    <w:rsid w:val="003E0AE3"/>
    <w:rsid w:val="003E3531"/>
    <w:rsid w:val="003E44C0"/>
    <w:rsid w:val="003E656B"/>
    <w:rsid w:val="003E6A37"/>
    <w:rsid w:val="003E7B7D"/>
    <w:rsid w:val="003F0110"/>
    <w:rsid w:val="003F01F4"/>
    <w:rsid w:val="003F05A9"/>
    <w:rsid w:val="003F1702"/>
    <w:rsid w:val="003F4B54"/>
    <w:rsid w:val="003F5AA4"/>
    <w:rsid w:val="00400481"/>
    <w:rsid w:val="00404A69"/>
    <w:rsid w:val="00405593"/>
    <w:rsid w:val="0040582D"/>
    <w:rsid w:val="0040702D"/>
    <w:rsid w:val="00410325"/>
    <w:rsid w:val="00412696"/>
    <w:rsid w:val="00412984"/>
    <w:rsid w:val="00416093"/>
    <w:rsid w:val="00417FB1"/>
    <w:rsid w:val="004200ED"/>
    <w:rsid w:val="0042144B"/>
    <w:rsid w:val="0042187A"/>
    <w:rsid w:val="00423514"/>
    <w:rsid w:val="00425377"/>
    <w:rsid w:val="00425851"/>
    <w:rsid w:val="00426BB1"/>
    <w:rsid w:val="00430024"/>
    <w:rsid w:val="00430717"/>
    <w:rsid w:val="004319CA"/>
    <w:rsid w:val="004324BB"/>
    <w:rsid w:val="00432FC7"/>
    <w:rsid w:val="0043361E"/>
    <w:rsid w:val="004404D3"/>
    <w:rsid w:val="004453B1"/>
    <w:rsid w:val="00446491"/>
    <w:rsid w:val="00450692"/>
    <w:rsid w:val="004635AA"/>
    <w:rsid w:val="004660C1"/>
    <w:rsid w:val="0046673D"/>
    <w:rsid w:val="0046690D"/>
    <w:rsid w:val="00471BFD"/>
    <w:rsid w:val="00472B17"/>
    <w:rsid w:val="00473D59"/>
    <w:rsid w:val="00476AB5"/>
    <w:rsid w:val="00480765"/>
    <w:rsid w:val="004811A2"/>
    <w:rsid w:val="00483F43"/>
    <w:rsid w:val="00486775"/>
    <w:rsid w:val="00493BEA"/>
    <w:rsid w:val="00495F9D"/>
    <w:rsid w:val="00497CC2"/>
    <w:rsid w:val="004A289A"/>
    <w:rsid w:val="004A3C01"/>
    <w:rsid w:val="004A3C34"/>
    <w:rsid w:val="004A54A4"/>
    <w:rsid w:val="004B0B57"/>
    <w:rsid w:val="004B49B9"/>
    <w:rsid w:val="004B6B55"/>
    <w:rsid w:val="004C0D9D"/>
    <w:rsid w:val="004C2844"/>
    <w:rsid w:val="004C5566"/>
    <w:rsid w:val="004C65EF"/>
    <w:rsid w:val="004D0BD9"/>
    <w:rsid w:val="004E31C8"/>
    <w:rsid w:val="004E4907"/>
    <w:rsid w:val="004E5A10"/>
    <w:rsid w:val="00505C75"/>
    <w:rsid w:val="00506570"/>
    <w:rsid w:val="005068DD"/>
    <w:rsid w:val="00507734"/>
    <w:rsid w:val="00507890"/>
    <w:rsid w:val="00511503"/>
    <w:rsid w:val="005169F8"/>
    <w:rsid w:val="00521B90"/>
    <w:rsid w:val="005221F3"/>
    <w:rsid w:val="00523030"/>
    <w:rsid w:val="00526074"/>
    <w:rsid w:val="00530E2F"/>
    <w:rsid w:val="005332EF"/>
    <w:rsid w:val="00540776"/>
    <w:rsid w:val="00540A65"/>
    <w:rsid w:val="00541169"/>
    <w:rsid w:val="005449AC"/>
    <w:rsid w:val="005545C5"/>
    <w:rsid w:val="00562C39"/>
    <w:rsid w:val="00563E2B"/>
    <w:rsid w:val="00564815"/>
    <w:rsid w:val="005676B9"/>
    <w:rsid w:val="00570E4B"/>
    <w:rsid w:val="0057190A"/>
    <w:rsid w:val="0057349D"/>
    <w:rsid w:val="005743B6"/>
    <w:rsid w:val="00576031"/>
    <w:rsid w:val="00577FF8"/>
    <w:rsid w:val="005808BD"/>
    <w:rsid w:val="00582D7A"/>
    <w:rsid w:val="00585758"/>
    <w:rsid w:val="0059541F"/>
    <w:rsid w:val="00597DF6"/>
    <w:rsid w:val="005A1299"/>
    <w:rsid w:val="005A1606"/>
    <w:rsid w:val="005A433D"/>
    <w:rsid w:val="005B1486"/>
    <w:rsid w:val="005B2AC2"/>
    <w:rsid w:val="005B6363"/>
    <w:rsid w:val="005C38F7"/>
    <w:rsid w:val="005C4766"/>
    <w:rsid w:val="005C5BB2"/>
    <w:rsid w:val="005D2008"/>
    <w:rsid w:val="005D555E"/>
    <w:rsid w:val="005D59CA"/>
    <w:rsid w:val="005D763E"/>
    <w:rsid w:val="005E346C"/>
    <w:rsid w:val="005E4B50"/>
    <w:rsid w:val="005E72F1"/>
    <w:rsid w:val="005E7DA8"/>
    <w:rsid w:val="005F0346"/>
    <w:rsid w:val="005F24E0"/>
    <w:rsid w:val="005F65A1"/>
    <w:rsid w:val="005F665F"/>
    <w:rsid w:val="005F7165"/>
    <w:rsid w:val="00600318"/>
    <w:rsid w:val="006031EE"/>
    <w:rsid w:val="00607D9B"/>
    <w:rsid w:val="006109A7"/>
    <w:rsid w:val="00613D78"/>
    <w:rsid w:val="006145DD"/>
    <w:rsid w:val="006159B4"/>
    <w:rsid w:val="006255E0"/>
    <w:rsid w:val="0062654A"/>
    <w:rsid w:val="00634567"/>
    <w:rsid w:val="00634A97"/>
    <w:rsid w:val="00634ADF"/>
    <w:rsid w:val="00634F1B"/>
    <w:rsid w:val="00643EBC"/>
    <w:rsid w:val="0064585D"/>
    <w:rsid w:val="00645C73"/>
    <w:rsid w:val="00647C61"/>
    <w:rsid w:val="0065181F"/>
    <w:rsid w:val="006623DB"/>
    <w:rsid w:val="00670887"/>
    <w:rsid w:val="00673E55"/>
    <w:rsid w:val="00682A64"/>
    <w:rsid w:val="00684C31"/>
    <w:rsid w:val="00686C43"/>
    <w:rsid w:val="006977B5"/>
    <w:rsid w:val="00697A46"/>
    <w:rsid w:val="00697B5F"/>
    <w:rsid w:val="006A0406"/>
    <w:rsid w:val="006A1DA0"/>
    <w:rsid w:val="006A37D5"/>
    <w:rsid w:val="006B2AA9"/>
    <w:rsid w:val="006B3B7A"/>
    <w:rsid w:val="006B4DA7"/>
    <w:rsid w:val="006B6193"/>
    <w:rsid w:val="006B7A85"/>
    <w:rsid w:val="006C23CF"/>
    <w:rsid w:val="006C3F8E"/>
    <w:rsid w:val="006C6C38"/>
    <w:rsid w:val="006D05F5"/>
    <w:rsid w:val="006D3442"/>
    <w:rsid w:val="006D7CD7"/>
    <w:rsid w:val="006E0980"/>
    <w:rsid w:val="006E1F8D"/>
    <w:rsid w:val="006E21E7"/>
    <w:rsid w:val="006E6CAE"/>
    <w:rsid w:val="006E7293"/>
    <w:rsid w:val="006F4653"/>
    <w:rsid w:val="006F52C4"/>
    <w:rsid w:val="006F6E23"/>
    <w:rsid w:val="00727299"/>
    <w:rsid w:val="00733659"/>
    <w:rsid w:val="00733D14"/>
    <w:rsid w:val="007349D3"/>
    <w:rsid w:val="0073500F"/>
    <w:rsid w:val="00736915"/>
    <w:rsid w:val="00741417"/>
    <w:rsid w:val="00742794"/>
    <w:rsid w:val="00743B78"/>
    <w:rsid w:val="00743D51"/>
    <w:rsid w:val="00747A3A"/>
    <w:rsid w:val="007512D8"/>
    <w:rsid w:val="00752A9B"/>
    <w:rsid w:val="00755B67"/>
    <w:rsid w:val="00765976"/>
    <w:rsid w:val="00770163"/>
    <w:rsid w:val="0077082F"/>
    <w:rsid w:val="00774053"/>
    <w:rsid w:val="0078311D"/>
    <w:rsid w:val="00786879"/>
    <w:rsid w:val="00790903"/>
    <w:rsid w:val="007938FD"/>
    <w:rsid w:val="007971EB"/>
    <w:rsid w:val="007B13EA"/>
    <w:rsid w:val="007B2063"/>
    <w:rsid w:val="007B2A7E"/>
    <w:rsid w:val="007B3C49"/>
    <w:rsid w:val="007B57F8"/>
    <w:rsid w:val="007B5B41"/>
    <w:rsid w:val="007C178B"/>
    <w:rsid w:val="007D0F88"/>
    <w:rsid w:val="007D17E9"/>
    <w:rsid w:val="007D2ADD"/>
    <w:rsid w:val="007D3BC5"/>
    <w:rsid w:val="007D4E7C"/>
    <w:rsid w:val="007D6FBA"/>
    <w:rsid w:val="007E01F0"/>
    <w:rsid w:val="007E05E7"/>
    <w:rsid w:val="007E1C2C"/>
    <w:rsid w:val="007E2708"/>
    <w:rsid w:val="007E2728"/>
    <w:rsid w:val="007E2C25"/>
    <w:rsid w:val="007E6B52"/>
    <w:rsid w:val="007E714A"/>
    <w:rsid w:val="007F2298"/>
    <w:rsid w:val="007F5D00"/>
    <w:rsid w:val="00800431"/>
    <w:rsid w:val="00801647"/>
    <w:rsid w:val="0080466D"/>
    <w:rsid w:val="00806062"/>
    <w:rsid w:val="008062C0"/>
    <w:rsid w:val="00810A6D"/>
    <w:rsid w:val="00817848"/>
    <w:rsid w:val="00821286"/>
    <w:rsid w:val="00821964"/>
    <w:rsid w:val="00821E21"/>
    <w:rsid w:val="008228D0"/>
    <w:rsid w:val="00823751"/>
    <w:rsid w:val="00824940"/>
    <w:rsid w:val="0082544B"/>
    <w:rsid w:val="0083543B"/>
    <w:rsid w:val="00835E74"/>
    <w:rsid w:val="00840956"/>
    <w:rsid w:val="00850E09"/>
    <w:rsid w:val="008526EF"/>
    <w:rsid w:val="008542F3"/>
    <w:rsid w:val="0085441C"/>
    <w:rsid w:val="00854DE0"/>
    <w:rsid w:val="0086219B"/>
    <w:rsid w:val="00863B7A"/>
    <w:rsid w:val="00864CA2"/>
    <w:rsid w:val="0086549D"/>
    <w:rsid w:val="00871745"/>
    <w:rsid w:val="00872452"/>
    <w:rsid w:val="00872914"/>
    <w:rsid w:val="00880B65"/>
    <w:rsid w:val="00884F02"/>
    <w:rsid w:val="00886235"/>
    <w:rsid w:val="008921F5"/>
    <w:rsid w:val="0089491C"/>
    <w:rsid w:val="0089716F"/>
    <w:rsid w:val="008971D4"/>
    <w:rsid w:val="008A0B28"/>
    <w:rsid w:val="008A14BC"/>
    <w:rsid w:val="008A3351"/>
    <w:rsid w:val="008B016E"/>
    <w:rsid w:val="008B0B96"/>
    <w:rsid w:val="008B3783"/>
    <w:rsid w:val="008B563F"/>
    <w:rsid w:val="008B706E"/>
    <w:rsid w:val="008C01A4"/>
    <w:rsid w:val="008C1AF8"/>
    <w:rsid w:val="008C3788"/>
    <w:rsid w:val="008C5CAD"/>
    <w:rsid w:val="008D112B"/>
    <w:rsid w:val="008D153A"/>
    <w:rsid w:val="008D1A92"/>
    <w:rsid w:val="008E1410"/>
    <w:rsid w:val="008E6CB2"/>
    <w:rsid w:val="008F00B2"/>
    <w:rsid w:val="008F0490"/>
    <w:rsid w:val="008F3072"/>
    <w:rsid w:val="008F6662"/>
    <w:rsid w:val="00901418"/>
    <w:rsid w:val="00906AE9"/>
    <w:rsid w:val="0090721E"/>
    <w:rsid w:val="00911E51"/>
    <w:rsid w:val="00920D84"/>
    <w:rsid w:val="00922DC8"/>
    <w:rsid w:val="00923C5D"/>
    <w:rsid w:val="0092658B"/>
    <w:rsid w:val="00927101"/>
    <w:rsid w:val="0092725D"/>
    <w:rsid w:val="00927D2D"/>
    <w:rsid w:val="00931067"/>
    <w:rsid w:val="009328ED"/>
    <w:rsid w:val="009417A9"/>
    <w:rsid w:val="00941849"/>
    <w:rsid w:val="00943745"/>
    <w:rsid w:val="00944B4B"/>
    <w:rsid w:val="00954B58"/>
    <w:rsid w:val="009567C8"/>
    <w:rsid w:val="00956ED2"/>
    <w:rsid w:val="00957890"/>
    <w:rsid w:val="00962439"/>
    <w:rsid w:val="00962FDE"/>
    <w:rsid w:val="00963C24"/>
    <w:rsid w:val="00965B8B"/>
    <w:rsid w:val="00970126"/>
    <w:rsid w:val="00972FC4"/>
    <w:rsid w:val="00975E52"/>
    <w:rsid w:val="009814ED"/>
    <w:rsid w:val="00983170"/>
    <w:rsid w:val="00993A5C"/>
    <w:rsid w:val="00994432"/>
    <w:rsid w:val="009A0EC4"/>
    <w:rsid w:val="009A22FB"/>
    <w:rsid w:val="009B1317"/>
    <w:rsid w:val="009C4551"/>
    <w:rsid w:val="009D2D2B"/>
    <w:rsid w:val="009E0A3A"/>
    <w:rsid w:val="009E5201"/>
    <w:rsid w:val="009E5A07"/>
    <w:rsid w:val="009E6C42"/>
    <w:rsid w:val="009F12B2"/>
    <w:rsid w:val="009F6741"/>
    <w:rsid w:val="009F69C1"/>
    <w:rsid w:val="00A00765"/>
    <w:rsid w:val="00A03803"/>
    <w:rsid w:val="00A11562"/>
    <w:rsid w:val="00A1244F"/>
    <w:rsid w:val="00A17A36"/>
    <w:rsid w:val="00A17B1E"/>
    <w:rsid w:val="00A22FF5"/>
    <w:rsid w:val="00A24094"/>
    <w:rsid w:val="00A253B5"/>
    <w:rsid w:val="00A253B9"/>
    <w:rsid w:val="00A26BC5"/>
    <w:rsid w:val="00A26E9C"/>
    <w:rsid w:val="00A31A8A"/>
    <w:rsid w:val="00A32F06"/>
    <w:rsid w:val="00A3399E"/>
    <w:rsid w:val="00A33BB3"/>
    <w:rsid w:val="00A37D01"/>
    <w:rsid w:val="00A40C4E"/>
    <w:rsid w:val="00A41E10"/>
    <w:rsid w:val="00A43B48"/>
    <w:rsid w:val="00A442F0"/>
    <w:rsid w:val="00A52DD8"/>
    <w:rsid w:val="00A538AC"/>
    <w:rsid w:val="00A60873"/>
    <w:rsid w:val="00A66879"/>
    <w:rsid w:val="00A80976"/>
    <w:rsid w:val="00A82E3A"/>
    <w:rsid w:val="00A86BAD"/>
    <w:rsid w:val="00A91546"/>
    <w:rsid w:val="00A926F7"/>
    <w:rsid w:val="00A927E9"/>
    <w:rsid w:val="00A966CB"/>
    <w:rsid w:val="00AA2B93"/>
    <w:rsid w:val="00AA30C2"/>
    <w:rsid w:val="00AB1A37"/>
    <w:rsid w:val="00AB5624"/>
    <w:rsid w:val="00AC50EA"/>
    <w:rsid w:val="00AC5588"/>
    <w:rsid w:val="00AC5A2D"/>
    <w:rsid w:val="00AD2934"/>
    <w:rsid w:val="00AD783D"/>
    <w:rsid w:val="00AE068F"/>
    <w:rsid w:val="00AE4FE5"/>
    <w:rsid w:val="00AE7D11"/>
    <w:rsid w:val="00AF0BF8"/>
    <w:rsid w:val="00AF297E"/>
    <w:rsid w:val="00AF55D2"/>
    <w:rsid w:val="00AF6721"/>
    <w:rsid w:val="00B0502B"/>
    <w:rsid w:val="00B067A0"/>
    <w:rsid w:val="00B14E9B"/>
    <w:rsid w:val="00B16905"/>
    <w:rsid w:val="00B21850"/>
    <w:rsid w:val="00B23C63"/>
    <w:rsid w:val="00B32285"/>
    <w:rsid w:val="00B3660B"/>
    <w:rsid w:val="00B40B7F"/>
    <w:rsid w:val="00B469A7"/>
    <w:rsid w:val="00B46AE0"/>
    <w:rsid w:val="00B472AD"/>
    <w:rsid w:val="00B503B5"/>
    <w:rsid w:val="00B52010"/>
    <w:rsid w:val="00B57450"/>
    <w:rsid w:val="00B60BEC"/>
    <w:rsid w:val="00B6158B"/>
    <w:rsid w:val="00B61DDA"/>
    <w:rsid w:val="00B6426C"/>
    <w:rsid w:val="00B701D8"/>
    <w:rsid w:val="00B72776"/>
    <w:rsid w:val="00B817FF"/>
    <w:rsid w:val="00B82AC8"/>
    <w:rsid w:val="00B82F7C"/>
    <w:rsid w:val="00B8477E"/>
    <w:rsid w:val="00B90B24"/>
    <w:rsid w:val="00B93DCA"/>
    <w:rsid w:val="00B94DB5"/>
    <w:rsid w:val="00B96E5D"/>
    <w:rsid w:val="00BA0255"/>
    <w:rsid w:val="00BA1B8D"/>
    <w:rsid w:val="00BA77C5"/>
    <w:rsid w:val="00BA7E79"/>
    <w:rsid w:val="00BB3B8A"/>
    <w:rsid w:val="00BB59C7"/>
    <w:rsid w:val="00BC2986"/>
    <w:rsid w:val="00BC2A50"/>
    <w:rsid w:val="00BC338E"/>
    <w:rsid w:val="00BC5CBB"/>
    <w:rsid w:val="00BC6EDF"/>
    <w:rsid w:val="00BD028A"/>
    <w:rsid w:val="00BE090A"/>
    <w:rsid w:val="00BE2E45"/>
    <w:rsid w:val="00BE2F61"/>
    <w:rsid w:val="00BE5D8C"/>
    <w:rsid w:val="00BE695E"/>
    <w:rsid w:val="00BF4B5F"/>
    <w:rsid w:val="00BF4D1A"/>
    <w:rsid w:val="00C00F42"/>
    <w:rsid w:val="00C05B86"/>
    <w:rsid w:val="00C119D9"/>
    <w:rsid w:val="00C142B0"/>
    <w:rsid w:val="00C15392"/>
    <w:rsid w:val="00C1564D"/>
    <w:rsid w:val="00C22708"/>
    <w:rsid w:val="00C25BA3"/>
    <w:rsid w:val="00C271E5"/>
    <w:rsid w:val="00C306DF"/>
    <w:rsid w:val="00C3633D"/>
    <w:rsid w:val="00C40081"/>
    <w:rsid w:val="00C43841"/>
    <w:rsid w:val="00C43A86"/>
    <w:rsid w:val="00C44CCC"/>
    <w:rsid w:val="00C46D18"/>
    <w:rsid w:val="00C54193"/>
    <w:rsid w:val="00C55291"/>
    <w:rsid w:val="00C562F6"/>
    <w:rsid w:val="00C56DB4"/>
    <w:rsid w:val="00C57F26"/>
    <w:rsid w:val="00C605A4"/>
    <w:rsid w:val="00C62499"/>
    <w:rsid w:val="00C63473"/>
    <w:rsid w:val="00C66D32"/>
    <w:rsid w:val="00C67C9D"/>
    <w:rsid w:val="00C7093D"/>
    <w:rsid w:val="00C72F25"/>
    <w:rsid w:val="00C75D3F"/>
    <w:rsid w:val="00C80133"/>
    <w:rsid w:val="00C835BA"/>
    <w:rsid w:val="00C83C5F"/>
    <w:rsid w:val="00C865F3"/>
    <w:rsid w:val="00C953FA"/>
    <w:rsid w:val="00CA0417"/>
    <w:rsid w:val="00CA2CC0"/>
    <w:rsid w:val="00CA68EF"/>
    <w:rsid w:val="00CB6704"/>
    <w:rsid w:val="00CC1948"/>
    <w:rsid w:val="00CD4796"/>
    <w:rsid w:val="00CD56B7"/>
    <w:rsid w:val="00CE262F"/>
    <w:rsid w:val="00CE2F8B"/>
    <w:rsid w:val="00CF0217"/>
    <w:rsid w:val="00CF39A2"/>
    <w:rsid w:val="00CF599D"/>
    <w:rsid w:val="00D00ACA"/>
    <w:rsid w:val="00D07DB9"/>
    <w:rsid w:val="00D14CD3"/>
    <w:rsid w:val="00D20071"/>
    <w:rsid w:val="00D31D5B"/>
    <w:rsid w:val="00D321F0"/>
    <w:rsid w:val="00D34D64"/>
    <w:rsid w:val="00D40241"/>
    <w:rsid w:val="00D509AF"/>
    <w:rsid w:val="00D50FDF"/>
    <w:rsid w:val="00D51343"/>
    <w:rsid w:val="00D544B5"/>
    <w:rsid w:val="00D62390"/>
    <w:rsid w:val="00D6329A"/>
    <w:rsid w:val="00D65556"/>
    <w:rsid w:val="00D657C4"/>
    <w:rsid w:val="00D711B4"/>
    <w:rsid w:val="00D727FB"/>
    <w:rsid w:val="00D72C0F"/>
    <w:rsid w:val="00D7399F"/>
    <w:rsid w:val="00D748F4"/>
    <w:rsid w:val="00D7722A"/>
    <w:rsid w:val="00D77D37"/>
    <w:rsid w:val="00D8697C"/>
    <w:rsid w:val="00D8725F"/>
    <w:rsid w:val="00D877D8"/>
    <w:rsid w:val="00D92D0E"/>
    <w:rsid w:val="00D92E10"/>
    <w:rsid w:val="00D9445C"/>
    <w:rsid w:val="00D9639C"/>
    <w:rsid w:val="00D972FD"/>
    <w:rsid w:val="00D97ACD"/>
    <w:rsid w:val="00DA1066"/>
    <w:rsid w:val="00DA187F"/>
    <w:rsid w:val="00DA4C7B"/>
    <w:rsid w:val="00DA5EEC"/>
    <w:rsid w:val="00DB17E7"/>
    <w:rsid w:val="00DB5833"/>
    <w:rsid w:val="00DC11B9"/>
    <w:rsid w:val="00DC2CDE"/>
    <w:rsid w:val="00DC380E"/>
    <w:rsid w:val="00DC47E5"/>
    <w:rsid w:val="00DC539F"/>
    <w:rsid w:val="00DC5EF9"/>
    <w:rsid w:val="00DC5FA9"/>
    <w:rsid w:val="00DC6BE9"/>
    <w:rsid w:val="00DD1B5B"/>
    <w:rsid w:val="00DD2418"/>
    <w:rsid w:val="00DE2A57"/>
    <w:rsid w:val="00DE2DE1"/>
    <w:rsid w:val="00DE310B"/>
    <w:rsid w:val="00DE3969"/>
    <w:rsid w:val="00E01C05"/>
    <w:rsid w:val="00E0491C"/>
    <w:rsid w:val="00E074E3"/>
    <w:rsid w:val="00E10C51"/>
    <w:rsid w:val="00E10E09"/>
    <w:rsid w:val="00E12CA9"/>
    <w:rsid w:val="00E14877"/>
    <w:rsid w:val="00E148A7"/>
    <w:rsid w:val="00E15E01"/>
    <w:rsid w:val="00E160BA"/>
    <w:rsid w:val="00E16269"/>
    <w:rsid w:val="00E1676D"/>
    <w:rsid w:val="00E17848"/>
    <w:rsid w:val="00E23858"/>
    <w:rsid w:val="00E2495A"/>
    <w:rsid w:val="00E26C94"/>
    <w:rsid w:val="00E36D4E"/>
    <w:rsid w:val="00E37425"/>
    <w:rsid w:val="00E40119"/>
    <w:rsid w:val="00E42578"/>
    <w:rsid w:val="00E54121"/>
    <w:rsid w:val="00E54DB3"/>
    <w:rsid w:val="00E57179"/>
    <w:rsid w:val="00E6166D"/>
    <w:rsid w:val="00E61AEC"/>
    <w:rsid w:val="00E72881"/>
    <w:rsid w:val="00E7537C"/>
    <w:rsid w:val="00E755B4"/>
    <w:rsid w:val="00E75D53"/>
    <w:rsid w:val="00E8414A"/>
    <w:rsid w:val="00E852EE"/>
    <w:rsid w:val="00E87C2C"/>
    <w:rsid w:val="00E90669"/>
    <w:rsid w:val="00E94CAF"/>
    <w:rsid w:val="00E96D1C"/>
    <w:rsid w:val="00EA2812"/>
    <w:rsid w:val="00EB0758"/>
    <w:rsid w:val="00EB2B52"/>
    <w:rsid w:val="00EB35F5"/>
    <w:rsid w:val="00EB5500"/>
    <w:rsid w:val="00EB56D7"/>
    <w:rsid w:val="00EB58C3"/>
    <w:rsid w:val="00EB59CC"/>
    <w:rsid w:val="00EB714F"/>
    <w:rsid w:val="00EC489F"/>
    <w:rsid w:val="00EC48E2"/>
    <w:rsid w:val="00ED0A60"/>
    <w:rsid w:val="00ED2BD2"/>
    <w:rsid w:val="00EE1115"/>
    <w:rsid w:val="00EE2B23"/>
    <w:rsid w:val="00EE30A5"/>
    <w:rsid w:val="00EE3B1A"/>
    <w:rsid w:val="00EE4E49"/>
    <w:rsid w:val="00EE6B9F"/>
    <w:rsid w:val="00F01070"/>
    <w:rsid w:val="00F04F9E"/>
    <w:rsid w:val="00F11AA6"/>
    <w:rsid w:val="00F12DD0"/>
    <w:rsid w:val="00F14C10"/>
    <w:rsid w:val="00F1641D"/>
    <w:rsid w:val="00F17D80"/>
    <w:rsid w:val="00F21569"/>
    <w:rsid w:val="00F2277A"/>
    <w:rsid w:val="00F2286F"/>
    <w:rsid w:val="00F24F75"/>
    <w:rsid w:val="00F312D0"/>
    <w:rsid w:val="00F31913"/>
    <w:rsid w:val="00F354D5"/>
    <w:rsid w:val="00F357DA"/>
    <w:rsid w:val="00F35932"/>
    <w:rsid w:val="00F43303"/>
    <w:rsid w:val="00F440D2"/>
    <w:rsid w:val="00F460EC"/>
    <w:rsid w:val="00F51C77"/>
    <w:rsid w:val="00F521F0"/>
    <w:rsid w:val="00F53A2D"/>
    <w:rsid w:val="00F55A71"/>
    <w:rsid w:val="00F62A0B"/>
    <w:rsid w:val="00F64A4A"/>
    <w:rsid w:val="00F65226"/>
    <w:rsid w:val="00F66F6A"/>
    <w:rsid w:val="00F7001D"/>
    <w:rsid w:val="00F71BA7"/>
    <w:rsid w:val="00F73B08"/>
    <w:rsid w:val="00F73DAC"/>
    <w:rsid w:val="00F80370"/>
    <w:rsid w:val="00F8101A"/>
    <w:rsid w:val="00F813A1"/>
    <w:rsid w:val="00F81654"/>
    <w:rsid w:val="00F82AED"/>
    <w:rsid w:val="00F83425"/>
    <w:rsid w:val="00F85249"/>
    <w:rsid w:val="00F865C4"/>
    <w:rsid w:val="00F9092D"/>
    <w:rsid w:val="00F96E09"/>
    <w:rsid w:val="00FA3D74"/>
    <w:rsid w:val="00FA4A4D"/>
    <w:rsid w:val="00FB1DAC"/>
    <w:rsid w:val="00FB23D8"/>
    <w:rsid w:val="00FB3CB2"/>
    <w:rsid w:val="00FC18E6"/>
    <w:rsid w:val="00FC2EF4"/>
    <w:rsid w:val="00FC4B7A"/>
    <w:rsid w:val="00FC5C90"/>
    <w:rsid w:val="00FC6608"/>
    <w:rsid w:val="00FC6ECF"/>
    <w:rsid w:val="00FD1100"/>
    <w:rsid w:val="00FE10FC"/>
    <w:rsid w:val="00FE5B6F"/>
    <w:rsid w:val="00FE6A28"/>
    <w:rsid w:val="00FF065E"/>
    <w:rsid w:val="00FF154B"/>
    <w:rsid w:val="00FF2701"/>
    <w:rsid w:val="00FF4367"/>
    <w:rsid w:val="00FF5CC1"/>
    <w:rsid w:val="00FF6A52"/>
    <w:rsid w:val="00FF7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A3F50"/>
  <w15:docId w15:val="{747AD0CC-B436-4D66-8250-CE68F8C2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3D"/>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link w:val="SubtitleChar"/>
    <w:uiPriority w:val="11"/>
    <w:qFormat/>
    <w:pPr>
      <w:keepNext/>
      <w:keepLines/>
      <w:spacing w:after="320" w:line="276" w:lineRule="auto"/>
    </w:pPr>
    <w:rPr>
      <w:rFonts w:ascii="Arial" w:eastAsia="Arial" w:hAnsi="Arial" w:cs="Arial"/>
      <w:color w:val="666666"/>
      <w:sz w:val="30"/>
      <w:szCs w:val="30"/>
    </w:rPr>
  </w:style>
  <w:style w:type="paragraph" w:styleId="ListParagraph">
    <w:name w:val="List Paragraph"/>
    <w:basedOn w:val="Normal"/>
    <w:uiPriority w:val="34"/>
    <w:qFormat/>
    <w:rsid w:val="00A62BE1"/>
    <w:pPr>
      <w:spacing w:line="276" w:lineRule="auto"/>
      <w:ind w:left="720"/>
      <w:contextualSpacing/>
    </w:pPr>
    <w:rPr>
      <w:rFonts w:ascii="Arial" w:eastAsia="Arial" w:hAnsi="Arial" w:cs="Arial"/>
      <w:sz w:val="22"/>
      <w:szCs w:val="22"/>
    </w:rPr>
  </w:style>
  <w:style w:type="table" w:styleId="TableGrid">
    <w:name w:val="Table Grid"/>
    <w:basedOn w:val="TableNormal"/>
    <w:uiPriority w:val="39"/>
    <w:rsid w:val="00C4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139"/>
    <w:rPr>
      <w:color w:val="0000FF"/>
      <w:u w:val="single"/>
    </w:rPr>
  </w:style>
  <w:style w:type="table" w:customStyle="1" w:styleId="a">
    <w:basedOn w:val="TableNormal1"/>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C93E68"/>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C93E68"/>
    <w:rPr>
      <w:rFonts w:ascii="Segoe UI" w:hAnsi="Segoe UI" w:cs="Segoe UI"/>
      <w:sz w:val="18"/>
      <w:szCs w:val="18"/>
    </w:rPr>
  </w:style>
  <w:style w:type="character" w:customStyle="1" w:styleId="Mencinsinresolver1">
    <w:name w:val="Mención sin resolver1"/>
    <w:basedOn w:val="DefaultParagraphFont"/>
    <w:uiPriority w:val="99"/>
    <w:semiHidden/>
    <w:unhideWhenUsed/>
    <w:rsid w:val="000E56C6"/>
    <w:rPr>
      <w:color w:val="605E5C"/>
      <w:shd w:val="clear" w:color="auto" w:fill="E1DFDD"/>
    </w:rPr>
  </w:style>
  <w:style w:type="paragraph" w:styleId="NormalWeb">
    <w:name w:val="Normal (Web)"/>
    <w:basedOn w:val="Normal"/>
    <w:uiPriority w:val="99"/>
    <w:unhideWhenUsed/>
    <w:rsid w:val="000E56C6"/>
    <w:pPr>
      <w:spacing w:before="100" w:beforeAutospacing="1" w:after="100" w:afterAutospacing="1"/>
    </w:pPr>
  </w:style>
  <w:style w:type="paragraph" w:styleId="HTMLPreformatted">
    <w:name w:val="HTML Preformatted"/>
    <w:basedOn w:val="Normal"/>
    <w:link w:val="HTMLPreformattedChar"/>
    <w:uiPriority w:val="99"/>
    <w:semiHidden/>
    <w:unhideWhenUsed/>
    <w:rsid w:val="000E5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E56C6"/>
    <w:rPr>
      <w:rFonts w:ascii="Courier New" w:eastAsia="Times New Roman" w:hAnsi="Courier New" w:cs="Courier New"/>
      <w:sz w:val="20"/>
      <w:szCs w:val="20"/>
      <w:lang w:val="en-US"/>
    </w:rPr>
  </w:style>
  <w:style w:type="paragraph" w:customStyle="1" w:styleId="Default">
    <w:name w:val="Default"/>
    <w:rsid w:val="00630A2E"/>
    <w:pPr>
      <w:autoSpaceDE w:val="0"/>
      <w:autoSpaceDN w:val="0"/>
      <w:adjustRightInd w:val="0"/>
    </w:pPr>
    <w:rPr>
      <w:rFonts w:eastAsiaTheme="minorHAnsi"/>
      <w:color w:val="000000"/>
    </w:rPr>
  </w:style>
  <w:style w:type="character" w:styleId="FollowedHyperlink">
    <w:name w:val="FollowedHyperlink"/>
    <w:basedOn w:val="DefaultParagraphFont"/>
    <w:uiPriority w:val="99"/>
    <w:semiHidden/>
    <w:unhideWhenUsed/>
    <w:rsid w:val="00B9659A"/>
    <w:rPr>
      <w:color w:val="800080" w:themeColor="followedHyperlink"/>
      <w:u w:val="single"/>
    </w:rPr>
  </w:style>
  <w:style w:type="character" w:styleId="CommentReference">
    <w:name w:val="annotation reference"/>
    <w:basedOn w:val="DefaultParagraphFont"/>
    <w:uiPriority w:val="99"/>
    <w:semiHidden/>
    <w:unhideWhenUsed/>
    <w:rsid w:val="0094228E"/>
    <w:rPr>
      <w:sz w:val="16"/>
      <w:szCs w:val="16"/>
    </w:rPr>
  </w:style>
  <w:style w:type="paragraph" w:styleId="CommentText">
    <w:name w:val="annotation text"/>
    <w:basedOn w:val="Normal"/>
    <w:link w:val="CommentTextChar"/>
    <w:uiPriority w:val="99"/>
    <w:unhideWhenUsed/>
    <w:rsid w:val="0094228E"/>
    <w:rPr>
      <w:rFonts w:ascii="Arial" w:eastAsia="Arial" w:hAnsi="Arial" w:cs="Arial"/>
      <w:sz w:val="20"/>
      <w:szCs w:val="20"/>
    </w:rPr>
  </w:style>
  <w:style w:type="character" w:customStyle="1" w:styleId="CommentTextChar">
    <w:name w:val="Comment Text Char"/>
    <w:basedOn w:val="DefaultParagraphFont"/>
    <w:link w:val="CommentText"/>
    <w:uiPriority w:val="99"/>
    <w:rsid w:val="0094228E"/>
    <w:rPr>
      <w:sz w:val="20"/>
      <w:szCs w:val="20"/>
    </w:rPr>
  </w:style>
  <w:style w:type="paragraph" w:styleId="CommentSubject">
    <w:name w:val="annotation subject"/>
    <w:basedOn w:val="CommentText"/>
    <w:next w:val="CommentText"/>
    <w:link w:val="CommentSubjectChar"/>
    <w:uiPriority w:val="99"/>
    <w:semiHidden/>
    <w:unhideWhenUsed/>
    <w:rsid w:val="0094228E"/>
    <w:rPr>
      <w:b/>
      <w:bCs/>
    </w:rPr>
  </w:style>
  <w:style w:type="character" w:customStyle="1" w:styleId="CommentSubjectChar">
    <w:name w:val="Comment Subject Char"/>
    <w:basedOn w:val="CommentTextChar"/>
    <w:link w:val="CommentSubject"/>
    <w:uiPriority w:val="99"/>
    <w:semiHidden/>
    <w:rsid w:val="0094228E"/>
    <w:rPr>
      <w:b/>
      <w:bCs/>
      <w:sz w:val="20"/>
      <w:szCs w:val="20"/>
    </w:rPr>
  </w:style>
  <w:style w:type="paragraph" w:styleId="FootnoteText">
    <w:name w:val="footnote text"/>
    <w:basedOn w:val="Normal"/>
    <w:link w:val="FootnoteTextChar"/>
    <w:uiPriority w:val="99"/>
    <w:semiHidden/>
    <w:unhideWhenUsed/>
    <w:rsid w:val="0094228E"/>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94228E"/>
    <w:rPr>
      <w:sz w:val="20"/>
      <w:szCs w:val="20"/>
    </w:rPr>
  </w:style>
  <w:style w:type="character" w:styleId="FootnoteReference">
    <w:name w:val="footnote reference"/>
    <w:basedOn w:val="DefaultParagraphFont"/>
    <w:uiPriority w:val="99"/>
    <w:semiHidden/>
    <w:unhideWhenUsed/>
    <w:rsid w:val="0094228E"/>
    <w:rPr>
      <w:vertAlign w:val="superscript"/>
    </w:rPr>
  </w:style>
  <w:style w:type="paragraph" w:styleId="Revision">
    <w:name w:val="Revision"/>
    <w:hidden/>
    <w:uiPriority w:val="99"/>
    <w:semiHidden/>
    <w:rsid w:val="00E901FC"/>
  </w:style>
  <w:style w:type="paragraph" w:styleId="Footer">
    <w:name w:val="footer"/>
    <w:basedOn w:val="Normal"/>
    <w:link w:val="FooterChar"/>
    <w:uiPriority w:val="99"/>
    <w:unhideWhenUsed/>
    <w:rsid w:val="00E707E4"/>
    <w:pPr>
      <w:tabs>
        <w:tab w:val="center" w:pos="4680"/>
        <w:tab w:val="right" w:pos="9360"/>
      </w:tabs>
    </w:pPr>
  </w:style>
  <w:style w:type="character" w:customStyle="1" w:styleId="FooterChar">
    <w:name w:val="Footer Char"/>
    <w:basedOn w:val="DefaultParagraphFont"/>
    <w:link w:val="Footer"/>
    <w:uiPriority w:val="99"/>
    <w:rsid w:val="00E707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707E4"/>
  </w:style>
  <w:style w:type="character" w:styleId="UnresolvedMention">
    <w:name w:val="Unresolved Mention"/>
    <w:basedOn w:val="DefaultParagraphFont"/>
    <w:uiPriority w:val="99"/>
    <w:semiHidden/>
    <w:unhideWhenUsed/>
    <w:rsid w:val="00003B2C"/>
    <w:rPr>
      <w:color w:val="605E5C"/>
      <w:shd w:val="clear" w:color="auto" w:fill="E1DFDD"/>
    </w:rPr>
  </w:style>
  <w:style w:type="character" w:styleId="Emphasis">
    <w:name w:val="Emphasis"/>
    <w:basedOn w:val="DefaultParagraphFont"/>
    <w:uiPriority w:val="20"/>
    <w:qFormat/>
    <w:rsid w:val="007D6244"/>
    <w:rPr>
      <w:i/>
      <w:iCs/>
    </w:rPr>
  </w:style>
  <w:style w:type="paragraph" w:styleId="EndnoteText">
    <w:name w:val="endnote text"/>
    <w:basedOn w:val="Normal"/>
    <w:link w:val="EndnoteTextChar"/>
    <w:uiPriority w:val="99"/>
    <w:unhideWhenUsed/>
    <w:rsid w:val="00D902A9"/>
    <w:rPr>
      <w:sz w:val="20"/>
      <w:szCs w:val="20"/>
    </w:rPr>
  </w:style>
  <w:style w:type="character" w:customStyle="1" w:styleId="EndnoteTextChar">
    <w:name w:val="Endnote Text Char"/>
    <w:basedOn w:val="DefaultParagraphFont"/>
    <w:link w:val="EndnoteText"/>
    <w:uiPriority w:val="99"/>
    <w:rsid w:val="00D902A9"/>
    <w:rPr>
      <w:sz w:val="20"/>
      <w:szCs w:val="20"/>
    </w:rPr>
  </w:style>
  <w:style w:type="character" w:styleId="EndnoteReference">
    <w:name w:val="endnote reference"/>
    <w:basedOn w:val="DefaultParagraphFont"/>
    <w:uiPriority w:val="99"/>
    <w:unhideWhenUsed/>
    <w:rsid w:val="00D902A9"/>
    <w:rPr>
      <w:vertAlign w:val="superscript"/>
    </w:rPr>
  </w:style>
  <w:style w:type="paragraph" w:styleId="Header">
    <w:name w:val="header"/>
    <w:basedOn w:val="Normal"/>
    <w:link w:val="HeaderChar"/>
    <w:uiPriority w:val="99"/>
    <w:unhideWhenUsed/>
    <w:rsid w:val="00A8093A"/>
    <w:pPr>
      <w:tabs>
        <w:tab w:val="center" w:pos="4513"/>
        <w:tab w:val="right" w:pos="9026"/>
      </w:tabs>
    </w:pPr>
  </w:style>
  <w:style w:type="character" w:customStyle="1" w:styleId="HeaderChar">
    <w:name w:val="Header Char"/>
    <w:basedOn w:val="DefaultParagraphFont"/>
    <w:link w:val="Header"/>
    <w:uiPriority w:val="99"/>
    <w:rsid w:val="00A8093A"/>
  </w:style>
  <w:style w:type="paragraph" w:styleId="BodyText">
    <w:name w:val="Body Text"/>
    <w:basedOn w:val="Normal"/>
    <w:link w:val="BodyTextChar"/>
    <w:uiPriority w:val="99"/>
    <w:semiHidden/>
    <w:unhideWhenUsed/>
    <w:rsid w:val="00531099"/>
    <w:pPr>
      <w:spacing w:after="120"/>
    </w:pPr>
  </w:style>
  <w:style w:type="character" w:customStyle="1" w:styleId="BodyTextChar">
    <w:name w:val="Body Text Char"/>
    <w:basedOn w:val="DefaultParagraphFont"/>
    <w:link w:val="BodyText"/>
    <w:uiPriority w:val="99"/>
    <w:semiHidden/>
    <w:rsid w:val="00531099"/>
  </w:style>
  <w:style w:type="character" w:customStyle="1" w:styleId="SubtitleChar">
    <w:name w:val="Subtitle Char"/>
    <w:basedOn w:val="DefaultParagraphFont"/>
    <w:link w:val="Subtitle"/>
    <w:uiPriority w:val="11"/>
    <w:rsid w:val="007D4E7C"/>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mindanaotimes.com.ph/2023/07/21/pwd-group-rues-very-slow-enforcement-of-accessibility-law/" TargetMode="External"/><Relationship Id="rId3" Type="http://schemas.openxmlformats.org/officeDocument/2006/relationships/hyperlink" Target="https://bmcwomenshealth.biomedcentral.com/articles/10.1186/s12905-015-0244-8" TargetMode="External"/><Relationship Id="rId7" Type="http://schemas.openxmlformats.org/officeDocument/2006/relationships/hyperlink" Target="https://bmcpublichealth.biomedcentral.com/articles/10.1186/s12889-015-2308-y" TargetMode="External"/><Relationship Id="rId2" Type="http://schemas.openxmlformats.org/officeDocument/2006/relationships/hyperlink" Target="https://pubmed.ncbi.nlm.nih.gov/28784061/" TargetMode="External"/><Relationship Id="rId1" Type="http://schemas.openxmlformats.org/officeDocument/2006/relationships/hyperlink" Target="https://www.who.int/news-room/fact-sheets/detail/disability-and-health" TargetMode="External"/><Relationship Id="rId6" Type="http://schemas.openxmlformats.org/officeDocument/2006/relationships/hyperlink" Target="https://womenenabled.org/wp-content/uploads/Women%20Enabled%20International%20Facts%20-%20The%20Right%20of%20Women%20and%20Girls%20with%20Disabilities%20to%20be%20Free%20from%20Gender-Based%20Violence%20-%20ENGLISH%20-%20FINAL.pdf" TargetMode="External"/><Relationship Id="rId5" Type="http://schemas.openxmlformats.org/officeDocument/2006/relationships/hyperlink" Target="https://pubmed.ncbi.nlm.nih.gov/28784061/" TargetMode="External"/><Relationship Id="rId10" Type="http://schemas.openxmlformats.org/officeDocument/2006/relationships/hyperlink" Target="https://plan-international.org/uploads/sites/25/2022/02/through_her_lens_15oct2020.pdf" TargetMode="External"/><Relationship Id="rId4" Type="http://schemas.openxmlformats.org/officeDocument/2006/relationships/hyperlink" Target="https://bmcwomenshealth.biomedcentral.com/articles/10.1186/s12905-015-0244-8" TargetMode="External"/><Relationship Id="rId9" Type="http://schemas.openxmlformats.org/officeDocument/2006/relationships/hyperlink" Target="https://www.philstar.com/headlines/2021/02/08/2076233/chr-lauds-bills-seeking-accessibility-and-mobility-pw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eXhaLrT2Jcul/g3ulN4n+2ZYSA==">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25A4FA-894A-46F1-BFB3-F064373D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4138</Words>
  <Characters>23168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Giovanna Franyuti Kelly</dc:creator>
  <cp:lastModifiedBy>Alana Carvalho</cp:lastModifiedBy>
  <cp:revision>40</cp:revision>
  <dcterms:created xsi:type="dcterms:W3CDTF">2023-09-11T15:33:00Z</dcterms:created>
  <dcterms:modified xsi:type="dcterms:W3CDTF">2023-09-11T16:38:00Z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0x0101007C3ACB87C443D54FA5F6CBC6B90DE8C2</vt:lpwstr>
  </property>
  <property fmtid="{D5CDD505-2E9C-101B-9397-08002B2CF9AE}" pid="3" name="GrammarlyDocumentId">
    <vt:lpwstr>35f783e0065243241b4e36f09ed75be22773dce41ae8e18a85fc0b3dc0a5b345</vt:lpwstr>
  </property>
</Properties>
</file>