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C072" w14:textId="669F19A6" w:rsidR="004839EB" w:rsidRPr="004839EB" w:rsidRDefault="004839EB" w:rsidP="004839EB">
      <w:pPr>
        <w:spacing w:after="130" w:line="360" w:lineRule="atLeast"/>
        <w:ind w:left="-270"/>
        <w:rPr>
          <w:rFonts w:ascii="Calibri" w:hAnsi="Calibri" w:cs="Calibri"/>
          <w:b/>
          <w:bCs/>
          <w:color w:val="FFFFFF" w:themeColor="background1"/>
          <w:sz w:val="32"/>
          <w:szCs w:val="32"/>
        </w:rPr>
      </w:pPr>
      <w:r w:rsidRPr="009D4234">
        <w:rPr>
          <w:rFonts w:ascii="Calibri" w:hAnsi="Calibri" w:cs="Calibri"/>
          <w:noProof/>
          <w:color w:val="FFFFFF" w:themeColor="background1"/>
          <w:sz w:val="32"/>
          <w:szCs w:val="32"/>
        </w:rPr>
        <w:drawing>
          <wp:anchor distT="0" distB="0" distL="114300" distR="114300" simplePos="0" relativeHeight="251658240" behindDoc="1" locked="0" layoutInCell="1" allowOverlap="1" wp14:anchorId="517D0320" wp14:editId="040060B4">
            <wp:simplePos x="0" y="0"/>
            <wp:positionH relativeFrom="column">
              <wp:posOffset>-1303108</wp:posOffset>
            </wp:positionH>
            <wp:positionV relativeFrom="page">
              <wp:posOffset>0</wp:posOffset>
            </wp:positionV>
            <wp:extent cx="8476488" cy="5084064"/>
            <wp:effectExtent l="0" t="0" r="0" b="0"/>
            <wp:wrapNone/>
            <wp:docPr id="1" name="Picture 1" descr="Cover image: Against an orange background of large virus particles, four cartoons of women and non-binary persons wearing safety masks for protection from Covid-19. One sits in a wheelchair, one wears a hearing aid, one wears a hijab, one wears a see-through mask, and one wears glasses. They each have different skin tones and hair color. Original image at Clipart.com, Vital Imagery Ltd., used by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image: Against an orange background of large virus particles, four cartoons of women and non-binary persons wearing safety masks for protection from Covid-19. One sits in a wheelchair, one wears a hearing aid, one wears a hijab, one wears a see-through mask, and one wears glasses. They each have different skin tones and hair color. Original image at Clipart.com, Vital Imagery Ltd., used by license."/>
                    <pic:cNvPicPr/>
                  </pic:nvPicPr>
                  <pic:blipFill rotWithShape="1">
                    <a:blip r:embed="rId8">
                      <a:extLst>
                        <a:ext uri="{28A0092B-C50C-407E-A947-70E740481C1C}">
                          <a14:useLocalDpi xmlns:a14="http://schemas.microsoft.com/office/drawing/2010/main" val="0"/>
                        </a:ext>
                      </a:extLst>
                    </a:blip>
                    <a:srcRect b="2954"/>
                    <a:stretch/>
                  </pic:blipFill>
                  <pic:spPr bwMode="auto">
                    <a:xfrm>
                      <a:off x="0" y="0"/>
                      <a:ext cx="8476488" cy="50840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839EB">
        <w:rPr>
          <w:rFonts w:ascii="Calibri" w:hAnsi="Calibri" w:cs="Calibri"/>
          <w:b/>
          <w:bCs/>
          <w:color w:val="FFFFFF" w:themeColor="background1"/>
          <w:sz w:val="32"/>
          <w:szCs w:val="32"/>
        </w:rPr>
        <w:t xml:space="preserve">Women, Girls, and Gender Non-Conforming People </w:t>
      </w:r>
      <w:r w:rsidRPr="009D4234">
        <w:rPr>
          <w:rFonts w:ascii="Calibri" w:hAnsi="Calibri" w:cs="Calibri"/>
          <w:color w:val="FFFFFF" w:themeColor="background1"/>
          <w:sz w:val="32"/>
          <w:szCs w:val="32"/>
        </w:rPr>
        <w:br/>
      </w:r>
      <w:r w:rsidRPr="004839EB">
        <w:rPr>
          <w:rFonts w:ascii="Calibri" w:hAnsi="Calibri" w:cs="Calibri"/>
          <w:b/>
          <w:bCs/>
          <w:color w:val="FFFFFF" w:themeColor="background1"/>
          <w:sz w:val="32"/>
          <w:szCs w:val="32"/>
        </w:rPr>
        <w:t>with Disabilities — Know Your Rights!</w:t>
      </w:r>
    </w:p>
    <w:p w14:paraId="696C939A" w14:textId="0E9BA659" w:rsidR="004839EB" w:rsidRPr="004839EB" w:rsidRDefault="00F973EC" w:rsidP="004839EB">
      <w:pPr>
        <w:spacing w:after="130" w:line="360" w:lineRule="atLeast"/>
        <w:ind w:left="-270"/>
        <w:rPr>
          <w:rFonts w:ascii="Calibri" w:hAnsi="Calibri" w:cs="Calibri"/>
          <w:b/>
          <w:bCs/>
          <w:caps/>
          <w:color w:val="FFFFFF" w:themeColor="background1"/>
          <w:spacing w:val="10"/>
          <w:kern w:val="40"/>
          <w:sz w:val="48"/>
          <w:szCs w:val="48"/>
          <w:u w:val="single"/>
        </w:rPr>
      </w:pPr>
      <w:r>
        <w:rPr>
          <w:rFonts w:ascii="Calibri" w:hAnsi="Calibri" w:cs="Calibri"/>
          <w:b/>
          <w:bCs/>
          <w:caps/>
          <w:color w:val="FFFFFF" w:themeColor="background1"/>
          <w:spacing w:val="10"/>
          <w:kern w:val="40"/>
          <w:sz w:val="48"/>
          <w:szCs w:val="48"/>
          <w:u w:val="single"/>
        </w:rPr>
        <w:t xml:space="preserve">Gender-based Violence </w:t>
      </w:r>
      <w:r>
        <w:rPr>
          <w:rFonts w:ascii="Calibri" w:hAnsi="Calibri" w:cs="Calibri"/>
          <w:b/>
          <w:bCs/>
          <w:caps/>
          <w:color w:val="FFFFFF" w:themeColor="background1"/>
          <w:spacing w:val="10"/>
          <w:kern w:val="40"/>
          <w:sz w:val="48"/>
          <w:szCs w:val="48"/>
          <w:u w:val="single"/>
        </w:rPr>
        <w:br/>
        <w:t>during the Covid-19 Pandemic</w:t>
      </w:r>
    </w:p>
    <w:p w14:paraId="7F5C1AAD" w14:textId="057EF21B" w:rsidR="004839EB" w:rsidRPr="009D4234" w:rsidRDefault="004839EB" w:rsidP="004839EB">
      <w:pPr>
        <w:spacing w:after="130"/>
        <w:jc w:val="both"/>
        <w:rPr>
          <w:rFonts w:ascii="Calibri" w:hAnsi="Calibri" w:cs="Calibri"/>
          <w:color w:val="007EBC"/>
          <w:sz w:val="32"/>
          <w:szCs w:val="32"/>
        </w:rPr>
      </w:pPr>
    </w:p>
    <w:p w14:paraId="53B88930" w14:textId="721ABBA4" w:rsidR="004839EB" w:rsidRPr="009D4234" w:rsidRDefault="00F973EC" w:rsidP="004839EB">
      <w:pPr>
        <w:spacing w:after="130"/>
        <w:jc w:val="both"/>
        <w:rPr>
          <w:rFonts w:ascii="Calibri" w:hAnsi="Calibri" w:cs="Calibri"/>
          <w:color w:val="007EBC"/>
          <w:sz w:val="32"/>
          <w:szCs w:val="32"/>
        </w:rPr>
      </w:pPr>
      <w:r w:rsidRPr="009D4234">
        <w:rPr>
          <w:rFonts w:ascii="Calibri" w:hAnsi="Calibri" w:cs="Calibri"/>
          <w:noProof/>
          <w:color w:val="FFFFFF" w:themeColor="background1"/>
          <w:sz w:val="32"/>
          <w:szCs w:val="32"/>
        </w:rPr>
        <w:drawing>
          <wp:anchor distT="0" distB="0" distL="114300" distR="114300" simplePos="0" relativeHeight="251659264" behindDoc="0" locked="0" layoutInCell="1" allowOverlap="1" wp14:anchorId="3A59DACD" wp14:editId="724E553F">
            <wp:simplePos x="0" y="0"/>
            <wp:positionH relativeFrom="column">
              <wp:posOffset>3037840</wp:posOffset>
            </wp:positionH>
            <wp:positionV relativeFrom="paragraph">
              <wp:posOffset>109692</wp:posOffset>
            </wp:positionV>
            <wp:extent cx="3494638" cy="371181"/>
            <wp:effectExtent l="0" t="0" r="0" b="0"/>
            <wp:wrapNone/>
            <wp:docPr id="2" name="Picture 2" descr="The UN Women, UN Population Fund, and Women Enabled International logos in a row, they are white against an orang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UN Women, UN Population Fund, and Women Enabled International logos in a row, they are white against an orange background."/>
                    <pic:cNvPicPr/>
                  </pic:nvPicPr>
                  <pic:blipFill>
                    <a:blip r:embed="rId9">
                      <a:extLst>
                        <a:ext uri="{28A0092B-C50C-407E-A947-70E740481C1C}">
                          <a14:useLocalDpi xmlns:a14="http://schemas.microsoft.com/office/drawing/2010/main" val="0"/>
                        </a:ext>
                      </a:extLst>
                    </a:blip>
                    <a:stretch>
                      <a:fillRect/>
                    </a:stretch>
                  </pic:blipFill>
                  <pic:spPr>
                    <a:xfrm>
                      <a:off x="0" y="0"/>
                      <a:ext cx="3494638" cy="371181"/>
                    </a:xfrm>
                    <a:prstGeom prst="rect">
                      <a:avLst/>
                    </a:prstGeom>
                  </pic:spPr>
                </pic:pic>
              </a:graphicData>
            </a:graphic>
            <wp14:sizeRelH relativeFrom="margin">
              <wp14:pctWidth>0</wp14:pctWidth>
            </wp14:sizeRelH>
            <wp14:sizeRelV relativeFrom="margin">
              <wp14:pctHeight>0</wp14:pctHeight>
            </wp14:sizeRelV>
          </wp:anchor>
        </w:drawing>
      </w:r>
    </w:p>
    <w:p w14:paraId="19DF12EB" w14:textId="77777777" w:rsidR="004839EB" w:rsidRPr="009D4234" w:rsidRDefault="004839EB" w:rsidP="004839EB">
      <w:pPr>
        <w:spacing w:after="130"/>
        <w:jc w:val="both"/>
        <w:rPr>
          <w:rFonts w:ascii="Calibri" w:hAnsi="Calibri" w:cs="Calibri"/>
          <w:color w:val="007EBC"/>
          <w:sz w:val="32"/>
          <w:szCs w:val="32"/>
        </w:rPr>
      </w:pPr>
    </w:p>
    <w:p w14:paraId="07AC2FE7" w14:textId="77777777" w:rsidR="004839EB" w:rsidRPr="009D4234" w:rsidRDefault="004839EB" w:rsidP="004839EB">
      <w:pPr>
        <w:spacing w:after="130"/>
        <w:jc w:val="both"/>
        <w:rPr>
          <w:rFonts w:ascii="Calibri" w:hAnsi="Calibri" w:cs="Calibri"/>
          <w:color w:val="007EBC"/>
          <w:sz w:val="32"/>
          <w:szCs w:val="32"/>
        </w:rPr>
      </w:pPr>
    </w:p>
    <w:p w14:paraId="383EBC77" w14:textId="77777777" w:rsidR="004839EB" w:rsidRPr="009D4234" w:rsidRDefault="004839EB" w:rsidP="004839EB">
      <w:pPr>
        <w:spacing w:after="130"/>
        <w:jc w:val="both"/>
        <w:rPr>
          <w:rFonts w:ascii="Calibri" w:hAnsi="Calibri" w:cs="Calibri"/>
          <w:color w:val="007EBC"/>
          <w:sz w:val="32"/>
          <w:szCs w:val="32"/>
        </w:rPr>
      </w:pPr>
    </w:p>
    <w:p w14:paraId="41DDABF8" w14:textId="77777777" w:rsidR="004839EB" w:rsidRPr="009D4234" w:rsidRDefault="004839EB" w:rsidP="004839EB">
      <w:pPr>
        <w:spacing w:after="130"/>
        <w:jc w:val="both"/>
        <w:rPr>
          <w:rFonts w:ascii="Calibri" w:hAnsi="Calibri" w:cs="Calibri"/>
          <w:color w:val="007EBC"/>
          <w:sz w:val="32"/>
          <w:szCs w:val="32"/>
        </w:rPr>
      </w:pPr>
    </w:p>
    <w:p w14:paraId="5BEFBE4E" w14:textId="77777777" w:rsidR="004839EB" w:rsidRPr="009D4234" w:rsidRDefault="004839EB" w:rsidP="004839EB">
      <w:pPr>
        <w:spacing w:after="130"/>
        <w:jc w:val="both"/>
        <w:rPr>
          <w:rFonts w:ascii="Calibri" w:hAnsi="Calibri" w:cs="Calibri"/>
          <w:color w:val="007EBC"/>
          <w:sz w:val="32"/>
          <w:szCs w:val="32"/>
        </w:rPr>
      </w:pPr>
    </w:p>
    <w:p w14:paraId="0AD03F6F" w14:textId="77777777" w:rsidR="004839EB" w:rsidRPr="009D4234" w:rsidRDefault="004839EB" w:rsidP="004839EB">
      <w:pPr>
        <w:spacing w:after="130"/>
        <w:jc w:val="both"/>
        <w:rPr>
          <w:rFonts w:ascii="Calibri" w:hAnsi="Calibri" w:cs="Calibri"/>
          <w:color w:val="007EBC"/>
          <w:sz w:val="32"/>
          <w:szCs w:val="32"/>
        </w:rPr>
      </w:pPr>
    </w:p>
    <w:p w14:paraId="0BFD2794" w14:textId="77777777" w:rsidR="004839EB" w:rsidRPr="009D4234" w:rsidRDefault="004839EB" w:rsidP="004839EB">
      <w:pPr>
        <w:spacing w:after="130"/>
        <w:jc w:val="both"/>
        <w:rPr>
          <w:rFonts w:ascii="Calibri" w:hAnsi="Calibri" w:cs="Calibri"/>
          <w:color w:val="007EBC"/>
          <w:sz w:val="32"/>
          <w:szCs w:val="32"/>
        </w:rPr>
      </w:pPr>
    </w:p>
    <w:p w14:paraId="0DB7F8D1" w14:textId="77777777" w:rsidR="004839EB" w:rsidRPr="009D4234" w:rsidRDefault="004839EB" w:rsidP="004839EB">
      <w:pPr>
        <w:spacing w:after="130"/>
        <w:jc w:val="both"/>
        <w:rPr>
          <w:rFonts w:ascii="Calibri" w:hAnsi="Calibri" w:cs="Calibri"/>
          <w:color w:val="007EBC"/>
          <w:sz w:val="32"/>
          <w:szCs w:val="32"/>
        </w:rPr>
      </w:pPr>
    </w:p>
    <w:p w14:paraId="5002FDA7" w14:textId="069D6783" w:rsidR="004839EB" w:rsidRPr="009D4234" w:rsidRDefault="004839EB" w:rsidP="009C736B">
      <w:pPr>
        <w:pStyle w:val="Heading2"/>
      </w:pPr>
      <w:r w:rsidRPr="009D4234">
        <w:t xml:space="preserve">What is Gender-Based Violence?   </w:t>
      </w:r>
    </w:p>
    <w:p w14:paraId="1DC9D7E5" w14:textId="0FE61A39" w:rsidR="004839EB" w:rsidRDefault="004839EB" w:rsidP="00196F0B">
      <w:pPr>
        <w:pStyle w:val="BODYTEXTITALICORBOLDINCHARACTERSTYLEREGULARTEXT"/>
      </w:pPr>
      <w:r w:rsidRPr="00196F0B">
        <w:t>Gender-based violence is harm that happens to a person or a group of people because of their gender.</w:t>
      </w:r>
      <w:r w:rsidR="005866B6" w:rsidRPr="00196F0B">
        <w:rPr>
          <w:rStyle w:val="EndnoteReference"/>
          <w:color w:val="auto"/>
          <w:spacing w:val="0"/>
        </w:rPr>
        <w:endnoteReference w:id="1"/>
      </w:r>
      <w:r w:rsidRPr="00196F0B">
        <w:rPr>
          <w:rStyle w:val="FootnoteReference"/>
          <w:color w:val="auto"/>
          <w:spacing w:val="0"/>
        </w:rPr>
        <w:t xml:space="preserve"> </w:t>
      </w:r>
      <w:r w:rsidRPr="00196F0B">
        <w:t>Gender means whether someone acts and looks like what your community thinks a woman, a girl, a man, or a boy should act like or look like.</w:t>
      </w:r>
      <w:r w:rsidR="00651C48" w:rsidRPr="00196F0B">
        <w:rPr>
          <w:rStyle w:val="EndnoteReference"/>
          <w:color w:val="auto"/>
          <w:spacing w:val="0"/>
        </w:rPr>
        <w:endnoteReference w:id="2"/>
      </w:r>
      <w:r w:rsidRPr="00196F0B">
        <w:t xml:space="preserve"> Gender non-conforming people include people who do not act or look like what people would expect of women, girls, men, or boys in their communities.</w:t>
      </w:r>
      <w:r w:rsidR="00651C48" w:rsidRPr="00196F0B">
        <w:rPr>
          <w:rStyle w:val="EndnoteReference"/>
          <w:color w:val="auto"/>
          <w:spacing w:val="0"/>
        </w:rPr>
        <w:endnoteReference w:id="3"/>
      </w:r>
      <w:r w:rsidRPr="00196F0B">
        <w:rPr>
          <w:rStyle w:val="FootnoteReference"/>
          <w:color w:val="auto"/>
          <w:spacing w:val="0"/>
        </w:rPr>
        <w:t xml:space="preserve"> </w:t>
      </w:r>
    </w:p>
    <w:p w14:paraId="636C3911" w14:textId="19E8A396" w:rsidR="004839EB" w:rsidRPr="009D4234" w:rsidRDefault="004839EB" w:rsidP="004839EB">
      <w:pPr>
        <w:pStyle w:val="BODYTEXTITALICORBOLDINCHARACTERSTYLEREGULARTEXT"/>
        <w:rPr>
          <w:spacing w:val="0"/>
        </w:rPr>
      </w:pPr>
      <w:r w:rsidRPr="009D4234">
        <w:rPr>
          <w:spacing w:val="0"/>
        </w:rPr>
        <w:t>Although gender-based violence can happen to anyone who is discriminated against because of their gender, it most often happens to women and girls.</w:t>
      </w:r>
      <w:r w:rsidR="009D4234">
        <w:rPr>
          <w:rStyle w:val="EndnoteReference"/>
          <w:spacing w:val="0"/>
        </w:rPr>
        <w:endnoteReference w:id="4"/>
      </w:r>
      <w:r w:rsidRPr="009D4234">
        <w:rPr>
          <w:rStyle w:val="FootnoteReference"/>
          <w:spacing w:val="0"/>
        </w:rPr>
        <w:t xml:space="preserve"> </w:t>
      </w:r>
      <w:r w:rsidRPr="009D4234">
        <w:rPr>
          <w:spacing w:val="0"/>
        </w:rPr>
        <w:t>It also likely happens to gender non-conforming people with disabilities more often, but data about that is insufficient and more research is needed.</w:t>
      </w:r>
      <w:r w:rsidR="009D4234">
        <w:rPr>
          <w:rStyle w:val="EndnoteReference"/>
          <w:spacing w:val="0"/>
        </w:rPr>
        <w:endnoteReference w:id="5"/>
      </w:r>
      <w:r w:rsidRPr="009D4234">
        <w:rPr>
          <w:spacing w:val="0"/>
        </w:rPr>
        <w:t xml:space="preserve"> It is important to report cases of gender-based violence to the police or other authorities that can help you, for example, health care professionals or teachers.</w:t>
      </w:r>
    </w:p>
    <w:p w14:paraId="49D628F4" w14:textId="3F099230" w:rsidR="004839EB" w:rsidRPr="009D4234" w:rsidRDefault="004839EB" w:rsidP="004839EB">
      <w:pPr>
        <w:pStyle w:val="BODYTEXTITALICORBOLDINCHARACTERSTYLEREGULARTEXT"/>
        <w:rPr>
          <w:spacing w:val="0"/>
        </w:rPr>
      </w:pPr>
      <w:r w:rsidRPr="009D4234">
        <w:rPr>
          <w:spacing w:val="0"/>
        </w:rPr>
        <w:t>Gender-based violence can take many forms including physical, emotional, psychological, sexual, and financial violence and abuse.</w:t>
      </w:r>
      <w:r w:rsidR="009D4234">
        <w:rPr>
          <w:rStyle w:val="EndnoteReference"/>
          <w:spacing w:val="0"/>
        </w:rPr>
        <w:endnoteReference w:id="6"/>
      </w:r>
      <w:r w:rsidRPr="009D4234">
        <w:rPr>
          <w:spacing w:val="0"/>
        </w:rPr>
        <w:t xml:space="preserve"> It can happen at home, on the street or elsewhere. Sexual harassment is also a form of gender-based violence. It happens when someone is trying to do sexual things with you when you do not want to. Gender-based violence is about gender inequality and discrimination, which means the way men and women are treated differently in a community, and is often impacted by other factors like race, disability, sexual orientation, and age. </w:t>
      </w:r>
    </w:p>
    <w:p w14:paraId="37EDE212" w14:textId="77777777" w:rsidR="004839EB" w:rsidRPr="009D4234" w:rsidRDefault="004839EB" w:rsidP="004839EB">
      <w:pPr>
        <w:pStyle w:val="BODYTEXTITALICORBOLDINCHARACTERSTYLEREGULARTEXT"/>
        <w:rPr>
          <w:spacing w:val="0"/>
        </w:rPr>
      </w:pPr>
      <w:r w:rsidRPr="009D4234">
        <w:rPr>
          <w:spacing w:val="0"/>
        </w:rPr>
        <w:lastRenderedPageBreak/>
        <w:t>The acronym “GBV” is often used as a way to refer to gender-based violence. If you experience GBV, it is never your fault. GBV is not normal, it is not ok for it to happen, and you have the right to seek help and for the violence and abuse to stop, as well as many other rights.</w:t>
      </w:r>
    </w:p>
    <w:p w14:paraId="66352864" w14:textId="77777777" w:rsidR="004839EB" w:rsidRPr="009D4234" w:rsidRDefault="004839EB" w:rsidP="004839EB">
      <w:pPr>
        <w:pStyle w:val="BODYTEXTITALICORBOLDINCHARACTERSTYLEREGULARTEXT"/>
        <w:tabs>
          <w:tab w:val="left" w:pos="1140"/>
        </w:tabs>
        <w:ind w:left="1120" w:hanging="1120"/>
        <w:rPr>
          <w:spacing w:val="0"/>
        </w:rPr>
      </w:pPr>
      <w:r w:rsidRPr="009D4234">
        <w:rPr>
          <w:b/>
          <w:bCs/>
          <w:color w:val="F15C22"/>
          <w:spacing w:val="0"/>
          <w:sz w:val="20"/>
          <w:szCs w:val="20"/>
        </w:rPr>
        <w:t>EXAMPLE:</w:t>
      </w:r>
      <w:r w:rsidRPr="009D4234">
        <w:rPr>
          <w:b/>
          <w:bCs/>
          <w:color w:val="F15C22"/>
          <w:spacing w:val="0"/>
        </w:rPr>
        <w:t xml:space="preserve"> </w:t>
      </w:r>
      <w:r w:rsidRPr="009D4234">
        <w:rPr>
          <w:b/>
          <w:bCs/>
          <w:color w:val="F15C22"/>
          <w:spacing w:val="0"/>
        </w:rPr>
        <w:tab/>
      </w:r>
      <w:r w:rsidRPr="009D4234">
        <w:rPr>
          <w:spacing w:val="0"/>
        </w:rPr>
        <w:t xml:space="preserve">A man kicks his wife because he is unhappy that she did not prepare dinner for the family. In the man’s community, women are expected to prepare dinner each night for their families. </w:t>
      </w:r>
    </w:p>
    <w:p w14:paraId="205B7399" w14:textId="77777777" w:rsidR="004839EB" w:rsidRPr="009D4234" w:rsidRDefault="004839EB" w:rsidP="004839EB">
      <w:pPr>
        <w:pStyle w:val="BODYTEXTITALICORBOLDINCHARACTERSTYLEREGULARTEXT"/>
        <w:tabs>
          <w:tab w:val="left" w:pos="1140"/>
        </w:tabs>
        <w:ind w:left="1120" w:hanging="1120"/>
        <w:rPr>
          <w:spacing w:val="0"/>
        </w:rPr>
      </w:pPr>
      <w:r w:rsidRPr="009D4234">
        <w:rPr>
          <w:b/>
          <w:bCs/>
          <w:color w:val="F15C22"/>
          <w:spacing w:val="0"/>
          <w:sz w:val="20"/>
          <w:szCs w:val="20"/>
        </w:rPr>
        <w:t>EXAMPLE:</w:t>
      </w:r>
      <w:r w:rsidRPr="009D4234">
        <w:rPr>
          <w:b/>
          <w:bCs/>
          <w:color w:val="F15C22"/>
          <w:spacing w:val="0"/>
        </w:rPr>
        <w:t xml:space="preserve"> </w:t>
      </w:r>
      <w:r w:rsidRPr="009D4234">
        <w:rPr>
          <w:b/>
          <w:bCs/>
          <w:color w:val="F15C22"/>
          <w:spacing w:val="0"/>
        </w:rPr>
        <w:tab/>
      </w:r>
      <w:r w:rsidRPr="009D4234">
        <w:rPr>
          <w:spacing w:val="0"/>
        </w:rPr>
        <w:t xml:space="preserve">A female student who is romantically interested in women is raped by a male classmate who wants to force her to be attracted to men.  </w:t>
      </w:r>
    </w:p>
    <w:p w14:paraId="6F6E844E" w14:textId="1C2B2444" w:rsidR="004839EB" w:rsidRPr="009D4234" w:rsidRDefault="004839EB" w:rsidP="004839EB">
      <w:pPr>
        <w:pStyle w:val="BODYTEXTITALICORBOLDINCHARACTERSTYLEREGULARTEXT"/>
        <w:rPr>
          <w:spacing w:val="0"/>
        </w:rPr>
      </w:pPr>
      <w:r w:rsidRPr="009D4234">
        <w:rPr>
          <w:spacing w:val="0"/>
        </w:rPr>
        <w:t>For people with disabilities, GBV can sometimes take unique forms like abuse by a support person; withholding of medication or an assistive device; or denial of necessities like food, money, and toileting support.</w:t>
      </w:r>
      <w:r w:rsidR="008E0C83">
        <w:rPr>
          <w:rStyle w:val="EndnoteReference"/>
          <w:spacing w:val="0"/>
        </w:rPr>
        <w:endnoteReference w:id="7"/>
      </w:r>
      <w:r w:rsidRPr="009D4234">
        <w:rPr>
          <w:spacing w:val="0"/>
        </w:rPr>
        <w:t xml:space="preserve"> GBV can happen once or many times. Perpetrators — the people who commit this violence — can include intimate partners (like a girlfriend or a husband), family members, caregivers, support staff, service providers, teachers, the police, or others.</w:t>
      </w:r>
      <w:r w:rsidR="008E0C83">
        <w:rPr>
          <w:rStyle w:val="EndnoteReference"/>
          <w:spacing w:val="0"/>
        </w:rPr>
        <w:endnoteReference w:id="8"/>
      </w:r>
      <w:r w:rsidRPr="009D4234">
        <w:rPr>
          <w:rStyle w:val="FootnoteReference"/>
          <w:spacing w:val="0"/>
        </w:rPr>
        <w:t xml:space="preserve"> </w:t>
      </w:r>
      <w:r w:rsidRPr="009D4234">
        <w:rPr>
          <w:spacing w:val="0"/>
        </w:rPr>
        <w:t>The perpetrator may be someone you know, but not always. The COVID-19 pandemic has increased the number of people experiencing or at risk of GBV</w:t>
      </w:r>
      <w:r w:rsidR="008E0C83">
        <w:rPr>
          <w:rStyle w:val="EndnoteReference"/>
          <w:spacing w:val="0"/>
        </w:rPr>
        <w:endnoteReference w:id="9"/>
      </w:r>
      <w:r w:rsidRPr="009D4234">
        <w:rPr>
          <w:spacing w:val="0"/>
        </w:rPr>
        <w:t>,</w:t>
      </w:r>
      <w:r w:rsidRPr="009D4234">
        <w:rPr>
          <w:rStyle w:val="FootnoteReference"/>
          <w:spacing w:val="0"/>
        </w:rPr>
        <w:t xml:space="preserve"> </w:t>
      </w:r>
      <w:r w:rsidRPr="009D4234">
        <w:rPr>
          <w:spacing w:val="0"/>
        </w:rPr>
        <w:t>particularly people with disabilities.</w:t>
      </w:r>
      <w:r w:rsidR="008E0C83">
        <w:rPr>
          <w:rStyle w:val="EndnoteReference"/>
          <w:spacing w:val="0"/>
        </w:rPr>
        <w:endnoteReference w:id="10"/>
      </w:r>
      <w:r w:rsidRPr="009D4234">
        <w:rPr>
          <w:spacing w:val="0"/>
        </w:rPr>
        <w:t xml:space="preserve"> </w:t>
      </w:r>
    </w:p>
    <w:p w14:paraId="7DD6885D" w14:textId="77777777" w:rsidR="004839EB" w:rsidRPr="009D4234" w:rsidRDefault="004839EB" w:rsidP="004839EB">
      <w:pPr>
        <w:pStyle w:val="EXAMPLEREGULARTEXT"/>
        <w:rPr>
          <w:spacing w:val="0"/>
        </w:rPr>
      </w:pPr>
      <w:r w:rsidRPr="009D4234">
        <w:rPr>
          <w:b/>
          <w:bCs/>
          <w:color w:val="F15C22"/>
          <w:spacing w:val="0"/>
          <w:sz w:val="20"/>
          <w:szCs w:val="20"/>
        </w:rPr>
        <w:t>EXAMPLE:</w:t>
      </w:r>
      <w:r w:rsidRPr="009D4234">
        <w:rPr>
          <w:spacing w:val="0"/>
        </w:rPr>
        <w:tab/>
        <w:t xml:space="preserve">A girl’s father takes away her wheelchair and locks her in her room because he is tired of providing her with support. During the pandemic, her professional support person could not help her anymore because of the fear of COVID infection. </w:t>
      </w:r>
    </w:p>
    <w:p w14:paraId="2A3A4482" w14:textId="77777777" w:rsidR="004839EB" w:rsidRPr="009D4234" w:rsidRDefault="004839EB" w:rsidP="004839EB">
      <w:pPr>
        <w:pStyle w:val="EXAMPLEREGULARTEXT"/>
        <w:rPr>
          <w:spacing w:val="0"/>
        </w:rPr>
      </w:pPr>
      <w:r w:rsidRPr="009D4234">
        <w:rPr>
          <w:b/>
          <w:bCs/>
          <w:color w:val="F15C22"/>
          <w:spacing w:val="0"/>
          <w:sz w:val="20"/>
          <w:szCs w:val="20"/>
        </w:rPr>
        <w:t>EXAMPLE:</w:t>
      </w:r>
      <w:r w:rsidRPr="009D4234">
        <w:rPr>
          <w:spacing w:val="0"/>
        </w:rPr>
        <w:tab/>
        <w:t>A non-binary person who lives in an institution is screamed at and called bad names by one of the staff members. (A non-binary person is neither a man nor a woman. They are not the gender people said they were when they were born.)</w:t>
      </w:r>
    </w:p>
    <w:p w14:paraId="1862F849" w14:textId="77777777" w:rsidR="004839EB" w:rsidRPr="009D4234" w:rsidRDefault="004839EB" w:rsidP="009C736B">
      <w:pPr>
        <w:pStyle w:val="Heading2"/>
      </w:pPr>
      <w:r w:rsidRPr="009D4234">
        <w:t xml:space="preserve">What are my rights?   </w:t>
      </w:r>
    </w:p>
    <w:p w14:paraId="27DBBFD2" w14:textId="0A0F57BF" w:rsidR="004839EB" w:rsidRPr="009D4234" w:rsidRDefault="004839EB" w:rsidP="004839EB">
      <w:pPr>
        <w:pStyle w:val="BODYTEXTITALICORBOLDINCHARACTERSTYLEREGULARTEXT"/>
        <w:rPr>
          <w:rStyle w:val="FootnoteReference"/>
          <w:spacing w:val="0"/>
        </w:rPr>
      </w:pPr>
      <w:r w:rsidRPr="009D4234">
        <w:rPr>
          <w:spacing w:val="0"/>
        </w:rPr>
        <w:t>You have a right to be free from GBV. Your government must prevent, protect, investigate, punish, and support you if you experience GBV.</w:t>
      </w:r>
      <w:r w:rsidR="008E0C83">
        <w:rPr>
          <w:rStyle w:val="EndnoteReference"/>
          <w:spacing w:val="0"/>
        </w:rPr>
        <w:endnoteReference w:id="11"/>
      </w:r>
    </w:p>
    <w:p w14:paraId="345A90B7" w14:textId="2FC2B15D" w:rsidR="004839EB" w:rsidRPr="009D4234" w:rsidRDefault="004839EB" w:rsidP="004839EB">
      <w:pPr>
        <w:pStyle w:val="BODYTEXTITALICORBOLDINCHARACTERSTYLEREGULARTEXT"/>
        <w:rPr>
          <w:spacing w:val="0"/>
        </w:rPr>
      </w:pPr>
      <w:r w:rsidRPr="009D4234">
        <w:rPr>
          <w:spacing w:val="0"/>
        </w:rPr>
        <w:t>These rights are protected in many international documents called treaties, which your government may have ratified. If a government has ratified a treaty, that means your government has a duty to make sure the people in your country have those rights. Two important treaties for you to know about are the Convention on the Rights of Persons with Disabilities</w:t>
      </w:r>
      <w:r w:rsidR="008E0C83">
        <w:rPr>
          <w:rStyle w:val="EndnoteReference"/>
          <w:spacing w:val="0"/>
        </w:rPr>
        <w:endnoteReference w:id="12"/>
      </w:r>
      <w:r w:rsidRPr="009D4234">
        <w:rPr>
          <w:spacing w:val="0"/>
        </w:rPr>
        <w:t xml:space="preserve"> — also known as the CRPD — and the Convention on the Elimination of All Forms of Discrimination against Women</w:t>
      </w:r>
      <w:r w:rsidR="008E0C83">
        <w:rPr>
          <w:rStyle w:val="EndnoteReference"/>
          <w:spacing w:val="0"/>
        </w:rPr>
        <w:endnoteReference w:id="13"/>
      </w:r>
      <w:r w:rsidRPr="009D4234">
        <w:rPr>
          <w:spacing w:val="0"/>
        </w:rPr>
        <w:t xml:space="preserve"> — known as CEDAW. </w:t>
      </w:r>
    </w:p>
    <w:p w14:paraId="116E8384" w14:textId="77777777" w:rsidR="004839EB" w:rsidRPr="009D4234" w:rsidRDefault="004839EB" w:rsidP="00196F0B">
      <w:pPr>
        <w:pStyle w:val="Heading3"/>
      </w:pPr>
      <w:r w:rsidRPr="009D4234">
        <w:t xml:space="preserve">You have the right under these and other treaties:  </w:t>
      </w:r>
    </w:p>
    <w:p w14:paraId="57B819EC" w14:textId="397D15B5" w:rsidR="004839EB" w:rsidRPr="009D4234" w:rsidRDefault="004839EB" w:rsidP="004839EB">
      <w:pPr>
        <w:pStyle w:val="BULLETEDLISTbasedonbodytextREGULARTEXT"/>
        <w:numPr>
          <w:ilvl w:val="0"/>
          <w:numId w:val="11"/>
        </w:numPr>
        <w:spacing w:after="80"/>
        <w:ind w:left="450"/>
        <w:rPr>
          <w:spacing w:val="0"/>
        </w:rPr>
      </w:pPr>
      <w:r w:rsidRPr="009D4234">
        <w:rPr>
          <w:spacing w:val="0"/>
        </w:rPr>
        <w:t>To be treated equally and without discrimination based on your gender or your disability.</w:t>
      </w:r>
      <w:r w:rsidR="008E0C83">
        <w:rPr>
          <w:rStyle w:val="EndnoteReference"/>
          <w:spacing w:val="0"/>
        </w:rPr>
        <w:endnoteReference w:id="14"/>
      </w:r>
    </w:p>
    <w:p w14:paraId="41D7C454" w14:textId="47C616D1" w:rsidR="004839EB" w:rsidRPr="009D4234" w:rsidRDefault="004839EB" w:rsidP="004839EB">
      <w:pPr>
        <w:pStyle w:val="BULLETEDLISTbasedonbodytextREGULARTEXT"/>
        <w:numPr>
          <w:ilvl w:val="0"/>
          <w:numId w:val="11"/>
        </w:numPr>
        <w:spacing w:after="80"/>
        <w:ind w:left="450"/>
        <w:rPr>
          <w:spacing w:val="0"/>
        </w:rPr>
      </w:pPr>
      <w:r w:rsidRPr="009D4234">
        <w:rPr>
          <w:spacing w:val="0"/>
        </w:rPr>
        <w:t>To access the police and the court system to seek justice.</w:t>
      </w:r>
      <w:r w:rsidR="008E0C83">
        <w:rPr>
          <w:rStyle w:val="EndnoteReference"/>
          <w:spacing w:val="0"/>
        </w:rPr>
        <w:endnoteReference w:id="15"/>
      </w:r>
      <w:r w:rsidRPr="009D4234">
        <w:rPr>
          <w:spacing w:val="0"/>
        </w:rPr>
        <w:t xml:space="preserve"> </w:t>
      </w:r>
    </w:p>
    <w:p w14:paraId="1489984F" w14:textId="3711253C" w:rsidR="004839EB" w:rsidRPr="009D4234" w:rsidRDefault="004839EB" w:rsidP="004839EB">
      <w:pPr>
        <w:pStyle w:val="BULLETEDLISTbasedonbodytextREGULARTEXT"/>
        <w:numPr>
          <w:ilvl w:val="0"/>
          <w:numId w:val="11"/>
        </w:numPr>
        <w:spacing w:after="80"/>
        <w:ind w:left="450"/>
        <w:rPr>
          <w:rStyle w:val="FootnoteReference"/>
          <w:spacing w:val="0"/>
          <w:position w:val="0"/>
          <w:sz w:val="22"/>
          <w:szCs w:val="22"/>
        </w:rPr>
      </w:pPr>
      <w:r w:rsidRPr="009D4234">
        <w:rPr>
          <w:spacing w:val="0"/>
        </w:rPr>
        <w:t>To receive information about GBV and the COVID-19 pandemic in ways you can understand.</w:t>
      </w:r>
      <w:r w:rsidR="008E0C83">
        <w:rPr>
          <w:rStyle w:val="EndnoteReference"/>
          <w:spacing w:val="0"/>
        </w:rPr>
        <w:endnoteReference w:id="16"/>
      </w:r>
    </w:p>
    <w:p w14:paraId="7DA4DC06" w14:textId="55981A7C" w:rsidR="004839EB" w:rsidRPr="009D4234" w:rsidRDefault="004839EB" w:rsidP="004839EB">
      <w:pPr>
        <w:pStyle w:val="BULLETEDLISTbasedonbodytextREGULARTEXT"/>
        <w:numPr>
          <w:ilvl w:val="0"/>
          <w:numId w:val="11"/>
        </w:numPr>
        <w:spacing w:after="80"/>
        <w:ind w:left="450"/>
        <w:rPr>
          <w:spacing w:val="0"/>
        </w:rPr>
      </w:pPr>
      <w:r w:rsidRPr="009D4234">
        <w:rPr>
          <w:spacing w:val="0"/>
        </w:rPr>
        <w:t>To protection and safety during emergencies - such as a global pandemic, a natural disaster, or a war or conflict.</w:t>
      </w:r>
      <w:r w:rsidR="008E0C83">
        <w:rPr>
          <w:rStyle w:val="EndnoteReference"/>
          <w:spacing w:val="0"/>
        </w:rPr>
        <w:endnoteReference w:id="17"/>
      </w:r>
      <w:r w:rsidRPr="009D4234">
        <w:rPr>
          <w:spacing w:val="0"/>
        </w:rPr>
        <w:t xml:space="preserve"> </w:t>
      </w:r>
    </w:p>
    <w:p w14:paraId="3899BD67" w14:textId="79DD0047" w:rsidR="004839EB" w:rsidRPr="009D4234" w:rsidRDefault="004839EB" w:rsidP="004839EB">
      <w:pPr>
        <w:pStyle w:val="BULLETEDLISTbasedonbodytextREGULARTEXT"/>
        <w:numPr>
          <w:ilvl w:val="0"/>
          <w:numId w:val="11"/>
        </w:numPr>
        <w:spacing w:after="80"/>
        <w:ind w:left="450"/>
        <w:rPr>
          <w:spacing w:val="0"/>
        </w:rPr>
      </w:pPr>
      <w:r w:rsidRPr="009D4234">
        <w:rPr>
          <w:spacing w:val="0"/>
        </w:rPr>
        <w:t>To live independently and to be included in your community — including access to support services to help you live independently with the support you require.</w:t>
      </w:r>
      <w:r w:rsidR="008E0C83">
        <w:rPr>
          <w:rStyle w:val="EndnoteReference"/>
          <w:spacing w:val="0"/>
        </w:rPr>
        <w:endnoteReference w:id="18"/>
      </w:r>
      <w:r w:rsidRPr="009D4234">
        <w:rPr>
          <w:spacing w:val="0"/>
        </w:rPr>
        <w:t xml:space="preserve"> </w:t>
      </w:r>
    </w:p>
    <w:p w14:paraId="7D03EF8E" w14:textId="1A5BC63A" w:rsidR="004839EB" w:rsidRPr="009D4234" w:rsidRDefault="004839EB" w:rsidP="004839EB">
      <w:pPr>
        <w:pStyle w:val="BULLETEDLISTbasedonbodytextREGULARTEXT"/>
        <w:numPr>
          <w:ilvl w:val="0"/>
          <w:numId w:val="11"/>
        </w:numPr>
        <w:spacing w:after="80"/>
        <w:ind w:left="450"/>
        <w:rPr>
          <w:spacing w:val="0"/>
        </w:rPr>
      </w:pPr>
      <w:r w:rsidRPr="009D4234">
        <w:rPr>
          <w:spacing w:val="0"/>
        </w:rPr>
        <w:lastRenderedPageBreak/>
        <w:t xml:space="preserve">To health — including physical and psychological recovery from violence; sexual and reproductive health information, goods, and services; rehabilitation; public health information; vaccination </w:t>
      </w:r>
      <w:proofErr w:type="spellStart"/>
      <w:r w:rsidRPr="009D4234">
        <w:rPr>
          <w:spacing w:val="0"/>
        </w:rPr>
        <w:t>programmes</w:t>
      </w:r>
      <w:proofErr w:type="spellEnd"/>
      <w:r w:rsidRPr="009D4234">
        <w:rPr>
          <w:spacing w:val="0"/>
        </w:rPr>
        <w:t>; and assistance reintegrating back into your community.</w:t>
      </w:r>
      <w:r w:rsidR="008E0C83">
        <w:rPr>
          <w:rStyle w:val="EndnoteReference"/>
          <w:spacing w:val="0"/>
        </w:rPr>
        <w:endnoteReference w:id="19"/>
      </w:r>
      <w:r w:rsidRPr="009D4234">
        <w:rPr>
          <w:spacing w:val="0"/>
        </w:rPr>
        <w:t xml:space="preserve"> </w:t>
      </w:r>
    </w:p>
    <w:p w14:paraId="1B0A244F" w14:textId="5A33C878" w:rsidR="004839EB" w:rsidRPr="009D4234" w:rsidRDefault="004839EB" w:rsidP="004839EB">
      <w:pPr>
        <w:pStyle w:val="BULLETEDLISTbasedonbodytextREGULARTEXT"/>
        <w:numPr>
          <w:ilvl w:val="0"/>
          <w:numId w:val="11"/>
        </w:numPr>
        <w:spacing w:after="130"/>
        <w:ind w:left="450"/>
        <w:rPr>
          <w:spacing w:val="0"/>
        </w:rPr>
      </w:pPr>
      <w:r w:rsidRPr="009D4234">
        <w:rPr>
          <w:spacing w:val="0"/>
        </w:rPr>
        <w:t>To an adequate standard of living for yourself and your family</w:t>
      </w:r>
      <w:r w:rsidR="008E0C83">
        <w:rPr>
          <w:rStyle w:val="EndnoteReference"/>
          <w:spacing w:val="0"/>
        </w:rPr>
        <w:endnoteReference w:id="20"/>
      </w:r>
      <w:r w:rsidRPr="009D4234">
        <w:rPr>
          <w:spacing w:val="0"/>
        </w:rPr>
        <w:t xml:space="preserve"> and to social protection.</w:t>
      </w:r>
      <w:r w:rsidR="008E0C83">
        <w:rPr>
          <w:rStyle w:val="EndnoteReference"/>
          <w:spacing w:val="0"/>
        </w:rPr>
        <w:endnoteReference w:id="21"/>
      </w:r>
      <w:r w:rsidRPr="009D4234">
        <w:rPr>
          <w:spacing w:val="0"/>
        </w:rPr>
        <w:t xml:space="preserve"> The term ‘social protection’ means the government takes steps to make sure you and your family have access to the services you need — including being able to meet your basic needs such as having enough food, water, clothing, and fair housing.</w:t>
      </w:r>
      <w:r w:rsidR="008E0C83">
        <w:rPr>
          <w:rStyle w:val="EndnoteReference"/>
          <w:spacing w:val="0"/>
        </w:rPr>
        <w:endnoteReference w:id="22"/>
      </w:r>
    </w:p>
    <w:p w14:paraId="6F1F98C7" w14:textId="6484538C" w:rsidR="004839EB" w:rsidRPr="009D4234" w:rsidRDefault="004839EB" w:rsidP="004839EB">
      <w:pPr>
        <w:pStyle w:val="BULLETEDLISTbasedonbodytextREGULARTEXT"/>
        <w:numPr>
          <w:ilvl w:val="0"/>
          <w:numId w:val="11"/>
        </w:numPr>
        <w:spacing w:after="130"/>
        <w:ind w:left="450"/>
        <w:rPr>
          <w:spacing w:val="0"/>
        </w:rPr>
      </w:pPr>
      <w:r w:rsidRPr="009D4234">
        <w:rPr>
          <w:spacing w:val="0"/>
        </w:rPr>
        <w:t>To be able to vote, express your opinion, and to be included in political processes.</w:t>
      </w:r>
      <w:r w:rsidR="008E0C83">
        <w:rPr>
          <w:rStyle w:val="EndnoteReference"/>
          <w:spacing w:val="0"/>
        </w:rPr>
        <w:endnoteReference w:id="23"/>
      </w:r>
      <w:r w:rsidRPr="009D4234">
        <w:rPr>
          <w:spacing w:val="0"/>
        </w:rPr>
        <w:t xml:space="preserve"> </w:t>
      </w:r>
    </w:p>
    <w:p w14:paraId="2A34FF55" w14:textId="06C6EFAC" w:rsidR="004839EB" w:rsidRPr="009D4234" w:rsidRDefault="004839EB" w:rsidP="004839EB">
      <w:pPr>
        <w:pStyle w:val="BULLETEDLISTbasedonbodytextREGULARTEXT"/>
        <w:numPr>
          <w:ilvl w:val="0"/>
          <w:numId w:val="11"/>
        </w:numPr>
        <w:spacing w:after="130"/>
        <w:ind w:left="450"/>
        <w:rPr>
          <w:spacing w:val="0"/>
        </w:rPr>
      </w:pPr>
      <w:r w:rsidRPr="009D4234">
        <w:rPr>
          <w:spacing w:val="0"/>
        </w:rPr>
        <w:t xml:space="preserve">To accessible services such as shelters, GBV hotlines, emergency and support services, counselling services, and COVID-19 testing, treatment, and vaccination </w:t>
      </w:r>
      <w:proofErr w:type="spellStart"/>
      <w:r w:rsidRPr="009D4234">
        <w:rPr>
          <w:spacing w:val="0"/>
        </w:rPr>
        <w:t>programmes</w:t>
      </w:r>
      <w:proofErr w:type="spellEnd"/>
      <w:r w:rsidRPr="009D4234">
        <w:rPr>
          <w:spacing w:val="0"/>
        </w:rPr>
        <w:t>.</w:t>
      </w:r>
      <w:r w:rsidR="008E0C83">
        <w:rPr>
          <w:rStyle w:val="EndnoteReference"/>
          <w:spacing w:val="0"/>
        </w:rPr>
        <w:endnoteReference w:id="24"/>
      </w:r>
      <w:r w:rsidRPr="009D4234">
        <w:rPr>
          <w:spacing w:val="0"/>
        </w:rPr>
        <w:t xml:space="preserve"> </w:t>
      </w:r>
    </w:p>
    <w:p w14:paraId="4E342F3A" w14:textId="2A80679D" w:rsidR="004839EB" w:rsidRPr="009D4234" w:rsidRDefault="004839EB" w:rsidP="004839EB">
      <w:pPr>
        <w:pStyle w:val="BULLETEDLISTbasedonbodytextREGULARTEXT"/>
        <w:numPr>
          <w:ilvl w:val="0"/>
          <w:numId w:val="11"/>
        </w:numPr>
        <w:spacing w:after="130"/>
        <w:ind w:left="450"/>
        <w:rPr>
          <w:spacing w:val="0"/>
        </w:rPr>
      </w:pPr>
      <w:r w:rsidRPr="009D4234">
        <w:rPr>
          <w:spacing w:val="0"/>
        </w:rPr>
        <w:t xml:space="preserve">To reasonable accommodation, meaning that services, such as shelters, support services and COVID-19 </w:t>
      </w:r>
      <w:proofErr w:type="spellStart"/>
      <w:r w:rsidRPr="009D4234">
        <w:rPr>
          <w:spacing w:val="0"/>
        </w:rPr>
        <w:t>programmes</w:t>
      </w:r>
      <w:proofErr w:type="spellEnd"/>
      <w:r w:rsidRPr="009D4234">
        <w:rPr>
          <w:spacing w:val="0"/>
        </w:rPr>
        <w:t xml:space="preserve"> take steps to adapt to your needs when accessible services are not enough to provide the support you need.</w:t>
      </w:r>
    </w:p>
    <w:p w14:paraId="1B13BFBD" w14:textId="77777777" w:rsidR="004839EB" w:rsidRPr="009D4234" w:rsidRDefault="004839EB" w:rsidP="005866B6">
      <w:pPr>
        <w:pStyle w:val="BULLETEDLISTbasedonbodytextREGULARTEXT"/>
        <w:spacing w:after="130"/>
        <w:ind w:left="0" w:firstLine="0"/>
        <w:rPr>
          <w:spacing w:val="0"/>
        </w:rPr>
      </w:pPr>
    </w:p>
    <w:p w14:paraId="4304AB9F" w14:textId="77777777" w:rsidR="004839EB" w:rsidRPr="009D4234" w:rsidRDefault="004839EB" w:rsidP="004839EB">
      <w:pPr>
        <w:pStyle w:val="Box"/>
        <w:pBdr>
          <w:top w:val="single" w:sz="6" w:space="8" w:color="auto"/>
        </w:pBdr>
        <w:rPr>
          <w:rFonts w:ascii="Calibri" w:hAnsi="Calibri" w:cs="Calibri"/>
          <w:b w:val="0"/>
          <w:bCs w:val="0"/>
          <w:spacing w:val="0"/>
          <w:sz w:val="22"/>
          <w:szCs w:val="22"/>
        </w:rPr>
      </w:pPr>
      <w:r w:rsidRPr="009D4234">
        <w:rPr>
          <w:rFonts w:ascii="Calibri" w:hAnsi="Calibri" w:cs="Calibri"/>
          <w:spacing w:val="0"/>
          <w:sz w:val="22"/>
          <w:szCs w:val="22"/>
        </w:rPr>
        <w:t>What does it mean to be accessible?</w:t>
      </w:r>
    </w:p>
    <w:p w14:paraId="2538CDA7" w14:textId="2FB49DC1" w:rsidR="004839EB" w:rsidRPr="00196F0B" w:rsidRDefault="004839EB" w:rsidP="004839EB">
      <w:pPr>
        <w:pStyle w:val="BODYTEXTITALICORBOLDINCHARACTERSTYLEREGULARTEXT"/>
        <w:rPr>
          <w:rFonts w:asciiTheme="minorHAnsi" w:hAnsiTheme="minorHAnsi" w:cstheme="minorHAnsi"/>
          <w:spacing w:val="0"/>
        </w:rPr>
      </w:pPr>
      <w:r w:rsidRPr="00196F0B">
        <w:rPr>
          <w:rFonts w:asciiTheme="minorHAnsi" w:hAnsiTheme="minorHAnsi" w:cstheme="minorHAnsi"/>
          <w:spacing w:val="0"/>
        </w:rPr>
        <w:t>Accessibility means that information, goods, and services can be used by people with disabilities on an equal basis with non-disabled people.</w:t>
      </w:r>
      <w:r w:rsidR="008E0C83" w:rsidRPr="00196F0B">
        <w:rPr>
          <w:rStyle w:val="EndnoteReference"/>
          <w:rFonts w:asciiTheme="minorHAnsi" w:hAnsiTheme="minorHAnsi" w:cstheme="minorHAnsi"/>
          <w:spacing w:val="0"/>
        </w:rPr>
        <w:endnoteReference w:id="25"/>
      </w:r>
      <w:r w:rsidRPr="00196F0B">
        <w:rPr>
          <w:rFonts w:asciiTheme="minorHAnsi" w:hAnsiTheme="minorHAnsi" w:cstheme="minorHAnsi"/>
          <w:spacing w:val="0"/>
        </w:rPr>
        <w:t xml:space="preserve"> This means that, among other actions, governments must make sure that different information and communication formats are available (such as digital, braille, sign language, plain language, and Easy-Read formats); that there are policy exceptions to allow service animals, interpreters, and support staff to accompany service recipients; that information, goods, and services are affordable, including with fee waivers; and that physical accessibility is provided, such as ramps, railings, and elevators.</w:t>
      </w:r>
      <w:r w:rsidR="008E0C83" w:rsidRPr="00196F0B">
        <w:rPr>
          <w:rStyle w:val="EndnoteReference"/>
          <w:rFonts w:asciiTheme="minorHAnsi" w:hAnsiTheme="minorHAnsi" w:cstheme="minorHAnsi"/>
          <w:spacing w:val="0"/>
        </w:rPr>
        <w:endnoteReference w:id="26"/>
      </w:r>
      <w:r w:rsidRPr="00196F0B">
        <w:rPr>
          <w:rFonts w:asciiTheme="minorHAnsi" w:hAnsiTheme="minorHAnsi" w:cstheme="minorHAnsi"/>
          <w:spacing w:val="0"/>
        </w:rPr>
        <w:t xml:space="preserve"> Physical services must also be easy and safe for people with disabilities to reach.</w:t>
      </w:r>
      <w:r w:rsidR="008E0C83" w:rsidRPr="00196F0B">
        <w:rPr>
          <w:rStyle w:val="EndnoteReference"/>
          <w:rFonts w:asciiTheme="minorHAnsi" w:hAnsiTheme="minorHAnsi" w:cstheme="minorHAnsi"/>
          <w:spacing w:val="0"/>
        </w:rPr>
        <w:endnoteReference w:id="27"/>
      </w:r>
    </w:p>
    <w:p w14:paraId="0F363FCF" w14:textId="77777777" w:rsidR="004839EB" w:rsidRPr="00196F0B" w:rsidRDefault="004839EB" w:rsidP="004839EB">
      <w:pPr>
        <w:pStyle w:val="EXAMPLEREGULARTEXT"/>
        <w:rPr>
          <w:rFonts w:asciiTheme="minorHAnsi" w:hAnsiTheme="minorHAnsi" w:cstheme="minorHAnsi"/>
          <w:spacing w:val="0"/>
        </w:rPr>
      </w:pPr>
      <w:r w:rsidRPr="00196F0B">
        <w:rPr>
          <w:rFonts w:asciiTheme="minorHAnsi" w:hAnsiTheme="minorHAnsi" w:cstheme="minorHAnsi"/>
          <w:b/>
          <w:bCs/>
          <w:color w:val="F15C22"/>
          <w:spacing w:val="0"/>
          <w:sz w:val="20"/>
          <w:szCs w:val="20"/>
        </w:rPr>
        <w:t xml:space="preserve">EXAMPLE: </w:t>
      </w:r>
      <w:r w:rsidRPr="00196F0B">
        <w:rPr>
          <w:rFonts w:asciiTheme="minorHAnsi" w:hAnsiTheme="minorHAnsi" w:cstheme="minorHAnsi"/>
          <w:b/>
          <w:bCs/>
          <w:color w:val="F15C22"/>
          <w:spacing w:val="0"/>
          <w:sz w:val="20"/>
          <w:szCs w:val="20"/>
        </w:rPr>
        <w:tab/>
      </w:r>
      <w:r w:rsidRPr="00196F0B">
        <w:rPr>
          <w:rFonts w:asciiTheme="minorHAnsi" w:hAnsiTheme="minorHAnsi" w:cstheme="minorHAnsi"/>
          <w:spacing w:val="0"/>
        </w:rPr>
        <w:t xml:space="preserve">COVID-19 testing sites are located in a building that is wheelchair-accessible. </w:t>
      </w:r>
    </w:p>
    <w:p w14:paraId="2F3AAE42" w14:textId="2483CD08" w:rsidR="004839EB" w:rsidRPr="009D4234" w:rsidRDefault="004839EB" w:rsidP="005866B6">
      <w:pPr>
        <w:pStyle w:val="EXAMPLEREGULARTEXT"/>
        <w:pBdr>
          <w:bottom w:val="single" w:sz="4" w:space="1" w:color="auto"/>
        </w:pBdr>
        <w:rPr>
          <w:spacing w:val="0"/>
        </w:rPr>
      </w:pPr>
      <w:r w:rsidRPr="00196F0B">
        <w:rPr>
          <w:rFonts w:asciiTheme="minorHAnsi" w:hAnsiTheme="minorHAnsi" w:cstheme="minorHAnsi"/>
          <w:b/>
          <w:bCs/>
          <w:color w:val="F15C22"/>
          <w:spacing w:val="0"/>
          <w:sz w:val="20"/>
          <w:szCs w:val="20"/>
        </w:rPr>
        <w:t>EXAMPLE:</w:t>
      </w:r>
      <w:r w:rsidRPr="00196F0B">
        <w:rPr>
          <w:rFonts w:asciiTheme="minorHAnsi" w:hAnsiTheme="minorHAnsi" w:cstheme="minorHAnsi"/>
          <w:caps/>
          <w:spacing w:val="0"/>
        </w:rPr>
        <w:t xml:space="preserve"> </w:t>
      </w:r>
      <w:r w:rsidRPr="00196F0B">
        <w:rPr>
          <w:rFonts w:asciiTheme="minorHAnsi" w:hAnsiTheme="minorHAnsi" w:cstheme="minorHAnsi"/>
          <w:caps/>
          <w:spacing w:val="0"/>
        </w:rPr>
        <w:tab/>
      </w:r>
      <w:r w:rsidRPr="00196F0B">
        <w:rPr>
          <w:rFonts w:asciiTheme="minorHAnsi" w:hAnsiTheme="minorHAnsi" w:cstheme="minorHAnsi"/>
          <w:spacing w:val="0"/>
        </w:rPr>
        <w:t>All public awareness campaigns on the TV about GBV include a sign-language interpreter.</w:t>
      </w:r>
      <w:r w:rsidRPr="009D4234">
        <w:rPr>
          <w:rFonts w:ascii="Calibri Light" w:hAnsi="Calibri Light" w:cs="Calibri Light"/>
          <w:spacing w:val="0"/>
        </w:rPr>
        <w:t xml:space="preserve"> </w:t>
      </w:r>
      <w:r w:rsidR="005866B6" w:rsidRPr="009D4234">
        <w:rPr>
          <w:rFonts w:ascii="Calibri Light" w:hAnsi="Calibri Light" w:cs="Calibri Light"/>
          <w:spacing w:val="0"/>
        </w:rPr>
        <w:br/>
      </w:r>
    </w:p>
    <w:p w14:paraId="793BED72" w14:textId="77777777" w:rsidR="004839EB" w:rsidRPr="009D4234" w:rsidRDefault="004839EB" w:rsidP="009C736B">
      <w:pPr>
        <w:pStyle w:val="Heading2"/>
      </w:pPr>
      <w:r w:rsidRPr="009D4234">
        <w:t>What are my rights during the COVID-19 pandemic? What must my government do?</w:t>
      </w:r>
    </w:p>
    <w:p w14:paraId="0B111598" w14:textId="1669BE47" w:rsidR="004839EB" w:rsidRPr="009D4234" w:rsidRDefault="004839EB" w:rsidP="004839EB">
      <w:pPr>
        <w:pStyle w:val="BODYTEXTITALICORBOLDINCHARACTERSTYLEREGULARTEXT"/>
        <w:rPr>
          <w:spacing w:val="0"/>
        </w:rPr>
      </w:pPr>
      <w:r w:rsidRPr="009D4234">
        <w:rPr>
          <w:spacing w:val="0"/>
        </w:rPr>
        <w:t>Your government must respect, protect, and fulfil your right to be free from GBV at all times.</w:t>
      </w:r>
      <w:r w:rsidR="008E0C83">
        <w:rPr>
          <w:rStyle w:val="EndnoteReference"/>
          <w:spacing w:val="0"/>
        </w:rPr>
        <w:endnoteReference w:id="28"/>
      </w:r>
      <w:r w:rsidRPr="009D4234">
        <w:rPr>
          <w:spacing w:val="0"/>
        </w:rPr>
        <w:t xml:space="preserve"> In fact, you have specific rights that must be guaranteed during and after an emergency such as this pandemic. At all times, and particularly during the COVID-19 pandemic: </w:t>
      </w:r>
    </w:p>
    <w:p w14:paraId="29762057" w14:textId="77777777" w:rsidR="004839EB" w:rsidRPr="009D4234" w:rsidRDefault="004839EB" w:rsidP="00196F0B">
      <w:pPr>
        <w:pStyle w:val="Heading3"/>
      </w:pPr>
      <w:r w:rsidRPr="009D4234">
        <w:t xml:space="preserve">Your government must respect your rights: </w:t>
      </w:r>
    </w:p>
    <w:p w14:paraId="33C38552" w14:textId="04898F1D" w:rsidR="004839EB" w:rsidRPr="009D4234" w:rsidRDefault="004839EB" w:rsidP="004839EB">
      <w:pPr>
        <w:pStyle w:val="BODYTEXTITALICORBOLDINCHARACTERSTYLEREGULARTEXT"/>
        <w:rPr>
          <w:b/>
          <w:bCs/>
          <w:color w:val="F15C22"/>
          <w:spacing w:val="0"/>
          <w:sz w:val="20"/>
          <w:szCs w:val="20"/>
          <w:u w:val="thick"/>
        </w:rPr>
      </w:pPr>
      <w:r w:rsidRPr="009D4234">
        <w:rPr>
          <w:spacing w:val="0"/>
        </w:rPr>
        <w:t>The government, and anyone who works for the government, are required to never commit GBV and to have laws in place making such violence illegal.</w:t>
      </w:r>
      <w:r w:rsidR="008E0C83">
        <w:rPr>
          <w:rStyle w:val="EndnoteReference"/>
          <w:spacing w:val="0"/>
        </w:rPr>
        <w:endnoteReference w:id="29"/>
      </w:r>
    </w:p>
    <w:p w14:paraId="6EDE5ADA" w14:textId="5401693E" w:rsidR="004839EB" w:rsidRPr="009D4234" w:rsidRDefault="004839EB" w:rsidP="004839EB">
      <w:pPr>
        <w:pStyle w:val="EXAMPLEREGULARTEXT"/>
        <w:rPr>
          <w:b/>
          <w:bCs/>
          <w:caps/>
          <w:spacing w:val="0"/>
        </w:rPr>
      </w:pPr>
      <w:r w:rsidRPr="009D4234">
        <w:rPr>
          <w:b/>
          <w:bCs/>
          <w:color w:val="F15C22"/>
          <w:spacing w:val="0"/>
          <w:sz w:val="20"/>
          <w:szCs w:val="20"/>
        </w:rPr>
        <w:t>EXAMPLE:</w:t>
      </w:r>
      <w:r w:rsidRPr="009D4234">
        <w:rPr>
          <w:caps/>
          <w:spacing w:val="0"/>
        </w:rPr>
        <w:t xml:space="preserve"> </w:t>
      </w:r>
      <w:r w:rsidRPr="009D4234">
        <w:rPr>
          <w:caps/>
          <w:spacing w:val="0"/>
        </w:rPr>
        <w:tab/>
      </w:r>
      <w:r w:rsidRPr="009D4234">
        <w:rPr>
          <w:spacing w:val="0"/>
        </w:rPr>
        <w:t>The Government passes a law that requires that doctors who work for public hospitals do not sterilize women with disabilities (stop them having children permanently) without their fully informed agreement to the procedure.</w:t>
      </w:r>
      <w:r w:rsidR="008E0C83">
        <w:rPr>
          <w:rStyle w:val="EndnoteReference"/>
          <w:spacing w:val="0"/>
        </w:rPr>
        <w:endnoteReference w:id="30"/>
      </w:r>
    </w:p>
    <w:p w14:paraId="639B01B9" w14:textId="77777777" w:rsidR="00196F0B" w:rsidRDefault="00196F0B" w:rsidP="00196F0B">
      <w:pPr>
        <w:pStyle w:val="Heading3"/>
      </w:pPr>
    </w:p>
    <w:p w14:paraId="635042A5" w14:textId="7ED24481" w:rsidR="004839EB" w:rsidRPr="009D4234" w:rsidRDefault="004839EB" w:rsidP="00196F0B">
      <w:pPr>
        <w:pStyle w:val="Heading3"/>
      </w:pPr>
      <w:r w:rsidRPr="009D4234">
        <w:t xml:space="preserve">Your government must protect your rights: </w:t>
      </w:r>
    </w:p>
    <w:p w14:paraId="1919B20C" w14:textId="0E23B928" w:rsidR="004839EB" w:rsidRPr="009D4234" w:rsidRDefault="004839EB" w:rsidP="004839EB">
      <w:pPr>
        <w:pStyle w:val="BODYTEXTITALICORBOLDINCHARACTERSTYLEREGULARTEXT"/>
        <w:rPr>
          <w:rStyle w:val="FootnoteReference"/>
          <w:spacing w:val="0"/>
        </w:rPr>
      </w:pPr>
      <w:r w:rsidRPr="009D4234">
        <w:rPr>
          <w:spacing w:val="0"/>
        </w:rPr>
        <w:t>The government must protect people with disabilities from GBV by acting to prevent and address GBV committed by people (like your family member, support person, or partner).</w:t>
      </w:r>
      <w:r w:rsidR="008E0C83">
        <w:rPr>
          <w:rStyle w:val="EndnoteReference"/>
          <w:spacing w:val="0"/>
        </w:rPr>
        <w:endnoteReference w:id="31"/>
      </w:r>
    </w:p>
    <w:p w14:paraId="09D044BD" w14:textId="77777777" w:rsidR="004839EB" w:rsidRPr="009D4234" w:rsidRDefault="004839EB" w:rsidP="004839EB">
      <w:pPr>
        <w:pStyle w:val="BODYTEXTITALICORBOLDINCHARACTERSTYLEREGULARTEXT"/>
        <w:rPr>
          <w:spacing w:val="0"/>
        </w:rPr>
      </w:pPr>
      <w:r w:rsidRPr="009D4234">
        <w:rPr>
          <w:spacing w:val="0"/>
        </w:rPr>
        <w:t xml:space="preserve">During the COVID-19 crisis, your government has a duty to be enacting laws, policies, and </w:t>
      </w:r>
      <w:proofErr w:type="spellStart"/>
      <w:r w:rsidRPr="009D4234">
        <w:rPr>
          <w:spacing w:val="0"/>
        </w:rPr>
        <w:t>programmes</w:t>
      </w:r>
      <w:proofErr w:type="spellEnd"/>
      <w:r w:rsidRPr="009D4234">
        <w:rPr>
          <w:spacing w:val="0"/>
        </w:rPr>
        <w:t xml:space="preserve"> that prevent and address GBV, including taking steps to address the stereotypes that contribute to violence against people with disabilities.</w:t>
      </w:r>
    </w:p>
    <w:p w14:paraId="15E9B9FD" w14:textId="77777777" w:rsidR="004839EB" w:rsidRPr="009D4234" w:rsidRDefault="004839EB" w:rsidP="004839EB">
      <w:pPr>
        <w:pStyle w:val="EXAMPLEREGULARTEXT"/>
        <w:rPr>
          <w:spacing w:val="0"/>
        </w:rPr>
      </w:pPr>
      <w:r w:rsidRPr="009D4234">
        <w:rPr>
          <w:b/>
          <w:bCs/>
          <w:color w:val="F15C22"/>
          <w:spacing w:val="0"/>
          <w:sz w:val="20"/>
          <w:szCs w:val="20"/>
        </w:rPr>
        <w:t>EXAMPLE:</w:t>
      </w:r>
      <w:r w:rsidRPr="009D4234">
        <w:rPr>
          <w:color w:val="F15C22"/>
          <w:spacing w:val="0"/>
        </w:rPr>
        <w:t xml:space="preserve"> </w:t>
      </w:r>
      <w:r w:rsidRPr="009D4234">
        <w:rPr>
          <w:color w:val="F15C22"/>
          <w:spacing w:val="0"/>
        </w:rPr>
        <w:tab/>
      </w:r>
      <w:r w:rsidRPr="009D4234">
        <w:rPr>
          <w:spacing w:val="0"/>
        </w:rPr>
        <w:t>You have the right to the disability-related support services you require to be classified as essential services by law. This right is important to enable you to live independently and to not have to rely on your family or institutional settings for essential support services and basic needs like food, water and housing.</w:t>
      </w:r>
    </w:p>
    <w:p w14:paraId="4290E2A5" w14:textId="77777777" w:rsidR="004839EB" w:rsidRPr="009D4234" w:rsidRDefault="004839EB" w:rsidP="005866B6">
      <w:pPr>
        <w:pStyle w:val="EXAMPLEREGULARTEXT"/>
        <w:spacing w:after="360"/>
        <w:ind w:left="1123" w:hanging="1123"/>
        <w:rPr>
          <w:spacing w:val="0"/>
        </w:rPr>
      </w:pPr>
      <w:r w:rsidRPr="009D4234">
        <w:rPr>
          <w:b/>
          <w:bCs/>
          <w:color w:val="F15C22"/>
          <w:spacing w:val="0"/>
          <w:sz w:val="20"/>
          <w:szCs w:val="20"/>
        </w:rPr>
        <w:t>EXAMPLE:</w:t>
      </w:r>
      <w:r w:rsidRPr="009D4234">
        <w:rPr>
          <w:color w:val="F15C22"/>
          <w:spacing w:val="0"/>
        </w:rPr>
        <w:t xml:space="preserve"> </w:t>
      </w:r>
      <w:r w:rsidRPr="009D4234">
        <w:rPr>
          <w:color w:val="F15C22"/>
          <w:spacing w:val="0"/>
        </w:rPr>
        <w:tab/>
      </w:r>
      <w:r w:rsidRPr="009D4234">
        <w:rPr>
          <w:spacing w:val="0"/>
        </w:rPr>
        <w:t xml:space="preserve">You have the right to be included in and to be able to understand the information featured in any GBV COVID-19 awareness-raising campaigns addressing the increased risk of violence during the COVID-19 pandemic and sharing information about available services. </w:t>
      </w:r>
    </w:p>
    <w:p w14:paraId="4B53B593" w14:textId="0A68BD53" w:rsidR="004839EB" w:rsidRPr="009D4234" w:rsidRDefault="004839EB" w:rsidP="004839EB">
      <w:pPr>
        <w:pStyle w:val="BODYTEXTITALICORBOLDINCHARACTERSTYLEREGULARTEXT"/>
        <w:spacing w:before="180"/>
        <w:rPr>
          <w:spacing w:val="0"/>
        </w:rPr>
      </w:pPr>
      <w:r w:rsidRPr="009D4234">
        <w:rPr>
          <w:spacing w:val="0"/>
        </w:rPr>
        <w:t>During the COVID-19 crisis, your government has a duty to be providing adequate, timely, and accessible services to survivors of GBV to prevent further harm.</w:t>
      </w:r>
      <w:r w:rsidR="008E0C83">
        <w:rPr>
          <w:rStyle w:val="EndnoteReference"/>
          <w:spacing w:val="0"/>
        </w:rPr>
        <w:endnoteReference w:id="32"/>
      </w:r>
    </w:p>
    <w:p w14:paraId="656995E0" w14:textId="77777777" w:rsidR="004839EB" w:rsidRPr="009D4234" w:rsidRDefault="004839EB" w:rsidP="004839EB">
      <w:pPr>
        <w:pStyle w:val="EXAMPLEREGULARTEXT"/>
        <w:rPr>
          <w:spacing w:val="0"/>
          <w:sz w:val="20"/>
          <w:szCs w:val="20"/>
        </w:rPr>
      </w:pPr>
      <w:r w:rsidRPr="009D4234">
        <w:rPr>
          <w:b/>
          <w:bCs/>
          <w:color w:val="F15C22"/>
          <w:spacing w:val="0"/>
          <w:sz w:val="20"/>
          <w:szCs w:val="20"/>
        </w:rPr>
        <w:t>EXAMPLE:</w:t>
      </w:r>
      <w:r w:rsidRPr="009D4234">
        <w:rPr>
          <w:b/>
          <w:bCs/>
          <w:color w:val="F15C22"/>
          <w:spacing w:val="0"/>
        </w:rPr>
        <w:t xml:space="preserve"> </w:t>
      </w:r>
      <w:r w:rsidRPr="009D4234">
        <w:rPr>
          <w:b/>
          <w:bCs/>
          <w:color w:val="F15C22"/>
          <w:spacing w:val="0"/>
        </w:rPr>
        <w:tab/>
      </w:r>
      <w:r w:rsidRPr="009D4234">
        <w:rPr>
          <w:spacing w:val="0"/>
        </w:rPr>
        <w:t>You have the right—even during COVID-19 lockdowns or stay-at-home orders—to leave your house to escape violence, seek help from the police, or access health and GBV services.</w:t>
      </w:r>
      <w:r w:rsidRPr="009D4234">
        <w:rPr>
          <w:spacing w:val="0"/>
          <w:sz w:val="20"/>
          <w:szCs w:val="20"/>
        </w:rPr>
        <w:t xml:space="preserve"> </w:t>
      </w:r>
    </w:p>
    <w:p w14:paraId="1EA7AB89" w14:textId="77777777" w:rsidR="004839EB" w:rsidRPr="009D4234" w:rsidRDefault="004839EB" w:rsidP="004839EB">
      <w:pPr>
        <w:pStyle w:val="EXAMPLEREGULARTEXT"/>
        <w:rPr>
          <w:spacing w:val="0"/>
          <w:sz w:val="20"/>
          <w:szCs w:val="20"/>
        </w:rPr>
      </w:pPr>
      <w:r w:rsidRPr="009D4234">
        <w:rPr>
          <w:b/>
          <w:bCs/>
          <w:color w:val="F15C22"/>
          <w:spacing w:val="0"/>
          <w:sz w:val="20"/>
          <w:szCs w:val="20"/>
        </w:rPr>
        <w:t>EXAMPLE:</w:t>
      </w:r>
      <w:r w:rsidRPr="009D4234">
        <w:rPr>
          <w:spacing w:val="0"/>
        </w:rPr>
        <w:t xml:space="preserve"> </w:t>
      </w:r>
      <w:r w:rsidRPr="009D4234">
        <w:rPr>
          <w:spacing w:val="0"/>
        </w:rPr>
        <w:tab/>
        <w:t xml:space="preserve">You have the right to use accessible public transportation to seek help after experiencing GBV even during COVID-19 lockdowns and restrictions. </w:t>
      </w:r>
    </w:p>
    <w:p w14:paraId="216C7599" w14:textId="77777777" w:rsidR="004839EB" w:rsidRPr="009D4234" w:rsidRDefault="004839EB" w:rsidP="004839EB">
      <w:pPr>
        <w:pStyle w:val="EXAMPLEREGULARTEXT"/>
        <w:rPr>
          <w:spacing w:val="0"/>
        </w:rPr>
      </w:pPr>
      <w:r w:rsidRPr="009D4234">
        <w:rPr>
          <w:b/>
          <w:bCs/>
          <w:color w:val="F15C22"/>
          <w:spacing w:val="0"/>
          <w:sz w:val="20"/>
          <w:szCs w:val="20"/>
        </w:rPr>
        <w:t>EXAMPLE:</w:t>
      </w:r>
      <w:r w:rsidRPr="009D4234">
        <w:rPr>
          <w:spacing w:val="0"/>
        </w:rPr>
        <w:tab/>
        <w:t xml:space="preserve">You have the right to any disability-related accessibility supports you require when seeking healthcare, GBV services, or other forms of essential services, even where restrictions have been implemented during the COVID-19 pandemic. </w:t>
      </w:r>
    </w:p>
    <w:p w14:paraId="58E8255A" w14:textId="77777777" w:rsidR="004839EB" w:rsidRPr="009D4234" w:rsidRDefault="004839EB" w:rsidP="004839EB">
      <w:pPr>
        <w:pStyle w:val="EXAMPLEREGULARTEXT"/>
        <w:rPr>
          <w:spacing w:val="0"/>
          <w:sz w:val="20"/>
          <w:szCs w:val="20"/>
        </w:rPr>
      </w:pPr>
      <w:r w:rsidRPr="009D4234">
        <w:rPr>
          <w:b/>
          <w:bCs/>
          <w:color w:val="F15C22"/>
          <w:spacing w:val="0"/>
          <w:sz w:val="20"/>
          <w:szCs w:val="20"/>
        </w:rPr>
        <w:t>EXAMPLE:</w:t>
      </w:r>
      <w:r w:rsidRPr="009D4234">
        <w:rPr>
          <w:spacing w:val="0"/>
        </w:rPr>
        <w:t xml:space="preserve"> </w:t>
      </w:r>
      <w:r w:rsidRPr="009D4234">
        <w:rPr>
          <w:spacing w:val="0"/>
        </w:rPr>
        <w:tab/>
        <w:t>You always have the right to have an interpreter or support person of your choice with you during a healthcare appointment. Your interpreter or support person must be considered an essential worker and provided with personal protective equipment.</w:t>
      </w:r>
    </w:p>
    <w:p w14:paraId="5CEDE56E" w14:textId="77777777" w:rsidR="004839EB" w:rsidRPr="009D4234" w:rsidRDefault="004839EB" w:rsidP="004839EB">
      <w:pPr>
        <w:pStyle w:val="EXAMPLEREGULARTEXT"/>
        <w:rPr>
          <w:spacing w:val="0"/>
          <w:sz w:val="20"/>
          <w:szCs w:val="20"/>
        </w:rPr>
      </w:pPr>
      <w:r w:rsidRPr="009D4234">
        <w:rPr>
          <w:b/>
          <w:bCs/>
          <w:color w:val="F15C22"/>
          <w:spacing w:val="0"/>
          <w:sz w:val="20"/>
          <w:szCs w:val="20"/>
        </w:rPr>
        <w:t>EXAMPLE:</w:t>
      </w:r>
      <w:r w:rsidRPr="009D4234">
        <w:rPr>
          <w:spacing w:val="0"/>
        </w:rPr>
        <w:t xml:space="preserve"> </w:t>
      </w:r>
      <w:r w:rsidRPr="009D4234">
        <w:rPr>
          <w:spacing w:val="0"/>
        </w:rPr>
        <w:tab/>
        <w:t>You have the right to live in the community and not in an institution. If you live in an institution — like a nursing home, a group home, or a psychiatric facility — you have the right to have the government take additional steps to consider your needs and address the increased risk of violence you face because of gender and disability due to the COVID-19 pandemic.</w:t>
      </w:r>
    </w:p>
    <w:p w14:paraId="2D8790D8" w14:textId="77777777" w:rsidR="004839EB" w:rsidRPr="009D4234" w:rsidRDefault="004839EB" w:rsidP="004839EB">
      <w:pPr>
        <w:pStyle w:val="EXAMPLEREGULARTEXT"/>
        <w:rPr>
          <w:spacing w:val="0"/>
          <w:sz w:val="20"/>
          <w:szCs w:val="20"/>
        </w:rPr>
      </w:pPr>
      <w:r w:rsidRPr="009D4234">
        <w:rPr>
          <w:b/>
          <w:bCs/>
          <w:color w:val="F15C22"/>
          <w:spacing w:val="0"/>
          <w:sz w:val="20"/>
          <w:szCs w:val="20"/>
        </w:rPr>
        <w:t>EXAMPLE:</w:t>
      </w:r>
      <w:r w:rsidRPr="009D4234">
        <w:rPr>
          <w:spacing w:val="0"/>
        </w:rPr>
        <w:t xml:space="preserve"> </w:t>
      </w:r>
      <w:r w:rsidRPr="009D4234">
        <w:rPr>
          <w:spacing w:val="0"/>
        </w:rPr>
        <w:tab/>
        <w:t xml:space="preserve">If you live in an institution, someone who does not work for the government is required to regularly check if there are GBV cases in the institution. You have the right to talk to this person and report GBV. </w:t>
      </w:r>
    </w:p>
    <w:p w14:paraId="70912A2D" w14:textId="52B3CADC" w:rsidR="004839EB" w:rsidRPr="009D4234" w:rsidRDefault="004839EB" w:rsidP="005866B6">
      <w:pPr>
        <w:pStyle w:val="EXAMPLEREGULARTEXT"/>
        <w:spacing w:after="360"/>
        <w:ind w:left="1123" w:hanging="1123"/>
        <w:rPr>
          <w:spacing w:val="0"/>
          <w:sz w:val="20"/>
          <w:szCs w:val="20"/>
        </w:rPr>
      </w:pPr>
      <w:r w:rsidRPr="009D4234">
        <w:rPr>
          <w:b/>
          <w:bCs/>
          <w:color w:val="F15C22"/>
          <w:spacing w:val="0"/>
          <w:sz w:val="20"/>
          <w:szCs w:val="20"/>
        </w:rPr>
        <w:t>EXAMPLE:</w:t>
      </w:r>
      <w:r w:rsidRPr="009D4234">
        <w:rPr>
          <w:spacing w:val="0"/>
        </w:rPr>
        <w:t xml:space="preserve"> </w:t>
      </w:r>
      <w:r w:rsidRPr="009D4234">
        <w:rPr>
          <w:spacing w:val="0"/>
        </w:rPr>
        <w:tab/>
        <w:t xml:space="preserve">You have the right to report GBV to the police or to others in a way that keeps your information private. If you want to, a person you trust can go with you to report the crime or support you to do it using a phone or the internet. </w:t>
      </w:r>
    </w:p>
    <w:p w14:paraId="3FD855FD" w14:textId="77777777" w:rsidR="009C736B" w:rsidRDefault="009C736B" w:rsidP="004839EB">
      <w:pPr>
        <w:pStyle w:val="BODYTEXTITALICORBOLDINCHARACTERSTYLEREGULARTEXT"/>
        <w:tabs>
          <w:tab w:val="left" w:pos="240"/>
        </w:tabs>
        <w:rPr>
          <w:spacing w:val="0"/>
        </w:rPr>
      </w:pPr>
    </w:p>
    <w:p w14:paraId="45AFC7E0" w14:textId="77777777" w:rsidR="009C736B" w:rsidRDefault="009C736B" w:rsidP="004839EB">
      <w:pPr>
        <w:pStyle w:val="BODYTEXTITALICORBOLDINCHARACTERSTYLEREGULARTEXT"/>
        <w:tabs>
          <w:tab w:val="left" w:pos="240"/>
        </w:tabs>
        <w:rPr>
          <w:spacing w:val="0"/>
        </w:rPr>
      </w:pPr>
    </w:p>
    <w:p w14:paraId="0C0C00C7" w14:textId="69679443" w:rsidR="004839EB" w:rsidRPr="009D4234" w:rsidRDefault="004839EB" w:rsidP="004839EB">
      <w:pPr>
        <w:pStyle w:val="BODYTEXTITALICORBOLDINCHARACTERSTYLEREGULARTEXT"/>
        <w:tabs>
          <w:tab w:val="left" w:pos="240"/>
        </w:tabs>
        <w:rPr>
          <w:spacing w:val="0"/>
        </w:rPr>
      </w:pPr>
      <w:r w:rsidRPr="009D4234">
        <w:rPr>
          <w:spacing w:val="0"/>
        </w:rPr>
        <w:t>During the COVID-19 crisis, your government has a duty to be investigating, prosecuting, and punishing GBV by ordinary people.</w:t>
      </w:r>
      <w:r w:rsidR="008E0C83">
        <w:rPr>
          <w:rStyle w:val="EndnoteReference"/>
          <w:spacing w:val="0"/>
        </w:rPr>
        <w:endnoteReference w:id="33"/>
      </w:r>
    </w:p>
    <w:p w14:paraId="438692A8" w14:textId="77777777" w:rsidR="004839EB" w:rsidRPr="009D4234" w:rsidRDefault="004839EB" w:rsidP="004839EB">
      <w:pPr>
        <w:pStyle w:val="EXAMPLEREGULARTEXT"/>
        <w:rPr>
          <w:spacing w:val="0"/>
        </w:rPr>
      </w:pPr>
      <w:r w:rsidRPr="009D4234">
        <w:rPr>
          <w:b/>
          <w:bCs/>
          <w:color w:val="F15C22"/>
          <w:spacing w:val="0"/>
          <w:sz w:val="20"/>
          <w:szCs w:val="20"/>
        </w:rPr>
        <w:t>EXAMPLE:</w:t>
      </w:r>
      <w:r w:rsidRPr="009D4234">
        <w:rPr>
          <w:spacing w:val="0"/>
        </w:rPr>
        <w:tab/>
        <w:t>You have the right to file a police report in an accessible way and to have the police take action to investigate allegations of GBV, even when they are busy enforcing COVID-19 restrictions.</w:t>
      </w:r>
    </w:p>
    <w:p w14:paraId="1CB511FF" w14:textId="4D7F6E5D" w:rsidR="004839EB" w:rsidRPr="009D4234" w:rsidRDefault="004839EB" w:rsidP="004839EB">
      <w:pPr>
        <w:pStyle w:val="EXAMPLEREGULARTEXT"/>
        <w:rPr>
          <w:spacing w:val="0"/>
        </w:rPr>
      </w:pPr>
      <w:r w:rsidRPr="009D4234">
        <w:rPr>
          <w:b/>
          <w:bCs/>
          <w:color w:val="F15C22"/>
          <w:spacing w:val="0"/>
          <w:sz w:val="20"/>
          <w:szCs w:val="20"/>
        </w:rPr>
        <w:t>EXAMPLE:</w:t>
      </w:r>
      <w:r w:rsidRPr="009D4234">
        <w:rPr>
          <w:spacing w:val="0"/>
        </w:rPr>
        <w:tab/>
        <w:t>You have the right to be able to seek an emergency protection order from the court system in an accessible way, even during lockdowns or court system shutdowns, and to have the police enforce that protection order.</w:t>
      </w:r>
      <w:r w:rsidR="008E0C83">
        <w:rPr>
          <w:rStyle w:val="EndnoteReference"/>
          <w:spacing w:val="0"/>
        </w:rPr>
        <w:endnoteReference w:id="34"/>
      </w:r>
    </w:p>
    <w:p w14:paraId="69802ABE" w14:textId="77777777" w:rsidR="004839EB" w:rsidRPr="009D4234" w:rsidRDefault="004839EB" w:rsidP="005866B6">
      <w:pPr>
        <w:pStyle w:val="EXAMPLEREGULARTEXT"/>
        <w:spacing w:after="360"/>
        <w:ind w:left="1123" w:hanging="1123"/>
        <w:rPr>
          <w:spacing w:val="0"/>
        </w:rPr>
      </w:pPr>
      <w:r w:rsidRPr="009D4234">
        <w:rPr>
          <w:b/>
          <w:bCs/>
          <w:color w:val="F15C22"/>
          <w:spacing w:val="0"/>
          <w:sz w:val="20"/>
          <w:szCs w:val="20"/>
        </w:rPr>
        <w:t>EXAMPLE:</w:t>
      </w:r>
      <w:r w:rsidRPr="009D4234">
        <w:rPr>
          <w:spacing w:val="0"/>
        </w:rPr>
        <w:tab/>
        <w:t xml:space="preserve">The staff at hospitals, police stations, and shelters must be trained and know about your rights.  </w:t>
      </w:r>
    </w:p>
    <w:p w14:paraId="74F4A352" w14:textId="2ADF2FA4" w:rsidR="004839EB" w:rsidRPr="009D4234" w:rsidRDefault="004839EB" w:rsidP="004839EB">
      <w:pPr>
        <w:pStyle w:val="BODYTEXTITALICORBOLDINCHARACTERSTYLEREGULARTEXT"/>
        <w:spacing w:before="180"/>
        <w:rPr>
          <w:spacing w:val="0"/>
        </w:rPr>
      </w:pPr>
      <w:r w:rsidRPr="009D4234">
        <w:rPr>
          <w:spacing w:val="0"/>
        </w:rPr>
        <w:t>During the COVID-19 crisis, your government has a duty to be promoting the physical, mental, and psychological recovery, rehabilitation and social reintegration of survivors of GBV into their community.</w:t>
      </w:r>
      <w:r w:rsidR="008E0C83">
        <w:rPr>
          <w:rStyle w:val="EndnoteReference"/>
          <w:spacing w:val="0"/>
        </w:rPr>
        <w:endnoteReference w:id="35"/>
      </w:r>
      <w:r w:rsidRPr="009D4234">
        <w:rPr>
          <w:spacing w:val="0"/>
        </w:rPr>
        <w:t xml:space="preserve"> </w:t>
      </w:r>
    </w:p>
    <w:p w14:paraId="682A7AFF" w14:textId="77777777" w:rsidR="004839EB" w:rsidRPr="009D4234" w:rsidRDefault="004839EB" w:rsidP="004839EB">
      <w:pPr>
        <w:pStyle w:val="EXAMPLEREGULARTEXT"/>
        <w:rPr>
          <w:spacing w:val="0"/>
        </w:rPr>
      </w:pPr>
      <w:r w:rsidRPr="009D4234">
        <w:rPr>
          <w:b/>
          <w:bCs/>
          <w:color w:val="F15C22"/>
          <w:spacing w:val="0"/>
          <w:sz w:val="20"/>
          <w:szCs w:val="20"/>
        </w:rPr>
        <w:t>EXAMPLE:</w:t>
      </w:r>
      <w:r w:rsidRPr="009D4234">
        <w:rPr>
          <w:spacing w:val="0"/>
        </w:rPr>
        <w:t xml:space="preserve"> </w:t>
      </w:r>
      <w:r w:rsidRPr="009D4234">
        <w:rPr>
          <w:spacing w:val="0"/>
        </w:rPr>
        <w:tab/>
        <w:t xml:space="preserve">You have the right to have psychosocial support services, like counselling or mental health hotlines, available in accessible formats such as digital and video formats, text messaging, and various languages, including local sign language. </w:t>
      </w:r>
    </w:p>
    <w:p w14:paraId="40BD6C5E" w14:textId="77777777" w:rsidR="004839EB" w:rsidRPr="009D4234" w:rsidRDefault="004839EB" w:rsidP="005866B6">
      <w:pPr>
        <w:pStyle w:val="EXAMPLEREGULARTEXT"/>
        <w:spacing w:after="360"/>
        <w:ind w:left="1123" w:hanging="1123"/>
        <w:rPr>
          <w:spacing w:val="0"/>
        </w:rPr>
      </w:pPr>
      <w:r w:rsidRPr="009D4234">
        <w:rPr>
          <w:b/>
          <w:bCs/>
          <w:color w:val="F15C22"/>
          <w:spacing w:val="0"/>
          <w:sz w:val="20"/>
          <w:szCs w:val="20"/>
        </w:rPr>
        <w:t>EXAMPLE:</w:t>
      </w:r>
      <w:r w:rsidRPr="009D4234">
        <w:rPr>
          <w:spacing w:val="0"/>
        </w:rPr>
        <w:t xml:space="preserve"> </w:t>
      </w:r>
      <w:r w:rsidRPr="009D4234">
        <w:rPr>
          <w:spacing w:val="0"/>
        </w:rPr>
        <w:tab/>
        <w:t xml:space="preserve">You have the right to be able to visit service providers, including counsellors, trained on providing disability-inclusive services, and on how to provide strong referrals to other service providers for both GBV and disability-related needs if you experienced or are afraid of GBV. </w:t>
      </w:r>
    </w:p>
    <w:p w14:paraId="3DF322EC" w14:textId="77777777" w:rsidR="004839EB" w:rsidRPr="00196F0B" w:rsidRDefault="004839EB" w:rsidP="00196F0B">
      <w:pPr>
        <w:pStyle w:val="Heading3"/>
      </w:pPr>
      <w:r w:rsidRPr="00196F0B">
        <w:t xml:space="preserve">Your government must fulfil your rights: </w:t>
      </w:r>
    </w:p>
    <w:p w14:paraId="338F8A3B" w14:textId="6DA6DB89" w:rsidR="004839EB" w:rsidRPr="009D4234" w:rsidRDefault="004839EB" w:rsidP="004839EB">
      <w:pPr>
        <w:pStyle w:val="BODYTEXTITALICORBOLDINCHARACTERSTYLEREGULARTEXT"/>
        <w:rPr>
          <w:spacing w:val="0"/>
        </w:rPr>
      </w:pPr>
      <w:r w:rsidRPr="009D4234">
        <w:rPr>
          <w:spacing w:val="0"/>
        </w:rPr>
        <w:t>The government must make sure that people with disabilities can live a life free from GBV, including, for example, by ensuring that protection services are accessible and by training service providers on disability-inclusive services.</w:t>
      </w:r>
      <w:r w:rsidR="008E0C83">
        <w:rPr>
          <w:rStyle w:val="EndnoteReference"/>
          <w:spacing w:val="0"/>
        </w:rPr>
        <w:endnoteReference w:id="36"/>
      </w:r>
      <w:r w:rsidRPr="009D4234">
        <w:rPr>
          <w:spacing w:val="0"/>
        </w:rPr>
        <w:t xml:space="preserve"> The government must also ensure the participation of women, girls, and gender non-conforming people with disabilities in the COVID-19 preparation, response, and recovery process.</w:t>
      </w:r>
      <w:r w:rsidR="008E0C83">
        <w:rPr>
          <w:rStyle w:val="EndnoteReference"/>
          <w:spacing w:val="0"/>
        </w:rPr>
        <w:endnoteReference w:id="37"/>
      </w:r>
      <w:r w:rsidRPr="009D4234">
        <w:rPr>
          <w:spacing w:val="0"/>
        </w:rPr>
        <w:t xml:space="preserve"> The government must further provide funding to the court system where GBV is prosecuted to ensure that the victim support service’s office is fully accessible, has staff trained on disability-inclusion, and has a sign language interpreter on staff.</w:t>
      </w:r>
      <w:r w:rsidR="00DB2DAD">
        <w:rPr>
          <w:rStyle w:val="EndnoteReference"/>
          <w:spacing w:val="0"/>
        </w:rPr>
        <w:endnoteReference w:id="38"/>
      </w:r>
    </w:p>
    <w:p w14:paraId="24B6D2C0" w14:textId="77777777" w:rsidR="004839EB" w:rsidRPr="009D4234" w:rsidRDefault="004839EB" w:rsidP="004839EB">
      <w:pPr>
        <w:pStyle w:val="EXAMPLEREGULARTEXT"/>
        <w:rPr>
          <w:spacing w:val="0"/>
        </w:rPr>
      </w:pPr>
      <w:r w:rsidRPr="009D4234">
        <w:rPr>
          <w:b/>
          <w:bCs/>
          <w:color w:val="F15C22"/>
          <w:spacing w:val="0"/>
          <w:sz w:val="20"/>
          <w:szCs w:val="20"/>
        </w:rPr>
        <w:t>EXAMPLE:</w:t>
      </w:r>
      <w:r w:rsidRPr="009D4234">
        <w:rPr>
          <w:spacing w:val="0"/>
        </w:rPr>
        <w:tab/>
        <w:t xml:space="preserve">You have the right to be included in data collection and to access data disaggregated by both gender and disability on the impact of COVID-19 on GBV. </w:t>
      </w:r>
    </w:p>
    <w:p w14:paraId="14BFD703" w14:textId="77777777" w:rsidR="004839EB" w:rsidRPr="009D4234" w:rsidRDefault="004839EB" w:rsidP="004839EB">
      <w:pPr>
        <w:pStyle w:val="EXAMPLEREGULARTEXT"/>
        <w:rPr>
          <w:spacing w:val="0"/>
          <w:sz w:val="20"/>
          <w:szCs w:val="20"/>
        </w:rPr>
      </w:pPr>
      <w:r w:rsidRPr="009D4234">
        <w:rPr>
          <w:b/>
          <w:bCs/>
          <w:color w:val="F15C22"/>
          <w:spacing w:val="0"/>
          <w:sz w:val="20"/>
          <w:szCs w:val="20"/>
        </w:rPr>
        <w:t>EXAMPLE:</w:t>
      </w:r>
      <w:r w:rsidRPr="009D4234">
        <w:rPr>
          <w:spacing w:val="0"/>
        </w:rPr>
        <w:tab/>
        <w:t>You have a right to be consulted in the government’s assessments of GBV during the COVID-19 pandemic, with funding and programming assigned accordingly.</w:t>
      </w:r>
    </w:p>
    <w:p w14:paraId="1EA8379A" w14:textId="77777777" w:rsidR="004839EB" w:rsidRPr="009D4234" w:rsidRDefault="004839EB" w:rsidP="009C736B">
      <w:pPr>
        <w:pStyle w:val="Heading2"/>
      </w:pPr>
      <w:r w:rsidRPr="009D4234">
        <w:t>If I experience GBV, what should I do?</w:t>
      </w:r>
    </w:p>
    <w:p w14:paraId="3669DA8D" w14:textId="77777777" w:rsidR="004839EB" w:rsidRPr="009D4234" w:rsidRDefault="004839EB" w:rsidP="005866B6">
      <w:pPr>
        <w:pStyle w:val="BULLETEDLISTbasedonbodytextREGULARTEXT"/>
        <w:numPr>
          <w:ilvl w:val="0"/>
          <w:numId w:val="12"/>
        </w:numPr>
        <w:spacing w:after="130"/>
        <w:ind w:left="450"/>
        <w:rPr>
          <w:spacing w:val="0"/>
        </w:rPr>
      </w:pPr>
      <w:r w:rsidRPr="009D4234">
        <w:rPr>
          <w:spacing w:val="0"/>
        </w:rPr>
        <w:t xml:space="preserve">If you are experiencing an emergency, contact your local police or emergency provider. You should do this even if where you live is under a lockdown order or any other COVID-19 restrictions. </w:t>
      </w:r>
    </w:p>
    <w:p w14:paraId="15F21144" w14:textId="77777777" w:rsidR="004839EB" w:rsidRPr="009D4234" w:rsidRDefault="004839EB" w:rsidP="005866B6">
      <w:pPr>
        <w:pStyle w:val="BULLETEDLISTbasedonbodytextREGULARTEXT"/>
        <w:numPr>
          <w:ilvl w:val="0"/>
          <w:numId w:val="12"/>
        </w:numPr>
        <w:spacing w:after="130"/>
        <w:ind w:left="450"/>
        <w:rPr>
          <w:spacing w:val="0"/>
        </w:rPr>
      </w:pPr>
      <w:r w:rsidRPr="009D4234">
        <w:rPr>
          <w:spacing w:val="0"/>
        </w:rPr>
        <w:t xml:space="preserve">Contact your local victim/survivor </w:t>
      </w:r>
      <w:proofErr w:type="spellStart"/>
      <w:r w:rsidRPr="009D4234">
        <w:rPr>
          <w:spacing w:val="0"/>
        </w:rPr>
        <w:t>organisation</w:t>
      </w:r>
      <w:proofErr w:type="spellEnd"/>
      <w:r w:rsidRPr="009D4234">
        <w:rPr>
          <w:spacing w:val="0"/>
        </w:rPr>
        <w:t xml:space="preserve"> or others providing GBV specialized services, such as hospitals or helplines for those who have experienced GBV. Use the internet (if you have a safe and </w:t>
      </w:r>
      <w:r w:rsidRPr="009D4234">
        <w:rPr>
          <w:spacing w:val="0"/>
        </w:rPr>
        <w:lastRenderedPageBreak/>
        <w:t xml:space="preserve">confidential connection) or ask a trusted person to help you identify a safe and accessible way for you to contact them. </w:t>
      </w:r>
    </w:p>
    <w:p w14:paraId="028D2078" w14:textId="77777777" w:rsidR="004839EB" w:rsidRPr="009D4234" w:rsidRDefault="004839EB" w:rsidP="005866B6">
      <w:pPr>
        <w:pStyle w:val="BULLETEDLISTbasedonbodytextREGULARTEXT"/>
        <w:numPr>
          <w:ilvl w:val="0"/>
          <w:numId w:val="12"/>
        </w:numPr>
        <w:spacing w:after="130"/>
        <w:ind w:left="450"/>
        <w:rPr>
          <w:spacing w:val="0"/>
        </w:rPr>
      </w:pPr>
      <w:r w:rsidRPr="009D4234">
        <w:rPr>
          <w:spacing w:val="0"/>
        </w:rPr>
        <w:t xml:space="preserve">Contact your local </w:t>
      </w:r>
      <w:proofErr w:type="spellStart"/>
      <w:r w:rsidRPr="009D4234">
        <w:rPr>
          <w:spacing w:val="0"/>
        </w:rPr>
        <w:t>organisation</w:t>
      </w:r>
      <w:proofErr w:type="spellEnd"/>
      <w:r w:rsidRPr="009D4234">
        <w:rPr>
          <w:spacing w:val="0"/>
        </w:rPr>
        <w:t xml:space="preserve"> of people with disabilities or disability support </w:t>
      </w:r>
      <w:proofErr w:type="spellStart"/>
      <w:r w:rsidRPr="009D4234">
        <w:rPr>
          <w:spacing w:val="0"/>
        </w:rPr>
        <w:t>organisation</w:t>
      </w:r>
      <w:proofErr w:type="spellEnd"/>
      <w:r w:rsidRPr="009D4234">
        <w:rPr>
          <w:spacing w:val="0"/>
        </w:rPr>
        <w:t xml:space="preserve"> to request a referral and/or assistance seeking accessible GBV services, or to join a support group for women, girls, and gender non-conforming people with disabilities. </w:t>
      </w:r>
    </w:p>
    <w:p w14:paraId="7B2348FF" w14:textId="77777777" w:rsidR="004839EB" w:rsidRPr="009D4234" w:rsidRDefault="004839EB" w:rsidP="009C736B">
      <w:pPr>
        <w:pStyle w:val="Heading2"/>
      </w:pPr>
      <w:r w:rsidRPr="009D4234">
        <w:t xml:space="preserve">Where can I learn more about GBV? </w:t>
      </w:r>
    </w:p>
    <w:p w14:paraId="13B461B1" w14:textId="5490641E" w:rsidR="004839EB" w:rsidRPr="009D4234" w:rsidRDefault="004839EB" w:rsidP="005866B6">
      <w:pPr>
        <w:pStyle w:val="BULLETEDLISTbasedonbodytextREGULARTEXT"/>
        <w:numPr>
          <w:ilvl w:val="0"/>
          <w:numId w:val="13"/>
        </w:numPr>
        <w:spacing w:after="130"/>
        <w:ind w:left="450"/>
        <w:rPr>
          <w:spacing w:val="0"/>
        </w:rPr>
      </w:pPr>
      <w:r w:rsidRPr="009D4234">
        <w:rPr>
          <w:spacing w:val="0"/>
        </w:rPr>
        <w:t xml:space="preserve">UN Women, </w:t>
      </w:r>
      <w:hyperlink r:id="rId10" w:history="1">
        <w:r w:rsidRPr="009D4234">
          <w:rPr>
            <w:rStyle w:val="Hyperlink"/>
            <w:i/>
            <w:iCs/>
            <w:spacing w:val="0"/>
          </w:rPr>
          <w:t>Ending Violence Against Women COVID-19 Briefs</w:t>
        </w:r>
      </w:hyperlink>
      <w:r w:rsidRPr="009D4234">
        <w:rPr>
          <w:rStyle w:val="Hyperlink"/>
          <w:i/>
          <w:iCs/>
          <w:spacing w:val="0"/>
          <w:u w:val="none"/>
        </w:rPr>
        <w:t xml:space="preserve"> </w:t>
      </w:r>
      <w:r w:rsidRPr="009D4234">
        <w:rPr>
          <w:spacing w:val="0"/>
        </w:rPr>
        <w:t xml:space="preserve">(2020-2021). </w:t>
      </w:r>
    </w:p>
    <w:p w14:paraId="0A1481DF" w14:textId="6A34F34D" w:rsidR="004839EB" w:rsidRPr="009D4234" w:rsidRDefault="004839EB" w:rsidP="005866B6">
      <w:pPr>
        <w:pStyle w:val="BULLETEDLISTbasedonbodytextREGULARTEXT"/>
        <w:numPr>
          <w:ilvl w:val="0"/>
          <w:numId w:val="13"/>
        </w:numPr>
        <w:spacing w:after="130"/>
        <w:ind w:left="450"/>
        <w:rPr>
          <w:spacing w:val="0"/>
        </w:rPr>
      </w:pPr>
      <w:r w:rsidRPr="009D4234">
        <w:rPr>
          <w:spacing w:val="0"/>
        </w:rPr>
        <w:t xml:space="preserve">UN Women and Women Enabled International (WEI), COVID-19, </w:t>
      </w:r>
      <w:hyperlink r:id="rId11" w:history="1">
        <w:r w:rsidRPr="009D4234">
          <w:rPr>
            <w:rStyle w:val="Hyperlink"/>
            <w:i/>
            <w:iCs/>
            <w:spacing w:val="0"/>
          </w:rPr>
          <w:t>Gender, and Disability Checklist: Preventing and Addressing Gender-Based Violence against Women, Girls, and Gender Non-conforming Persons with Disabilities during the COVID-19 Pandemic</w:t>
        </w:r>
      </w:hyperlink>
      <w:r w:rsidRPr="009D4234">
        <w:rPr>
          <w:spacing w:val="0"/>
        </w:rPr>
        <w:t xml:space="preserve"> (2021). </w:t>
      </w:r>
    </w:p>
    <w:p w14:paraId="4FC6EED3" w14:textId="5D8041B1" w:rsidR="004839EB" w:rsidRPr="009D4234" w:rsidRDefault="004839EB" w:rsidP="005866B6">
      <w:pPr>
        <w:pStyle w:val="BULLETEDLISTbasedonbodytextREGULARTEXT"/>
        <w:numPr>
          <w:ilvl w:val="0"/>
          <w:numId w:val="13"/>
        </w:numPr>
        <w:spacing w:after="130"/>
        <w:ind w:left="450"/>
        <w:rPr>
          <w:spacing w:val="0"/>
        </w:rPr>
      </w:pPr>
      <w:r w:rsidRPr="009D4234">
        <w:rPr>
          <w:spacing w:val="0"/>
        </w:rPr>
        <w:t xml:space="preserve">UN Population Fund (UNFPA), UN Women, World Health Organization, U.N. Development </w:t>
      </w:r>
      <w:proofErr w:type="spellStart"/>
      <w:r w:rsidRPr="009D4234">
        <w:rPr>
          <w:spacing w:val="0"/>
        </w:rPr>
        <w:t>Programme</w:t>
      </w:r>
      <w:proofErr w:type="spellEnd"/>
      <w:r w:rsidRPr="009D4234">
        <w:rPr>
          <w:spacing w:val="0"/>
        </w:rPr>
        <w:t xml:space="preserve"> (UNDP), and U.N. Office on Drugs and Crime (UNODC), </w:t>
      </w:r>
      <w:hyperlink r:id="rId12" w:history="1">
        <w:r w:rsidRPr="009D4234">
          <w:rPr>
            <w:rStyle w:val="Hyperlink"/>
            <w:i/>
            <w:iCs/>
            <w:spacing w:val="0"/>
          </w:rPr>
          <w:t>Essential Services for Women and Girls Subject to Violence</w:t>
        </w:r>
      </w:hyperlink>
      <w:r w:rsidRPr="009D4234">
        <w:rPr>
          <w:spacing w:val="0"/>
        </w:rPr>
        <w:t xml:space="preserve"> (2015). </w:t>
      </w:r>
    </w:p>
    <w:p w14:paraId="1DC4F1F1" w14:textId="448DACF1" w:rsidR="004839EB" w:rsidRDefault="004839EB" w:rsidP="005866B6">
      <w:pPr>
        <w:pStyle w:val="BULLETEDLISTbasedonbodytextREGULARTEXT"/>
        <w:numPr>
          <w:ilvl w:val="0"/>
          <w:numId w:val="13"/>
        </w:numPr>
        <w:spacing w:after="130"/>
        <w:ind w:left="450"/>
        <w:rPr>
          <w:spacing w:val="0"/>
        </w:rPr>
      </w:pPr>
      <w:r w:rsidRPr="009D4234">
        <w:rPr>
          <w:spacing w:val="0"/>
        </w:rPr>
        <w:t xml:space="preserve">UNFPA and WEI, </w:t>
      </w:r>
      <w:hyperlink r:id="rId13" w:history="1">
        <w:r w:rsidRPr="009D4234">
          <w:rPr>
            <w:rStyle w:val="Hyperlink"/>
            <w:i/>
            <w:iCs/>
            <w:spacing w:val="0"/>
          </w:rPr>
          <w:t>Women and Young Persons with Disabilities: Guidelines for Providing Rights-Based and Gender-Responsive Services to Address Gender-Based Violence and Sexual and Reproductive Health and Rights</w:t>
        </w:r>
      </w:hyperlink>
      <w:r w:rsidRPr="009D4234">
        <w:rPr>
          <w:spacing w:val="0"/>
        </w:rPr>
        <w:t xml:space="preserve"> (2018).</w:t>
      </w:r>
    </w:p>
    <w:p w14:paraId="0A307498" w14:textId="77777777" w:rsidR="009C736B" w:rsidRPr="009D4234" w:rsidRDefault="009C736B" w:rsidP="009C736B">
      <w:pPr>
        <w:pStyle w:val="BULLETEDLISTbasedonbodytextREGULARTEXT"/>
        <w:spacing w:after="130"/>
        <w:ind w:left="0" w:firstLine="0"/>
        <w:rPr>
          <w:spacing w:val="0"/>
        </w:rPr>
      </w:pPr>
    </w:p>
    <w:p w14:paraId="24B23E2C" w14:textId="27826380" w:rsidR="00A16D8D" w:rsidRPr="009D4234" w:rsidRDefault="007407F7"/>
    <w:p w14:paraId="01299D0A" w14:textId="3CCA91C7" w:rsidR="005866B6" w:rsidRPr="009C736B" w:rsidRDefault="004839EB" w:rsidP="009C736B">
      <w:pPr>
        <w:pStyle w:val="Box"/>
        <w:rPr>
          <w:rFonts w:asciiTheme="minorHAnsi" w:hAnsiTheme="minorHAnsi" w:cstheme="minorHAnsi"/>
          <w:b w:val="0"/>
          <w:bCs w:val="0"/>
          <w:caps w:val="0"/>
          <w:color w:val="auto"/>
          <w:sz w:val="22"/>
          <w:szCs w:val="22"/>
        </w:rPr>
        <w:sectPr w:rsidR="005866B6" w:rsidRPr="009C736B" w:rsidSect="009D4234">
          <w:footerReference w:type="even" r:id="rId14"/>
          <w:footerReference w:type="default" r:id="rId15"/>
          <w:endnotePr>
            <w:numFmt w:val="decimal"/>
          </w:endnotePr>
          <w:pgSz w:w="12240" w:h="15840"/>
          <w:pgMar w:top="835" w:right="1440" w:bottom="1440" w:left="1260" w:header="720" w:footer="720" w:gutter="0"/>
          <w:cols w:space="720"/>
          <w:noEndnote/>
          <w:docGrid w:linePitch="326"/>
        </w:sectPr>
      </w:pPr>
      <w:r w:rsidRPr="009C736B">
        <w:rPr>
          <w:rFonts w:asciiTheme="minorHAnsi" w:hAnsiTheme="minorHAnsi" w:cstheme="minorHAnsi"/>
          <w:b w:val="0"/>
          <w:bCs w:val="0"/>
          <w:caps w:val="0"/>
          <w:color w:val="auto"/>
          <w:sz w:val="22"/>
          <w:szCs w:val="22"/>
        </w:rPr>
        <w:t xml:space="preserve">This publication was produced by UN Women and Women Enabled International in the context of the </w:t>
      </w:r>
      <w:proofErr w:type="spellStart"/>
      <w:r w:rsidRPr="009C736B">
        <w:rPr>
          <w:rFonts w:asciiTheme="minorHAnsi" w:hAnsiTheme="minorHAnsi" w:cstheme="minorHAnsi"/>
          <w:b w:val="0"/>
          <w:bCs w:val="0"/>
          <w:caps w:val="0"/>
          <w:color w:val="auto"/>
          <w:sz w:val="22"/>
          <w:szCs w:val="22"/>
        </w:rPr>
        <w:t>programme</w:t>
      </w:r>
      <w:proofErr w:type="spellEnd"/>
      <w:r w:rsidRPr="009C736B">
        <w:rPr>
          <w:rFonts w:asciiTheme="minorHAnsi" w:hAnsiTheme="minorHAnsi" w:cstheme="minorHAnsi"/>
          <w:b w:val="0"/>
          <w:bCs w:val="0"/>
          <w:caps w:val="0"/>
          <w:color w:val="auto"/>
          <w:sz w:val="22"/>
          <w:szCs w:val="22"/>
        </w:rPr>
        <w:t xml:space="preserve"> Building Back Better for All, supported by the United Nations Partnership on the Rights of Persons with Disabilities (UNPRPD) Multi Partner Trust Fund. This publication does not necessarily reflect the official position of the UNPRPD MPTF</w:t>
      </w:r>
      <w:r w:rsidR="00C23ED2">
        <w:rPr>
          <w:rFonts w:asciiTheme="minorHAnsi" w:hAnsiTheme="minorHAnsi" w:cstheme="minorHAnsi"/>
          <w:b w:val="0"/>
          <w:bCs w:val="0"/>
          <w:caps w:val="0"/>
          <w:color w:val="auto"/>
          <w:sz w:val="22"/>
          <w:szCs w:val="22"/>
        </w:rPr>
        <w:t>.</w:t>
      </w:r>
    </w:p>
    <w:p w14:paraId="39B6688A" w14:textId="2768F91D" w:rsidR="004839EB" w:rsidRPr="009D4234" w:rsidRDefault="004839EB" w:rsidP="004839EB">
      <w:pPr>
        <w:pStyle w:val="BODYTEXTITALICORBOLDINCHARACTERSTYLEREGULARTEXT"/>
        <w:tabs>
          <w:tab w:val="left" w:pos="240"/>
        </w:tabs>
        <w:rPr>
          <w:spacing w:val="0"/>
          <w:sz w:val="20"/>
          <w:szCs w:val="20"/>
        </w:rPr>
      </w:pPr>
    </w:p>
    <w:p w14:paraId="502FDAC6" w14:textId="0AABE85E" w:rsidR="004839EB" w:rsidRPr="009D4234" w:rsidRDefault="004839EB"/>
    <w:p w14:paraId="7DD41A85" w14:textId="7FFE252D" w:rsidR="005866B6" w:rsidRPr="009D4234" w:rsidRDefault="00A86393">
      <w:pPr>
        <w:rPr>
          <w:rFonts w:ascii="Calibri" w:hAnsi="Calibri" w:cs="Calibri"/>
          <w:b/>
          <w:bCs/>
          <w:color w:val="007EBC"/>
          <w:sz w:val="32"/>
          <w:szCs w:val="32"/>
        </w:rPr>
      </w:pPr>
      <w:r w:rsidRPr="009C736B">
        <w:rPr>
          <w:noProof/>
        </w:rPr>
        <w:drawing>
          <wp:anchor distT="0" distB="0" distL="114300" distR="114300" simplePos="0" relativeHeight="251660288" behindDoc="0" locked="0" layoutInCell="1" allowOverlap="1" wp14:anchorId="03069AC0" wp14:editId="67BA0310">
            <wp:simplePos x="0" y="0"/>
            <wp:positionH relativeFrom="column">
              <wp:posOffset>-100160</wp:posOffset>
            </wp:positionH>
            <wp:positionV relativeFrom="paragraph">
              <wp:posOffset>264996</wp:posOffset>
            </wp:positionV>
            <wp:extent cx="6042660" cy="1386840"/>
            <wp:effectExtent l="0" t="0" r="2540" b="0"/>
            <wp:wrapTopAndBottom/>
            <wp:docPr id="3" name="Picture 3" descr="4 logos from the authors and funders of this publication. 1) The UN Women logo in shades of blue. The icon combines the globe, the women’s symbol, and the equal sign, expressing the commitment to creating a world in which women and men are equal. 2) The Women Enabled International logo: Twelve repetitions of the letter i in lowercase, arranged in a circle. To the right is the name of the organization 3) United Nations Population Fund logo: eight orange circles and the blue UN emblem arranged in a grid, next to a larger orange circle with UNFPA written in the middle and 4) The UNPRPD MPTF logo, with the UN emblem of a world globe flanked by two olive bra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4 logos from the authors and funders of this publication. 1) The UN Women logo in shades of blue. The icon combines the globe, the women’s symbol, and the equal sign, expressing the commitment to creating a world in which women and men are equal. 2) The Women Enabled International logo: Twelve repetitions of the letter i in lowercase, arranged in a circle. To the right is the name of the organization 3) United Nations Population Fund logo: eight orange circles and the blue UN emblem arranged in a grid, next to a larger orange circle with UNFPA written in the middle and 4) The UNPRPD MPTF logo, with the UN emblem of a world globe flanked by two olive branches."/>
                    <pic:cNvPicPr/>
                  </pic:nvPicPr>
                  <pic:blipFill>
                    <a:blip r:embed="rId16">
                      <a:extLst>
                        <a:ext uri="{28A0092B-C50C-407E-A947-70E740481C1C}">
                          <a14:useLocalDpi xmlns:a14="http://schemas.microsoft.com/office/drawing/2010/main" val="0"/>
                        </a:ext>
                      </a:extLst>
                    </a:blip>
                    <a:stretch>
                      <a:fillRect/>
                    </a:stretch>
                  </pic:blipFill>
                  <pic:spPr>
                    <a:xfrm>
                      <a:off x="0" y="0"/>
                      <a:ext cx="6042660" cy="1386840"/>
                    </a:xfrm>
                    <a:prstGeom prst="rect">
                      <a:avLst/>
                    </a:prstGeom>
                  </pic:spPr>
                </pic:pic>
              </a:graphicData>
            </a:graphic>
            <wp14:sizeRelH relativeFrom="margin">
              <wp14:pctWidth>0</wp14:pctWidth>
            </wp14:sizeRelH>
            <wp14:sizeRelV relativeFrom="margin">
              <wp14:pctHeight>0</wp14:pctHeight>
            </wp14:sizeRelV>
          </wp:anchor>
        </w:drawing>
      </w:r>
      <w:r w:rsidR="005866B6" w:rsidRPr="009D4234">
        <w:br w:type="page"/>
      </w:r>
    </w:p>
    <w:p w14:paraId="69A74F2C" w14:textId="0A9128BA" w:rsidR="005866B6" w:rsidRPr="009D4234" w:rsidRDefault="005866B6" w:rsidP="009C736B">
      <w:pPr>
        <w:pStyle w:val="Heading2"/>
        <w:ind w:left="-450"/>
      </w:pPr>
      <w:r w:rsidRPr="009D4234">
        <w:lastRenderedPageBreak/>
        <w:t>Endnotes</w:t>
      </w:r>
    </w:p>
    <w:sectPr w:rsidR="005866B6" w:rsidRPr="009D4234" w:rsidSect="005866B6">
      <w:endnotePr>
        <w:numFmt w:val="decimal"/>
      </w:endnotePr>
      <w:type w:val="continuous"/>
      <w:pgSz w:w="12240" w:h="15840"/>
      <w:pgMar w:top="837"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F1560" w14:textId="77777777" w:rsidR="007407F7" w:rsidRPr="005866B6" w:rsidRDefault="007407F7" w:rsidP="005866B6">
      <w:pPr>
        <w:pStyle w:val="Footer"/>
        <w:rPr>
          <w:sz w:val="10"/>
          <w:szCs w:val="10"/>
        </w:rPr>
      </w:pPr>
    </w:p>
  </w:endnote>
  <w:endnote w:type="continuationSeparator" w:id="0">
    <w:p w14:paraId="56A1B0A6" w14:textId="77777777" w:rsidR="007407F7" w:rsidRPr="005866B6" w:rsidRDefault="007407F7" w:rsidP="005866B6">
      <w:pPr>
        <w:pStyle w:val="Footer"/>
      </w:pPr>
    </w:p>
  </w:endnote>
  <w:endnote w:id="1">
    <w:p w14:paraId="36122E7A" w14:textId="35B0171F" w:rsidR="005866B6" w:rsidRPr="00DB2DAD" w:rsidRDefault="005866B6" w:rsidP="00DB2DAD">
      <w:pPr>
        <w:pStyle w:val="EndnoteText"/>
        <w:ind w:right="-450"/>
      </w:pPr>
      <w:r w:rsidRPr="00DB2DAD">
        <w:rPr>
          <w:rStyle w:val="EndnoteReference"/>
        </w:rPr>
        <w:endnoteRef/>
      </w:r>
      <w:r w:rsidRPr="00DB2DAD">
        <w:t xml:space="preserve"> </w:t>
      </w:r>
      <w:r w:rsidRPr="00DB2DAD">
        <w:tab/>
        <w:t xml:space="preserve">UN Women, </w:t>
      </w:r>
      <w:r w:rsidRPr="00DB2DAD">
        <w:rPr>
          <w:i/>
          <w:iCs/>
        </w:rPr>
        <w:t>Frequently Asked Questions: Types of Violence against Women and Girls</w:t>
      </w:r>
      <w:r w:rsidRPr="00DB2DAD">
        <w:t xml:space="preserve"> (2021), </w:t>
      </w:r>
      <w:hyperlink r:id="rId1" w:history="1">
        <w:r w:rsidRPr="00DB2DAD">
          <w:rPr>
            <w:rStyle w:val="Hyperlink"/>
            <w:sz w:val="20"/>
          </w:rPr>
          <w:t>https://www.unwomen.org/en/what-we-do/ending-violence-against-women/faqs/types-of-violence</w:t>
        </w:r>
      </w:hyperlink>
      <w:r w:rsidRPr="00DB2DAD">
        <w:t>.</w:t>
      </w:r>
    </w:p>
  </w:endnote>
  <w:endnote w:id="2">
    <w:p w14:paraId="026D1037" w14:textId="272655B8" w:rsidR="00651C48" w:rsidRPr="00DB2DAD" w:rsidRDefault="00651C48" w:rsidP="00DB2DAD">
      <w:pPr>
        <w:pStyle w:val="EndnoteText"/>
        <w:ind w:right="-450"/>
      </w:pPr>
      <w:r w:rsidRPr="00DB2DAD">
        <w:rPr>
          <w:rStyle w:val="EndnoteReference"/>
        </w:rPr>
        <w:endnoteRef/>
      </w:r>
      <w:r w:rsidRPr="00DB2DAD">
        <w:t xml:space="preserve"> </w:t>
      </w:r>
      <w:r w:rsidRPr="00DB2DAD">
        <w:tab/>
        <w:t>World</w:t>
      </w:r>
      <w:r w:rsidRPr="00DB2DAD">
        <w:rPr>
          <w:rStyle w:val="A11"/>
        </w:rPr>
        <w:t xml:space="preserve"> Health </w:t>
      </w:r>
      <w:r w:rsidRPr="00DB2DAD">
        <w:rPr>
          <w:rStyle w:val="A11"/>
          <w:color w:val="auto"/>
        </w:rPr>
        <w:t>Organization</w:t>
      </w:r>
      <w:r w:rsidRPr="00DB2DAD">
        <w:rPr>
          <w:rStyle w:val="A11"/>
        </w:rPr>
        <w:t xml:space="preserve"> (WHO), </w:t>
      </w:r>
      <w:r w:rsidRPr="00DB2DAD">
        <w:rPr>
          <w:rStyle w:val="A11"/>
          <w:i/>
          <w:iCs/>
          <w:color w:val="211E1F"/>
        </w:rPr>
        <w:t xml:space="preserve">Gender and Health </w:t>
      </w:r>
      <w:r w:rsidRPr="00DB2DAD">
        <w:rPr>
          <w:rStyle w:val="A11"/>
          <w:color w:val="211E1F"/>
        </w:rPr>
        <w:t xml:space="preserve">(2021), </w:t>
      </w:r>
      <w:hyperlink r:id="rId2" w:anchor="tab=tab_1" w:history="1">
        <w:r w:rsidR="00196F0B" w:rsidRPr="00196F0B">
          <w:rPr>
            <w:rStyle w:val="Hyperlink"/>
            <w:rFonts w:asciiTheme="minorHAnsi" w:hAnsiTheme="minorHAnsi" w:cstheme="minorBidi"/>
            <w:sz w:val="20"/>
          </w:rPr>
          <w:t>https://www.who.int/health-topics/gender#tab=tab_1</w:t>
        </w:r>
      </w:hyperlink>
      <w:r w:rsidRPr="00DB2DAD">
        <w:rPr>
          <w:rStyle w:val="A11"/>
          <w:color w:val="211E1F"/>
        </w:rPr>
        <w:t xml:space="preserve">. </w:t>
      </w:r>
      <w:r w:rsidRPr="00DB2DAD">
        <w:t xml:space="preserve"> </w:t>
      </w:r>
    </w:p>
  </w:endnote>
  <w:endnote w:id="3">
    <w:p w14:paraId="0D743512" w14:textId="789F7F6E" w:rsidR="00651C48" w:rsidRPr="00DB2DAD" w:rsidRDefault="00651C48" w:rsidP="00DB2DAD">
      <w:pPr>
        <w:pStyle w:val="EndnoteText"/>
        <w:ind w:right="-450"/>
      </w:pPr>
      <w:r w:rsidRPr="00DB2DAD">
        <w:rPr>
          <w:rStyle w:val="EndnoteReference"/>
        </w:rPr>
        <w:endnoteRef/>
      </w:r>
      <w:r w:rsidRPr="00DB2DAD">
        <w:t xml:space="preserve"> </w:t>
      </w:r>
      <w:r w:rsidRPr="00DB2DAD">
        <w:tab/>
      </w:r>
      <w:r w:rsidRPr="00DB2DAD">
        <w:rPr>
          <w:i/>
          <w:iCs/>
        </w:rPr>
        <w:t>See</w:t>
      </w:r>
      <w:r w:rsidRPr="00DB2DAD">
        <w:t xml:space="preserve">, </w:t>
      </w:r>
      <w:r w:rsidRPr="00DB2DAD">
        <w:rPr>
          <w:i/>
          <w:iCs/>
        </w:rPr>
        <w:t>e.g.</w:t>
      </w:r>
      <w:r w:rsidRPr="00DB2DAD">
        <w:t xml:space="preserve">, </w:t>
      </w:r>
      <w:r w:rsidRPr="00DB2DAD">
        <w:rPr>
          <w:rStyle w:val="A11"/>
          <w:color w:val="auto"/>
        </w:rPr>
        <w:t>Human</w:t>
      </w:r>
      <w:r w:rsidRPr="00DB2DAD">
        <w:t xml:space="preserve"> Rights Campaign, </w:t>
      </w:r>
      <w:r w:rsidRPr="00DB2DAD">
        <w:rPr>
          <w:i/>
          <w:iCs/>
        </w:rPr>
        <w:t>Glossary of Terms</w:t>
      </w:r>
      <w:r w:rsidRPr="00DB2DAD">
        <w:t xml:space="preserve">, </w:t>
      </w:r>
      <w:hyperlink r:id="rId3" w:history="1">
        <w:r w:rsidRPr="00DB2DAD">
          <w:rPr>
            <w:rStyle w:val="Hyperlink"/>
            <w:sz w:val="20"/>
          </w:rPr>
          <w:t>https://www.hrc.org/resources/glossary-of-terms?utm_source=GS&amp;utm_medium=AD&amp;utm_campaign=BPI-HRC-Grant&amp;utm_content=454853592927&amp;utm_term=lgbt%20definition&amp;gclid=Cj0KCQiAvvKBBhCXARIsACTePW-cHrQEQk0ockKXIUklmDzb__pARvs_nQeD-vN6vlFUjinbddeTHzgaAotsEALw_wcB</w:t>
        </w:r>
      </w:hyperlink>
      <w:r w:rsidRPr="00DB2DAD">
        <w:t>.</w:t>
      </w:r>
    </w:p>
  </w:endnote>
  <w:endnote w:id="4">
    <w:p w14:paraId="1558120F" w14:textId="31A54AE0" w:rsidR="009D4234" w:rsidRPr="00DB2DAD" w:rsidRDefault="009D4234" w:rsidP="00DB2DAD">
      <w:pPr>
        <w:pStyle w:val="EndnoteText"/>
        <w:ind w:right="-450"/>
      </w:pPr>
      <w:r w:rsidRPr="00DB2DAD">
        <w:rPr>
          <w:rStyle w:val="EndnoteReference"/>
        </w:rPr>
        <w:endnoteRef/>
      </w:r>
      <w:r w:rsidRPr="00DB2DAD">
        <w:t xml:space="preserve"> </w:t>
      </w:r>
      <w:r w:rsidRPr="00DB2DAD">
        <w:tab/>
      </w:r>
      <w:r w:rsidRPr="00DB2DAD">
        <w:rPr>
          <w:i/>
          <w:iCs/>
        </w:rPr>
        <w:t>See</w:t>
      </w:r>
      <w:r w:rsidRPr="00DB2DAD">
        <w:t xml:space="preserve">, </w:t>
      </w:r>
      <w:r w:rsidRPr="00DB2DAD">
        <w:rPr>
          <w:i/>
          <w:iCs/>
        </w:rPr>
        <w:t>e.g.</w:t>
      </w:r>
      <w:r w:rsidRPr="00DB2DAD">
        <w:t xml:space="preserve">, Council of Europe, </w:t>
      </w:r>
      <w:r w:rsidRPr="00DB2DAD">
        <w:rPr>
          <w:i/>
          <w:iCs/>
        </w:rPr>
        <w:t>What is gender-based violence?</w:t>
      </w:r>
      <w:r w:rsidRPr="00DB2DAD">
        <w:t xml:space="preserve">, </w:t>
      </w:r>
      <w:hyperlink r:id="rId4" w:history="1">
        <w:r w:rsidRPr="00DB2DAD">
          <w:rPr>
            <w:rStyle w:val="Hyperlink"/>
            <w:sz w:val="20"/>
          </w:rPr>
          <w:t>https://www.coe.int/en/web/gender-matters/what-is-gender-based-violence</w:t>
        </w:r>
      </w:hyperlink>
      <w:r w:rsidRPr="00DB2DAD">
        <w:t xml:space="preserve">. </w:t>
      </w:r>
    </w:p>
  </w:endnote>
  <w:endnote w:id="5">
    <w:p w14:paraId="0CD87874" w14:textId="6B8BDF8B" w:rsidR="009D4234" w:rsidRPr="00DB2DAD" w:rsidRDefault="009D4234" w:rsidP="00DB2DAD">
      <w:pPr>
        <w:pStyle w:val="EndnoteText"/>
        <w:ind w:right="-450"/>
      </w:pPr>
      <w:r w:rsidRPr="00DB2DAD">
        <w:rPr>
          <w:rStyle w:val="EndnoteReference"/>
        </w:rPr>
        <w:endnoteRef/>
      </w:r>
      <w:r w:rsidRPr="00DB2DAD">
        <w:t xml:space="preserve"> </w:t>
      </w:r>
      <w:r w:rsidRPr="00DB2DAD">
        <w:tab/>
        <w:t xml:space="preserve">U.N. Human Rights Council, </w:t>
      </w:r>
      <w:r w:rsidRPr="00DB2DAD">
        <w:rPr>
          <w:i/>
          <w:iCs/>
        </w:rPr>
        <w:t>Report of the Independent Expert on protection against violence and discrimination based on sexual orientation and gender identity</w:t>
      </w:r>
      <w:r w:rsidRPr="00DB2DAD">
        <w:t>, para. 62 (2018), A/HRC/38/43.</w:t>
      </w:r>
    </w:p>
  </w:endnote>
  <w:endnote w:id="6">
    <w:p w14:paraId="6D3A223D" w14:textId="01176446" w:rsidR="009D4234" w:rsidRPr="00DB2DAD" w:rsidRDefault="009D4234" w:rsidP="00DB2DAD">
      <w:pPr>
        <w:pStyle w:val="EndnoteText"/>
        <w:ind w:right="-450"/>
        <w:rPr>
          <w:rFonts w:ascii="Calibri" w:hAnsi="Calibri" w:cs="Calibri"/>
          <w:color w:val="007EBC"/>
          <w:u w:val="single"/>
        </w:rPr>
      </w:pPr>
      <w:r w:rsidRPr="00DB2DAD">
        <w:rPr>
          <w:rStyle w:val="EndnoteReference"/>
        </w:rPr>
        <w:endnoteRef/>
      </w:r>
      <w:r w:rsidRPr="00DB2DAD">
        <w:t xml:space="preserve"> </w:t>
      </w:r>
      <w:r w:rsidRPr="00DB2DAD">
        <w:tab/>
        <w:t xml:space="preserve">UN Women, </w:t>
      </w:r>
      <w:r w:rsidRPr="00DB2DAD">
        <w:rPr>
          <w:i/>
          <w:iCs/>
        </w:rPr>
        <w:t>Frequently Asked Questions: Types of Violence against Women and Girls</w:t>
      </w:r>
      <w:r w:rsidRPr="00DB2DAD">
        <w:t xml:space="preserve"> (2021), </w:t>
      </w:r>
      <w:hyperlink r:id="rId5" w:history="1">
        <w:r w:rsidR="00196F0B">
          <w:rPr>
            <w:rStyle w:val="Hyperlink"/>
            <w:sz w:val="20"/>
          </w:rPr>
          <w:t>https://www.unwomen.org/en/what-we-do/ending-violence-against-women/faqs/types-of-violence</w:t>
        </w:r>
      </w:hyperlink>
      <w:r w:rsidRPr="00DB2DAD">
        <w:t>.</w:t>
      </w:r>
    </w:p>
  </w:endnote>
  <w:endnote w:id="7">
    <w:p w14:paraId="177F25C5" w14:textId="49074CF0" w:rsidR="008E0C83" w:rsidRPr="00DB2DAD" w:rsidRDefault="008E0C83" w:rsidP="00DB2DAD">
      <w:pPr>
        <w:pStyle w:val="EndnoteText"/>
        <w:ind w:right="-450"/>
        <w:rPr>
          <w:rFonts w:ascii="Calibri" w:hAnsi="Calibri" w:cs="Calibri"/>
        </w:rPr>
      </w:pPr>
      <w:r w:rsidRPr="00DB2DAD">
        <w:rPr>
          <w:rStyle w:val="EndnoteReference"/>
        </w:rPr>
        <w:endnoteRef/>
      </w:r>
      <w:r w:rsidRPr="00DB2DAD">
        <w:t xml:space="preserve"> </w:t>
      </w:r>
      <w:r w:rsidR="00DB2DAD">
        <w:tab/>
      </w:r>
      <w:r w:rsidRPr="00DB2DAD">
        <w:rPr>
          <w:i/>
          <w:iCs/>
        </w:rPr>
        <w:t>See</w:t>
      </w:r>
      <w:r w:rsidRPr="00DB2DAD">
        <w:rPr>
          <w:rFonts w:ascii="Calibri" w:hAnsi="Calibri" w:cs="Calibri"/>
        </w:rPr>
        <w:t xml:space="preserve">, </w:t>
      </w:r>
      <w:r w:rsidRPr="00DB2DAD">
        <w:rPr>
          <w:rFonts w:ascii="Calibri" w:hAnsi="Calibri" w:cs="Calibri"/>
          <w:i/>
          <w:iCs/>
        </w:rPr>
        <w:t>e.g.</w:t>
      </w:r>
      <w:r w:rsidRPr="00DB2DAD">
        <w:rPr>
          <w:rFonts w:ascii="Calibri" w:hAnsi="Calibri" w:cs="Calibri"/>
        </w:rPr>
        <w:t xml:space="preserve">, Committee on the Rights of Persons with Disabilities (CRPD Committee), </w:t>
      </w:r>
      <w:r w:rsidRPr="00DB2DAD">
        <w:rPr>
          <w:rFonts w:ascii="Calibri" w:hAnsi="Calibri" w:cs="Calibri"/>
          <w:i/>
          <w:iCs/>
        </w:rPr>
        <w:t>General Comment No. 3: Women and girls with disabilities</w:t>
      </w:r>
      <w:r w:rsidRPr="00DB2DAD">
        <w:rPr>
          <w:rFonts w:ascii="Calibri" w:hAnsi="Calibri" w:cs="Calibri"/>
        </w:rPr>
        <w:t xml:space="preserve">, para. 31, U.N. Doc. CRPD/C/GC/3 (2016) [hereinafter CRPD Committee, </w:t>
      </w:r>
      <w:r w:rsidRPr="00DB2DAD">
        <w:rPr>
          <w:rFonts w:ascii="Calibri" w:hAnsi="Calibri" w:cs="Calibri"/>
          <w:i/>
          <w:iCs/>
        </w:rPr>
        <w:t>Gen. Comment No. 3</w:t>
      </w:r>
      <w:r w:rsidRPr="00DB2DAD">
        <w:rPr>
          <w:rFonts w:ascii="Calibri" w:hAnsi="Calibri" w:cs="Calibri"/>
        </w:rPr>
        <w:t>].</w:t>
      </w:r>
    </w:p>
  </w:endnote>
  <w:endnote w:id="8">
    <w:p w14:paraId="47C9C6B0" w14:textId="29F2940B" w:rsidR="008E0C83" w:rsidRPr="00DB2DAD" w:rsidRDefault="008E0C83" w:rsidP="00DB2DAD">
      <w:pPr>
        <w:pStyle w:val="EndnoteText"/>
        <w:ind w:right="-450"/>
        <w:rPr>
          <w:rFonts w:ascii="Calibri" w:hAnsi="Calibri" w:cs="Calibri"/>
        </w:rPr>
      </w:pPr>
      <w:r w:rsidRPr="00DB2DAD">
        <w:rPr>
          <w:rStyle w:val="EndnoteReference"/>
        </w:rPr>
        <w:endnoteRef/>
      </w:r>
      <w:r w:rsidRPr="00DB2DAD">
        <w:t xml:space="preserve"> </w:t>
      </w:r>
      <w:r w:rsidR="00DB2DAD">
        <w:tab/>
      </w:r>
      <w:r w:rsidRPr="00DB2DAD">
        <w:rPr>
          <w:rFonts w:ascii="Calibri" w:hAnsi="Calibri" w:cs="Calibri"/>
          <w:smallCaps/>
        </w:rPr>
        <w:t>United Nations Population Fund (UNFPA) &amp; Women Enabled International (WEI), Women and Young Persons with Disabilities: Guidelines for Providing Rights-Based and Gender-Responsive Services to Address Gender-Based Violence and Sexual and Reproductive Health and Rights 49-51</w:t>
      </w:r>
      <w:r w:rsidRPr="00DB2DAD">
        <w:rPr>
          <w:rFonts w:ascii="Calibri" w:hAnsi="Calibri" w:cs="Calibri"/>
        </w:rPr>
        <w:t xml:space="preserve"> (2018), </w:t>
      </w:r>
      <w:hyperlink r:id="rId6" w:history="1">
        <w:r w:rsidR="00DB2DAD" w:rsidRPr="00551DE6">
          <w:rPr>
            <w:rStyle w:val="Hyperlink"/>
            <w:sz w:val="20"/>
          </w:rPr>
          <w:t>https://www.unfpa.org/featured-publication/women-and-young-persons-disabilities</w:t>
        </w:r>
      </w:hyperlink>
      <w:r w:rsidRPr="00DB2DAD">
        <w:rPr>
          <w:rFonts w:ascii="Calibri" w:hAnsi="Calibri" w:cs="Calibri"/>
        </w:rPr>
        <w:t>.</w:t>
      </w:r>
    </w:p>
  </w:endnote>
  <w:endnote w:id="9">
    <w:p w14:paraId="6A07D1BD" w14:textId="4B0ED73E" w:rsidR="008E0C83" w:rsidRPr="00DB2DAD" w:rsidRDefault="008E0C83" w:rsidP="00196F0B">
      <w:pPr>
        <w:pStyle w:val="EndnoteText"/>
        <w:ind w:right="-450"/>
        <w:rPr>
          <w:rFonts w:ascii="Calibri" w:hAnsi="Calibri" w:cs="Calibri"/>
        </w:rPr>
      </w:pPr>
      <w:r w:rsidRPr="00DB2DAD">
        <w:rPr>
          <w:rStyle w:val="EndnoteReference"/>
        </w:rPr>
        <w:endnoteRef/>
      </w:r>
      <w:r w:rsidRPr="00DB2DAD">
        <w:t xml:space="preserve"> </w:t>
      </w:r>
      <w:r w:rsidR="00DB2DAD">
        <w:tab/>
      </w:r>
      <w:r w:rsidR="00DB2DAD" w:rsidRPr="00DB2DAD">
        <w:t>UN</w:t>
      </w:r>
      <w:r w:rsidR="00DB2DAD" w:rsidRPr="00DB2DAD">
        <w:rPr>
          <w:rFonts w:ascii="Calibri" w:hAnsi="Calibri" w:cs="Calibri"/>
        </w:rPr>
        <w:t xml:space="preserve"> Women, </w:t>
      </w:r>
      <w:r w:rsidR="00DB2DAD" w:rsidRPr="00DB2DAD">
        <w:rPr>
          <w:rFonts w:ascii="Calibri" w:hAnsi="Calibri" w:cs="Calibri"/>
          <w:i/>
          <w:iCs/>
        </w:rPr>
        <w:t>COVID-19 and Ending Violence Against Women and Girls</w:t>
      </w:r>
      <w:r w:rsidR="00DB2DAD" w:rsidRPr="00DB2DAD">
        <w:rPr>
          <w:rFonts w:ascii="Calibri" w:hAnsi="Calibri" w:cs="Calibri"/>
        </w:rPr>
        <w:t xml:space="preserve"> 1-2 (2020), </w:t>
      </w:r>
      <w:hyperlink r:id="rId7" w:history="1">
        <w:r w:rsidR="00DB2DAD" w:rsidRPr="00551DE6">
          <w:rPr>
            <w:rStyle w:val="Hyperlink"/>
            <w:sz w:val="20"/>
          </w:rPr>
          <w:t>https://www.unwomen.org/-/media/headquarters/attachments/sections/library/publications/2020/issue-brief-covid-19-and-ending-violence-against-women-and-girls-en.pdf?la=en&amp;vs=5006</w:t>
        </w:r>
      </w:hyperlink>
      <w:r w:rsidR="00DB2DAD" w:rsidRPr="00DB2DAD">
        <w:rPr>
          <w:rFonts w:ascii="Calibri" w:hAnsi="Calibri" w:cs="Calibri"/>
        </w:rPr>
        <w:t xml:space="preserve">. </w:t>
      </w:r>
    </w:p>
  </w:endnote>
  <w:endnote w:id="10">
    <w:p w14:paraId="3E1AFC9A" w14:textId="3EDCE2CD" w:rsidR="008E0C83" w:rsidRPr="00DB2DAD" w:rsidRDefault="008E0C83" w:rsidP="00196F0B">
      <w:pPr>
        <w:pStyle w:val="EndnoteText"/>
        <w:ind w:right="-450"/>
        <w:rPr>
          <w:rFonts w:ascii="Calibri" w:hAnsi="Calibri" w:cs="Calibri"/>
        </w:rPr>
      </w:pPr>
      <w:r w:rsidRPr="00DB2DAD">
        <w:rPr>
          <w:rStyle w:val="EndnoteReference"/>
        </w:rPr>
        <w:endnoteRef/>
      </w:r>
      <w:r w:rsidRPr="00DB2DAD">
        <w:t xml:space="preserve"> </w:t>
      </w:r>
      <w:r w:rsidR="00DB2DAD">
        <w:tab/>
      </w:r>
      <w:r w:rsidR="00DB2DAD" w:rsidRPr="00DB2DAD">
        <w:t>Emma</w:t>
      </w:r>
      <w:r w:rsidR="00DB2DAD" w:rsidRPr="00DB2DAD">
        <w:rPr>
          <w:rFonts w:ascii="Calibri" w:hAnsi="Calibri" w:cs="Calibri"/>
        </w:rPr>
        <w:t xml:space="preserve"> Pearce, </w:t>
      </w:r>
      <w:r w:rsidR="00DB2DAD" w:rsidRPr="00DB2DAD">
        <w:rPr>
          <w:rFonts w:ascii="Calibri" w:hAnsi="Calibri" w:cs="Calibri"/>
          <w:i/>
          <w:iCs/>
        </w:rPr>
        <w:t>Disability Considerations in GBV Programming during the COVID-19 Pandemic</w:t>
      </w:r>
      <w:r w:rsidR="00DB2DAD" w:rsidRPr="00DB2DAD">
        <w:rPr>
          <w:rFonts w:ascii="Calibri" w:hAnsi="Calibri" w:cs="Calibri"/>
        </w:rPr>
        <w:t xml:space="preserve"> (Mar. 2020), </w:t>
      </w:r>
      <w:hyperlink r:id="rId8" w:history="1">
        <w:r w:rsidR="00196F0B" w:rsidRPr="00551DE6">
          <w:rPr>
            <w:rStyle w:val="Hyperlink"/>
            <w:sz w:val="20"/>
          </w:rPr>
          <w:t>http://www.sddirect.org.uk/media/1889/gbv-aor-research-query_covid-19-disability-gbv_final-version.pdf</w:t>
        </w:r>
      </w:hyperlink>
      <w:r w:rsidR="00DB2DAD" w:rsidRPr="00DB2DAD">
        <w:rPr>
          <w:rFonts w:ascii="Calibri" w:hAnsi="Calibri" w:cs="Calibri"/>
        </w:rPr>
        <w:t xml:space="preserve">. </w:t>
      </w:r>
    </w:p>
  </w:endnote>
  <w:endnote w:id="11">
    <w:p w14:paraId="09A5E5D9" w14:textId="307E242F" w:rsidR="008E0C83" w:rsidRPr="00DB2DAD" w:rsidRDefault="008E0C83" w:rsidP="00DB2DAD">
      <w:pPr>
        <w:pStyle w:val="EndnoteText"/>
      </w:pPr>
      <w:r w:rsidRPr="00DB2DAD">
        <w:rPr>
          <w:rStyle w:val="EndnoteReference"/>
        </w:rPr>
        <w:endnoteRef/>
      </w:r>
      <w:r w:rsidRPr="00DB2DAD">
        <w:t xml:space="preserve"> </w:t>
      </w:r>
      <w:r w:rsidR="00DB2DAD">
        <w:tab/>
      </w:r>
      <w:r w:rsidR="00DB2DAD" w:rsidRPr="00DB2DAD">
        <w:t xml:space="preserve">CEDAW Committee, </w:t>
      </w:r>
      <w:r w:rsidR="00DB2DAD" w:rsidRPr="00DB2DAD">
        <w:rPr>
          <w:i/>
          <w:iCs/>
        </w:rPr>
        <w:t>General Recommendation No. 19: Violence against women</w:t>
      </w:r>
      <w:r w:rsidR="00DB2DAD" w:rsidRPr="00DB2DAD">
        <w:t>, (11th Sess., 1992), in Compilation of General Comments and General Recommendations Adopted by Human Rights Treaty Bodies, U.N. Doc. HRI/GEN/1/Rev.9 (Vol. II) (2008).</w:t>
      </w:r>
    </w:p>
  </w:endnote>
  <w:endnote w:id="12">
    <w:p w14:paraId="263C6DD3" w14:textId="723EFEC1" w:rsidR="008E0C83" w:rsidRPr="00DB2DAD" w:rsidRDefault="008E0C83" w:rsidP="00DB2DAD">
      <w:pPr>
        <w:pStyle w:val="EndnoteText"/>
      </w:pPr>
      <w:r w:rsidRPr="00DB2DAD">
        <w:rPr>
          <w:rStyle w:val="EndnoteReference"/>
        </w:rPr>
        <w:endnoteRef/>
      </w:r>
      <w:r w:rsidRPr="00DB2DAD">
        <w:t xml:space="preserve"> </w:t>
      </w:r>
      <w:r w:rsidR="00DB2DAD">
        <w:tab/>
      </w:r>
      <w:r w:rsidR="00DB2DAD" w:rsidRPr="00DB2DAD">
        <w:t xml:space="preserve">Convention on the Rights of Persons with Disabilities, G.A. Res. 61/106, U.N. Doc. A/RES/61/106 (Dec. 13, 2006) [hereinafter CRPD]. </w:t>
      </w:r>
    </w:p>
  </w:endnote>
  <w:endnote w:id="13">
    <w:p w14:paraId="5B1AFA9A" w14:textId="75C03097" w:rsidR="008E0C83" w:rsidRPr="00DB2DAD" w:rsidRDefault="008E0C83" w:rsidP="00DB2DAD">
      <w:pPr>
        <w:pStyle w:val="EndnoteText"/>
      </w:pPr>
      <w:r w:rsidRPr="00DB2DAD">
        <w:rPr>
          <w:rStyle w:val="EndnoteReference"/>
        </w:rPr>
        <w:endnoteRef/>
      </w:r>
      <w:r w:rsidRPr="00DB2DAD">
        <w:t xml:space="preserve"> </w:t>
      </w:r>
      <w:r w:rsidR="00DB2DAD">
        <w:tab/>
      </w:r>
      <w:r w:rsidR="00DB2DAD" w:rsidRPr="00DB2DAD">
        <w:rPr>
          <w:i/>
          <w:iCs/>
        </w:rPr>
        <w:t>Convention on the Elimination of All Forms of Discrimination against Women</w:t>
      </w:r>
      <w:r w:rsidR="00DB2DAD" w:rsidRPr="00DB2DAD">
        <w:t>, adopted Dec. 18, 1979, G.A. Res. 34/180, U.N. GAOR, 34th Sess., Supp. No. 46, at 193, U.N. Doc. A/34/46, U.N.T.S. 13 (</w:t>
      </w:r>
      <w:r w:rsidR="00DB2DAD" w:rsidRPr="00DB2DAD">
        <w:rPr>
          <w:i/>
          <w:iCs/>
        </w:rPr>
        <w:t>entered into force</w:t>
      </w:r>
      <w:r w:rsidR="00DB2DAD" w:rsidRPr="00DB2DAD">
        <w:t xml:space="preserve"> Sept. 3, 1981) [hereinafter CEDAW].</w:t>
      </w:r>
    </w:p>
  </w:endnote>
  <w:endnote w:id="14">
    <w:p w14:paraId="0EB6A3E3" w14:textId="69150212" w:rsidR="008E0C83" w:rsidRPr="00DB2DAD" w:rsidRDefault="008E0C83" w:rsidP="00DB2DAD">
      <w:pPr>
        <w:pStyle w:val="EndnoteText"/>
      </w:pPr>
      <w:r w:rsidRPr="00DB2DAD">
        <w:rPr>
          <w:rStyle w:val="EndnoteReference"/>
        </w:rPr>
        <w:endnoteRef/>
      </w:r>
      <w:r w:rsidRPr="00DB2DAD">
        <w:t xml:space="preserve"> </w:t>
      </w:r>
      <w:r w:rsidR="00DB2DAD">
        <w:tab/>
      </w:r>
      <w:r w:rsidR="00DB2DAD" w:rsidRPr="00DB2DAD">
        <w:t xml:space="preserve">International Covenant on Civil and Political Rights, </w:t>
      </w:r>
      <w:r w:rsidR="00DB2DAD" w:rsidRPr="00DB2DAD">
        <w:rPr>
          <w:i/>
          <w:iCs/>
        </w:rPr>
        <w:t>adopted</w:t>
      </w:r>
      <w:r w:rsidR="00DB2DAD" w:rsidRPr="00DB2DAD">
        <w:t xml:space="preserve"> Dec. 16, 1966, art. 2, G.A. Res. 2200A (XXI), U.N. GAOR, 21</w:t>
      </w:r>
      <w:r w:rsidR="00DB2DAD" w:rsidRPr="00DB2DAD">
        <w:rPr>
          <w:vertAlign w:val="superscript"/>
        </w:rPr>
        <w:t>st</w:t>
      </w:r>
      <w:r w:rsidR="00DB2DAD" w:rsidRPr="00DB2DAD">
        <w:t xml:space="preserve"> Sess., Supp. No. 16, U.N. Doc. A/6316 (1966), 999 U.N.T.S. 171 (</w:t>
      </w:r>
      <w:r w:rsidR="00DB2DAD" w:rsidRPr="00DB2DAD">
        <w:rPr>
          <w:i/>
          <w:iCs/>
        </w:rPr>
        <w:t>entered into force</w:t>
      </w:r>
      <w:r w:rsidR="00DB2DAD" w:rsidRPr="00DB2DAD">
        <w:t xml:space="preserve"> Mar. 23, 1976) [hereinafter ICCPR]; International Covenant on Economic, Social and Cultural Rights, art. 2, G.A. Res. 2200A (XXI), U.N. GAOR, Supp. No. 16, U.N. Doc. A/6316 (1966) [hereinafter IESCR]; CRPD, </w:t>
      </w:r>
      <w:r w:rsidR="00DB2DAD" w:rsidRPr="00DB2DAD">
        <w:rPr>
          <w:i/>
          <w:iCs/>
        </w:rPr>
        <w:t>supra</w:t>
      </w:r>
      <w:r w:rsidR="00DB2DAD" w:rsidRPr="00DB2DAD">
        <w:t xml:space="preserve"> note 12, arts. 5-7; CEDAW, </w:t>
      </w:r>
      <w:r w:rsidR="00DB2DAD" w:rsidRPr="00DB2DAD">
        <w:rPr>
          <w:i/>
          <w:iCs/>
        </w:rPr>
        <w:t>supra</w:t>
      </w:r>
      <w:r w:rsidR="00DB2DAD" w:rsidRPr="00DB2DAD">
        <w:t xml:space="preserve"> note 13, arts. 1 &amp; 3; Convention on the Rights of the Child, </w:t>
      </w:r>
      <w:r w:rsidR="00DB2DAD" w:rsidRPr="00DB2DAD">
        <w:rPr>
          <w:i/>
          <w:iCs/>
        </w:rPr>
        <w:t>adopted</w:t>
      </w:r>
      <w:r w:rsidR="00DB2DAD" w:rsidRPr="00DB2DAD">
        <w:t xml:space="preserve"> Nov. 20, 1989, arts. 2,5, G.A. Res. 44/25, annex, U.N. GAOR, 44</w:t>
      </w:r>
      <w:r w:rsidR="00DB2DAD" w:rsidRPr="00DB2DAD">
        <w:rPr>
          <w:vertAlign w:val="superscript"/>
        </w:rPr>
        <w:t>th</w:t>
      </w:r>
      <w:r w:rsidR="00DB2DAD" w:rsidRPr="00DB2DAD">
        <w:t xml:space="preserve"> Sess., Supp. No. 49, U.N. Doc. A/44/49 (1989) (</w:t>
      </w:r>
      <w:r w:rsidR="00DB2DAD" w:rsidRPr="00DB2DAD">
        <w:rPr>
          <w:i/>
          <w:iCs/>
        </w:rPr>
        <w:t>entered into force</w:t>
      </w:r>
      <w:r w:rsidR="00DB2DAD" w:rsidRPr="00DB2DAD">
        <w:t xml:space="preserve"> Sept. 2, 1990) [hereinafter CRC]; Protocol to the African Charter on Human and Peoples’ Rights on the Rights of Women in Africa, 2</w:t>
      </w:r>
      <w:r w:rsidR="00DB2DAD" w:rsidRPr="00DB2DAD">
        <w:rPr>
          <w:vertAlign w:val="superscript"/>
        </w:rPr>
        <w:t>nd</w:t>
      </w:r>
      <w:r w:rsidR="00DB2DAD" w:rsidRPr="00DB2DAD">
        <w:t xml:space="preserve"> Ordinary Sess., Assembly of the Union, adopted July 11, 2003, arts. Arts. 2-3 [hereinafter African Charter]; Inter-American Convention on the Prevention, Punishment, and Eradication of Violence against Women, art. 4, 33 I.L.M. 1534 [hereinafter American Convention]; Council of Europe, Convention on Preventing and Combating Violence against Women and Domestic Violence, art. 5 (</w:t>
      </w:r>
      <w:r w:rsidR="00DB2DAD" w:rsidRPr="00DB2DAD">
        <w:rPr>
          <w:i/>
          <w:iCs/>
        </w:rPr>
        <w:t xml:space="preserve">entry into force </w:t>
      </w:r>
      <w:r w:rsidR="00DB2DAD" w:rsidRPr="00DB2DAD">
        <w:t>Aug. 1, 2014) [hereinafter Istanbul Convention].</w:t>
      </w:r>
    </w:p>
  </w:endnote>
  <w:endnote w:id="15">
    <w:p w14:paraId="15661DA1" w14:textId="65FD580F" w:rsidR="008E0C83" w:rsidRPr="00DB2DAD" w:rsidRDefault="008E0C83" w:rsidP="00DB2DAD">
      <w:pPr>
        <w:pStyle w:val="EndnoteText"/>
        <w:ind w:right="-450"/>
        <w:rPr>
          <w:rFonts w:ascii="Calibri" w:hAnsi="Calibri" w:cs="Calibri"/>
        </w:rPr>
      </w:pPr>
      <w:r w:rsidRPr="00DB2DAD">
        <w:rPr>
          <w:rStyle w:val="EndnoteReference"/>
        </w:rPr>
        <w:endnoteRef/>
      </w:r>
      <w:r w:rsidRPr="00DB2DAD">
        <w:t xml:space="preserve"> </w:t>
      </w:r>
      <w:r w:rsidR="00DB2DAD">
        <w:tab/>
      </w:r>
      <w:r w:rsidR="00DB2DAD" w:rsidRPr="00DB2DAD">
        <w:t>ICCPR</w:t>
      </w:r>
      <w:r w:rsidR="00DB2DAD" w:rsidRPr="00DB2DAD">
        <w:rPr>
          <w:rFonts w:ascii="Calibri" w:hAnsi="Calibri" w:cs="Calibri"/>
        </w:rPr>
        <w:t xml:space="preserve">, </w:t>
      </w:r>
      <w:r w:rsidR="00DB2DAD" w:rsidRPr="00DB2DAD">
        <w:rPr>
          <w:rFonts w:ascii="Calibri" w:hAnsi="Calibri" w:cs="Calibri"/>
          <w:i/>
          <w:iCs/>
        </w:rPr>
        <w:t>supra</w:t>
      </w:r>
      <w:r w:rsidR="00DB2DAD" w:rsidRPr="00DB2DAD">
        <w:rPr>
          <w:rFonts w:ascii="Calibri" w:hAnsi="Calibri" w:cs="Calibri"/>
        </w:rPr>
        <w:t xml:space="preserve"> note 14, art. 26; CRPD, </w:t>
      </w:r>
      <w:r w:rsidR="00DB2DAD" w:rsidRPr="00DB2DAD">
        <w:rPr>
          <w:rFonts w:ascii="Calibri" w:hAnsi="Calibri" w:cs="Calibri"/>
          <w:i/>
          <w:iCs/>
        </w:rPr>
        <w:t>supra</w:t>
      </w:r>
      <w:r w:rsidR="00DB2DAD" w:rsidRPr="00DB2DAD">
        <w:rPr>
          <w:rFonts w:ascii="Calibri" w:hAnsi="Calibri" w:cs="Calibri"/>
        </w:rPr>
        <w:t xml:space="preserve"> note 12, arts. 12 &amp; 13; African Charter, </w:t>
      </w:r>
      <w:r w:rsidR="00DB2DAD" w:rsidRPr="00DB2DAD">
        <w:rPr>
          <w:rFonts w:ascii="Calibri" w:hAnsi="Calibri" w:cs="Calibri"/>
          <w:i/>
          <w:iCs/>
        </w:rPr>
        <w:t>supra</w:t>
      </w:r>
      <w:r w:rsidR="00DB2DAD" w:rsidRPr="00DB2DAD">
        <w:rPr>
          <w:rFonts w:ascii="Calibri" w:hAnsi="Calibri" w:cs="Calibri"/>
        </w:rPr>
        <w:t xml:space="preserve"> note 14, art. 3; American Convention, </w:t>
      </w:r>
      <w:r w:rsidR="00DB2DAD" w:rsidRPr="00DB2DAD">
        <w:rPr>
          <w:rFonts w:ascii="Calibri" w:hAnsi="Calibri" w:cs="Calibri"/>
          <w:i/>
          <w:iCs/>
        </w:rPr>
        <w:t>supra</w:t>
      </w:r>
      <w:r w:rsidR="00DB2DAD" w:rsidRPr="00DB2DAD">
        <w:rPr>
          <w:rFonts w:ascii="Calibri" w:hAnsi="Calibri" w:cs="Calibri"/>
        </w:rPr>
        <w:t xml:space="preserve"> note 14, art. 3. </w:t>
      </w:r>
    </w:p>
  </w:endnote>
  <w:endnote w:id="16">
    <w:p w14:paraId="27CE3348" w14:textId="43282A64" w:rsidR="008E0C83" w:rsidRPr="00DB2DAD" w:rsidRDefault="008E0C83" w:rsidP="00DB2DAD">
      <w:pPr>
        <w:pStyle w:val="EndnoteText"/>
        <w:ind w:right="-450"/>
        <w:rPr>
          <w:rFonts w:ascii="Calibri" w:hAnsi="Calibri" w:cs="Calibri"/>
        </w:rPr>
      </w:pPr>
      <w:r w:rsidRPr="00DB2DAD">
        <w:rPr>
          <w:rStyle w:val="EndnoteReference"/>
        </w:rPr>
        <w:endnoteRef/>
      </w:r>
      <w:r w:rsidRPr="00DB2DAD">
        <w:t xml:space="preserve"> </w:t>
      </w:r>
      <w:r w:rsidR="00DB2DAD">
        <w:tab/>
      </w:r>
      <w:r w:rsidR="00DB2DAD" w:rsidRPr="00DB2DAD">
        <w:t>CRPD</w:t>
      </w:r>
      <w:r w:rsidR="00DB2DAD" w:rsidRPr="00DB2DAD">
        <w:rPr>
          <w:rFonts w:ascii="Calibri" w:hAnsi="Calibri" w:cs="Calibri"/>
        </w:rPr>
        <w:t xml:space="preserve">, </w:t>
      </w:r>
      <w:r w:rsidR="00DB2DAD" w:rsidRPr="00DB2DAD">
        <w:rPr>
          <w:rFonts w:ascii="Calibri" w:hAnsi="Calibri" w:cs="Calibri"/>
          <w:i/>
          <w:iCs/>
        </w:rPr>
        <w:t>supra</w:t>
      </w:r>
      <w:r w:rsidR="00DB2DAD" w:rsidRPr="00DB2DAD">
        <w:rPr>
          <w:rFonts w:ascii="Calibri" w:hAnsi="Calibri" w:cs="Calibri"/>
        </w:rPr>
        <w:t xml:space="preserve"> note 12, art. 8. </w:t>
      </w:r>
    </w:p>
  </w:endnote>
  <w:endnote w:id="17">
    <w:p w14:paraId="473CECA6" w14:textId="76EF0A3A" w:rsidR="008E0C83" w:rsidRPr="00DB2DAD" w:rsidRDefault="008E0C83" w:rsidP="00DB2DAD">
      <w:pPr>
        <w:pStyle w:val="EndnoteText"/>
        <w:ind w:right="-450"/>
        <w:rPr>
          <w:rFonts w:ascii="Calibri" w:hAnsi="Calibri" w:cs="Calibri"/>
        </w:rPr>
      </w:pPr>
      <w:r w:rsidRPr="00DB2DAD">
        <w:rPr>
          <w:rStyle w:val="EndnoteReference"/>
        </w:rPr>
        <w:endnoteRef/>
      </w:r>
      <w:r w:rsidRPr="00DB2DAD">
        <w:t xml:space="preserve"> </w:t>
      </w:r>
      <w:r w:rsidR="00DB2DAD">
        <w:tab/>
      </w:r>
      <w:r w:rsidR="00DB2DAD" w:rsidRPr="00DB2DAD">
        <w:rPr>
          <w:i/>
          <w:iCs/>
        </w:rPr>
        <w:t>Id</w:t>
      </w:r>
      <w:r w:rsidR="00DB2DAD" w:rsidRPr="00DB2DAD">
        <w:rPr>
          <w:rFonts w:ascii="Calibri" w:hAnsi="Calibri" w:cs="Calibri"/>
          <w:i/>
          <w:iCs/>
        </w:rPr>
        <w:t>.</w:t>
      </w:r>
      <w:r w:rsidR="00DB2DAD" w:rsidRPr="00DB2DAD">
        <w:rPr>
          <w:rFonts w:ascii="Calibri" w:hAnsi="Calibri" w:cs="Calibri"/>
        </w:rPr>
        <w:t xml:space="preserve">, art. 11; African Charter, </w:t>
      </w:r>
      <w:r w:rsidR="00DB2DAD" w:rsidRPr="00DB2DAD">
        <w:rPr>
          <w:rFonts w:ascii="Calibri" w:hAnsi="Calibri" w:cs="Calibri"/>
          <w:i/>
          <w:iCs/>
        </w:rPr>
        <w:t>supra</w:t>
      </w:r>
      <w:r w:rsidR="00DB2DAD" w:rsidRPr="00DB2DAD">
        <w:rPr>
          <w:rFonts w:ascii="Calibri" w:hAnsi="Calibri" w:cs="Calibri"/>
        </w:rPr>
        <w:t xml:space="preserve"> note 14, art. 18.</w:t>
      </w:r>
    </w:p>
  </w:endnote>
  <w:endnote w:id="18">
    <w:p w14:paraId="2E609CE1" w14:textId="4B685359" w:rsidR="008E0C83" w:rsidRPr="00DB2DAD" w:rsidRDefault="008E0C83" w:rsidP="00DB2DAD">
      <w:pPr>
        <w:pStyle w:val="EndnoteText"/>
        <w:ind w:right="-450"/>
        <w:rPr>
          <w:rFonts w:ascii="Calibri" w:hAnsi="Calibri" w:cs="Calibri"/>
        </w:rPr>
      </w:pPr>
      <w:r w:rsidRPr="00DB2DAD">
        <w:rPr>
          <w:rStyle w:val="EndnoteReference"/>
        </w:rPr>
        <w:endnoteRef/>
      </w:r>
      <w:r w:rsidRPr="00DB2DAD">
        <w:t xml:space="preserve"> </w:t>
      </w:r>
      <w:r w:rsidR="00DB2DAD">
        <w:tab/>
      </w:r>
      <w:r w:rsidR="00DB2DAD" w:rsidRPr="00DB2DAD">
        <w:t>CRPD</w:t>
      </w:r>
      <w:r w:rsidR="00DB2DAD" w:rsidRPr="00DB2DAD">
        <w:rPr>
          <w:rFonts w:ascii="Calibri" w:hAnsi="Calibri" w:cs="Calibri"/>
        </w:rPr>
        <w:t xml:space="preserve">, </w:t>
      </w:r>
      <w:r w:rsidR="00DB2DAD" w:rsidRPr="00DB2DAD">
        <w:rPr>
          <w:rFonts w:ascii="Calibri" w:hAnsi="Calibri" w:cs="Calibri"/>
          <w:i/>
          <w:iCs/>
        </w:rPr>
        <w:t>supra</w:t>
      </w:r>
      <w:r w:rsidR="00DB2DAD" w:rsidRPr="00DB2DAD">
        <w:rPr>
          <w:rFonts w:ascii="Calibri" w:hAnsi="Calibri" w:cs="Calibri"/>
        </w:rPr>
        <w:t xml:space="preserve"> note 12, art. 19.</w:t>
      </w:r>
    </w:p>
  </w:endnote>
  <w:endnote w:id="19">
    <w:p w14:paraId="4DD06CC5" w14:textId="7C5255F8" w:rsidR="008E0C83" w:rsidRPr="00DB2DAD" w:rsidRDefault="008E0C83" w:rsidP="00DB2DAD">
      <w:pPr>
        <w:pStyle w:val="EndnoteText"/>
        <w:ind w:right="-450"/>
        <w:rPr>
          <w:rFonts w:ascii="Calibri" w:hAnsi="Calibri" w:cs="Calibri"/>
        </w:rPr>
      </w:pPr>
      <w:r w:rsidRPr="00DB2DAD">
        <w:rPr>
          <w:rStyle w:val="EndnoteReference"/>
        </w:rPr>
        <w:endnoteRef/>
      </w:r>
      <w:r w:rsidRPr="00DB2DAD">
        <w:t xml:space="preserve"> </w:t>
      </w:r>
      <w:r w:rsidR="00DB2DAD">
        <w:tab/>
      </w:r>
      <w:r w:rsidR="00DB2DAD" w:rsidRPr="00DB2DAD">
        <w:rPr>
          <w:i/>
          <w:iCs/>
        </w:rPr>
        <w:t>Id</w:t>
      </w:r>
      <w:r w:rsidR="00DB2DAD" w:rsidRPr="00DB2DAD">
        <w:rPr>
          <w:rFonts w:ascii="Calibri" w:hAnsi="Calibri" w:cs="Calibri"/>
          <w:i/>
          <w:iCs/>
        </w:rPr>
        <w:t>.</w:t>
      </w:r>
      <w:r w:rsidR="00DB2DAD" w:rsidRPr="00DB2DAD">
        <w:rPr>
          <w:rFonts w:ascii="Calibri" w:hAnsi="Calibri" w:cs="Calibri"/>
        </w:rPr>
        <w:t xml:space="preserve">, arts. 16(4) &amp; 25; CRC, </w:t>
      </w:r>
      <w:r w:rsidR="00DB2DAD" w:rsidRPr="00DB2DAD">
        <w:rPr>
          <w:rFonts w:ascii="Calibri" w:hAnsi="Calibri" w:cs="Calibri"/>
          <w:i/>
          <w:iCs/>
        </w:rPr>
        <w:t>supra</w:t>
      </w:r>
      <w:r w:rsidR="00DB2DAD" w:rsidRPr="00DB2DAD">
        <w:rPr>
          <w:rFonts w:ascii="Calibri" w:hAnsi="Calibri" w:cs="Calibri"/>
        </w:rPr>
        <w:t xml:space="preserve"> note 14, art. 39; Istanbul Convention, </w:t>
      </w:r>
      <w:r w:rsidR="00DB2DAD" w:rsidRPr="00DB2DAD">
        <w:rPr>
          <w:rFonts w:ascii="Calibri" w:hAnsi="Calibri" w:cs="Calibri"/>
          <w:i/>
          <w:iCs/>
        </w:rPr>
        <w:t>supra</w:t>
      </w:r>
      <w:r w:rsidR="00DB2DAD" w:rsidRPr="00DB2DAD">
        <w:rPr>
          <w:rFonts w:ascii="Calibri" w:hAnsi="Calibri" w:cs="Calibri"/>
        </w:rPr>
        <w:t xml:space="preserve"> note 14, art. 20. </w:t>
      </w:r>
    </w:p>
  </w:endnote>
  <w:endnote w:id="20">
    <w:p w14:paraId="637E8513" w14:textId="7DB906B9" w:rsidR="008E0C83" w:rsidRPr="00DB2DAD" w:rsidRDefault="008E0C83" w:rsidP="00DB2DAD">
      <w:pPr>
        <w:pStyle w:val="EndnoteText"/>
        <w:ind w:right="-450"/>
        <w:rPr>
          <w:rFonts w:ascii="Calibri" w:hAnsi="Calibri" w:cs="Calibri"/>
        </w:rPr>
      </w:pPr>
      <w:r w:rsidRPr="00DB2DAD">
        <w:rPr>
          <w:rStyle w:val="EndnoteReference"/>
        </w:rPr>
        <w:endnoteRef/>
      </w:r>
      <w:r w:rsidRPr="00DB2DAD">
        <w:t xml:space="preserve"> </w:t>
      </w:r>
      <w:r w:rsidR="00DB2DAD">
        <w:tab/>
      </w:r>
      <w:r w:rsidR="00DB2DAD" w:rsidRPr="00DB2DAD">
        <w:t>ICESCR</w:t>
      </w:r>
      <w:r w:rsidR="00DB2DAD" w:rsidRPr="00DB2DAD">
        <w:rPr>
          <w:rFonts w:ascii="Calibri" w:hAnsi="Calibri" w:cs="Calibri"/>
        </w:rPr>
        <w:t xml:space="preserve">, </w:t>
      </w:r>
      <w:r w:rsidR="00DB2DAD" w:rsidRPr="00DB2DAD">
        <w:rPr>
          <w:rFonts w:ascii="Calibri" w:hAnsi="Calibri" w:cs="Calibri"/>
          <w:i/>
          <w:iCs/>
        </w:rPr>
        <w:t>supra</w:t>
      </w:r>
      <w:r w:rsidR="00DB2DAD" w:rsidRPr="00DB2DAD">
        <w:rPr>
          <w:rFonts w:ascii="Calibri" w:hAnsi="Calibri" w:cs="Calibri"/>
        </w:rPr>
        <w:t xml:space="preserve"> note 14, art. 11; CRPD, </w:t>
      </w:r>
      <w:r w:rsidR="00DB2DAD" w:rsidRPr="00DB2DAD">
        <w:rPr>
          <w:rFonts w:ascii="Calibri" w:hAnsi="Calibri" w:cs="Calibri"/>
          <w:i/>
          <w:iCs/>
        </w:rPr>
        <w:t>supra</w:t>
      </w:r>
      <w:r w:rsidR="00DB2DAD" w:rsidRPr="00DB2DAD">
        <w:rPr>
          <w:rFonts w:ascii="Calibri" w:hAnsi="Calibri" w:cs="Calibri"/>
        </w:rPr>
        <w:t xml:space="preserve"> note 12, art. 28.</w:t>
      </w:r>
    </w:p>
  </w:endnote>
  <w:endnote w:id="21">
    <w:p w14:paraId="6C51178D" w14:textId="3E43DC52" w:rsidR="008E0C83" w:rsidRPr="00DB2DAD" w:rsidRDefault="008E0C83" w:rsidP="00DB2DAD">
      <w:pPr>
        <w:pStyle w:val="EndnoteText"/>
        <w:ind w:right="-450"/>
        <w:rPr>
          <w:rFonts w:ascii="Calibri" w:hAnsi="Calibri" w:cs="Calibri"/>
        </w:rPr>
      </w:pPr>
      <w:r w:rsidRPr="00DB2DAD">
        <w:rPr>
          <w:rStyle w:val="EndnoteReference"/>
        </w:rPr>
        <w:endnoteRef/>
      </w:r>
      <w:r w:rsidRPr="00DB2DAD">
        <w:t xml:space="preserve"> </w:t>
      </w:r>
      <w:r w:rsidR="00DB2DAD">
        <w:tab/>
      </w:r>
      <w:r w:rsidR="00DB2DAD" w:rsidRPr="00DB2DAD">
        <w:t>ICESCR</w:t>
      </w:r>
      <w:r w:rsidR="00DB2DAD" w:rsidRPr="00DB2DAD">
        <w:rPr>
          <w:rFonts w:ascii="Calibri" w:hAnsi="Calibri" w:cs="Calibri"/>
        </w:rPr>
        <w:t xml:space="preserve">, </w:t>
      </w:r>
      <w:r w:rsidR="00DB2DAD" w:rsidRPr="00DB2DAD">
        <w:rPr>
          <w:rFonts w:ascii="Calibri" w:hAnsi="Calibri" w:cs="Calibri"/>
          <w:i/>
          <w:iCs/>
        </w:rPr>
        <w:t>supra</w:t>
      </w:r>
      <w:r w:rsidR="00DB2DAD" w:rsidRPr="00DB2DAD">
        <w:rPr>
          <w:rFonts w:ascii="Calibri" w:hAnsi="Calibri" w:cs="Calibri"/>
        </w:rPr>
        <w:t xml:space="preserve"> note 14, art. 11; CRPD, </w:t>
      </w:r>
      <w:r w:rsidR="00DB2DAD" w:rsidRPr="00DB2DAD">
        <w:rPr>
          <w:rFonts w:ascii="Calibri" w:hAnsi="Calibri" w:cs="Calibri"/>
          <w:i/>
          <w:iCs/>
        </w:rPr>
        <w:t>supra</w:t>
      </w:r>
      <w:r w:rsidR="00DB2DAD" w:rsidRPr="00DB2DAD">
        <w:rPr>
          <w:rFonts w:ascii="Calibri" w:hAnsi="Calibri" w:cs="Calibri"/>
        </w:rPr>
        <w:t xml:space="preserve"> note 12, art. 28.</w:t>
      </w:r>
    </w:p>
  </w:endnote>
  <w:endnote w:id="22">
    <w:p w14:paraId="0F9E7F02" w14:textId="4C680C08" w:rsidR="008E0C83" w:rsidRPr="00DB2DAD" w:rsidRDefault="008E0C83" w:rsidP="00DB2DAD">
      <w:pPr>
        <w:pStyle w:val="EndnoteText"/>
        <w:ind w:right="-450"/>
        <w:rPr>
          <w:rFonts w:ascii="Calibri" w:hAnsi="Calibri" w:cs="Calibri"/>
        </w:rPr>
      </w:pPr>
      <w:r w:rsidRPr="00DB2DAD">
        <w:rPr>
          <w:rStyle w:val="EndnoteReference"/>
        </w:rPr>
        <w:endnoteRef/>
      </w:r>
      <w:r w:rsidRPr="00DB2DAD">
        <w:t xml:space="preserve"> </w:t>
      </w:r>
      <w:r w:rsidR="00DB2DAD">
        <w:tab/>
      </w:r>
      <w:r w:rsidR="00DB2DAD" w:rsidRPr="00DB2DAD">
        <w:t>ICESCR</w:t>
      </w:r>
      <w:r w:rsidR="00DB2DAD" w:rsidRPr="00DB2DAD">
        <w:rPr>
          <w:rFonts w:ascii="Calibri" w:hAnsi="Calibri" w:cs="Calibri"/>
        </w:rPr>
        <w:t xml:space="preserve">, </w:t>
      </w:r>
      <w:r w:rsidR="00DB2DAD" w:rsidRPr="00DB2DAD">
        <w:rPr>
          <w:rFonts w:ascii="Calibri" w:hAnsi="Calibri" w:cs="Calibri"/>
          <w:i/>
          <w:iCs/>
        </w:rPr>
        <w:t>supra</w:t>
      </w:r>
      <w:r w:rsidR="00DB2DAD" w:rsidRPr="00DB2DAD">
        <w:rPr>
          <w:rFonts w:ascii="Calibri" w:hAnsi="Calibri" w:cs="Calibri"/>
        </w:rPr>
        <w:t xml:space="preserve"> note 14, art. 11; CRPD, </w:t>
      </w:r>
      <w:r w:rsidR="00DB2DAD" w:rsidRPr="00DB2DAD">
        <w:rPr>
          <w:rFonts w:ascii="Calibri" w:hAnsi="Calibri" w:cs="Calibri"/>
          <w:i/>
          <w:iCs/>
        </w:rPr>
        <w:t>supra</w:t>
      </w:r>
      <w:r w:rsidR="00DB2DAD" w:rsidRPr="00DB2DAD">
        <w:rPr>
          <w:rFonts w:ascii="Calibri" w:hAnsi="Calibri" w:cs="Calibri"/>
        </w:rPr>
        <w:t xml:space="preserve"> note 12, art. 28.</w:t>
      </w:r>
    </w:p>
  </w:endnote>
  <w:endnote w:id="23">
    <w:p w14:paraId="4385FE79" w14:textId="4EA26B5E" w:rsidR="008E0C83" w:rsidRPr="00DB2DAD" w:rsidRDefault="008E0C83" w:rsidP="00DB2DAD">
      <w:pPr>
        <w:pStyle w:val="EndnoteText"/>
        <w:ind w:right="-450"/>
        <w:rPr>
          <w:rFonts w:ascii="Calibri" w:hAnsi="Calibri" w:cs="Calibri"/>
        </w:rPr>
      </w:pPr>
      <w:r w:rsidRPr="00DB2DAD">
        <w:rPr>
          <w:rStyle w:val="EndnoteReference"/>
        </w:rPr>
        <w:endnoteRef/>
      </w:r>
      <w:r w:rsidRPr="00DB2DAD">
        <w:t xml:space="preserve"> </w:t>
      </w:r>
      <w:r w:rsidR="00DB2DAD">
        <w:tab/>
      </w:r>
      <w:r w:rsidR="00DB2DAD" w:rsidRPr="00DB2DAD">
        <w:t>CRPD</w:t>
      </w:r>
      <w:r w:rsidR="00DB2DAD" w:rsidRPr="00DB2DAD">
        <w:rPr>
          <w:rFonts w:ascii="Calibri" w:hAnsi="Calibri" w:cs="Calibri"/>
        </w:rPr>
        <w:t xml:space="preserve">, </w:t>
      </w:r>
      <w:r w:rsidR="00DB2DAD" w:rsidRPr="00DB2DAD">
        <w:rPr>
          <w:rFonts w:ascii="Calibri" w:hAnsi="Calibri" w:cs="Calibri"/>
          <w:i/>
          <w:iCs/>
        </w:rPr>
        <w:t>supra</w:t>
      </w:r>
      <w:r w:rsidR="00DB2DAD" w:rsidRPr="00DB2DAD">
        <w:rPr>
          <w:rFonts w:ascii="Calibri" w:hAnsi="Calibri" w:cs="Calibri"/>
        </w:rPr>
        <w:t xml:space="preserve"> note 12, art. 29.</w:t>
      </w:r>
    </w:p>
  </w:endnote>
  <w:endnote w:id="24">
    <w:p w14:paraId="18E54193" w14:textId="47FDD488" w:rsidR="008E0C83" w:rsidRPr="00DB2DAD" w:rsidRDefault="008E0C83" w:rsidP="00DB2DAD">
      <w:pPr>
        <w:pStyle w:val="EndnoteText"/>
        <w:ind w:right="-450"/>
        <w:rPr>
          <w:rFonts w:ascii="Calibri" w:hAnsi="Calibri" w:cs="Calibri"/>
        </w:rPr>
      </w:pPr>
      <w:r w:rsidRPr="00DB2DAD">
        <w:rPr>
          <w:rStyle w:val="EndnoteReference"/>
        </w:rPr>
        <w:endnoteRef/>
      </w:r>
      <w:r w:rsidRPr="00DB2DAD">
        <w:t xml:space="preserve"> </w:t>
      </w:r>
      <w:r w:rsidR="00DB2DAD">
        <w:tab/>
      </w:r>
      <w:r w:rsidR="00DB2DAD" w:rsidRPr="00DB2DAD">
        <w:rPr>
          <w:i/>
          <w:iCs/>
        </w:rPr>
        <w:t>Id</w:t>
      </w:r>
      <w:r w:rsidR="00DB2DAD" w:rsidRPr="00DB2DAD">
        <w:rPr>
          <w:rFonts w:ascii="Calibri" w:hAnsi="Calibri" w:cs="Calibri"/>
          <w:i/>
          <w:iCs/>
        </w:rPr>
        <w:t>.</w:t>
      </w:r>
      <w:r w:rsidR="00DB2DAD" w:rsidRPr="00DB2DAD">
        <w:rPr>
          <w:rFonts w:ascii="Calibri" w:hAnsi="Calibri" w:cs="Calibri"/>
        </w:rPr>
        <w:t xml:space="preserve">, art. 9; Istanbul Convention, </w:t>
      </w:r>
      <w:r w:rsidR="00DB2DAD" w:rsidRPr="00DB2DAD">
        <w:rPr>
          <w:rFonts w:ascii="Calibri" w:hAnsi="Calibri" w:cs="Calibri"/>
          <w:i/>
          <w:iCs/>
        </w:rPr>
        <w:t>supra</w:t>
      </w:r>
      <w:r w:rsidR="00DB2DAD" w:rsidRPr="00DB2DAD">
        <w:rPr>
          <w:rFonts w:ascii="Calibri" w:hAnsi="Calibri" w:cs="Calibri"/>
        </w:rPr>
        <w:t xml:space="preserve"> note 14, art. 20.</w:t>
      </w:r>
    </w:p>
  </w:endnote>
  <w:endnote w:id="25">
    <w:p w14:paraId="58FC37BF" w14:textId="6FCF4802" w:rsidR="008E0C83" w:rsidRPr="00DB2DAD" w:rsidRDefault="008E0C83" w:rsidP="00DB2DAD">
      <w:pPr>
        <w:pStyle w:val="EndnoteText"/>
        <w:ind w:right="-450"/>
        <w:rPr>
          <w:rFonts w:ascii="Calibri" w:hAnsi="Calibri" w:cs="Calibri"/>
        </w:rPr>
      </w:pPr>
      <w:r w:rsidRPr="00DB2DAD">
        <w:rPr>
          <w:rStyle w:val="EndnoteReference"/>
        </w:rPr>
        <w:endnoteRef/>
      </w:r>
      <w:r w:rsidRPr="00DB2DAD">
        <w:t xml:space="preserve"> </w:t>
      </w:r>
      <w:r w:rsidR="00DB2DAD">
        <w:tab/>
      </w:r>
      <w:r w:rsidR="00DB2DAD" w:rsidRPr="00DB2DAD">
        <w:t>CRPD</w:t>
      </w:r>
      <w:r w:rsidR="00DB2DAD" w:rsidRPr="00DB2DAD">
        <w:rPr>
          <w:rFonts w:ascii="Calibri" w:hAnsi="Calibri" w:cs="Calibri"/>
        </w:rPr>
        <w:t xml:space="preserve"> Committee, </w:t>
      </w:r>
      <w:r w:rsidR="00DB2DAD" w:rsidRPr="00DB2DAD">
        <w:rPr>
          <w:rFonts w:ascii="Calibri" w:hAnsi="Calibri" w:cs="Calibri"/>
          <w:i/>
          <w:iCs/>
        </w:rPr>
        <w:t>General Comment No. 2</w:t>
      </w:r>
      <w:r w:rsidR="00DB2DAD" w:rsidRPr="00DB2DAD">
        <w:rPr>
          <w:rFonts w:ascii="Calibri" w:hAnsi="Calibri" w:cs="Calibri"/>
        </w:rPr>
        <w:t>: Article 9: Accessibility, para. 13, U.N. Doc. CRPD/C/GC/2 (2016).</w:t>
      </w:r>
    </w:p>
  </w:endnote>
  <w:endnote w:id="26">
    <w:p w14:paraId="2FA1D466" w14:textId="7E0A766D" w:rsidR="008E0C83" w:rsidRPr="00DB2DAD" w:rsidRDefault="008E0C83" w:rsidP="00DB2DAD">
      <w:pPr>
        <w:pStyle w:val="EndnoteText"/>
        <w:ind w:right="-450"/>
        <w:rPr>
          <w:rFonts w:ascii="Calibri" w:hAnsi="Calibri" w:cs="Calibri"/>
        </w:rPr>
      </w:pPr>
      <w:r w:rsidRPr="00DB2DAD">
        <w:rPr>
          <w:rStyle w:val="EndnoteReference"/>
        </w:rPr>
        <w:endnoteRef/>
      </w:r>
      <w:r w:rsidRPr="00DB2DAD">
        <w:t xml:space="preserve"> </w:t>
      </w:r>
      <w:r w:rsidR="00DB2DAD">
        <w:tab/>
      </w:r>
      <w:r w:rsidR="00DB2DAD" w:rsidRPr="00DB2DAD">
        <w:rPr>
          <w:rFonts w:ascii="Calibri" w:hAnsi="Calibri" w:cs="Calibri"/>
          <w:i/>
          <w:iCs/>
        </w:rPr>
        <w:t>Id.</w:t>
      </w:r>
      <w:r w:rsidR="00DB2DAD" w:rsidRPr="00DB2DAD">
        <w:rPr>
          <w:rFonts w:ascii="Calibri" w:hAnsi="Calibri" w:cs="Calibri"/>
        </w:rPr>
        <w:t>, paras. 20, 27-33.</w:t>
      </w:r>
    </w:p>
  </w:endnote>
  <w:endnote w:id="27">
    <w:p w14:paraId="3F14BC5F" w14:textId="46988521" w:rsidR="008E0C83" w:rsidRPr="00DB2DAD" w:rsidRDefault="008E0C83" w:rsidP="00196F0B">
      <w:pPr>
        <w:pStyle w:val="EndnoteText"/>
        <w:ind w:right="-450"/>
        <w:rPr>
          <w:rFonts w:ascii="Calibri" w:hAnsi="Calibri" w:cs="Calibri"/>
        </w:rPr>
      </w:pPr>
      <w:r w:rsidRPr="00DB2DAD">
        <w:rPr>
          <w:rStyle w:val="EndnoteReference"/>
        </w:rPr>
        <w:endnoteRef/>
      </w:r>
      <w:r w:rsidRPr="00DB2DAD">
        <w:t xml:space="preserve"> </w:t>
      </w:r>
      <w:r w:rsidR="00DB2DAD">
        <w:tab/>
      </w:r>
      <w:r w:rsidR="00DB2DAD" w:rsidRPr="00DB2DAD">
        <w:rPr>
          <w:rFonts w:ascii="Calibri" w:hAnsi="Calibri" w:cs="Calibri"/>
        </w:rPr>
        <w:t xml:space="preserve">UN Women, UNFPA, WHO et al, </w:t>
      </w:r>
      <w:r w:rsidR="00DB2DAD" w:rsidRPr="00DB2DAD">
        <w:rPr>
          <w:rFonts w:ascii="Calibri" w:hAnsi="Calibri" w:cs="Calibri"/>
          <w:i/>
          <w:iCs/>
        </w:rPr>
        <w:t>Essential Services Package for Women and Girls Subject to Violence</w:t>
      </w:r>
      <w:r w:rsidR="00DB2DAD" w:rsidRPr="00DB2DAD">
        <w:rPr>
          <w:rFonts w:ascii="Calibri" w:hAnsi="Calibri" w:cs="Calibri"/>
        </w:rPr>
        <w:t xml:space="preserve"> 14 (2015), </w:t>
      </w:r>
      <w:hyperlink r:id="rId9" w:history="1">
        <w:r w:rsidR="00196F0B" w:rsidRPr="00551DE6">
          <w:rPr>
            <w:rStyle w:val="Hyperlink"/>
            <w:sz w:val="20"/>
          </w:rPr>
          <w:t>https://www.unfpa.org/essential-services-package-women-and-girls-subject-violence</w:t>
        </w:r>
      </w:hyperlink>
      <w:r w:rsidR="00DB2DAD" w:rsidRPr="00DB2DAD">
        <w:rPr>
          <w:rFonts w:ascii="Calibri" w:hAnsi="Calibri" w:cs="Calibri"/>
        </w:rPr>
        <w:t>.</w:t>
      </w:r>
    </w:p>
  </w:endnote>
  <w:endnote w:id="28">
    <w:p w14:paraId="71B5564C" w14:textId="6438139C" w:rsidR="008E0C83" w:rsidRPr="00DB2DAD" w:rsidRDefault="008E0C83" w:rsidP="00196F0B">
      <w:pPr>
        <w:pStyle w:val="EndnoteText"/>
        <w:ind w:right="-450"/>
        <w:rPr>
          <w:rFonts w:ascii="Calibri" w:hAnsi="Calibri" w:cs="Calibri"/>
        </w:rPr>
      </w:pPr>
      <w:r w:rsidRPr="00DB2DAD">
        <w:rPr>
          <w:rStyle w:val="EndnoteReference"/>
        </w:rPr>
        <w:endnoteRef/>
      </w:r>
      <w:r w:rsidRPr="00DB2DAD">
        <w:t xml:space="preserve"> </w:t>
      </w:r>
      <w:r w:rsidR="00DB2DAD">
        <w:tab/>
      </w:r>
      <w:r w:rsidR="00DB2DAD" w:rsidRPr="00DB2DAD">
        <w:t>WEI</w:t>
      </w:r>
      <w:r w:rsidR="00DB2DAD" w:rsidRPr="00DB2DAD">
        <w:rPr>
          <w:rFonts w:ascii="Calibri" w:hAnsi="Calibri" w:cs="Calibri"/>
        </w:rPr>
        <w:t xml:space="preserve">, </w:t>
      </w:r>
      <w:r w:rsidR="00DB2DAD" w:rsidRPr="00DB2DAD">
        <w:rPr>
          <w:rFonts w:ascii="Calibri" w:hAnsi="Calibri" w:cs="Calibri"/>
          <w:i/>
          <w:iCs/>
        </w:rPr>
        <w:t>The Right to Women and Girls with Disabilities to be free from Gender-Based Violence</w:t>
      </w:r>
      <w:r w:rsidR="00DB2DAD" w:rsidRPr="00DB2DAD">
        <w:rPr>
          <w:rFonts w:ascii="Calibri" w:hAnsi="Calibri" w:cs="Calibri"/>
        </w:rPr>
        <w:t xml:space="preserve">, </w:t>
      </w:r>
      <w:hyperlink r:id="rId10" w:history="1">
        <w:r w:rsidR="00196F0B" w:rsidRPr="00551DE6">
          <w:rPr>
            <w:rStyle w:val="Hyperlink"/>
            <w:sz w:val="20"/>
          </w:rPr>
          <w:t>https://womenenabled.org/fact-sheets.html</w:t>
        </w:r>
      </w:hyperlink>
      <w:r w:rsidR="00DB2DAD" w:rsidRPr="00DB2DAD">
        <w:rPr>
          <w:rFonts w:ascii="Calibri" w:hAnsi="Calibri" w:cs="Calibri"/>
        </w:rPr>
        <w:t>.</w:t>
      </w:r>
    </w:p>
  </w:endnote>
  <w:endnote w:id="29">
    <w:p w14:paraId="2C441019" w14:textId="30250224" w:rsidR="008E0C83" w:rsidRPr="00DB2DAD" w:rsidRDefault="008E0C83" w:rsidP="00DB2DAD">
      <w:pPr>
        <w:pStyle w:val="EndnoteText"/>
        <w:ind w:right="-450"/>
        <w:rPr>
          <w:rFonts w:ascii="Calibri" w:hAnsi="Calibri" w:cs="Calibri"/>
        </w:rPr>
      </w:pPr>
      <w:r w:rsidRPr="00DB2DAD">
        <w:rPr>
          <w:rStyle w:val="EndnoteReference"/>
        </w:rPr>
        <w:endnoteRef/>
      </w:r>
      <w:r w:rsidRPr="00DB2DAD">
        <w:t xml:space="preserve"> </w:t>
      </w:r>
      <w:r w:rsidR="00DB2DAD">
        <w:tab/>
      </w:r>
      <w:r w:rsidR="00DB2DAD" w:rsidRPr="00DB2DAD">
        <w:rPr>
          <w:rFonts w:ascii="Calibri" w:hAnsi="Calibri" w:cs="Calibri"/>
          <w:i/>
          <w:iCs/>
        </w:rPr>
        <w:t>See</w:t>
      </w:r>
      <w:r w:rsidR="00DB2DAD" w:rsidRPr="00DB2DAD">
        <w:rPr>
          <w:rFonts w:ascii="Calibri" w:hAnsi="Calibri" w:cs="Calibri"/>
        </w:rPr>
        <w:t xml:space="preserve"> Vienna Convention on the Law of Treaties, art. 26, 1155 U.N.T.S. 331 (1980); Human Rights Committee, </w:t>
      </w:r>
      <w:r w:rsidR="00DB2DAD" w:rsidRPr="00DB2DAD">
        <w:rPr>
          <w:rFonts w:ascii="Calibri" w:hAnsi="Calibri" w:cs="Calibri"/>
          <w:i/>
          <w:iCs/>
        </w:rPr>
        <w:t>General Comment No. 35: Article 9 (Liberty and security of person)</w:t>
      </w:r>
      <w:r w:rsidR="00DB2DAD" w:rsidRPr="00DB2DAD">
        <w:rPr>
          <w:rFonts w:ascii="Calibri" w:hAnsi="Calibri" w:cs="Calibri"/>
        </w:rPr>
        <w:t xml:space="preserve">, para. 9, U.N. Doc. CCPR/C/GC/35 (2014) [hereinafter HRC, </w:t>
      </w:r>
      <w:r w:rsidR="00DB2DAD" w:rsidRPr="00DB2DAD">
        <w:rPr>
          <w:rFonts w:ascii="Calibri" w:hAnsi="Calibri" w:cs="Calibri"/>
          <w:i/>
          <w:iCs/>
        </w:rPr>
        <w:t>Gen. Comment No. 35</w:t>
      </w:r>
      <w:r w:rsidR="00DB2DAD" w:rsidRPr="00DB2DAD">
        <w:rPr>
          <w:rFonts w:ascii="Calibri" w:hAnsi="Calibri" w:cs="Calibri"/>
        </w:rPr>
        <w:t xml:space="preserve">]; CRPD Committee, </w:t>
      </w:r>
      <w:r w:rsidR="00DB2DAD" w:rsidRPr="00DB2DAD">
        <w:rPr>
          <w:rFonts w:ascii="Calibri" w:hAnsi="Calibri" w:cs="Calibri"/>
          <w:i/>
          <w:iCs/>
        </w:rPr>
        <w:t>Gen. Comment No. 3</w:t>
      </w:r>
      <w:r w:rsidR="00DB2DAD" w:rsidRPr="00DB2DAD">
        <w:rPr>
          <w:rFonts w:ascii="Calibri" w:hAnsi="Calibri" w:cs="Calibri"/>
        </w:rPr>
        <w:t xml:space="preserve">, </w:t>
      </w:r>
      <w:r w:rsidR="00DB2DAD" w:rsidRPr="00DB2DAD">
        <w:rPr>
          <w:rFonts w:ascii="Calibri" w:hAnsi="Calibri" w:cs="Calibri"/>
          <w:i/>
          <w:iCs/>
        </w:rPr>
        <w:t>supra</w:t>
      </w:r>
      <w:r w:rsidR="00DB2DAD" w:rsidRPr="00DB2DAD">
        <w:rPr>
          <w:rFonts w:ascii="Calibri" w:hAnsi="Calibri" w:cs="Calibri"/>
        </w:rPr>
        <w:t xml:space="preserve"> note 7, para. 25.</w:t>
      </w:r>
    </w:p>
  </w:endnote>
  <w:endnote w:id="30">
    <w:p w14:paraId="552F4C35" w14:textId="16CFF459" w:rsidR="008E0C83" w:rsidRPr="00DB2DAD" w:rsidRDefault="008E0C83" w:rsidP="00DB2DAD">
      <w:pPr>
        <w:pStyle w:val="EndnoteText"/>
        <w:ind w:right="-450"/>
        <w:rPr>
          <w:rFonts w:ascii="Calibri" w:hAnsi="Calibri" w:cs="Calibri"/>
        </w:rPr>
      </w:pPr>
      <w:r w:rsidRPr="00DB2DAD">
        <w:rPr>
          <w:rStyle w:val="EndnoteReference"/>
        </w:rPr>
        <w:endnoteRef/>
      </w:r>
      <w:r w:rsidRPr="00DB2DAD">
        <w:t xml:space="preserve"> </w:t>
      </w:r>
      <w:r w:rsidR="00DB2DAD">
        <w:tab/>
      </w:r>
      <w:r w:rsidR="00DB2DAD" w:rsidRPr="00DB2DAD">
        <w:t>CRPD</w:t>
      </w:r>
      <w:r w:rsidR="00DB2DAD" w:rsidRPr="00DB2DAD">
        <w:rPr>
          <w:rFonts w:ascii="Calibri" w:hAnsi="Calibri" w:cs="Calibri"/>
        </w:rPr>
        <w:t xml:space="preserve"> Committee, </w:t>
      </w:r>
      <w:r w:rsidR="00DB2DAD" w:rsidRPr="00DB2DAD">
        <w:rPr>
          <w:rFonts w:ascii="Calibri" w:hAnsi="Calibri" w:cs="Calibri"/>
          <w:i/>
          <w:iCs/>
        </w:rPr>
        <w:t>Gen. Comment No. 3</w:t>
      </w:r>
      <w:r w:rsidR="00DB2DAD" w:rsidRPr="00DB2DAD">
        <w:rPr>
          <w:rFonts w:ascii="Calibri" w:hAnsi="Calibri" w:cs="Calibri"/>
        </w:rPr>
        <w:t xml:space="preserve">, </w:t>
      </w:r>
      <w:r w:rsidR="00DB2DAD" w:rsidRPr="00DB2DAD">
        <w:rPr>
          <w:rFonts w:ascii="Calibri" w:hAnsi="Calibri" w:cs="Calibri"/>
          <w:i/>
          <w:iCs/>
        </w:rPr>
        <w:t>supra</w:t>
      </w:r>
      <w:r w:rsidR="00DB2DAD" w:rsidRPr="00DB2DAD">
        <w:rPr>
          <w:rFonts w:ascii="Calibri" w:hAnsi="Calibri" w:cs="Calibri"/>
        </w:rPr>
        <w:t xml:space="preserve"> note 7, para. 25.</w:t>
      </w:r>
    </w:p>
  </w:endnote>
  <w:endnote w:id="31">
    <w:p w14:paraId="0B82DF38" w14:textId="42DDC8EF" w:rsidR="008E0C83" w:rsidRPr="00DB2DAD" w:rsidRDefault="008E0C83" w:rsidP="00DB2DAD">
      <w:pPr>
        <w:pStyle w:val="EndnoteText"/>
        <w:ind w:right="-450"/>
        <w:rPr>
          <w:rFonts w:ascii="Calibri" w:hAnsi="Calibri" w:cs="Calibri"/>
        </w:rPr>
      </w:pPr>
      <w:r w:rsidRPr="00DB2DAD">
        <w:rPr>
          <w:rStyle w:val="EndnoteReference"/>
        </w:rPr>
        <w:endnoteRef/>
      </w:r>
      <w:r w:rsidRPr="00DB2DAD">
        <w:t xml:space="preserve"> </w:t>
      </w:r>
      <w:r w:rsidR="00DB2DAD">
        <w:tab/>
      </w:r>
      <w:r w:rsidR="00DB2DAD" w:rsidRPr="00DB2DAD">
        <w:rPr>
          <w:rFonts w:ascii="Calibri" w:hAnsi="Calibri" w:cs="Calibri"/>
          <w:i/>
          <w:iCs/>
        </w:rPr>
        <w:t>See</w:t>
      </w:r>
      <w:r w:rsidR="00DB2DAD" w:rsidRPr="00DB2DAD">
        <w:rPr>
          <w:rFonts w:ascii="Calibri" w:hAnsi="Calibri" w:cs="Calibri"/>
        </w:rPr>
        <w:t xml:space="preserve"> Vienna Convention on the Law of Treaties, art. 26, 1155 U.N.T.S. 331 (1980); Human Rights Committee, </w:t>
      </w:r>
      <w:r w:rsidR="00DB2DAD" w:rsidRPr="00DB2DAD">
        <w:rPr>
          <w:rFonts w:ascii="Calibri" w:hAnsi="Calibri" w:cs="Calibri"/>
          <w:i/>
          <w:iCs/>
        </w:rPr>
        <w:t>General Comment No. 31: Nature of the General Legal Obligations Imposed on States Parties to the Covenant</w:t>
      </w:r>
      <w:r w:rsidR="00DB2DAD" w:rsidRPr="00DB2DAD">
        <w:rPr>
          <w:rFonts w:ascii="Calibri" w:hAnsi="Calibri" w:cs="Calibri"/>
        </w:rPr>
        <w:t xml:space="preserve">, para. 8, U.N. Doc. CCPR/C/21/Rev.1/Add.13 (2004); HRC, </w:t>
      </w:r>
      <w:r w:rsidR="00DB2DAD" w:rsidRPr="00DB2DAD">
        <w:rPr>
          <w:rFonts w:ascii="Calibri" w:hAnsi="Calibri" w:cs="Calibri"/>
          <w:i/>
          <w:iCs/>
        </w:rPr>
        <w:t>Gen. Comment No. 35</w:t>
      </w:r>
      <w:r w:rsidR="00DB2DAD" w:rsidRPr="00DB2DAD">
        <w:rPr>
          <w:rFonts w:ascii="Calibri" w:hAnsi="Calibri" w:cs="Calibri"/>
        </w:rPr>
        <w:t xml:space="preserve">, </w:t>
      </w:r>
      <w:r w:rsidR="00DB2DAD" w:rsidRPr="00DB2DAD">
        <w:rPr>
          <w:rFonts w:ascii="Calibri" w:hAnsi="Calibri" w:cs="Calibri"/>
          <w:i/>
          <w:iCs/>
        </w:rPr>
        <w:t>supra</w:t>
      </w:r>
      <w:r w:rsidR="00DB2DAD" w:rsidRPr="00DB2DAD">
        <w:rPr>
          <w:rFonts w:ascii="Calibri" w:hAnsi="Calibri" w:cs="Calibri"/>
        </w:rPr>
        <w:t xml:space="preserve"> note 29, para 9; CRPD Committee, </w:t>
      </w:r>
      <w:r w:rsidR="00DB2DAD" w:rsidRPr="00DB2DAD">
        <w:rPr>
          <w:rFonts w:ascii="Calibri" w:hAnsi="Calibri" w:cs="Calibri"/>
          <w:i/>
          <w:iCs/>
        </w:rPr>
        <w:t>Gen. Comment No. 3</w:t>
      </w:r>
      <w:r w:rsidR="00DB2DAD" w:rsidRPr="00DB2DAD">
        <w:rPr>
          <w:rFonts w:ascii="Calibri" w:hAnsi="Calibri" w:cs="Calibri"/>
        </w:rPr>
        <w:t xml:space="preserve">, </w:t>
      </w:r>
      <w:r w:rsidR="00DB2DAD" w:rsidRPr="00DB2DAD">
        <w:rPr>
          <w:rFonts w:ascii="Calibri" w:hAnsi="Calibri" w:cs="Calibri"/>
          <w:i/>
          <w:iCs/>
        </w:rPr>
        <w:t>supra</w:t>
      </w:r>
      <w:r w:rsidR="00DB2DAD" w:rsidRPr="00DB2DAD">
        <w:rPr>
          <w:rFonts w:ascii="Calibri" w:hAnsi="Calibri" w:cs="Calibri"/>
        </w:rPr>
        <w:t xml:space="preserve"> note 7, para. 26; ESCR Committee, </w:t>
      </w:r>
      <w:r w:rsidR="00DB2DAD" w:rsidRPr="00DB2DAD">
        <w:rPr>
          <w:rFonts w:ascii="Calibri" w:hAnsi="Calibri" w:cs="Calibri"/>
          <w:i/>
          <w:iCs/>
        </w:rPr>
        <w:t>General Comment No. 22 (2016) on the Right to Sexual and Reproductive Health (Article 12 of the International Covenant on the Economic, Social and Cultural Rights</w:t>
      </w:r>
      <w:r w:rsidR="00DB2DAD" w:rsidRPr="00DB2DAD">
        <w:rPr>
          <w:rFonts w:ascii="Calibri" w:hAnsi="Calibri" w:cs="Calibri"/>
        </w:rPr>
        <w:t xml:space="preserve">, para. 41, U.N. Doc. E/C.12/GC/22 (2016) [hereinafter ESCR Committee, </w:t>
      </w:r>
      <w:r w:rsidR="00DB2DAD" w:rsidRPr="00DB2DAD">
        <w:rPr>
          <w:rFonts w:ascii="Calibri" w:hAnsi="Calibri" w:cs="Calibri"/>
          <w:i/>
          <w:iCs/>
        </w:rPr>
        <w:t>Gen. Comment No. 22</w:t>
      </w:r>
      <w:r w:rsidR="00DB2DAD" w:rsidRPr="00DB2DAD">
        <w:rPr>
          <w:rFonts w:ascii="Calibri" w:hAnsi="Calibri" w:cs="Calibri"/>
        </w:rPr>
        <w:t>].</w:t>
      </w:r>
    </w:p>
  </w:endnote>
  <w:endnote w:id="32">
    <w:p w14:paraId="6F33CB0D" w14:textId="49805182" w:rsidR="008E0C83" w:rsidRPr="00196F0B" w:rsidRDefault="008E0C83" w:rsidP="00196F0B">
      <w:pPr>
        <w:pStyle w:val="EndnoteText"/>
        <w:ind w:right="-450"/>
        <w:rPr>
          <w:rFonts w:ascii="Calibri" w:hAnsi="Calibri" w:cs="Calibri"/>
          <w:color w:val="007EBC"/>
          <w:u w:val="single"/>
        </w:rPr>
      </w:pPr>
      <w:r w:rsidRPr="00DB2DAD">
        <w:rPr>
          <w:rStyle w:val="EndnoteReference"/>
        </w:rPr>
        <w:endnoteRef/>
      </w:r>
      <w:r w:rsidRPr="00DB2DAD">
        <w:t xml:space="preserve"> </w:t>
      </w:r>
      <w:r w:rsidR="00DB2DAD">
        <w:tab/>
      </w:r>
      <w:r w:rsidR="00DB2DAD" w:rsidRPr="00DB2DAD">
        <w:t>UN</w:t>
      </w:r>
      <w:r w:rsidR="00DB2DAD" w:rsidRPr="00DB2DAD">
        <w:rPr>
          <w:rFonts w:ascii="Calibri" w:hAnsi="Calibri" w:cs="Calibri"/>
        </w:rPr>
        <w:t xml:space="preserve"> Women, </w:t>
      </w:r>
      <w:r w:rsidR="00DB2DAD" w:rsidRPr="00DB2DAD">
        <w:rPr>
          <w:rFonts w:ascii="Calibri" w:hAnsi="Calibri" w:cs="Calibri"/>
          <w:i/>
          <w:iCs/>
        </w:rPr>
        <w:t>Policy Brief No. 17: COVID-19 and Violence Against Women and Girls: Addressing the Shadow Pandemic</w:t>
      </w:r>
      <w:r w:rsidR="00DB2DAD" w:rsidRPr="00DB2DAD">
        <w:rPr>
          <w:rFonts w:ascii="Calibri" w:hAnsi="Calibri" w:cs="Calibri"/>
        </w:rPr>
        <w:t xml:space="preserve"> 6-7 (2021), </w:t>
      </w:r>
      <w:hyperlink r:id="rId11" w:history="1">
        <w:r w:rsidR="00196F0B" w:rsidRPr="00551DE6">
          <w:rPr>
            <w:rStyle w:val="Hyperlink"/>
            <w:sz w:val="20"/>
          </w:rPr>
          <w:t>https://www.unwomen.org/en/digital-library/publications/2020/06/policy-brief-covid-19-and-violence-against-women-and-girls-addressing-the-shadow-pandemic</w:t>
        </w:r>
      </w:hyperlink>
      <w:r w:rsidR="00DB2DAD" w:rsidRPr="00DB2DAD">
        <w:rPr>
          <w:rFonts w:ascii="Calibri" w:hAnsi="Calibri" w:cs="Calibri"/>
        </w:rPr>
        <w:t>.</w:t>
      </w:r>
    </w:p>
  </w:endnote>
  <w:endnote w:id="33">
    <w:p w14:paraId="37C1C699" w14:textId="273693D3" w:rsidR="008E0C83" w:rsidRPr="00DB2DAD" w:rsidRDefault="008E0C83" w:rsidP="00DB2DAD">
      <w:pPr>
        <w:pStyle w:val="EndnoteText"/>
        <w:ind w:right="-450"/>
        <w:rPr>
          <w:rFonts w:ascii="Calibri" w:hAnsi="Calibri" w:cs="Calibri"/>
        </w:rPr>
      </w:pPr>
      <w:r w:rsidRPr="00DB2DAD">
        <w:rPr>
          <w:rStyle w:val="EndnoteReference"/>
        </w:rPr>
        <w:endnoteRef/>
      </w:r>
      <w:r w:rsidRPr="00DB2DAD">
        <w:t xml:space="preserve"> </w:t>
      </w:r>
      <w:r w:rsidR="00DB2DAD">
        <w:tab/>
      </w:r>
      <w:r w:rsidR="00DB2DAD" w:rsidRPr="00DB2DAD">
        <w:rPr>
          <w:i/>
          <w:iCs/>
        </w:rPr>
        <w:t>Id</w:t>
      </w:r>
      <w:r w:rsidR="00DB2DAD" w:rsidRPr="00DB2DAD">
        <w:rPr>
          <w:rFonts w:ascii="Calibri" w:hAnsi="Calibri" w:cs="Calibri"/>
          <w:i/>
          <w:iCs/>
        </w:rPr>
        <w:t>.</w:t>
      </w:r>
      <w:r w:rsidR="00DB2DAD" w:rsidRPr="00DB2DAD">
        <w:rPr>
          <w:rFonts w:ascii="Calibri" w:hAnsi="Calibri" w:cs="Calibri"/>
        </w:rPr>
        <w:t xml:space="preserve">  </w:t>
      </w:r>
    </w:p>
  </w:endnote>
  <w:endnote w:id="34">
    <w:p w14:paraId="2CB9CB9D" w14:textId="73D1C20B" w:rsidR="008E0C83" w:rsidRPr="00DB2DAD" w:rsidRDefault="008E0C83" w:rsidP="00DB2DAD">
      <w:pPr>
        <w:pStyle w:val="EndnoteText"/>
        <w:ind w:right="-450"/>
        <w:rPr>
          <w:rFonts w:ascii="Calibri" w:hAnsi="Calibri" w:cs="Calibri"/>
        </w:rPr>
      </w:pPr>
      <w:r w:rsidRPr="00DB2DAD">
        <w:rPr>
          <w:rStyle w:val="EndnoteReference"/>
        </w:rPr>
        <w:endnoteRef/>
      </w:r>
      <w:r w:rsidRPr="00DB2DAD">
        <w:t xml:space="preserve"> </w:t>
      </w:r>
      <w:r w:rsidR="00DB2DAD">
        <w:tab/>
      </w:r>
      <w:r w:rsidR="00DB2DAD" w:rsidRPr="00DB2DAD">
        <w:t>CRPD</w:t>
      </w:r>
      <w:r w:rsidR="00DB2DAD" w:rsidRPr="00DB2DAD">
        <w:rPr>
          <w:rFonts w:ascii="Calibri" w:hAnsi="Calibri" w:cs="Calibri"/>
        </w:rPr>
        <w:t xml:space="preserve"> Committee, </w:t>
      </w:r>
      <w:r w:rsidR="00DB2DAD" w:rsidRPr="00DB2DAD">
        <w:rPr>
          <w:rFonts w:ascii="Calibri" w:hAnsi="Calibri" w:cs="Calibri"/>
          <w:i/>
          <w:iCs/>
        </w:rPr>
        <w:t xml:space="preserve">Gen. Comment No. </w:t>
      </w:r>
      <w:r w:rsidR="00DB2DAD" w:rsidRPr="00DB2DAD">
        <w:rPr>
          <w:rFonts w:ascii="Calibri" w:hAnsi="Calibri" w:cs="Calibri"/>
        </w:rPr>
        <w:t xml:space="preserve">3, </w:t>
      </w:r>
      <w:r w:rsidR="00DB2DAD" w:rsidRPr="00DB2DAD">
        <w:rPr>
          <w:rFonts w:ascii="Calibri" w:hAnsi="Calibri" w:cs="Calibri"/>
          <w:i/>
          <w:iCs/>
        </w:rPr>
        <w:t>supra</w:t>
      </w:r>
      <w:r w:rsidR="00DB2DAD" w:rsidRPr="00DB2DAD">
        <w:rPr>
          <w:rFonts w:ascii="Calibri" w:hAnsi="Calibri" w:cs="Calibri"/>
        </w:rPr>
        <w:t xml:space="preserve"> note 7. </w:t>
      </w:r>
    </w:p>
  </w:endnote>
  <w:endnote w:id="35">
    <w:p w14:paraId="4DDB3869" w14:textId="1D82D2C7" w:rsidR="008E0C83" w:rsidRPr="00DB2DAD" w:rsidRDefault="008E0C83" w:rsidP="00196F0B">
      <w:pPr>
        <w:pStyle w:val="EndnoteText"/>
        <w:ind w:right="-450"/>
        <w:rPr>
          <w:rFonts w:ascii="Calibri" w:hAnsi="Calibri" w:cs="Calibri"/>
        </w:rPr>
      </w:pPr>
      <w:r w:rsidRPr="00DB2DAD">
        <w:rPr>
          <w:rStyle w:val="EndnoteReference"/>
        </w:rPr>
        <w:endnoteRef/>
      </w:r>
      <w:r w:rsidRPr="00DB2DAD">
        <w:t xml:space="preserve"> </w:t>
      </w:r>
      <w:r w:rsidR="00DB2DAD">
        <w:tab/>
      </w:r>
      <w:r w:rsidR="00DB2DAD" w:rsidRPr="00DB2DAD">
        <w:t>UN</w:t>
      </w:r>
      <w:r w:rsidR="00DB2DAD" w:rsidRPr="00DB2DAD">
        <w:rPr>
          <w:rFonts w:ascii="Calibri" w:hAnsi="Calibri" w:cs="Calibri"/>
        </w:rPr>
        <w:t xml:space="preserve"> Women, </w:t>
      </w:r>
      <w:r w:rsidR="00DB2DAD" w:rsidRPr="00DB2DAD">
        <w:rPr>
          <w:rFonts w:ascii="Calibri" w:hAnsi="Calibri" w:cs="Calibri"/>
          <w:i/>
          <w:iCs/>
        </w:rPr>
        <w:t>Policy Brief No. 17: COVID-19 and Violence Against Women and Girls: Addressing the Shadow Pandemic</w:t>
      </w:r>
      <w:r w:rsidR="00DB2DAD" w:rsidRPr="00DB2DAD">
        <w:rPr>
          <w:rFonts w:ascii="Calibri" w:hAnsi="Calibri" w:cs="Calibri"/>
        </w:rPr>
        <w:t xml:space="preserve"> 6-7 (2021), </w:t>
      </w:r>
      <w:hyperlink r:id="rId12" w:history="1">
        <w:r w:rsidR="00196F0B" w:rsidRPr="00551DE6">
          <w:rPr>
            <w:rStyle w:val="Hyperlink"/>
            <w:sz w:val="20"/>
          </w:rPr>
          <w:t>https://www.unwomen.org/en/digital-library/publications/2020/06/policy-brief-covid-19-and-violence-against-women-and-girls-addressing-the-shadow-pandemic</w:t>
        </w:r>
      </w:hyperlink>
      <w:r w:rsidR="00DB2DAD" w:rsidRPr="00DB2DAD">
        <w:rPr>
          <w:rFonts w:ascii="Calibri" w:hAnsi="Calibri" w:cs="Calibri"/>
        </w:rPr>
        <w:t>.</w:t>
      </w:r>
    </w:p>
  </w:endnote>
  <w:endnote w:id="36">
    <w:p w14:paraId="73974617" w14:textId="22867DDA" w:rsidR="008E0C83" w:rsidRPr="00DB2DAD" w:rsidRDefault="008E0C83" w:rsidP="00DB2DAD">
      <w:pPr>
        <w:pStyle w:val="EndnoteText"/>
        <w:ind w:right="-450"/>
        <w:rPr>
          <w:rFonts w:ascii="Calibri" w:hAnsi="Calibri" w:cs="Calibri"/>
        </w:rPr>
      </w:pPr>
      <w:r w:rsidRPr="00DB2DAD">
        <w:rPr>
          <w:rStyle w:val="EndnoteReference"/>
        </w:rPr>
        <w:endnoteRef/>
      </w:r>
      <w:r w:rsidRPr="00DB2DAD">
        <w:t xml:space="preserve"> </w:t>
      </w:r>
      <w:r w:rsidR="00DB2DAD">
        <w:tab/>
      </w:r>
      <w:r w:rsidR="00DB2DAD" w:rsidRPr="00DB2DAD">
        <w:rPr>
          <w:i/>
          <w:iCs/>
        </w:rPr>
        <w:t>See</w:t>
      </w:r>
      <w:r w:rsidR="00DB2DAD" w:rsidRPr="00DB2DAD">
        <w:rPr>
          <w:rFonts w:ascii="Calibri" w:hAnsi="Calibri" w:cs="Calibri"/>
        </w:rPr>
        <w:t xml:space="preserve"> Vienna Convention on the Law of Treaties, art. 26, 1155 U.N.T.S. 331 (1980); ESCR Committee, </w:t>
      </w:r>
      <w:r w:rsidR="00DB2DAD" w:rsidRPr="00DB2DAD">
        <w:rPr>
          <w:rFonts w:ascii="Calibri" w:hAnsi="Calibri" w:cs="Calibri"/>
          <w:i/>
          <w:iCs/>
        </w:rPr>
        <w:t>Gen. Comment No. 22</w:t>
      </w:r>
      <w:r w:rsidR="00DB2DAD" w:rsidRPr="00DB2DAD">
        <w:rPr>
          <w:rFonts w:ascii="Calibri" w:hAnsi="Calibri" w:cs="Calibri"/>
        </w:rPr>
        <w:t xml:space="preserve">, </w:t>
      </w:r>
      <w:r w:rsidR="00DB2DAD" w:rsidRPr="00DB2DAD">
        <w:rPr>
          <w:rFonts w:ascii="Calibri" w:hAnsi="Calibri" w:cs="Calibri"/>
          <w:i/>
          <w:iCs/>
        </w:rPr>
        <w:t>supra</w:t>
      </w:r>
      <w:r w:rsidR="00DB2DAD" w:rsidRPr="00DB2DAD">
        <w:rPr>
          <w:rFonts w:ascii="Calibri" w:hAnsi="Calibri" w:cs="Calibri"/>
        </w:rPr>
        <w:t xml:space="preserve"> note 31, para. 42; CRPD Committee, </w:t>
      </w:r>
      <w:r w:rsidR="00DB2DAD" w:rsidRPr="00DB2DAD">
        <w:rPr>
          <w:rFonts w:ascii="Calibri" w:hAnsi="Calibri" w:cs="Calibri"/>
          <w:i/>
          <w:iCs/>
        </w:rPr>
        <w:t>Gen. Comment No. 3</w:t>
      </w:r>
      <w:r w:rsidR="00DB2DAD" w:rsidRPr="00DB2DAD">
        <w:rPr>
          <w:rFonts w:ascii="Calibri" w:hAnsi="Calibri" w:cs="Calibri"/>
        </w:rPr>
        <w:t xml:space="preserve">, </w:t>
      </w:r>
      <w:r w:rsidR="00DB2DAD" w:rsidRPr="00DB2DAD">
        <w:rPr>
          <w:rFonts w:ascii="Calibri" w:hAnsi="Calibri" w:cs="Calibri"/>
          <w:i/>
          <w:iCs/>
        </w:rPr>
        <w:t>supra</w:t>
      </w:r>
      <w:r w:rsidR="00DB2DAD" w:rsidRPr="00DB2DAD">
        <w:rPr>
          <w:rFonts w:ascii="Calibri" w:hAnsi="Calibri" w:cs="Calibri"/>
        </w:rPr>
        <w:t xml:space="preserve"> note 7, para. 27. </w:t>
      </w:r>
    </w:p>
  </w:endnote>
  <w:endnote w:id="37">
    <w:p w14:paraId="4FCDB9F5" w14:textId="7ABBFE9F" w:rsidR="008E0C83" w:rsidRPr="00DB2DAD" w:rsidRDefault="008E0C83" w:rsidP="00DB2DAD">
      <w:pPr>
        <w:pStyle w:val="EndnoteText"/>
        <w:ind w:right="-450"/>
        <w:rPr>
          <w:rFonts w:ascii="Calibri" w:hAnsi="Calibri" w:cs="Calibri"/>
        </w:rPr>
      </w:pPr>
      <w:r w:rsidRPr="00DB2DAD">
        <w:rPr>
          <w:rStyle w:val="EndnoteReference"/>
        </w:rPr>
        <w:endnoteRef/>
      </w:r>
      <w:r w:rsidRPr="00DB2DAD">
        <w:t xml:space="preserve"> </w:t>
      </w:r>
      <w:r w:rsidR="00DB2DAD">
        <w:tab/>
      </w:r>
      <w:r w:rsidR="00DB2DAD" w:rsidRPr="00DB2DAD">
        <w:t>CRPD</w:t>
      </w:r>
      <w:r w:rsidR="00DB2DAD" w:rsidRPr="00DB2DAD">
        <w:rPr>
          <w:rFonts w:ascii="Calibri" w:hAnsi="Calibri" w:cs="Calibri"/>
        </w:rPr>
        <w:t xml:space="preserve">, </w:t>
      </w:r>
      <w:r w:rsidR="00DB2DAD" w:rsidRPr="00DB2DAD">
        <w:rPr>
          <w:rFonts w:ascii="Calibri" w:hAnsi="Calibri" w:cs="Calibri"/>
          <w:i/>
          <w:iCs/>
        </w:rPr>
        <w:t>supra</w:t>
      </w:r>
      <w:r w:rsidR="00DB2DAD" w:rsidRPr="00DB2DAD">
        <w:rPr>
          <w:rFonts w:ascii="Calibri" w:hAnsi="Calibri" w:cs="Calibri"/>
        </w:rPr>
        <w:t xml:space="preserve"> note 12, art. 11; African Charter, </w:t>
      </w:r>
      <w:r w:rsidR="00DB2DAD" w:rsidRPr="00DB2DAD">
        <w:rPr>
          <w:rFonts w:ascii="Calibri" w:hAnsi="Calibri" w:cs="Calibri"/>
          <w:i/>
          <w:iCs/>
        </w:rPr>
        <w:t>supra</w:t>
      </w:r>
      <w:r w:rsidR="00DB2DAD" w:rsidRPr="00DB2DAD">
        <w:rPr>
          <w:rFonts w:ascii="Calibri" w:hAnsi="Calibri" w:cs="Calibri"/>
        </w:rPr>
        <w:t xml:space="preserve"> note 14, art. 18. </w:t>
      </w:r>
    </w:p>
  </w:endnote>
  <w:endnote w:id="38">
    <w:p w14:paraId="752703EE" w14:textId="19241638" w:rsidR="00DB2DAD" w:rsidRPr="00DB2DAD" w:rsidRDefault="00DB2DAD" w:rsidP="00DB2DAD">
      <w:pPr>
        <w:pStyle w:val="EndnoteText"/>
        <w:ind w:right="-450"/>
        <w:rPr>
          <w:rFonts w:ascii="Calibri" w:hAnsi="Calibri" w:cs="Calibri"/>
        </w:rPr>
      </w:pPr>
      <w:r w:rsidRPr="00DB2DAD">
        <w:rPr>
          <w:rStyle w:val="EndnoteReference"/>
        </w:rPr>
        <w:endnoteRef/>
      </w:r>
      <w:r w:rsidRPr="00DB2DAD">
        <w:t xml:space="preserve"> </w:t>
      </w:r>
      <w:r>
        <w:tab/>
      </w:r>
      <w:r w:rsidRPr="00DB2DAD">
        <w:t>ESCR</w:t>
      </w:r>
      <w:r w:rsidRPr="00DB2DAD">
        <w:rPr>
          <w:rFonts w:ascii="Calibri" w:hAnsi="Calibri" w:cs="Calibri"/>
        </w:rPr>
        <w:t xml:space="preserve"> Committee, </w:t>
      </w:r>
      <w:r w:rsidRPr="00DB2DAD">
        <w:rPr>
          <w:rFonts w:ascii="Calibri" w:hAnsi="Calibri" w:cs="Calibri"/>
          <w:i/>
          <w:iCs/>
        </w:rPr>
        <w:t>Gen. Comment No. 22</w:t>
      </w:r>
      <w:r w:rsidRPr="00DB2DAD">
        <w:rPr>
          <w:rFonts w:ascii="Calibri" w:hAnsi="Calibri" w:cs="Calibri"/>
        </w:rPr>
        <w:t xml:space="preserve">, </w:t>
      </w:r>
      <w:r w:rsidRPr="00DB2DAD">
        <w:rPr>
          <w:rFonts w:ascii="Calibri" w:hAnsi="Calibri" w:cs="Calibri"/>
          <w:i/>
          <w:iCs/>
        </w:rPr>
        <w:t>supra</w:t>
      </w:r>
      <w:r w:rsidRPr="00DB2DAD">
        <w:rPr>
          <w:rFonts w:ascii="Calibri" w:hAnsi="Calibri" w:cs="Calibri"/>
        </w:rPr>
        <w:t xml:space="preserve"> note 31, para. 45.</w:t>
      </w:r>
    </w:p>
    <w:p w14:paraId="35410178" w14:textId="74CEC8EE" w:rsidR="00DB2DAD" w:rsidRDefault="00DB2DA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he Sans Bold-">
    <w:altName w:val="The Sans Bold-"/>
    <w:panose1 w:val="00000000000000000000"/>
    <w:charset w:val="00"/>
    <w:family w:val="auto"/>
    <w:pitch w:val="variable"/>
    <w:sig w:usb0="00000003" w:usb1="00000000" w:usb2="00000000" w:usb3="00000000" w:csb0="00000001" w:csb1="00000000"/>
  </w:font>
  <w:font w:name="Minion Pro">
    <w:altName w:val="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tserrat Medium">
    <w:altName w:val="Montserrat Medium"/>
    <w:panose1 w:val="00000600000000000000"/>
    <w:charset w:val="4D"/>
    <w:family w:val="auto"/>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5371377"/>
      <w:docPartObj>
        <w:docPartGallery w:val="Page Numbers (Bottom of Page)"/>
        <w:docPartUnique/>
      </w:docPartObj>
    </w:sdtPr>
    <w:sdtEndPr>
      <w:rPr>
        <w:rStyle w:val="PageNumber"/>
      </w:rPr>
    </w:sdtEndPr>
    <w:sdtContent>
      <w:p w14:paraId="2077870A" w14:textId="03BC4267" w:rsidR="004839EB" w:rsidRDefault="004839EB" w:rsidP="00551D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4073B3" w14:textId="77777777" w:rsidR="004839EB" w:rsidRDefault="00483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061672090"/>
      <w:docPartObj>
        <w:docPartGallery w:val="Page Numbers (Bottom of Page)"/>
        <w:docPartUnique/>
      </w:docPartObj>
    </w:sdtPr>
    <w:sdtEndPr>
      <w:rPr>
        <w:rStyle w:val="PageNumber"/>
        <w:rFonts w:ascii="Montserrat Medium" w:hAnsi="Montserrat Medium"/>
      </w:rPr>
    </w:sdtEndPr>
    <w:sdtContent>
      <w:p w14:paraId="7C68DF19" w14:textId="7D433A8F" w:rsidR="004839EB" w:rsidRPr="004839EB" w:rsidRDefault="004839EB" w:rsidP="00551DE6">
        <w:pPr>
          <w:pStyle w:val="Footer"/>
          <w:framePr w:wrap="none" w:vAnchor="text" w:hAnchor="margin" w:xAlign="center" w:y="1"/>
          <w:rPr>
            <w:rStyle w:val="PageNumber"/>
            <w:rFonts w:ascii="Montserrat Medium" w:hAnsi="Montserrat Medium"/>
            <w:sz w:val="20"/>
            <w:szCs w:val="20"/>
          </w:rPr>
        </w:pPr>
        <w:r w:rsidRPr="004839EB">
          <w:rPr>
            <w:rStyle w:val="PageNumber"/>
            <w:rFonts w:ascii="Montserrat Medium" w:hAnsi="Montserrat Medium"/>
            <w:sz w:val="20"/>
            <w:szCs w:val="20"/>
          </w:rPr>
          <w:fldChar w:fldCharType="begin"/>
        </w:r>
        <w:r w:rsidRPr="004839EB">
          <w:rPr>
            <w:rStyle w:val="PageNumber"/>
            <w:rFonts w:ascii="Montserrat Medium" w:hAnsi="Montserrat Medium"/>
            <w:sz w:val="20"/>
            <w:szCs w:val="20"/>
          </w:rPr>
          <w:instrText xml:space="preserve"> PAGE </w:instrText>
        </w:r>
        <w:r w:rsidRPr="004839EB">
          <w:rPr>
            <w:rStyle w:val="PageNumber"/>
            <w:rFonts w:ascii="Montserrat Medium" w:hAnsi="Montserrat Medium"/>
            <w:sz w:val="20"/>
            <w:szCs w:val="20"/>
          </w:rPr>
          <w:fldChar w:fldCharType="separate"/>
        </w:r>
        <w:r w:rsidRPr="004839EB">
          <w:rPr>
            <w:rStyle w:val="PageNumber"/>
            <w:rFonts w:ascii="Montserrat Medium" w:hAnsi="Montserrat Medium"/>
            <w:noProof/>
            <w:sz w:val="20"/>
            <w:szCs w:val="20"/>
          </w:rPr>
          <w:t>1</w:t>
        </w:r>
        <w:r w:rsidRPr="004839EB">
          <w:rPr>
            <w:rStyle w:val="PageNumber"/>
            <w:rFonts w:ascii="Montserrat Medium" w:hAnsi="Montserrat Medium"/>
            <w:sz w:val="20"/>
            <w:szCs w:val="20"/>
          </w:rPr>
          <w:fldChar w:fldCharType="end"/>
        </w:r>
      </w:p>
    </w:sdtContent>
  </w:sdt>
  <w:p w14:paraId="172A8613" w14:textId="77777777" w:rsidR="004839EB" w:rsidRDefault="004839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7C9E" w14:textId="77777777" w:rsidR="007407F7" w:rsidRDefault="007407F7" w:rsidP="004839EB">
      <w:r>
        <w:separator/>
      </w:r>
    </w:p>
  </w:footnote>
  <w:footnote w:type="continuationSeparator" w:id="0">
    <w:p w14:paraId="4ED15173" w14:textId="77777777" w:rsidR="007407F7" w:rsidRDefault="007407F7" w:rsidP="00483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D6E6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285C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C3812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FA03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409F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743A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D2EE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20F4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2C41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D62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A564B"/>
    <w:multiLevelType w:val="hybridMultilevel"/>
    <w:tmpl w:val="8E3C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C02692"/>
    <w:multiLevelType w:val="hybridMultilevel"/>
    <w:tmpl w:val="EE6E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4372C"/>
    <w:multiLevelType w:val="hybridMultilevel"/>
    <w:tmpl w:val="9302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EB"/>
    <w:rsid w:val="00026C07"/>
    <w:rsid w:val="00196F0B"/>
    <w:rsid w:val="001B0F6F"/>
    <w:rsid w:val="0025057E"/>
    <w:rsid w:val="00280EB7"/>
    <w:rsid w:val="004832A3"/>
    <w:rsid w:val="004839EB"/>
    <w:rsid w:val="00490C85"/>
    <w:rsid w:val="004B1D08"/>
    <w:rsid w:val="004B7B37"/>
    <w:rsid w:val="004C2E86"/>
    <w:rsid w:val="004E7B74"/>
    <w:rsid w:val="00517B1F"/>
    <w:rsid w:val="005866B6"/>
    <w:rsid w:val="00651C48"/>
    <w:rsid w:val="00722BBA"/>
    <w:rsid w:val="007407F7"/>
    <w:rsid w:val="00762643"/>
    <w:rsid w:val="007E77D5"/>
    <w:rsid w:val="008001BC"/>
    <w:rsid w:val="008E0C83"/>
    <w:rsid w:val="00931A49"/>
    <w:rsid w:val="009C736B"/>
    <w:rsid w:val="009D4234"/>
    <w:rsid w:val="00A86393"/>
    <w:rsid w:val="00AC44C6"/>
    <w:rsid w:val="00B35DE5"/>
    <w:rsid w:val="00C23ED2"/>
    <w:rsid w:val="00CF09B9"/>
    <w:rsid w:val="00D066CC"/>
    <w:rsid w:val="00DA5CF0"/>
    <w:rsid w:val="00DB2DAD"/>
    <w:rsid w:val="00DF2665"/>
    <w:rsid w:val="00E83E62"/>
    <w:rsid w:val="00F973EC"/>
    <w:rsid w:val="00FA55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462A"/>
  <w14:defaultImageDpi w14:val="32767"/>
  <w15:chartTrackingRefBased/>
  <w15:docId w15:val="{96D5C9EB-C395-5E44-8A8F-93307108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9C736B"/>
    <w:pPr>
      <w:suppressAutoHyphens/>
      <w:autoSpaceDE w:val="0"/>
      <w:autoSpaceDN w:val="0"/>
      <w:adjustRightInd w:val="0"/>
      <w:spacing w:before="600" w:after="130" w:line="360" w:lineRule="atLeast"/>
      <w:textAlignment w:val="center"/>
      <w:outlineLvl w:val="1"/>
    </w:pPr>
    <w:rPr>
      <w:rFonts w:ascii="Calibri" w:hAnsi="Calibri" w:cs="Calibri"/>
      <w:b/>
      <w:bCs/>
      <w:color w:val="007EBC"/>
      <w:spacing w:val="2"/>
      <w:sz w:val="32"/>
      <w:szCs w:val="32"/>
    </w:rPr>
  </w:style>
  <w:style w:type="paragraph" w:styleId="Heading3">
    <w:name w:val="heading 3"/>
    <w:basedOn w:val="SubSubTitleREGULARTEXT"/>
    <w:next w:val="Normal"/>
    <w:link w:val="Heading3Char"/>
    <w:uiPriority w:val="9"/>
    <w:unhideWhenUsed/>
    <w:qFormat/>
    <w:rsid w:val="00196F0B"/>
    <w:pPr>
      <w:spacing w:before="360" w:after="130"/>
      <w:outlineLvl w:val="2"/>
    </w:pPr>
    <w:rPr>
      <w:b/>
      <w:bCs/>
      <w:color w:val="007EBC"/>
      <w:spacing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736B"/>
    <w:rPr>
      <w:rFonts w:ascii="Calibri" w:hAnsi="Calibri" w:cs="Calibri"/>
      <w:b/>
      <w:bCs/>
      <w:color w:val="007EBC"/>
      <w:spacing w:val="2"/>
      <w:sz w:val="32"/>
      <w:szCs w:val="32"/>
    </w:rPr>
  </w:style>
  <w:style w:type="paragraph" w:customStyle="1" w:styleId="HyperlinkedH3Title">
    <w:name w:val="Hyperlinked H3 Title"/>
    <w:basedOn w:val="Heading3"/>
    <w:qFormat/>
    <w:rsid w:val="004E7B74"/>
    <w:pPr>
      <w:numPr>
        <w:ilvl w:val="1"/>
      </w:numPr>
      <w:spacing w:after="120" w:line="260" w:lineRule="atLeast"/>
      <w:ind w:left="86" w:right="58"/>
    </w:pPr>
    <w:rPr>
      <w:rFonts w:ascii="Franklin Gothic Heavy" w:hAnsi="Franklin Gothic Heavy"/>
      <w:caps/>
      <w:color w:val="716A9D"/>
      <w:kern w:val="20"/>
      <w:szCs w:val="22"/>
      <w:u w:val="single"/>
      <w:lang w:eastAsia="ja-JP"/>
    </w:rPr>
  </w:style>
  <w:style w:type="character" w:customStyle="1" w:styleId="Heading3Char">
    <w:name w:val="Heading 3 Char"/>
    <w:basedOn w:val="DefaultParagraphFont"/>
    <w:link w:val="Heading3"/>
    <w:uiPriority w:val="9"/>
    <w:rsid w:val="00196F0B"/>
    <w:rPr>
      <w:rFonts w:ascii="Calibri" w:hAnsi="Calibri" w:cs="Calibri"/>
      <w:b/>
      <w:bCs/>
      <w:color w:val="007EBC"/>
      <w:sz w:val="26"/>
      <w:szCs w:val="26"/>
    </w:rPr>
  </w:style>
  <w:style w:type="paragraph" w:styleId="TOC1">
    <w:name w:val="toc 1"/>
    <w:aliases w:val="TOC 1 Demi"/>
    <w:autoRedefine/>
    <w:uiPriority w:val="39"/>
    <w:unhideWhenUsed/>
    <w:rsid w:val="004E7B74"/>
    <w:pPr>
      <w:tabs>
        <w:tab w:val="right" w:leader="dot" w:pos="9000"/>
      </w:tabs>
      <w:spacing w:before="120"/>
      <w:ind w:firstLine="1080"/>
    </w:pPr>
    <w:rPr>
      <w:rFonts w:ascii="Franklin Gothic Demi" w:eastAsiaTheme="minorEastAsia" w:hAnsi="Franklin Gothic Demi" w:cs="Times New Roman"/>
      <w:noProof/>
      <w:color w:val="7E599A"/>
      <w:spacing w:val="-5"/>
      <w:kern w:val="20"/>
      <w:sz w:val="22"/>
      <w:szCs w:val="22"/>
      <w:lang w:eastAsia="ja-JP"/>
    </w:rPr>
  </w:style>
  <w:style w:type="paragraph" w:customStyle="1" w:styleId="Boxed">
    <w:name w:val="Boxed"/>
    <w:qFormat/>
    <w:rsid w:val="00CF09B9"/>
    <w:pPr>
      <w:keepNext/>
      <w:keepLines/>
      <w:framePr w:w="8941" w:hSpace="144" w:vSpace="43" w:wrap="notBeside" w:vAnchor="text" w:hAnchor="page" w:x="1631" w:y="1121"/>
      <w:pBdr>
        <w:top w:val="single" w:sz="18" w:space="8" w:color="7E599A"/>
        <w:left w:val="single" w:sz="18" w:space="9" w:color="7E599A"/>
        <w:bottom w:val="single" w:sz="18" w:space="8" w:color="7E599A"/>
        <w:right w:val="single" w:sz="18" w:space="9" w:color="7E599A"/>
      </w:pBdr>
      <w:spacing w:after="120"/>
      <w:ind w:left="288" w:right="288"/>
    </w:pPr>
    <w:rPr>
      <w:rFonts w:ascii="Franklin Gothic Book" w:eastAsiaTheme="minorEastAsia" w:hAnsi="Franklin Gothic Book" w:cs="Times New Roman"/>
      <w:kern w:val="20"/>
      <w:sz w:val="22"/>
      <w:lang w:eastAsia="ja-JP"/>
    </w:rPr>
  </w:style>
  <w:style w:type="paragraph" w:customStyle="1" w:styleId="BODYTEXTITALICORBOLDINCHARACTERSTYLEREGULARTEXT">
    <w:name w:val="BODY TEXT (ITALIC OR BOLD IN CHARACTER STYLE) (REGULAR TEXT)"/>
    <w:basedOn w:val="Normal"/>
    <w:uiPriority w:val="99"/>
    <w:rsid w:val="004839EB"/>
    <w:pPr>
      <w:suppressAutoHyphens/>
      <w:autoSpaceDE w:val="0"/>
      <w:autoSpaceDN w:val="0"/>
      <w:adjustRightInd w:val="0"/>
      <w:spacing w:after="130" w:line="300" w:lineRule="atLeast"/>
      <w:jc w:val="both"/>
      <w:textAlignment w:val="center"/>
    </w:pPr>
    <w:rPr>
      <w:rFonts w:ascii="Calibri" w:hAnsi="Calibri" w:cs="Calibri"/>
      <w:color w:val="000000"/>
      <w:spacing w:val="1"/>
      <w:sz w:val="22"/>
      <w:szCs w:val="22"/>
    </w:rPr>
  </w:style>
  <w:style w:type="paragraph" w:customStyle="1" w:styleId="EXAMPLEREGULARTEXT">
    <w:name w:val="EXAMPLE (REGULAR TEXT)"/>
    <w:basedOn w:val="BODYTEXTITALICORBOLDINCHARACTERSTYLEREGULARTEXT"/>
    <w:uiPriority w:val="99"/>
    <w:rsid w:val="004839EB"/>
    <w:pPr>
      <w:tabs>
        <w:tab w:val="left" w:pos="1140"/>
      </w:tabs>
      <w:spacing w:line="280" w:lineRule="atLeast"/>
      <w:ind w:left="1120" w:hanging="1120"/>
      <w:jc w:val="left"/>
    </w:pPr>
  </w:style>
  <w:style w:type="paragraph" w:customStyle="1" w:styleId="SubSubTitleREGULARTEXT">
    <w:name w:val="Sub Sub Title (REGULAR TEXT)"/>
    <w:basedOn w:val="BODYTEXTITALICORBOLDINCHARACTERSTYLEREGULARTEXT"/>
    <w:uiPriority w:val="99"/>
    <w:rsid w:val="004839EB"/>
    <w:pPr>
      <w:spacing w:before="100" w:after="20" w:line="310" w:lineRule="atLeast"/>
      <w:jc w:val="left"/>
    </w:pPr>
    <w:rPr>
      <w:color w:val="009CDB"/>
      <w:sz w:val="25"/>
      <w:szCs w:val="25"/>
    </w:rPr>
  </w:style>
  <w:style w:type="paragraph" w:customStyle="1" w:styleId="BULLETEDLISTbasedonbodytextREGULARTEXT">
    <w:name w:val="BULLETED LIST (based on body text) (REGULAR TEXT)"/>
    <w:basedOn w:val="BODYTEXTITALICORBOLDINCHARACTERSTYLEREGULARTEXT"/>
    <w:uiPriority w:val="99"/>
    <w:rsid w:val="004839EB"/>
    <w:pPr>
      <w:spacing w:after="0"/>
      <w:ind w:left="160" w:hanging="160"/>
      <w:jc w:val="left"/>
    </w:pPr>
  </w:style>
  <w:style w:type="paragraph" w:customStyle="1" w:styleId="Box">
    <w:name w:val="Box #"/>
    <w:aliases w:val="(Orange) CHILD (BOX)"/>
    <w:basedOn w:val="Normal"/>
    <w:uiPriority w:val="99"/>
    <w:rsid w:val="004839EB"/>
    <w:pPr>
      <w:pBdr>
        <w:top w:val="single" w:sz="6" w:space="19" w:color="auto"/>
      </w:pBdr>
      <w:tabs>
        <w:tab w:val="left" w:pos="120"/>
      </w:tabs>
      <w:autoSpaceDE w:val="0"/>
      <w:autoSpaceDN w:val="0"/>
      <w:adjustRightInd w:val="0"/>
      <w:spacing w:after="40" w:line="220" w:lineRule="atLeast"/>
      <w:jc w:val="both"/>
      <w:textAlignment w:val="center"/>
    </w:pPr>
    <w:rPr>
      <w:rFonts w:ascii="The Sans Bold-" w:hAnsi="The Sans Bold-" w:cs="The Sans Bold-"/>
      <w:b/>
      <w:bCs/>
      <w:caps/>
      <w:color w:val="F15C22"/>
      <w:spacing w:val="3"/>
      <w:sz w:val="17"/>
      <w:szCs w:val="17"/>
    </w:rPr>
  </w:style>
  <w:style w:type="character" w:styleId="FootnoteReference">
    <w:name w:val="footnote reference"/>
    <w:basedOn w:val="DefaultParagraphFont"/>
    <w:uiPriority w:val="99"/>
    <w:rsid w:val="004839EB"/>
    <w:rPr>
      <w:position w:val="6"/>
      <w:sz w:val="14"/>
      <w:szCs w:val="14"/>
    </w:rPr>
  </w:style>
  <w:style w:type="character" w:styleId="Hyperlink">
    <w:name w:val="Hyperlink"/>
    <w:uiPriority w:val="99"/>
    <w:rsid w:val="00651C48"/>
    <w:rPr>
      <w:rFonts w:ascii="Calibri" w:hAnsi="Calibri" w:cs="Calibri"/>
      <w:color w:val="007EBC"/>
      <w:sz w:val="22"/>
      <w:szCs w:val="20"/>
      <w:u w:val="single"/>
    </w:rPr>
  </w:style>
  <w:style w:type="paragraph" w:styleId="Header">
    <w:name w:val="header"/>
    <w:basedOn w:val="Normal"/>
    <w:link w:val="HeaderChar"/>
    <w:uiPriority w:val="99"/>
    <w:unhideWhenUsed/>
    <w:rsid w:val="004839EB"/>
    <w:pPr>
      <w:tabs>
        <w:tab w:val="center" w:pos="4680"/>
        <w:tab w:val="right" w:pos="9360"/>
      </w:tabs>
    </w:pPr>
  </w:style>
  <w:style w:type="character" w:customStyle="1" w:styleId="HeaderChar">
    <w:name w:val="Header Char"/>
    <w:basedOn w:val="DefaultParagraphFont"/>
    <w:link w:val="Header"/>
    <w:uiPriority w:val="99"/>
    <w:rsid w:val="004839EB"/>
  </w:style>
  <w:style w:type="paragraph" w:styleId="Footer">
    <w:name w:val="footer"/>
    <w:basedOn w:val="Normal"/>
    <w:link w:val="FooterChar"/>
    <w:uiPriority w:val="99"/>
    <w:unhideWhenUsed/>
    <w:rsid w:val="004839EB"/>
    <w:pPr>
      <w:tabs>
        <w:tab w:val="center" w:pos="4680"/>
        <w:tab w:val="right" w:pos="9360"/>
      </w:tabs>
    </w:pPr>
  </w:style>
  <w:style w:type="character" w:customStyle="1" w:styleId="FooterChar">
    <w:name w:val="Footer Char"/>
    <w:basedOn w:val="DefaultParagraphFont"/>
    <w:link w:val="Footer"/>
    <w:uiPriority w:val="99"/>
    <w:rsid w:val="004839EB"/>
  </w:style>
  <w:style w:type="character" w:styleId="PageNumber">
    <w:name w:val="page number"/>
    <w:basedOn w:val="DefaultParagraphFont"/>
    <w:uiPriority w:val="99"/>
    <w:semiHidden/>
    <w:unhideWhenUsed/>
    <w:rsid w:val="004839EB"/>
  </w:style>
  <w:style w:type="paragraph" w:styleId="EndnoteText">
    <w:name w:val="endnote text"/>
    <w:basedOn w:val="Normal"/>
    <w:link w:val="EndnoteTextChar"/>
    <w:uiPriority w:val="99"/>
    <w:unhideWhenUsed/>
    <w:rsid w:val="00196F0B"/>
    <w:pPr>
      <w:spacing w:after="120"/>
      <w:ind w:left="-86" w:hanging="360"/>
    </w:pPr>
    <w:rPr>
      <w:sz w:val="20"/>
      <w:szCs w:val="20"/>
    </w:rPr>
  </w:style>
  <w:style w:type="character" w:customStyle="1" w:styleId="EndnoteTextChar">
    <w:name w:val="Endnote Text Char"/>
    <w:basedOn w:val="DefaultParagraphFont"/>
    <w:link w:val="EndnoteText"/>
    <w:uiPriority w:val="99"/>
    <w:rsid w:val="00196F0B"/>
    <w:rPr>
      <w:sz w:val="20"/>
      <w:szCs w:val="20"/>
    </w:rPr>
  </w:style>
  <w:style w:type="character" w:styleId="EndnoteReference">
    <w:name w:val="endnote reference"/>
    <w:basedOn w:val="DefaultParagraphFont"/>
    <w:uiPriority w:val="99"/>
    <w:unhideWhenUsed/>
    <w:rsid w:val="005866B6"/>
    <w:rPr>
      <w:vertAlign w:val="superscript"/>
    </w:rPr>
  </w:style>
  <w:style w:type="paragraph" w:customStyle="1" w:styleId="BasicParagraph">
    <w:name w:val="[Basic Paragraph]"/>
    <w:basedOn w:val="Normal"/>
    <w:uiPriority w:val="99"/>
    <w:rsid w:val="005866B6"/>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rsid w:val="005866B6"/>
    <w:rPr>
      <w:color w:val="605E5C"/>
      <w:shd w:val="clear" w:color="auto" w:fill="E1DFDD"/>
    </w:rPr>
  </w:style>
  <w:style w:type="character" w:styleId="FollowedHyperlink">
    <w:name w:val="FollowedHyperlink"/>
    <w:basedOn w:val="DefaultParagraphFont"/>
    <w:uiPriority w:val="99"/>
    <w:semiHidden/>
    <w:unhideWhenUsed/>
    <w:rsid w:val="005866B6"/>
    <w:rPr>
      <w:color w:val="954F72" w:themeColor="followedHyperlink"/>
      <w:u w:val="single"/>
    </w:rPr>
  </w:style>
  <w:style w:type="character" w:customStyle="1" w:styleId="A11">
    <w:name w:val="A11"/>
    <w:uiPriority w:val="99"/>
    <w:rsid w:val="00651C48"/>
    <w:rPr>
      <w:color w:val="000000"/>
    </w:rPr>
  </w:style>
  <w:style w:type="character" w:customStyle="1" w:styleId="A12">
    <w:name w:val="A12"/>
    <w:uiPriority w:val="99"/>
    <w:rsid w:val="00651C48"/>
    <w:rPr>
      <w:color w:val="007DBC"/>
      <w:sz w:val="15"/>
      <w:szCs w:val="1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omenenabled.org/wei-unfpa-guidelin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women.org/en/digital-library/publications/2015/12/essential-services-package-for-women-and-girls-subject-to-viole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menenabled.org/pdfs/UN%20Women%20and%20WEI%20COVID-19%2C%20Gender%2C%20and%20Disability%20Checklist%20-%20Preventing%20GBV.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nwomen.org/en/digital-library/publications/2020/04/series-evaw-covid-19-brief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sddirect.org.uk/media/1889/gbv-aor-research-query_covid-19-disability-gbv_final-version.pdf" TargetMode="External"/><Relationship Id="rId3" Type="http://schemas.openxmlformats.org/officeDocument/2006/relationships/hyperlink" Target="https://www.hrc.org/resources/glossary-of-terms?utm_source=GS&amp;utm_medium=AD&amp;utm_campaign=BPI-HRC-Grant&amp;utm_content=454853592927&amp;utm_term=lgbt%20definition&amp;gclid=Cj0KCQiAvvKBBhCXARIsACTePW-cHrQEQk0ockKXIUklmDzb__pARvs_nQeD-vN6vlFUjinbddeTHzgaAotsEALw_wcB" TargetMode="External"/><Relationship Id="rId7" Type="http://schemas.openxmlformats.org/officeDocument/2006/relationships/hyperlink" Target="https://www.unwomen.org/-/media/headquarters/attachments/sections/library/publications/2020/issue-brief-covid-19-and-ending-violence-against-women-and-girls-en.pdf?la=en&amp;vs=5006" TargetMode="External"/><Relationship Id="rId12" Type="http://schemas.openxmlformats.org/officeDocument/2006/relationships/hyperlink" Target="https://www.unwomen.org/en/digital-library/publications/2020/06/policy-brief-covid-19-and-violence-against-women-and-girls-addressing-the-shadow-pandemic" TargetMode="External"/><Relationship Id="rId2" Type="http://schemas.openxmlformats.org/officeDocument/2006/relationships/hyperlink" Target="http://www.who.int/health-topics/gender" TargetMode="External"/><Relationship Id="rId1" Type="http://schemas.openxmlformats.org/officeDocument/2006/relationships/hyperlink" Target="https://www.unwomen.org/en/what-we-do/ending-violence-against-women/faqs/types-of-violence" TargetMode="External"/><Relationship Id="rId6" Type="http://schemas.openxmlformats.org/officeDocument/2006/relationships/hyperlink" Target="https://www.unfpa.org/featured-publication/women-and-young-persons-disabilities" TargetMode="External"/><Relationship Id="rId11" Type="http://schemas.openxmlformats.org/officeDocument/2006/relationships/hyperlink" Target="https://www.unwomen.org/en/digital-library/publications/2020/06/policy-brief-covid-19-and-violence-against-women-and-girls-addressing-the-shadow-pandemic" TargetMode="External"/><Relationship Id="rId5" Type="http://schemas.openxmlformats.org/officeDocument/2006/relationships/hyperlink" Target="https://www.unwomen.org/en/what-we-do/ending-violence-against-women/faqs/types-of-violence" TargetMode="External"/><Relationship Id="rId10" Type="http://schemas.openxmlformats.org/officeDocument/2006/relationships/hyperlink" Target="https://womenenabled.org/fact-sheets.html" TargetMode="External"/><Relationship Id="rId4" Type="http://schemas.openxmlformats.org/officeDocument/2006/relationships/hyperlink" Target="https://www.coe.int/en/web/gender-matters/what-is-gender-based-violence" TargetMode="External"/><Relationship Id="rId9" Type="http://schemas.openxmlformats.org/officeDocument/2006/relationships/hyperlink" Target="https://www.unfpa.org/essential-services-package-women-and-girls-subject-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9C0EB-49F0-9E4E-9CDF-613B1D106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Pace</dc:creator>
  <cp:keywords/>
  <dc:description/>
  <cp:lastModifiedBy>Amy Pace</cp:lastModifiedBy>
  <cp:revision>2</cp:revision>
  <dcterms:created xsi:type="dcterms:W3CDTF">2021-07-19T21:47:00Z</dcterms:created>
  <dcterms:modified xsi:type="dcterms:W3CDTF">2021-07-19T21:47:00Z</dcterms:modified>
</cp:coreProperties>
</file>