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6394" w14:textId="1311446B" w:rsidR="00BD0978" w:rsidRPr="00635709" w:rsidRDefault="00F25999" w:rsidP="00841CE6">
      <w:pPr>
        <w:rPr>
          <w:sz w:val="21"/>
        </w:rPr>
      </w:pPr>
      <w:r w:rsidRPr="00635709">
        <w:rPr>
          <w:rFonts w:ascii="Franklin Gothic Heavy" w:hAnsi="Franklin Gothic Heavy" w:cs="Franklin Gothic Heavy"/>
          <w:noProof/>
          <w:color w:val="1C3882"/>
          <w:spacing w:val="-3"/>
          <w:sz w:val="36"/>
          <w:szCs w:val="36"/>
        </w:rPr>
        <mc:AlternateContent>
          <mc:Choice Requires="wps">
            <w:drawing>
              <wp:anchor distT="0" distB="0" distL="114300" distR="114300" simplePos="0" relativeHeight="251686912" behindDoc="0" locked="0" layoutInCell="1" allowOverlap="1" wp14:anchorId="604A5D8E" wp14:editId="642D46DD">
                <wp:simplePos x="0" y="0"/>
                <wp:positionH relativeFrom="column">
                  <wp:posOffset>497840</wp:posOffset>
                </wp:positionH>
                <wp:positionV relativeFrom="paragraph">
                  <wp:posOffset>17780</wp:posOffset>
                </wp:positionV>
                <wp:extent cx="4969510" cy="975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9510" cy="975360"/>
                        </a:xfrm>
                        <a:prstGeom prst="rect">
                          <a:avLst/>
                        </a:prstGeom>
                        <a:noFill/>
                        <a:ln w="6350">
                          <a:noFill/>
                        </a:ln>
                      </wps:spPr>
                      <wps:txbx>
                        <w:txbxContent>
                          <w:p w14:paraId="08F9AD04" w14:textId="77777777" w:rsidR="00CC3424" w:rsidRPr="00BD0978" w:rsidRDefault="00CC3424" w:rsidP="00B96DF3">
                            <w:pPr>
                              <w:snapToGrid w:val="0"/>
                              <w:spacing w:before="0" w:after="0" w:line="240" w:lineRule="auto"/>
                              <w:ind w:left="18"/>
                              <w:rPr>
                                <w:rFonts w:ascii="Century Gothic" w:hAnsi="Century Gothic" w:cs="Century Gothic"/>
                                <w:b/>
                                <w:bCs/>
                                <w:color w:val="B7A0CB"/>
                                <w:spacing w:val="-5"/>
                                <w:w w:val="98"/>
                              </w:rPr>
                            </w:pPr>
                            <w:r w:rsidRPr="00BD0978">
                              <w:rPr>
                                <w:rFonts w:ascii="Century Gothic" w:hAnsi="Century Gothic" w:cs="Century Gothic"/>
                                <w:b/>
                                <w:bCs/>
                                <w:color w:val="B7A0CB"/>
                                <w:spacing w:val="-5"/>
                                <w:w w:val="98"/>
                              </w:rPr>
                              <w:t xml:space="preserve">Women Enabled International </w:t>
                            </w:r>
                          </w:p>
                          <w:p w14:paraId="6D6F1E22" w14:textId="5F29DB22" w:rsidR="00CC3424" w:rsidRPr="00BD0978" w:rsidRDefault="00CC3424" w:rsidP="00B96DF3">
                            <w:pPr>
                              <w:snapToGrid w:val="0"/>
                              <w:spacing w:before="0" w:after="0" w:line="240" w:lineRule="auto"/>
                              <w:ind w:left="18"/>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96DF3">
                              <w:rPr>
                                <w:rFonts w:ascii="Futura Md BT" w:hAnsi="Futura Md BT" w:cs="Futura Md BT"/>
                                <w:caps/>
                                <w:color w:val="FFFFFF" w:themeColor="background1"/>
                                <w:spacing w:val="-10"/>
                                <w:sz w:val="40"/>
                                <w:szCs w:val="40"/>
                                <w14:textOutline w14:w="9525" w14:cap="flat" w14:cmpd="sng" w14:algn="ctr">
                                  <w14:noFill/>
                                  <w14:prstDash w14:val="solid"/>
                                  <w14:round/>
                                </w14:textOutline>
                              </w:rPr>
                              <w:t>ability</w:t>
                            </w:r>
                            <w:r w:rsidR="00B96DF3" w:rsidRPr="00B96DF3">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00B96DF3" w:rsidRPr="00B96DF3">
                              <w:rPr>
                                <w:rFonts w:ascii="DIN Condensed" w:hAnsi="DIN Condensed" w:cs="DIN Condensed"/>
                                <w:b/>
                                <w:bCs/>
                                <w:color w:val="B7A0CB"/>
                                <w:spacing w:val="5"/>
                                <w:w w:val="105"/>
                                <w:sz w:val="40"/>
                                <w:szCs w:val="40"/>
                                <w14:textOutline w14:w="9525" w14:cap="flat" w14:cmpd="sng" w14:algn="ctr">
                                  <w14:noFill/>
                                  <w14:prstDash w14:val="solid"/>
                                  <w14:round/>
                                </w14:textOutline>
                              </w:rPr>
                              <w:t>toolkit</w:t>
                            </w:r>
                          </w:p>
                          <w:p w14:paraId="77110642" w14:textId="6AC23BCE" w:rsidR="00CC3424" w:rsidRPr="00B96DF3" w:rsidRDefault="00CC3424" w:rsidP="00B96DF3">
                            <w:pPr>
                              <w:snapToGrid w:val="0"/>
                              <w:spacing w:before="0" w:after="0" w:line="400" w:lineRule="exact"/>
                              <w:ind w:left="0"/>
                              <w:rPr>
                                <w:rFonts w:ascii="DIN Condensed" w:hAnsi="DIN Condensed" w:cs="DIN Condensed"/>
                                <w:color w:val="FFFFFF" w:themeColor="background1"/>
                                <w:spacing w:val="6"/>
                                <w:w w:val="106"/>
                                <w:position w:val="8"/>
                                <w:sz w:val="52"/>
                                <w:szCs w:val="52"/>
                                <w14:textOutline w14:w="9525" w14:cap="flat" w14:cmpd="sng" w14:algn="ctr">
                                  <w14:noFill/>
                                  <w14:prstDash w14:val="solid"/>
                                  <w14:round/>
                                </w14:textOutline>
                              </w:rPr>
                            </w:pPr>
                            <w:r w:rsidRPr="00B96DF3">
                              <w:rPr>
                                <w:rFonts w:ascii="DIN Condensed" w:hAnsi="DIN Condensed" w:cs="DIN Condensed" w:hint="eastAsia"/>
                                <w:color w:val="FFFFFF" w:themeColor="background1"/>
                                <w:spacing w:val="6"/>
                                <w:w w:val="106"/>
                                <w:position w:val="8"/>
                                <w:sz w:val="52"/>
                                <w:szCs w:val="52"/>
                                <w14:textOutline w14:w="9525" w14:cap="flat" w14:cmpd="sng" w14:algn="ctr">
                                  <w14:noFill/>
                                  <w14:prstDash w14:val="solid"/>
                                  <w14:round/>
                                </w14:textOutline>
                              </w:rPr>
                              <w:t xml:space="preserve">African </w:t>
                            </w:r>
                            <w:r w:rsidRPr="00B96DF3">
                              <w:rPr>
                                <w:rFonts w:ascii="DIN Condensed" w:hAnsi="DIN Condensed" w:cs="DIN Condensed"/>
                                <w:color w:val="FFFFFF" w:themeColor="background1"/>
                                <w:spacing w:val="6"/>
                                <w:w w:val="106"/>
                                <w:position w:val="8"/>
                                <w:sz w:val="52"/>
                                <w:szCs w:val="52"/>
                                <w14:textOutline w14:w="9525" w14:cap="flat" w14:cmpd="sng" w14:algn="ctr">
                                  <w14:noFill/>
                                  <w14:prstDash w14:val="solid"/>
                                  <w14:round/>
                                </w14:textOutline>
                              </w:rPr>
                              <w:t>Human Rights System</w:t>
                            </w:r>
                            <w:r w:rsidRPr="00B96DF3">
                              <w:rPr>
                                <w:rFonts w:ascii="DIN Condensed" w:hAnsi="DIN Condensed" w:cs="DIN Condensed" w:hint="eastAsia"/>
                                <w:color w:val="FFFFFF" w:themeColor="background1"/>
                                <w:spacing w:val="6"/>
                                <w:w w:val="106"/>
                                <w:position w:val="8"/>
                                <w:sz w:val="52"/>
                                <w:szCs w:val="52"/>
                                <w14:textOutline w14:w="9525" w14:cap="flat" w14:cmpd="sng" w14:algn="ctr">
                                  <w14:noFill/>
                                  <w14:prstDash w14:val="solid"/>
                                  <w14:round/>
                                </w14:textOutline>
                              </w:rPr>
                              <w:t xml:space="preserve">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4A5D8E" id="_x0000_t202" coordsize="21600,21600" o:spt="202" path="m,l,21600r21600,l21600,xe">
                <v:stroke joinstyle="miter"/>
                <v:path gradientshapeok="t" o:connecttype="rect"/>
              </v:shapetype>
              <v:shape id="Text Box 2" o:spid="_x0000_s1026" type="#_x0000_t202" style="position:absolute;left:0;text-align:left;margin-left:39.2pt;margin-top:1.4pt;width:391.3pt;height:7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" filled="f" stroked="f" strokeweight=".5pt">
                <v:textbox>
                  <w:txbxContent>
                    <w:p w14:paraId="08F9AD04" w14:textId="77777777" w:rsidR="00CC3424" w:rsidRPr="00BD0978" w:rsidRDefault="00CC3424" w:rsidP="00B96DF3">
                      <w:pPr>
                        <w:snapToGrid w:val="0"/>
                        <w:spacing w:before="0" w:after="0" w:line="240" w:lineRule="auto"/>
                        <w:ind w:left="18"/>
                        <w:rPr>
                          <w:rFonts w:ascii="Century Gothic" w:hAnsi="Century Gothic" w:cs="Century Gothic"/>
                          <w:b/>
                          <w:bCs/>
                          <w:color w:val="B7A0CB"/>
                          <w:spacing w:val="-5"/>
                          <w:w w:val="98"/>
                        </w:rPr>
                      </w:pPr>
                      <w:r w:rsidRPr="00BD0978">
                        <w:rPr>
                          <w:rFonts w:ascii="Century Gothic" w:hAnsi="Century Gothic" w:cs="Century Gothic"/>
                          <w:b/>
                          <w:bCs/>
                          <w:color w:val="B7A0CB"/>
                          <w:spacing w:val="-5"/>
                          <w:w w:val="98"/>
                        </w:rPr>
                        <w:t xml:space="preserve">Women Enabled International </w:t>
                      </w:r>
                    </w:p>
                    <w:p w14:paraId="6D6F1E22" w14:textId="5F29DB22" w:rsidR="00CC3424" w:rsidRPr="00BD0978" w:rsidRDefault="00CC3424" w:rsidP="00B96DF3">
                      <w:pPr>
                        <w:snapToGrid w:val="0"/>
                        <w:spacing w:before="0" w:after="0" w:line="240" w:lineRule="auto"/>
                        <w:ind w:left="18"/>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96DF3">
                        <w:rPr>
                          <w:rFonts w:ascii="Futura Md BT" w:hAnsi="Futura Md BT" w:cs="Futura Md BT"/>
                          <w:caps/>
                          <w:color w:val="FFFFFF" w:themeColor="background1"/>
                          <w:spacing w:val="-10"/>
                          <w:sz w:val="40"/>
                          <w:szCs w:val="40"/>
                          <w14:textOutline w14:w="9525" w14:cap="flat" w14:cmpd="sng" w14:algn="ctr">
                            <w14:noFill/>
                            <w14:prstDash w14:val="solid"/>
                            <w14:round/>
                          </w14:textOutline>
                        </w:rPr>
                        <w:t>ability</w:t>
                      </w:r>
                      <w:r w:rsidR="00B96DF3" w:rsidRPr="00B96DF3">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00B96DF3" w:rsidRPr="00B96DF3">
                        <w:rPr>
                          <w:rFonts w:ascii="DIN Condensed" w:hAnsi="DIN Condensed" w:cs="DIN Condensed"/>
                          <w:b/>
                          <w:bCs/>
                          <w:color w:val="B7A0CB"/>
                          <w:spacing w:val="5"/>
                          <w:w w:val="105"/>
                          <w:sz w:val="40"/>
                          <w:szCs w:val="40"/>
                          <w14:textOutline w14:w="9525" w14:cap="flat" w14:cmpd="sng" w14:algn="ctr">
                            <w14:noFill/>
                            <w14:prstDash w14:val="solid"/>
                            <w14:round/>
                          </w14:textOutline>
                        </w:rPr>
                        <w:t>toolkit</w:t>
                      </w:r>
                    </w:p>
                    <w:p w14:paraId="77110642" w14:textId="6AC23BCE" w:rsidR="00CC3424" w:rsidRPr="00B96DF3" w:rsidRDefault="00CC3424" w:rsidP="00B96DF3">
                      <w:pPr>
                        <w:snapToGrid w:val="0"/>
                        <w:spacing w:before="0" w:after="0" w:line="400" w:lineRule="exact"/>
                        <w:ind w:left="0"/>
                        <w:rPr>
                          <w:rFonts w:ascii="DIN Condensed" w:hAnsi="DIN Condensed" w:cs="DIN Condensed"/>
                          <w:color w:val="FFFFFF" w:themeColor="background1"/>
                          <w:spacing w:val="6"/>
                          <w:w w:val="106"/>
                          <w:position w:val="8"/>
                          <w:sz w:val="52"/>
                          <w:szCs w:val="52"/>
                          <w14:textOutline w14:w="9525" w14:cap="flat" w14:cmpd="sng" w14:algn="ctr">
                            <w14:noFill/>
                            <w14:prstDash w14:val="solid"/>
                            <w14:round/>
                          </w14:textOutline>
                        </w:rPr>
                      </w:pPr>
                      <w:r w:rsidRPr="00B96DF3">
                        <w:rPr>
                          <w:rFonts w:ascii="DIN Condensed" w:hAnsi="DIN Condensed" w:cs="DIN Condensed" w:hint="eastAsia"/>
                          <w:color w:val="FFFFFF" w:themeColor="background1"/>
                          <w:spacing w:val="6"/>
                          <w:w w:val="106"/>
                          <w:position w:val="8"/>
                          <w:sz w:val="52"/>
                          <w:szCs w:val="52"/>
                          <w14:textOutline w14:w="9525" w14:cap="flat" w14:cmpd="sng" w14:algn="ctr">
                            <w14:noFill/>
                            <w14:prstDash w14:val="solid"/>
                            <w14:round/>
                          </w14:textOutline>
                        </w:rPr>
                        <w:t xml:space="preserve">African </w:t>
                      </w:r>
                      <w:r w:rsidRPr="00B96DF3">
                        <w:rPr>
                          <w:rFonts w:ascii="DIN Condensed" w:hAnsi="DIN Condensed" w:cs="DIN Condensed"/>
                          <w:color w:val="FFFFFF" w:themeColor="background1"/>
                          <w:spacing w:val="6"/>
                          <w:w w:val="106"/>
                          <w:position w:val="8"/>
                          <w:sz w:val="52"/>
                          <w:szCs w:val="52"/>
                          <w14:textOutline w14:w="9525" w14:cap="flat" w14:cmpd="sng" w14:algn="ctr">
                            <w14:noFill/>
                            <w14:prstDash w14:val="solid"/>
                            <w14:round/>
                          </w14:textOutline>
                        </w:rPr>
                        <w:t>Human Rights System</w:t>
                      </w:r>
                      <w:r w:rsidRPr="00B96DF3">
                        <w:rPr>
                          <w:rFonts w:ascii="DIN Condensed" w:hAnsi="DIN Condensed" w:cs="DIN Condensed" w:hint="eastAsia"/>
                          <w:color w:val="FFFFFF" w:themeColor="background1"/>
                          <w:spacing w:val="6"/>
                          <w:w w:val="106"/>
                          <w:position w:val="8"/>
                          <w:sz w:val="52"/>
                          <w:szCs w:val="52"/>
                          <w14:textOutline w14:w="9525" w14:cap="flat" w14:cmpd="sng" w14:algn="ctr">
                            <w14:noFill/>
                            <w14:prstDash w14:val="solid"/>
                            <w14:round/>
                          </w14:textOutline>
                        </w:rPr>
                        <w:t xml:space="preserve"> Fact Sheet</w:t>
                      </w:r>
                    </w:p>
                  </w:txbxContent>
                </v:textbox>
              </v:shape>
            </w:pict>
          </mc:Fallback>
        </mc:AlternateContent>
      </w:r>
      <w:r w:rsidR="00B96DF3" w:rsidRPr="00635709">
        <w:rPr>
          <w:noProof/>
        </w:rPr>
        <w:drawing>
          <wp:anchor distT="0" distB="0" distL="114300" distR="114300" simplePos="0" relativeHeight="251674624" behindDoc="1" locked="0" layoutInCell="1" allowOverlap="1" wp14:anchorId="553EC1F6" wp14:editId="27971A47">
            <wp:simplePos x="0" y="0"/>
            <wp:positionH relativeFrom="page">
              <wp:posOffset>447040</wp:posOffset>
            </wp:positionH>
            <wp:positionV relativeFrom="page">
              <wp:posOffset>481574</wp:posOffset>
            </wp:positionV>
            <wp:extent cx="6873525" cy="901845"/>
            <wp:effectExtent l="0" t="0" r="0" b="0"/>
            <wp:wrapNone/>
            <wp:docPr id="1" name="Picture 1" descr="The Women Enabled International logo: The female symbol and the letters WE, on a purple header. The continent of Africa is shown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 Facts template header.pdf"/>
                    <pic:cNvPicPr/>
                  </pic:nvPicPr>
                  <pic:blipFill>
                    <a:blip r:embed="rId7">
                      <a:extLst>
                        <a:ext uri="{28A0092B-C50C-407E-A947-70E740481C1C}">
                          <a14:useLocalDpi xmlns:a14="http://schemas.microsoft.com/office/drawing/2010/main" val="0"/>
                        </a:ext>
                      </a:extLst>
                    </a:blip>
                    <a:stretch>
                      <a:fillRect/>
                    </a:stretch>
                  </pic:blipFill>
                  <pic:spPr>
                    <a:xfrm>
                      <a:off x="0" y="0"/>
                      <a:ext cx="6873525" cy="901845"/>
                    </a:xfrm>
                    <a:prstGeom prst="rect">
                      <a:avLst/>
                    </a:prstGeom>
                  </pic:spPr>
                </pic:pic>
              </a:graphicData>
            </a:graphic>
            <wp14:sizeRelH relativeFrom="page">
              <wp14:pctWidth>0</wp14:pctWidth>
            </wp14:sizeRelH>
            <wp14:sizeRelV relativeFrom="page">
              <wp14:pctHeight>0</wp14:pctHeight>
            </wp14:sizeRelV>
          </wp:anchor>
        </w:drawing>
      </w:r>
    </w:p>
    <w:p w14:paraId="123EF158" w14:textId="37212C41" w:rsidR="00BD0978" w:rsidRPr="00635709" w:rsidRDefault="00BD0978" w:rsidP="00841CE6">
      <w:pPr>
        <w:rPr>
          <w:sz w:val="21"/>
        </w:rPr>
      </w:pPr>
    </w:p>
    <w:p w14:paraId="5FDA0141" w14:textId="16D7CDB7" w:rsidR="000A5E0B" w:rsidRPr="00635709" w:rsidRDefault="000A5E0B" w:rsidP="00841CE6">
      <w:pPr>
        <w:rPr>
          <w:sz w:val="21"/>
        </w:rPr>
      </w:pPr>
    </w:p>
    <w:p w14:paraId="42C13F80" w14:textId="65FB2A22" w:rsidR="000A5E0B" w:rsidRPr="00635709" w:rsidRDefault="000A5E0B" w:rsidP="00841CE6">
      <w:pPr>
        <w:rPr>
          <w:sz w:val="21"/>
        </w:rPr>
      </w:pPr>
    </w:p>
    <w:p w14:paraId="78BDBC4C" w14:textId="77777777" w:rsidR="009874C7" w:rsidRPr="00635709" w:rsidRDefault="009874C7" w:rsidP="00AA5E79">
      <w:pPr>
        <w:pStyle w:val="Heading2"/>
        <w:pBdr>
          <w:bottom w:val="single" w:sz="18" w:space="2" w:color="133D8F"/>
        </w:pBdr>
        <w:spacing w:before="240"/>
        <w:rPr>
          <w:spacing w:val="-2"/>
        </w:rPr>
      </w:pPr>
      <w:r w:rsidRPr="00635709">
        <w:rPr>
          <w:spacing w:val="-2"/>
        </w:rPr>
        <w:t>Overview</w:t>
      </w:r>
    </w:p>
    <w:p w14:paraId="37F71F71" w14:textId="7F64844F" w:rsidR="009874C7" w:rsidRPr="00635709" w:rsidRDefault="009874C7" w:rsidP="00F25999">
      <w:pPr>
        <w:rPr>
          <w:spacing w:val="-2"/>
        </w:rPr>
      </w:pPr>
      <w:r w:rsidRPr="00635709">
        <w:rPr>
          <w:spacing w:val="-2"/>
        </w:rPr>
        <w:t xml:space="preserve">The African human rights system is composed of several human rights treaties—or agreements between the African Union member states—and the mechanisms that monitor compliance with these treaties. </w:t>
      </w:r>
      <w:r w:rsidR="00F25999" w:rsidRPr="00635709">
        <w:rPr>
          <w:spacing w:val="-2"/>
        </w:rPr>
        <w:br/>
      </w:r>
    </w:p>
    <w:p w14:paraId="1E7E169B" w14:textId="77777777" w:rsidR="009874C7" w:rsidRPr="00635709" w:rsidRDefault="009874C7" w:rsidP="00404998">
      <w:pPr>
        <w:pStyle w:val="Heading2"/>
        <w:pBdr>
          <w:bottom w:val="single" w:sz="18" w:space="2" w:color="133D8F"/>
        </w:pBdr>
        <w:rPr>
          <w:spacing w:val="-2"/>
        </w:rPr>
      </w:pPr>
      <w:r w:rsidRPr="00635709">
        <w:rPr>
          <w:spacing w:val="-2"/>
        </w:rPr>
        <w:t xml:space="preserve">African Regional Human Rights Treaties </w:t>
      </w:r>
    </w:p>
    <w:p w14:paraId="66360901" w14:textId="77777777" w:rsidR="009874C7" w:rsidRPr="00141647" w:rsidRDefault="003C3B49" w:rsidP="00F25999">
      <w:pPr>
        <w:pStyle w:val="secondaryheader"/>
      </w:pPr>
      <w:hyperlink r:id="rId8" w:history="1">
        <w:r w:rsidR="009874C7" w:rsidRPr="00141647">
          <w:t>African Charter on Human and Peoples’</w:t>
        </w:r>
        <w:r w:rsidR="009874C7" w:rsidRPr="00141647">
          <w:rPr>
            <w:rFonts w:hint="eastAsia"/>
          </w:rPr>
          <w:t xml:space="preserve"> Rights</w:t>
        </w:r>
        <w:r w:rsidR="009874C7" w:rsidRPr="00141647">
          <w:t xml:space="preserve"> (Banjul Charter)</w:t>
        </w:r>
      </w:hyperlink>
    </w:p>
    <w:p w14:paraId="42045D41" w14:textId="77777777" w:rsidR="009874C7" w:rsidRPr="00635709" w:rsidRDefault="009874C7" w:rsidP="00F25999">
      <w:pPr>
        <w:pStyle w:val="PageOneTightList"/>
        <w:ind w:left="270" w:right="-18" w:hanging="180"/>
      </w:pPr>
      <w:r w:rsidRPr="00635709">
        <w:t xml:space="preserve">The Banjul Charter protects both </w:t>
      </w:r>
      <w:r w:rsidRPr="00490619">
        <w:rPr>
          <w:rFonts w:ascii="Franklin Gothic Medium" w:hAnsi="Franklin Gothic Medium"/>
        </w:rPr>
        <w:t>civil and political rights</w:t>
      </w:r>
      <w:r w:rsidRPr="00635709">
        <w:t xml:space="preserve"> and </w:t>
      </w:r>
      <w:r w:rsidRPr="00490619">
        <w:rPr>
          <w:rFonts w:ascii="Franklin Gothic Medium" w:hAnsi="Franklin Gothic Medium"/>
        </w:rPr>
        <w:t>economic, social, and cultural rights</w:t>
      </w:r>
      <w:r w:rsidRPr="00635709">
        <w:t xml:space="preserve">. </w:t>
      </w:r>
    </w:p>
    <w:p w14:paraId="3C7A640D" w14:textId="04C993EB" w:rsidR="009874C7" w:rsidRPr="00635709" w:rsidRDefault="00490619" w:rsidP="00F25999">
      <w:pPr>
        <w:pStyle w:val="PageOneTightList"/>
        <w:ind w:left="270" w:right="-18" w:hanging="180"/>
      </w:pPr>
      <w:r>
        <w:t xml:space="preserve">It also recognizes </w:t>
      </w:r>
      <w:r w:rsidRPr="00490619">
        <w:rPr>
          <w:rFonts w:ascii="Franklin Gothic Medium" w:hAnsi="Franklin Gothic Medium"/>
        </w:rPr>
        <w:t>people’s rights</w:t>
      </w:r>
      <w:r>
        <w:t xml:space="preserve">, </w:t>
      </w:r>
      <w:r w:rsidR="009874C7" w:rsidRPr="00635709">
        <w:t xml:space="preserve">such as the right to development and self-determination. </w:t>
      </w:r>
    </w:p>
    <w:p w14:paraId="3E5D0D9B" w14:textId="59E7EB5F" w:rsidR="009874C7" w:rsidRPr="00635709" w:rsidRDefault="00490619" w:rsidP="00F25999">
      <w:pPr>
        <w:pStyle w:val="PageOneTightList"/>
        <w:ind w:left="270" w:right="-18" w:hanging="180"/>
      </w:pPr>
      <w:r w:rsidRPr="00490619">
        <w:t xml:space="preserve">The Banjul Charter guarantees that all individuals are entitled to the protected rights and freedoms on an </w:t>
      </w:r>
      <w:r w:rsidRPr="00490619">
        <w:rPr>
          <w:rFonts w:ascii="Franklin Gothic Medium" w:hAnsi="Franklin Gothic Medium"/>
        </w:rPr>
        <w:t>equal basis and without discrimination</w:t>
      </w:r>
      <w:r w:rsidRPr="00490619">
        <w:t xml:space="preserve">, including on the basis of </w:t>
      </w:r>
      <w:r w:rsidRPr="00490619">
        <w:rPr>
          <w:rFonts w:ascii="Franklin Gothic Medium" w:hAnsi="Franklin Gothic Medium"/>
        </w:rPr>
        <w:t>sex</w:t>
      </w:r>
      <w:r w:rsidRPr="00490619">
        <w:t xml:space="preserve"> or “</w:t>
      </w:r>
      <w:r w:rsidRPr="00490619">
        <w:rPr>
          <w:rFonts w:ascii="Franklin Gothic Medium" w:hAnsi="Franklin Gothic Medium"/>
        </w:rPr>
        <w:t>other status</w:t>
      </w:r>
      <w:r w:rsidRPr="00490619">
        <w:t xml:space="preserve">,” which has been interpreted to include disability </w:t>
      </w:r>
      <w:r w:rsidRPr="00490619">
        <w:rPr>
          <w:i/>
        </w:rPr>
        <w:t>(Art. 2)</w:t>
      </w:r>
      <w:r w:rsidRPr="00490619">
        <w:t>.</w:t>
      </w:r>
      <w:hyperlink w:anchor="END" w:history="1">
        <w:r w:rsidR="009874C7" w:rsidRPr="00635709">
          <w:rPr>
            <w:vertAlign w:val="superscript"/>
          </w:rPr>
          <w:t>1</w:t>
        </w:r>
      </w:hyperlink>
    </w:p>
    <w:p w14:paraId="2DD6C79A" w14:textId="1F1B1629" w:rsidR="009874C7" w:rsidRPr="00635709" w:rsidRDefault="009874C7" w:rsidP="00F25999">
      <w:pPr>
        <w:pStyle w:val="PageOneTightList"/>
        <w:ind w:left="270" w:right="-18" w:hanging="180"/>
      </w:pPr>
      <w:r w:rsidRPr="00635709">
        <w:t xml:space="preserve">The Banjul Charter also provides </w:t>
      </w:r>
      <w:r w:rsidRPr="00490619">
        <w:rPr>
          <w:rFonts w:ascii="Franklin Gothic Medium" w:hAnsi="Franklin Gothic Medium"/>
        </w:rPr>
        <w:t>special protection to both women and persons with disabilities</w:t>
      </w:r>
      <w:r w:rsidRPr="00635709">
        <w:t xml:space="preserve"> </w:t>
      </w:r>
      <w:r w:rsidRPr="00490619">
        <w:rPr>
          <w:i/>
          <w:iCs/>
        </w:rPr>
        <w:t>(</w:t>
      </w:r>
      <w:r w:rsidR="00BE0492" w:rsidRPr="00490619">
        <w:rPr>
          <w:i/>
          <w:iCs/>
        </w:rPr>
        <w:t>Art.</w:t>
      </w:r>
      <w:r w:rsidRPr="00490619">
        <w:rPr>
          <w:i/>
          <w:iCs/>
        </w:rPr>
        <w:t xml:space="preserve"> 18)</w:t>
      </w:r>
      <w:r w:rsidRPr="00635709">
        <w:t xml:space="preserve">. </w:t>
      </w:r>
    </w:p>
    <w:p w14:paraId="6D2DD40C" w14:textId="77777777" w:rsidR="00F25999" w:rsidRPr="00635709" w:rsidRDefault="00F25999" w:rsidP="00F25999">
      <w:pPr>
        <w:snapToGrid w:val="0"/>
        <w:spacing w:before="0" w:after="0" w:line="240" w:lineRule="auto"/>
      </w:pPr>
    </w:p>
    <w:p w14:paraId="23B41B1D" w14:textId="0692868B" w:rsidR="009874C7" w:rsidRPr="00141647" w:rsidRDefault="003C3B49" w:rsidP="00BE0492">
      <w:pPr>
        <w:pStyle w:val="secondaryheader"/>
        <w:spacing w:line="240" w:lineRule="auto"/>
      </w:pPr>
      <w:hyperlink r:id="rId9" w:history="1">
        <w:r w:rsidR="009874C7" w:rsidRPr="00141647">
          <w:rPr>
            <w:rFonts w:hint="eastAsia"/>
          </w:rPr>
          <w:t xml:space="preserve">Protocol </w:t>
        </w:r>
        <w:r w:rsidR="009874C7" w:rsidRPr="00141647">
          <w:t xml:space="preserve">to the African Charter on Human and Peoples’ Rights on the Rights of Women </w:t>
        </w:r>
        <w:r w:rsidR="00E05FB2" w:rsidRPr="00141647">
          <w:br/>
        </w:r>
        <w:r w:rsidR="009874C7" w:rsidRPr="00141647">
          <w:t>in Africa (Maputo Protocol)</w:t>
        </w:r>
      </w:hyperlink>
    </w:p>
    <w:p w14:paraId="4F80FBE7" w14:textId="68002796" w:rsidR="009874C7" w:rsidRPr="00635709" w:rsidRDefault="009874C7" w:rsidP="00F25999">
      <w:pPr>
        <w:pStyle w:val="ListParagraph"/>
        <w:ind w:left="270" w:right="-18" w:hanging="180"/>
      </w:pPr>
      <w:r w:rsidRPr="00635709">
        <w:t xml:space="preserve">The Maputo Protocol complements the African Charter by providing an explicit </w:t>
      </w:r>
      <w:r w:rsidRPr="00635709">
        <w:rPr>
          <w:rFonts w:ascii="Franklin Gothic Demi" w:hAnsi="Franklin Gothic Demi"/>
        </w:rPr>
        <w:t>definition of discrimination</w:t>
      </w:r>
      <w:r w:rsidRPr="00635709">
        <w:t xml:space="preserve"> </w:t>
      </w:r>
      <w:r w:rsidRPr="00635709">
        <w:rPr>
          <w:rFonts w:ascii="Franklin Gothic Demi" w:hAnsi="Franklin Gothic Demi"/>
        </w:rPr>
        <w:t>against women</w:t>
      </w:r>
      <w:r w:rsidRPr="00635709">
        <w:t xml:space="preserve"> and addressing </w:t>
      </w:r>
      <w:bookmarkStart w:id="0" w:name="OLE_LINK101"/>
      <w:bookmarkStart w:id="1" w:name="OLE_LINK102"/>
      <w:r w:rsidRPr="00635709">
        <w:rPr>
          <w:rFonts w:ascii="Franklin Gothic Demi" w:hAnsi="Franklin Gothic Demi"/>
        </w:rPr>
        <w:t>traditional values and practices</w:t>
      </w:r>
      <w:r w:rsidRPr="00635709">
        <w:t xml:space="preserve"> that can impede gender equality, including </w:t>
      </w:r>
      <w:r w:rsidRPr="00635709">
        <w:rPr>
          <w:rFonts w:ascii="Franklin Gothic Demi" w:hAnsi="Franklin Gothic Demi"/>
        </w:rPr>
        <w:t>forced marriage</w:t>
      </w:r>
      <w:r w:rsidRPr="00635709">
        <w:t xml:space="preserve"> and </w:t>
      </w:r>
      <w:r w:rsidRPr="00635709">
        <w:rPr>
          <w:rFonts w:ascii="Franklin Gothic Demi" w:hAnsi="Franklin Gothic Demi"/>
        </w:rPr>
        <w:t>female genital mutilation</w:t>
      </w:r>
      <w:r w:rsidR="007B39F1">
        <w:t>.</w:t>
      </w:r>
      <w:r w:rsidRPr="00635709">
        <w:t xml:space="preserve"> </w:t>
      </w:r>
      <w:bookmarkEnd w:id="0"/>
      <w:bookmarkEnd w:id="1"/>
    </w:p>
    <w:p w14:paraId="224CBAFD" w14:textId="69E60AE2" w:rsidR="009874C7" w:rsidRPr="00635709" w:rsidRDefault="009874C7" w:rsidP="00F25999">
      <w:pPr>
        <w:pStyle w:val="ListParagraph"/>
        <w:ind w:left="270" w:right="-18" w:hanging="180"/>
      </w:pPr>
      <w:r w:rsidRPr="00635709">
        <w:t xml:space="preserve">The Maputo Protocol was the first human rights agreement to explicitly protect a </w:t>
      </w:r>
      <w:r w:rsidRPr="00635709">
        <w:rPr>
          <w:rFonts w:ascii="Franklin Gothic Demi" w:hAnsi="Franklin Gothic Demi"/>
        </w:rPr>
        <w:t>right to sexual and reproductive health</w:t>
      </w:r>
      <w:r w:rsidRPr="00635709">
        <w:t xml:space="preserve"> </w:t>
      </w:r>
      <w:r w:rsidRPr="00490619">
        <w:rPr>
          <w:i/>
        </w:rPr>
        <w:t>(</w:t>
      </w:r>
      <w:r w:rsidR="00BE0492" w:rsidRPr="00490619">
        <w:rPr>
          <w:i/>
        </w:rPr>
        <w:t>Art.</w:t>
      </w:r>
      <w:r w:rsidRPr="00490619">
        <w:rPr>
          <w:i/>
        </w:rPr>
        <w:t xml:space="preserve"> 14)</w:t>
      </w:r>
      <w:r w:rsidRPr="00635709">
        <w:t>.</w:t>
      </w:r>
    </w:p>
    <w:p w14:paraId="5E2263AC" w14:textId="45C0C707" w:rsidR="009874C7" w:rsidRPr="00635709" w:rsidRDefault="009874C7" w:rsidP="00F25999">
      <w:pPr>
        <w:pStyle w:val="ListParagraph"/>
        <w:ind w:left="270" w:right="-18" w:hanging="180"/>
      </w:pPr>
      <w:r w:rsidRPr="00635709">
        <w:t xml:space="preserve">Besides general provisions that apply to all women and girls, the Maputo Protocol addresses </w:t>
      </w:r>
      <w:r w:rsidRPr="00635709">
        <w:rPr>
          <w:rFonts w:ascii="Franklin Gothic Demi" w:hAnsi="Franklin Gothic Demi"/>
        </w:rPr>
        <w:t>special protection of women with disabilities,</w:t>
      </w:r>
      <w:r w:rsidRPr="00635709">
        <w:t xml:space="preserve"> requiring state parties to facilitate their </w:t>
      </w:r>
      <w:r w:rsidRPr="00635709">
        <w:rPr>
          <w:rFonts w:ascii="Franklin Gothic Demi" w:hAnsi="Franklin Gothic Demi"/>
        </w:rPr>
        <w:t>access to employment,</w:t>
      </w:r>
      <w:r w:rsidRPr="00635709">
        <w:t xml:space="preserve"> </w:t>
      </w:r>
      <w:r w:rsidRPr="00635709">
        <w:rPr>
          <w:rFonts w:ascii="Franklin Gothic Demi" w:hAnsi="Franklin Gothic Demi"/>
        </w:rPr>
        <w:t>vocational training,</w:t>
      </w:r>
      <w:r w:rsidRPr="00635709">
        <w:t xml:space="preserve"> and </w:t>
      </w:r>
      <w:r w:rsidRPr="00635709">
        <w:rPr>
          <w:rFonts w:ascii="Franklin Gothic Demi" w:hAnsi="Franklin Gothic Demi"/>
        </w:rPr>
        <w:t>participation</w:t>
      </w:r>
      <w:r w:rsidRPr="00635709">
        <w:t xml:space="preserve"> and</w:t>
      </w:r>
      <w:r w:rsidR="00BE2ADB">
        <w:t xml:space="preserve"> to</w:t>
      </w:r>
      <w:r w:rsidRPr="00635709">
        <w:t xml:space="preserve"> ensure that women with disabilities are free from violence, </w:t>
      </w:r>
      <w:r w:rsidRPr="00635709">
        <w:rPr>
          <w:rFonts w:ascii="Franklin Gothic Demi" w:hAnsi="Franklin Gothic Demi"/>
        </w:rPr>
        <w:t>sexual abuse and discrimination</w:t>
      </w:r>
      <w:r w:rsidRPr="00635709">
        <w:t xml:space="preserve"> </w:t>
      </w:r>
      <w:r w:rsidRPr="00490619">
        <w:rPr>
          <w:i/>
        </w:rPr>
        <w:t>(</w:t>
      </w:r>
      <w:r w:rsidR="00BE2ADB" w:rsidRPr="00490619">
        <w:rPr>
          <w:i/>
        </w:rPr>
        <w:t>Art.</w:t>
      </w:r>
      <w:r w:rsidRPr="00490619">
        <w:rPr>
          <w:i/>
        </w:rPr>
        <w:t xml:space="preserve"> 23)</w:t>
      </w:r>
      <w:r w:rsidRPr="00635709">
        <w:t>.</w:t>
      </w:r>
      <w:r w:rsidRPr="00635709">
        <w:rPr>
          <w:rFonts w:hint="eastAsia"/>
        </w:rPr>
        <w:t xml:space="preserve"> </w:t>
      </w:r>
      <w:r w:rsidR="00BE0492" w:rsidRPr="00635709">
        <w:br/>
      </w:r>
    </w:p>
    <w:p w14:paraId="75D8F1ED" w14:textId="3E404795" w:rsidR="009874C7" w:rsidRPr="00141647" w:rsidRDefault="009874C7" w:rsidP="00BE0492">
      <w:pPr>
        <w:pStyle w:val="secondaryheader"/>
        <w:spacing w:line="240" w:lineRule="auto"/>
      </w:pPr>
      <w:r w:rsidRPr="00141647">
        <w:t xml:space="preserve">Protocol to the African Charter on Human and Peoples’ Rights on the Rights of Persons </w:t>
      </w:r>
      <w:r w:rsidR="00E05FB2" w:rsidRPr="00141647">
        <w:br/>
      </w:r>
      <w:r w:rsidRPr="00141647">
        <w:t>with Disabilities in Africa (Disability Protocol)</w:t>
      </w:r>
    </w:p>
    <w:p w14:paraId="1EC5F4C1" w14:textId="77777777" w:rsidR="009874C7" w:rsidRPr="00635709" w:rsidRDefault="009874C7" w:rsidP="00F25999">
      <w:pPr>
        <w:pStyle w:val="ListParagraph"/>
        <w:ind w:left="270" w:right="-18" w:hanging="180"/>
      </w:pPr>
      <w:r w:rsidRPr="00635709">
        <w:t xml:space="preserve">The Disability Protocol, the newest human rights treaty in the African system, is still awaiting enough ratifications to enter into force. Once 15 states ratify this protocol, it will be binding on those states that have ratified it. </w:t>
      </w:r>
    </w:p>
    <w:p w14:paraId="2B4B5A12" w14:textId="395A1DC2" w:rsidR="009874C7" w:rsidRPr="00635709" w:rsidRDefault="009874C7" w:rsidP="00F25999">
      <w:pPr>
        <w:pStyle w:val="ListParagraph"/>
        <w:ind w:left="270" w:right="-18" w:hanging="180"/>
      </w:pPr>
      <w:r w:rsidRPr="00635709">
        <w:t xml:space="preserve">The Disability Protocol was developed in line with the </w:t>
      </w:r>
      <w:r w:rsidRPr="00635709">
        <w:rPr>
          <w:rFonts w:ascii="Franklin Gothic Demi" w:hAnsi="Franklin Gothic Demi"/>
        </w:rPr>
        <w:t>U.N. Convention on the Rights of Persons with Disabilities.</w:t>
      </w:r>
      <w:r w:rsidRPr="00635709">
        <w:t xml:space="preserve"> It </w:t>
      </w:r>
      <w:r w:rsidRPr="00635709">
        <w:rPr>
          <w:rFonts w:ascii="Franklin Gothic Demi" w:hAnsi="Franklin Gothic Demi"/>
        </w:rPr>
        <w:t>prohibits discrimination</w:t>
      </w:r>
      <w:r w:rsidRPr="00635709">
        <w:t xml:space="preserve"> against persons with disabilities on all grounds </w:t>
      </w:r>
      <w:r w:rsidRPr="00490619">
        <w:rPr>
          <w:i/>
        </w:rPr>
        <w:t>(</w:t>
      </w:r>
      <w:r w:rsidR="00BE0492" w:rsidRPr="00490619">
        <w:rPr>
          <w:i/>
        </w:rPr>
        <w:t>Art.</w:t>
      </w:r>
      <w:r w:rsidRPr="00490619">
        <w:rPr>
          <w:i/>
        </w:rPr>
        <w:t xml:space="preserve"> 5)</w:t>
      </w:r>
      <w:r w:rsidRPr="00635709">
        <w:t xml:space="preserve">, including </w:t>
      </w:r>
      <w:r w:rsidRPr="00635709">
        <w:rPr>
          <w:rFonts w:ascii="Franklin Gothic Demi" w:hAnsi="Franklin Gothic Demi"/>
        </w:rPr>
        <w:t>denial of reasonable accommodations</w:t>
      </w:r>
      <w:r w:rsidRPr="00635709">
        <w:t xml:space="preserve"> </w:t>
      </w:r>
      <w:r w:rsidR="00264B4C">
        <w:rPr>
          <w:i/>
        </w:rPr>
        <w:t>(Art.</w:t>
      </w:r>
      <w:r w:rsidRPr="00490619">
        <w:rPr>
          <w:i/>
        </w:rPr>
        <w:t xml:space="preserve"> 1)</w:t>
      </w:r>
      <w:r w:rsidRPr="00635709">
        <w:t xml:space="preserve">, and recognizes their </w:t>
      </w:r>
      <w:r w:rsidRPr="00635709">
        <w:rPr>
          <w:rFonts w:ascii="Franklin Gothic Demi" w:hAnsi="Franklin Gothic Demi"/>
        </w:rPr>
        <w:t>full legal capacity</w:t>
      </w:r>
      <w:r w:rsidRPr="00635709">
        <w:t xml:space="preserve"> </w:t>
      </w:r>
      <w:r w:rsidRPr="00490619">
        <w:rPr>
          <w:i/>
        </w:rPr>
        <w:t>(</w:t>
      </w:r>
      <w:r w:rsidR="00BE0492" w:rsidRPr="00490619">
        <w:rPr>
          <w:i/>
        </w:rPr>
        <w:t>Art.</w:t>
      </w:r>
      <w:r w:rsidRPr="00490619">
        <w:rPr>
          <w:i/>
        </w:rPr>
        <w:t xml:space="preserve"> 7)</w:t>
      </w:r>
      <w:r w:rsidRPr="00635709">
        <w:t xml:space="preserve">. </w:t>
      </w:r>
    </w:p>
    <w:p w14:paraId="405046D0" w14:textId="7713EFB4" w:rsidR="009874C7" w:rsidRPr="00635709" w:rsidRDefault="009874C7" w:rsidP="00F25999">
      <w:pPr>
        <w:pStyle w:val="ListParagraph"/>
        <w:ind w:left="270" w:right="-18" w:hanging="180"/>
        <w:rPr>
          <w:spacing w:val="-2"/>
        </w:rPr>
      </w:pPr>
      <w:r w:rsidRPr="00635709">
        <w:rPr>
          <w:spacing w:val="-2"/>
        </w:rPr>
        <w:t xml:space="preserve">The Disability Protocol addresses </w:t>
      </w:r>
      <w:r w:rsidRPr="00635709">
        <w:rPr>
          <w:rFonts w:ascii="Franklin Gothic Demi" w:hAnsi="Franklin Gothic Demi"/>
          <w:spacing w:val="-2"/>
        </w:rPr>
        <w:t>harmful practices</w:t>
      </w:r>
      <w:r w:rsidRPr="00635709">
        <w:rPr>
          <w:spacing w:val="-2"/>
        </w:rPr>
        <w:t xml:space="preserve"> such as witchcraft, abandonment, concealment, ritual killings or the association of disability with omens, that infringe on the rights of persons with disabilities </w:t>
      </w:r>
      <w:r w:rsidRPr="00490619">
        <w:rPr>
          <w:i/>
          <w:spacing w:val="-2"/>
        </w:rPr>
        <w:t>(</w:t>
      </w:r>
      <w:r w:rsidR="00BE0492" w:rsidRPr="00490619">
        <w:rPr>
          <w:i/>
          <w:spacing w:val="-2"/>
        </w:rPr>
        <w:t>Art.</w:t>
      </w:r>
      <w:r w:rsidRPr="00490619">
        <w:rPr>
          <w:i/>
          <w:spacing w:val="-2"/>
        </w:rPr>
        <w:t xml:space="preserve"> 11)</w:t>
      </w:r>
      <w:r w:rsidRPr="00635709">
        <w:rPr>
          <w:spacing w:val="-2"/>
        </w:rPr>
        <w:t xml:space="preserve">.  </w:t>
      </w:r>
    </w:p>
    <w:p w14:paraId="43C889B1" w14:textId="5C403BDF" w:rsidR="00635709" w:rsidRDefault="009874C7" w:rsidP="009874C7">
      <w:pPr>
        <w:pStyle w:val="ListParagraph"/>
        <w:ind w:left="270" w:right="-18" w:hanging="180"/>
        <w:sectPr w:rsidR="00635709" w:rsidSect="009874C7">
          <w:footerReference w:type="even" r:id="rId10"/>
          <w:footerReference w:type="default" r:id="rId11"/>
          <w:pgSz w:w="12240" w:h="15840"/>
          <w:pgMar w:top="720" w:right="864" w:bottom="720" w:left="864" w:header="432" w:footer="432" w:gutter="0"/>
          <w:cols w:space="720"/>
          <w:noEndnote/>
          <w:docGrid w:linePitch="326"/>
        </w:sectPr>
      </w:pPr>
      <w:r w:rsidRPr="00635709">
        <w:rPr>
          <w:rFonts w:hint="eastAsia"/>
        </w:rPr>
        <w:t>T</w:t>
      </w:r>
      <w:r w:rsidRPr="00635709">
        <w:t>h</w:t>
      </w:r>
      <w:r w:rsidRPr="00635709">
        <w:rPr>
          <w:rFonts w:hint="eastAsia"/>
        </w:rPr>
        <w:t>e Disability Protocol</w:t>
      </w:r>
      <w:r w:rsidRPr="00635709">
        <w:t xml:space="preserve"> also recognizes </w:t>
      </w:r>
      <w:r w:rsidRPr="00B47CF3">
        <w:rPr>
          <w:rFonts w:ascii="Franklin Gothic Demi" w:hAnsi="Franklin Gothic Demi"/>
        </w:rPr>
        <w:t>intersectional forms of discrimination</w:t>
      </w:r>
      <w:r w:rsidRPr="00635709">
        <w:t xml:space="preserve"> and includes separate articles specifically addressing rights of </w:t>
      </w:r>
      <w:r w:rsidRPr="00B47CF3">
        <w:rPr>
          <w:rFonts w:ascii="Franklin Gothic Demi" w:hAnsi="Franklin Gothic Demi"/>
        </w:rPr>
        <w:t>women</w:t>
      </w:r>
      <w:r w:rsidRPr="00B47CF3">
        <w:rPr>
          <w:i/>
        </w:rPr>
        <w:t xml:space="preserve"> (</w:t>
      </w:r>
      <w:r w:rsidR="00BE0492" w:rsidRPr="00B47CF3">
        <w:rPr>
          <w:i/>
        </w:rPr>
        <w:t>Art.</w:t>
      </w:r>
      <w:r w:rsidRPr="00B47CF3">
        <w:rPr>
          <w:i/>
        </w:rPr>
        <w:t xml:space="preserve"> 27)</w:t>
      </w:r>
      <w:r w:rsidRPr="00635709">
        <w:t xml:space="preserve">, </w:t>
      </w:r>
      <w:r w:rsidRPr="00B47CF3">
        <w:rPr>
          <w:rFonts w:ascii="Franklin Gothic Demi" w:hAnsi="Franklin Gothic Demi"/>
        </w:rPr>
        <w:t>children</w:t>
      </w:r>
      <w:r w:rsidRPr="00635709">
        <w:t xml:space="preserve"> </w:t>
      </w:r>
      <w:r w:rsidRPr="00B47CF3">
        <w:rPr>
          <w:i/>
        </w:rPr>
        <w:t>(</w:t>
      </w:r>
      <w:r w:rsidR="00BE0492" w:rsidRPr="00B47CF3">
        <w:rPr>
          <w:i/>
        </w:rPr>
        <w:t>Art.</w:t>
      </w:r>
      <w:r w:rsidRPr="00B47CF3">
        <w:rPr>
          <w:i/>
        </w:rPr>
        <w:t xml:space="preserve"> 28)</w:t>
      </w:r>
      <w:r w:rsidRPr="00635709">
        <w:t xml:space="preserve">, </w:t>
      </w:r>
      <w:r w:rsidRPr="00B47CF3">
        <w:rPr>
          <w:rFonts w:ascii="Franklin Gothic Demi" w:hAnsi="Franklin Gothic Demi"/>
        </w:rPr>
        <w:t>youth</w:t>
      </w:r>
      <w:r w:rsidR="00264B4C">
        <w:rPr>
          <w:i/>
        </w:rPr>
        <w:t xml:space="preserve"> (Art.</w:t>
      </w:r>
      <w:r w:rsidRPr="00B47CF3">
        <w:rPr>
          <w:i/>
        </w:rPr>
        <w:t xml:space="preserve"> 29)</w:t>
      </w:r>
      <w:r w:rsidRPr="00635709">
        <w:t xml:space="preserve"> and </w:t>
      </w:r>
      <w:r w:rsidRPr="00B47CF3">
        <w:rPr>
          <w:rFonts w:ascii="Franklin Gothic Demi" w:hAnsi="Franklin Gothic Demi"/>
        </w:rPr>
        <w:t>older</w:t>
      </w:r>
      <w:r w:rsidRPr="00635709">
        <w:t xml:space="preserve"> </w:t>
      </w:r>
      <w:r w:rsidRPr="00B47CF3">
        <w:rPr>
          <w:rFonts w:ascii="Franklin Gothic Demi" w:hAnsi="Franklin Gothic Demi"/>
        </w:rPr>
        <w:t>persons with disabilities</w:t>
      </w:r>
      <w:r w:rsidRPr="00635709">
        <w:t xml:space="preserve"> </w:t>
      </w:r>
      <w:r w:rsidRPr="00B47CF3">
        <w:rPr>
          <w:i/>
        </w:rPr>
        <w:t>(</w:t>
      </w:r>
      <w:r w:rsidR="00BE0492" w:rsidRPr="00B47CF3">
        <w:rPr>
          <w:i/>
        </w:rPr>
        <w:t>Art.</w:t>
      </w:r>
      <w:r w:rsidRPr="00B47CF3">
        <w:rPr>
          <w:i/>
        </w:rPr>
        <w:t xml:space="preserve"> 30)</w:t>
      </w:r>
      <w:r w:rsidRPr="00635709">
        <w:t>. It provides that women with disabilities should be ensured</w:t>
      </w:r>
      <w:r w:rsidRPr="00635709">
        <w:rPr>
          <w:rFonts w:hint="eastAsia"/>
        </w:rPr>
        <w:t xml:space="preserve"> </w:t>
      </w:r>
      <w:r w:rsidRPr="00B47CF3">
        <w:rPr>
          <w:rFonts w:ascii="Franklin Gothic Demi" w:hAnsi="Franklin Gothic Demi" w:hint="eastAsia"/>
        </w:rPr>
        <w:t>full participation in society,</w:t>
      </w:r>
      <w:r w:rsidRPr="00635709">
        <w:t xml:space="preserve"> “protected” from </w:t>
      </w:r>
      <w:r w:rsidRPr="00B47CF3">
        <w:rPr>
          <w:rFonts w:ascii="Franklin Gothic Demi" w:hAnsi="Franklin Gothic Demi"/>
        </w:rPr>
        <w:t>sexual and gender-based violence</w:t>
      </w:r>
      <w:r w:rsidRPr="00635709">
        <w:t xml:space="preserve">, and guaranteed </w:t>
      </w:r>
      <w:r w:rsidRPr="00B47CF3">
        <w:rPr>
          <w:rFonts w:ascii="Franklin Gothic Demi" w:hAnsi="Franklin Gothic Demi" w:hint="eastAsia"/>
        </w:rPr>
        <w:t xml:space="preserve">sexual and reproductive rights. </w:t>
      </w:r>
      <w:r w:rsidRPr="00635709">
        <w:t>I</w:t>
      </w:r>
      <w:r w:rsidRPr="00635709">
        <w:rPr>
          <w:rFonts w:hint="eastAsia"/>
        </w:rPr>
        <w:t xml:space="preserve">t also requires </w:t>
      </w:r>
      <w:r w:rsidRPr="00B47CF3">
        <w:rPr>
          <w:rFonts w:ascii="Franklin Gothic Demi" w:hAnsi="Franklin Gothic Demi" w:hint="eastAsia"/>
        </w:rPr>
        <w:t xml:space="preserve">integration of gender </w:t>
      </w:r>
      <w:r w:rsidRPr="00B47CF3">
        <w:rPr>
          <w:rFonts w:ascii="Franklin Gothic Demi" w:hAnsi="Franklin Gothic Demi"/>
        </w:rPr>
        <w:t>perspective</w:t>
      </w:r>
      <w:r w:rsidRPr="00B47CF3">
        <w:rPr>
          <w:rFonts w:ascii="Franklin Gothic Demi" w:hAnsi="Franklin Gothic Demi" w:hint="eastAsia"/>
        </w:rPr>
        <w:t>s</w:t>
      </w:r>
      <w:r w:rsidRPr="00635709">
        <w:rPr>
          <w:rFonts w:hint="eastAsia"/>
        </w:rPr>
        <w:t xml:space="preserve"> into all policies, legislation and programs</w:t>
      </w:r>
      <w:r w:rsidRPr="00635709">
        <w:t xml:space="preserve">. </w:t>
      </w:r>
    </w:p>
    <w:p w14:paraId="4D346BF8" w14:textId="67362627" w:rsidR="00B47CF3" w:rsidRPr="00635709" w:rsidRDefault="00B47CF3" w:rsidP="00404998">
      <w:pPr>
        <w:pStyle w:val="Heading2"/>
        <w:pBdr>
          <w:bottom w:val="single" w:sz="18" w:space="2" w:color="133D8F"/>
        </w:pBdr>
        <w:spacing w:before="240"/>
        <w:rPr>
          <w:spacing w:val="-2"/>
        </w:rPr>
      </w:pPr>
      <w:bookmarkStart w:id="2" w:name="OLE_LINK9"/>
      <w:bookmarkStart w:id="3" w:name="OLE_LINK12"/>
      <w:r w:rsidRPr="00635709">
        <w:rPr>
          <w:spacing w:val="-2"/>
        </w:rPr>
        <w:lastRenderedPageBreak/>
        <w:t>African Regional Human</w:t>
      </w:r>
      <w:r>
        <w:rPr>
          <w:spacing w:val="-2"/>
        </w:rPr>
        <w:t xml:space="preserve"> Rights Treaties, continued</w:t>
      </w:r>
    </w:p>
    <w:p w14:paraId="4C8AE1D3" w14:textId="333ED1ED" w:rsidR="00BE2ADB" w:rsidRPr="00141647" w:rsidRDefault="003C3B49" w:rsidP="00B47CF3">
      <w:pPr>
        <w:pStyle w:val="secondaryheader"/>
        <w:spacing w:before="240"/>
      </w:pPr>
      <w:hyperlink r:id="rId12" w:history="1">
        <w:bookmarkStart w:id="4" w:name="_Toc524966160"/>
        <w:r w:rsidR="00490619" w:rsidRPr="00141647">
          <w:rPr>
            <w:rStyle w:val="Hyperlink"/>
            <w:color w:val="7E599A"/>
          </w:rPr>
          <w:t>African Charter on the Rights and Welfare of the Child</w:t>
        </w:r>
        <w:bookmarkEnd w:id="2"/>
        <w:bookmarkEnd w:id="3"/>
        <w:r w:rsidR="00490619" w:rsidRPr="00141647">
          <w:rPr>
            <w:rStyle w:val="Hyperlink"/>
            <w:color w:val="7E599A"/>
          </w:rPr>
          <w:t xml:space="preserve"> (ACRWC)</w:t>
        </w:r>
        <w:bookmarkEnd w:id="4"/>
        <w:r w:rsidR="00490619" w:rsidRPr="00141647">
          <w:rPr>
            <w:rStyle w:val="Hyperlink"/>
            <w:color w:val="7E599A"/>
          </w:rPr>
          <w:t xml:space="preserve"> </w:t>
        </w:r>
      </w:hyperlink>
    </w:p>
    <w:p w14:paraId="24B3CEFD" w14:textId="77777777" w:rsidR="00490619" w:rsidRPr="00490619" w:rsidRDefault="00490619" w:rsidP="00490619">
      <w:pPr>
        <w:pStyle w:val="ListParagraph"/>
        <w:ind w:left="270" w:right="-18" w:hanging="180"/>
      </w:pPr>
      <w:r w:rsidRPr="00490619">
        <w:t>The ACRWC requires state parties to ensure children’s rights to</w:t>
      </w:r>
      <w:r>
        <w:t xml:space="preserve"> </w:t>
      </w:r>
      <w:r w:rsidRPr="00490619">
        <w:rPr>
          <w:rFonts w:ascii="Franklin Gothic Medium" w:hAnsi="Franklin Gothic Medium"/>
        </w:rPr>
        <w:t>survival and development</w:t>
      </w:r>
      <w:r w:rsidRPr="00490619">
        <w:rPr>
          <w:i/>
        </w:rPr>
        <w:t xml:space="preserve"> (Art. 5)</w:t>
      </w:r>
      <w:r w:rsidRPr="00490619">
        <w:t xml:space="preserve">, </w:t>
      </w:r>
      <w:r w:rsidRPr="00490619">
        <w:rPr>
          <w:rFonts w:ascii="Franklin Gothic Medium" w:hAnsi="Franklin Gothic Medium"/>
        </w:rPr>
        <w:t>education</w:t>
      </w:r>
      <w:r w:rsidRPr="00490619">
        <w:rPr>
          <w:b/>
        </w:rPr>
        <w:t xml:space="preserve"> </w:t>
      </w:r>
      <w:r w:rsidRPr="00490619">
        <w:rPr>
          <w:i/>
        </w:rPr>
        <w:t>(Art. 11)</w:t>
      </w:r>
      <w:r w:rsidRPr="00490619">
        <w:t xml:space="preserve">, </w:t>
      </w:r>
      <w:r w:rsidRPr="00490619">
        <w:rPr>
          <w:rFonts w:ascii="Franklin Gothic Medium" w:hAnsi="Franklin Gothic Medium"/>
        </w:rPr>
        <w:t>health</w:t>
      </w:r>
      <w:r w:rsidRPr="00490619">
        <w:rPr>
          <w:b/>
        </w:rPr>
        <w:t xml:space="preserve"> </w:t>
      </w:r>
      <w:r w:rsidRPr="00490619">
        <w:rPr>
          <w:i/>
        </w:rPr>
        <w:t>(Art. 14)</w:t>
      </w:r>
      <w:r w:rsidRPr="00490619">
        <w:t xml:space="preserve">, </w:t>
      </w:r>
      <w:r w:rsidRPr="00490619">
        <w:rPr>
          <w:rFonts w:ascii="Franklin Gothic Medium" w:hAnsi="Franklin Gothic Medium"/>
        </w:rPr>
        <w:t>family protection</w:t>
      </w:r>
      <w:r w:rsidRPr="00490619">
        <w:t xml:space="preserve"> </w:t>
      </w:r>
      <w:r w:rsidRPr="00490619">
        <w:rPr>
          <w:i/>
        </w:rPr>
        <w:t>(Art. 18)</w:t>
      </w:r>
      <w:r w:rsidRPr="00490619">
        <w:t xml:space="preserve">, among others, and to fulfill obligations to </w:t>
      </w:r>
      <w:r w:rsidRPr="00490619">
        <w:rPr>
          <w:rFonts w:ascii="Franklin Gothic Medium" w:hAnsi="Franklin Gothic Medium"/>
        </w:rPr>
        <w:t>protect children from abuse</w:t>
      </w:r>
      <w:r w:rsidRPr="00490619">
        <w:t xml:space="preserve"> </w:t>
      </w:r>
      <w:r w:rsidRPr="00490619">
        <w:rPr>
          <w:i/>
        </w:rPr>
        <w:t>(Art. 16)</w:t>
      </w:r>
      <w:r w:rsidRPr="00490619">
        <w:t xml:space="preserve">, </w:t>
      </w:r>
      <w:r w:rsidRPr="00490619">
        <w:rPr>
          <w:rFonts w:ascii="Franklin Gothic Medium" w:hAnsi="Franklin Gothic Medium"/>
        </w:rPr>
        <w:t>exploitation</w:t>
      </w:r>
      <w:r w:rsidRPr="00490619">
        <w:rPr>
          <w:i/>
        </w:rPr>
        <w:t xml:space="preserve"> (Art. 27)</w:t>
      </w:r>
      <w:r w:rsidRPr="00490619">
        <w:t xml:space="preserve">, </w:t>
      </w:r>
      <w:r w:rsidRPr="00490619">
        <w:rPr>
          <w:rFonts w:ascii="Franklin Gothic Medium" w:hAnsi="Franklin Gothic Medium"/>
        </w:rPr>
        <w:t>armed conflicts</w:t>
      </w:r>
      <w:r w:rsidRPr="00490619">
        <w:rPr>
          <w:i/>
        </w:rPr>
        <w:t xml:space="preserve"> (Art. 22)</w:t>
      </w:r>
      <w:r w:rsidRPr="00490619">
        <w:t xml:space="preserve"> as well as </w:t>
      </w:r>
      <w:r w:rsidRPr="00490619">
        <w:rPr>
          <w:rFonts w:ascii="Franklin Gothic Medium" w:hAnsi="Franklin Gothic Medium"/>
        </w:rPr>
        <w:t>harmful social and cultural practices</w:t>
      </w:r>
      <w:r w:rsidRPr="00490619">
        <w:t xml:space="preserve"> (e.g. child marriage)</w:t>
      </w:r>
      <w:r w:rsidRPr="00490619">
        <w:rPr>
          <w:b/>
        </w:rPr>
        <w:t xml:space="preserve"> </w:t>
      </w:r>
      <w:r w:rsidRPr="00490619">
        <w:rPr>
          <w:i/>
        </w:rPr>
        <w:t>(Art. 21)</w:t>
      </w:r>
      <w:r w:rsidRPr="00490619">
        <w:t>.</w:t>
      </w:r>
    </w:p>
    <w:p w14:paraId="0706442E" w14:textId="4F0E5F30" w:rsidR="00BE2ADB" w:rsidRPr="00635709" w:rsidRDefault="00490619" w:rsidP="00490619">
      <w:pPr>
        <w:pStyle w:val="ListParagraph"/>
        <w:ind w:left="270" w:right="-18" w:hanging="180"/>
      </w:pPr>
      <w:r w:rsidRPr="00490619">
        <w:t xml:space="preserve">The ACRWC also calls on states to ensure “special measures of protection” of children with disabilities in terms of physical accessibility and access to training and recreation </w:t>
      </w:r>
      <w:r w:rsidRPr="00490619">
        <w:rPr>
          <w:i/>
        </w:rPr>
        <w:t>(Art. 13)</w:t>
      </w:r>
      <w:r w:rsidRPr="00490619">
        <w:t>.</w:t>
      </w:r>
      <w:r w:rsidR="00BE2ADB" w:rsidRPr="00635709">
        <w:t xml:space="preserve"> </w:t>
      </w:r>
      <w:r w:rsidR="00B47CF3">
        <w:br/>
      </w:r>
    </w:p>
    <w:p w14:paraId="0AD98DB9" w14:textId="56C5F484" w:rsidR="00227A90" w:rsidRPr="00635709" w:rsidRDefault="00E179A6" w:rsidP="00404998">
      <w:pPr>
        <w:pStyle w:val="Heading2"/>
        <w:pBdr>
          <w:bottom w:val="single" w:sz="18" w:space="2" w:color="133D8F"/>
        </w:pBdr>
        <w:spacing w:before="240"/>
      </w:pPr>
      <w:r w:rsidRPr="00635709">
        <w:rPr>
          <w:noProof/>
        </w:rPr>
        <mc:AlternateContent>
          <mc:Choice Requires="wps">
            <w:drawing>
              <wp:anchor distT="0" distB="228600" distL="114300" distR="114300" simplePos="0" relativeHeight="251705344" behindDoc="1" locked="0" layoutInCell="1" allowOverlap="1" wp14:anchorId="7E4EB8E0" wp14:editId="16831EC0">
                <wp:simplePos x="0" y="0"/>
                <wp:positionH relativeFrom="page">
                  <wp:posOffset>800100</wp:posOffset>
                </wp:positionH>
                <wp:positionV relativeFrom="paragraph">
                  <wp:posOffset>451485</wp:posOffset>
                </wp:positionV>
                <wp:extent cx="6172200" cy="1638300"/>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6172200" cy="1638300"/>
                        </a:xfrm>
                        <a:prstGeom prst="rect">
                          <a:avLst/>
                        </a:prstGeom>
                        <a:solidFill>
                          <a:srgbClr val="B7A0CB">
                            <a:alpha val="34902"/>
                          </a:srgbClr>
                        </a:solidFill>
                        <a:ln w="6350">
                          <a:noFill/>
                        </a:ln>
                      </wps:spPr>
                      <wps:txbx>
                        <w:txbxContent>
                          <w:p w14:paraId="4D79E94B" w14:textId="77777777" w:rsidR="00725CC5" w:rsidRPr="00FF5A68" w:rsidRDefault="00725CC5" w:rsidP="009874C7">
                            <w:pPr>
                              <w:pStyle w:val="TextBoxTitle"/>
                              <w:ind w:left="-180"/>
                              <w:rPr>
                                <w:szCs w:val="24"/>
                              </w:rPr>
                            </w:pPr>
                            <w:r w:rsidRPr="00FF5A68">
                              <w:rPr>
                                <w:szCs w:val="24"/>
                              </w:rPr>
                              <w:t>African Union</w:t>
                            </w:r>
                          </w:p>
                          <w:p w14:paraId="75390996" w14:textId="77777777" w:rsidR="00725CC5" w:rsidRPr="00725CC5" w:rsidRDefault="00725CC5" w:rsidP="00725CC5">
                            <w:pPr>
                              <w:pStyle w:val="TextBox10"/>
                            </w:pPr>
                            <w:r w:rsidRPr="00725CC5">
                              <w:t xml:space="preserve">African Union (AU, formerly </w:t>
                            </w:r>
                            <w:bookmarkStart w:id="5" w:name="OLE_LINK265"/>
                            <w:bookmarkStart w:id="6" w:name="OLE_LINK266"/>
                            <w:r w:rsidRPr="00725CC5">
                              <w:t>the Organisation of African Unity</w:t>
                            </w:r>
                            <w:bookmarkEnd w:id="5"/>
                            <w:bookmarkEnd w:id="6"/>
                            <w:r w:rsidRPr="00725CC5">
                              <w:t xml:space="preserve"> (OAU)) is a union of African countries that promotes integration and development of the countries and people across the continent. One of the AU’</w:t>
                            </w:r>
                            <w:r w:rsidRPr="00725CC5">
                              <w:rPr>
                                <w:rFonts w:hint="eastAsia"/>
                              </w:rPr>
                              <w:t xml:space="preserve">s objectives is to </w:t>
                            </w:r>
                            <w:r w:rsidRPr="00725CC5">
                              <w:t xml:space="preserve">promote and protect human and peoples' rights. </w:t>
                            </w:r>
                          </w:p>
                          <w:p w14:paraId="58F7D3FC" w14:textId="57A1CCC2" w:rsidR="00725CC5" w:rsidRPr="00725CC5" w:rsidRDefault="00725CC5" w:rsidP="00725CC5">
                            <w:pPr>
                              <w:pStyle w:val="TextBox10"/>
                            </w:pPr>
                            <w:r w:rsidRPr="00725CC5">
                              <w:t xml:space="preserve">The AU currently </w:t>
                            </w:r>
                            <w:r w:rsidRPr="00725CC5">
                              <w:rPr>
                                <w:rFonts w:hint="eastAsia"/>
                              </w:rPr>
                              <w:t>has 55 member states.</w:t>
                            </w:r>
                            <w:r w:rsidRPr="00725CC5">
                              <w:t xml:space="preserve"> The Assembly of Heads of States and Governments adopts human rights treaties and protocols. For each document to be legally binding in a member state, the state needs to sign and ratify it, according to its domestic legal procedures for entering into an international agreement.</w:t>
                            </w:r>
                            <w:r w:rsidRPr="00725CC5">
                              <w:rPr>
                                <w:rFonts w:hint="eastAsia"/>
                              </w:rPr>
                              <w:t xml:space="preserve"> </w:t>
                            </w:r>
                          </w:p>
                          <w:p w14:paraId="368C6069" w14:textId="77777777" w:rsidR="00725CC5" w:rsidRPr="00CF4050" w:rsidRDefault="00725CC5" w:rsidP="00725CC5">
                            <w:pPr>
                              <w:rPr>
                                <w:sz w:val="21"/>
                              </w:rPr>
                            </w:pPr>
                          </w:p>
                          <w:p w14:paraId="470534A7" w14:textId="77777777" w:rsidR="00725CC5" w:rsidRPr="00CF4050" w:rsidRDefault="00725CC5" w:rsidP="00725CC5">
                            <w:pPr>
                              <w:rPr>
                                <w:sz w:val="21"/>
                              </w:rPr>
                            </w:pPr>
                          </w:p>
                        </w:txbxContent>
                      </wps:txbx>
                      <wps:bodyPr rot="0" spcFirstLastPara="0" vertOverflow="overflow" horzOverflow="overflow" vert="horz" wrap="square" lIns="137160" tIns="9144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B8E0" id="Text Box 23" o:spid="_x0000_s1027" type="#_x0000_t202" style="position:absolute;margin-left:63pt;margin-top:35.55pt;width:486pt;height:129pt;z-index:-251611136;visibility:visible;mso-wrap-style:square;mso-width-percent:0;mso-height-percent:0;mso-wrap-distance-left:9pt;mso-wrap-distance-top:0;mso-wrap-distance-right:9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" fillcolor="#b7a0cb" stroked="f" strokeweight=".5pt">
                <v:fill opacity="22873f"/>
                <v:textbox inset="10.8pt,7.2pt,10.8pt,10.8pt">
                  <w:txbxContent>
                    <w:p w14:paraId="4D79E94B" w14:textId="77777777" w:rsidR="00725CC5" w:rsidRPr="00FF5A68" w:rsidRDefault="00725CC5" w:rsidP="009874C7">
                      <w:pPr>
                        <w:pStyle w:val="TextBoxTitle"/>
                        <w:ind w:left="-180"/>
                        <w:rPr>
                          <w:szCs w:val="24"/>
                        </w:rPr>
                      </w:pPr>
                      <w:r w:rsidRPr="00FF5A68">
                        <w:rPr>
                          <w:szCs w:val="24"/>
                        </w:rPr>
                        <w:t>African Union</w:t>
                      </w:r>
                    </w:p>
                    <w:p w14:paraId="75390996" w14:textId="77777777" w:rsidR="00725CC5" w:rsidRPr="00725CC5" w:rsidRDefault="00725CC5" w:rsidP="00725CC5">
                      <w:pPr>
                        <w:pStyle w:val="TextBox10"/>
                      </w:pPr>
                      <w:r w:rsidRPr="00725CC5">
                        <w:t xml:space="preserve">African Union (AU, formerly </w:t>
                      </w:r>
                      <w:bookmarkStart w:id="8" w:name="OLE_LINK265"/>
                      <w:bookmarkStart w:id="9" w:name="OLE_LINK266"/>
                      <w:r w:rsidRPr="00725CC5">
                        <w:t>the Organisation of African Unity</w:t>
                      </w:r>
                      <w:bookmarkEnd w:id="8"/>
                      <w:bookmarkEnd w:id="9"/>
                      <w:r w:rsidRPr="00725CC5">
                        <w:t xml:space="preserve"> (OAU)) is a union of African countries that promotes integration and development of the countries and people across the continent. One of the AU’</w:t>
                      </w:r>
                      <w:r w:rsidRPr="00725CC5">
                        <w:rPr>
                          <w:rFonts w:hint="eastAsia"/>
                        </w:rPr>
                        <w:t xml:space="preserve">s objectives is to </w:t>
                      </w:r>
                      <w:r w:rsidRPr="00725CC5">
                        <w:t xml:space="preserve">promote and protect human and peoples' rights. </w:t>
                      </w:r>
                    </w:p>
                    <w:p w14:paraId="58F7D3FC" w14:textId="57A1CCC2" w:rsidR="00725CC5" w:rsidRPr="00725CC5" w:rsidRDefault="00725CC5" w:rsidP="00725CC5">
                      <w:pPr>
                        <w:pStyle w:val="TextBox10"/>
                      </w:pPr>
                      <w:r w:rsidRPr="00725CC5">
                        <w:t xml:space="preserve">The AU currently </w:t>
                      </w:r>
                      <w:r w:rsidRPr="00725CC5">
                        <w:rPr>
                          <w:rFonts w:hint="eastAsia"/>
                        </w:rPr>
                        <w:t>has 55 member states.</w:t>
                      </w:r>
                      <w:r w:rsidRPr="00725CC5">
                        <w:t xml:space="preserve"> The Assembly of Heads of States and Governments adopts human rights treaties and protocols. For each document to be legally binding in a member state, the state needs to sign and ratify it, according to its domestic legal procedures for entering into an international agreement.</w:t>
                      </w:r>
                      <w:r w:rsidRPr="00725CC5">
                        <w:rPr>
                          <w:rFonts w:hint="eastAsia"/>
                        </w:rPr>
                        <w:t xml:space="preserve"> </w:t>
                      </w:r>
                    </w:p>
                    <w:p w14:paraId="368C6069" w14:textId="77777777" w:rsidR="00725CC5" w:rsidRPr="00CF4050" w:rsidRDefault="00725CC5" w:rsidP="00725CC5">
                      <w:pPr>
                        <w:rPr>
                          <w:sz w:val="21"/>
                        </w:rPr>
                      </w:pPr>
                    </w:p>
                    <w:p w14:paraId="470534A7" w14:textId="77777777" w:rsidR="00725CC5" w:rsidRPr="00CF4050" w:rsidRDefault="00725CC5" w:rsidP="00725CC5">
                      <w:pPr>
                        <w:rPr>
                          <w:sz w:val="21"/>
                        </w:rPr>
                      </w:pPr>
                    </w:p>
                  </w:txbxContent>
                </v:textbox>
                <w10:wrap type="topAndBottom" anchorx="page"/>
              </v:shape>
            </w:pict>
          </mc:Fallback>
        </mc:AlternateContent>
      </w:r>
      <w:r w:rsidR="00227A90" w:rsidRPr="00635709">
        <w:t xml:space="preserve">African Regional Human Rights </w:t>
      </w:r>
      <w:r w:rsidR="005909C3" w:rsidRPr="00635709">
        <w:t>Mechanisms</w:t>
      </w:r>
      <w:r w:rsidR="00227A90" w:rsidRPr="00635709">
        <w:t xml:space="preserve"> </w:t>
      </w:r>
    </w:p>
    <w:p w14:paraId="11315FFA" w14:textId="0C9300F6" w:rsidR="00227A90" w:rsidRPr="00635709" w:rsidRDefault="00227A90" w:rsidP="00841CE6">
      <w:pPr>
        <w:pStyle w:val="secondaryheader"/>
      </w:pPr>
      <w:r w:rsidRPr="00635709">
        <w:fldChar w:fldCharType="begin"/>
      </w:r>
      <w:r w:rsidRPr="00635709">
        <w:instrText xml:space="preserve"> HYPERLINK "http://www.achpr.org/" </w:instrText>
      </w:r>
      <w:r w:rsidRPr="00635709">
        <w:fldChar w:fldCharType="separate"/>
      </w:r>
      <w:r w:rsidRPr="00635709">
        <w:rPr>
          <w:rFonts w:hint="eastAsia"/>
        </w:rPr>
        <w:t>The African Commission on Human and Peoples</w:t>
      </w:r>
      <w:r w:rsidRPr="00635709">
        <w:t>’</w:t>
      </w:r>
      <w:r w:rsidRPr="00635709">
        <w:rPr>
          <w:rFonts w:hint="eastAsia"/>
        </w:rPr>
        <w:t xml:space="preserve"> Rights</w:t>
      </w:r>
    </w:p>
    <w:p w14:paraId="571E987F" w14:textId="04DCCCB4" w:rsidR="00227A90" w:rsidRPr="00635709" w:rsidRDefault="00227A90" w:rsidP="009874C7">
      <w:pPr>
        <w:ind w:right="90"/>
      </w:pPr>
      <w:r w:rsidRPr="00635709">
        <w:rPr>
          <w:rFonts w:ascii="Franklin Gothic Heavy" w:hAnsi="Franklin Gothic Heavy" w:cs="Franklin Gothic Heavy"/>
          <w:color w:val="7E599A"/>
          <w:sz w:val="24"/>
          <w:szCs w:val="24"/>
          <w:u w:val="single"/>
        </w:rPr>
        <w:fldChar w:fldCharType="end"/>
      </w:r>
      <w:r w:rsidRPr="00635709">
        <w:t xml:space="preserve">The African Commission on Human and People’s Rights (African Commission) ensures compliance with and effective implementation of the Banjul Charter and the supplementary protocols, including the Maputo Protocol and, when it goes into effect, the Disability Protocol. The African Commission is composed of eleven members serving in their personal and independent capacity and not as representatives of their countries or governments. The African Commission holds two ordinary </w:t>
      </w:r>
      <w:r w:rsidRPr="00490619">
        <w:t>sessions</w:t>
      </w:r>
      <w:r w:rsidRPr="00635709">
        <w:t xml:space="preserve"> each year and holds extraordinary sessions as necessary. The main functions of the African Commission include:</w:t>
      </w:r>
    </w:p>
    <w:p w14:paraId="0221F87C" w14:textId="77777777" w:rsidR="00B47CF3" w:rsidRDefault="00B47CF3" w:rsidP="00F25999">
      <w:pPr>
        <w:pStyle w:val="ListParagraph"/>
        <w:sectPr w:rsidR="00B47CF3" w:rsidSect="009874C7">
          <w:pgSz w:w="12240" w:h="15840"/>
          <w:pgMar w:top="720" w:right="864" w:bottom="720" w:left="864" w:header="432" w:footer="432" w:gutter="0"/>
          <w:cols w:space="720"/>
          <w:noEndnote/>
          <w:docGrid w:linePitch="326"/>
        </w:sectPr>
      </w:pPr>
      <w:r w:rsidRPr="00635709">
        <w:rPr>
          <w:noProof/>
          <w:sz w:val="21"/>
        </w:rPr>
        <mc:AlternateContent>
          <mc:Choice Requires="wps">
            <w:drawing>
              <wp:anchor distT="0" distB="320040" distL="114300" distR="114300" simplePos="0" relativeHeight="251676672" behindDoc="0" locked="0" layoutInCell="1" allowOverlap="0" wp14:anchorId="684B52FD" wp14:editId="7FDFFC40">
                <wp:simplePos x="0" y="0"/>
                <wp:positionH relativeFrom="page">
                  <wp:posOffset>800100</wp:posOffset>
                </wp:positionH>
                <wp:positionV relativeFrom="page">
                  <wp:posOffset>6929120</wp:posOffset>
                </wp:positionV>
                <wp:extent cx="6172200" cy="2157984"/>
                <wp:effectExtent l="0" t="0" r="0" b="1270"/>
                <wp:wrapTopAndBottom/>
                <wp:docPr id="8" name="Text Box 8"/>
                <wp:cNvGraphicFramePr/>
                <a:graphic xmlns:a="http://schemas.openxmlformats.org/drawingml/2006/main">
                  <a:graphicData uri="http://schemas.microsoft.com/office/word/2010/wordprocessingShape">
                    <wps:wsp>
                      <wps:cNvSpPr txBox="1"/>
                      <wps:spPr>
                        <a:xfrm>
                          <a:off x="0" y="0"/>
                          <a:ext cx="6172200" cy="2157984"/>
                        </a:xfrm>
                        <a:prstGeom prst="rect">
                          <a:avLst/>
                        </a:prstGeom>
                        <a:solidFill>
                          <a:srgbClr val="B7A0CB">
                            <a:alpha val="34902"/>
                          </a:srgbClr>
                        </a:solidFill>
                        <a:ln w="6350">
                          <a:noFill/>
                        </a:ln>
                      </wps:spPr>
                      <wps:txbx>
                        <w:txbxContent>
                          <w:p w14:paraId="28832D8F" w14:textId="77777777" w:rsidR="000A5E0B" w:rsidRPr="00CF4050" w:rsidRDefault="000A5E0B" w:rsidP="00CC3424">
                            <w:pPr>
                              <w:pStyle w:val="TextBoxTitle"/>
                            </w:pPr>
                            <w:r w:rsidRPr="00CF4050">
                              <w:t xml:space="preserve">Example of General Comments </w:t>
                            </w:r>
                          </w:p>
                          <w:p w14:paraId="4B778EA8" w14:textId="77777777" w:rsidR="000A5E0B" w:rsidRPr="007D54DC" w:rsidRDefault="003C3B49" w:rsidP="00A606B7">
                            <w:pPr>
                              <w:pStyle w:val="TextBox10"/>
                              <w:spacing w:before="80" w:after="80"/>
                              <w:rPr>
                                <w:u w:val="single"/>
                              </w:rPr>
                            </w:pPr>
                            <w:hyperlink r:id="rId13" w:history="1">
                              <w:r w:rsidR="000A5E0B" w:rsidRPr="007D54DC">
                                <w:rPr>
                                  <w:rStyle w:val="Hyperlink"/>
                                </w:rPr>
                                <w:t>General Comment No. 2 on Article 14.1 (a), (b), (c) and (f) and Article 14. 2 (a) and (c) of the Protocol to the African Charter on Human and Peoples’ Rights on the Rights of Women in Africa</w:t>
                              </w:r>
                            </w:hyperlink>
                          </w:p>
                          <w:p w14:paraId="1456100D" w14:textId="77777777" w:rsidR="000A5E0B" w:rsidRPr="00A606B7" w:rsidRDefault="000A5E0B" w:rsidP="00A606B7">
                            <w:pPr>
                              <w:pStyle w:val="TextBox10"/>
                              <w:spacing w:before="80" w:after="80"/>
                            </w:pPr>
                            <w:r w:rsidRPr="00A606B7">
                              <w:t>53. It is crucial to ensure availability, accessibility, acceptability and good quality reproductive health care, including family planning / contraception and safe abortion for women. State parties should ensure services that are comprehensive, integrated, rights-based, sensitive to the reality of women in all contexts, and adapted to women living with disabilities and the youth, free from any coercion, discrimination and violence.</w:t>
                            </w:r>
                          </w:p>
                          <w:p w14:paraId="0C03247F" w14:textId="77777777" w:rsidR="000A5E0B" w:rsidRPr="00A606B7" w:rsidRDefault="000A5E0B" w:rsidP="00A606B7">
                            <w:pPr>
                              <w:pStyle w:val="TextBox10"/>
                              <w:spacing w:before="80" w:after="80"/>
                            </w:pPr>
                            <w:r w:rsidRPr="00A606B7">
                              <w:t>54. They should integrate and/or link family planning/contraception and safe abortion services funded by public resources to other services relating to reproductive health, primary health care, HIV and other sexually transmitted infections.</w:t>
                            </w:r>
                            <w:r w:rsidRPr="00A606B7">
                              <w:rPr>
                                <w:rFonts w:hint="eastAsia"/>
                              </w:rPr>
                              <w:t xml:space="preserve"> </w:t>
                            </w:r>
                          </w:p>
                          <w:p w14:paraId="6F9BE3B1" w14:textId="77777777" w:rsidR="000A5E0B" w:rsidRPr="00CF4050" w:rsidRDefault="000A5E0B" w:rsidP="00841CE6">
                            <w:pPr>
                              <w:rPr>
                                <w:sz w:val="21"/>
                              </w:rPr>
                            </w:pPr>
                          </w:p>
                        </w:txbxContent>
                      </wps:txbx>
                      <wps:bodyPr rot="0" spcFirstLastPara="0" vertOverflow="overflow" horzOverflow="overflow" vert="horz" wrap="square" lIns="137160" tIns="9144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52FD" id="Text Box 8" o:spid="_x0000_s1028" type="#_x0000_t202" style="position:absolute;left:0;text-align:left;margin-left:63pt;margin-top:545.6pt;width:486pt;height:169.9pt;z-index:251676672;visibility:visible;mso-wrap-style:square;mso-width-percent:0;mso-height-percent:0;mso-wrap-distance-left:9pt;mso-wrap-distance-top:0;mso-wrap-distance-right:9pt;mso-wrap-distance-bottom:25.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" o:allowoverlap="f" fillcolor="#b7a0cb" stroked="f" strokeweight=".5pt">
                <v:fill opacity="22873f"/>
                <v:textbox inset="10.8pt,7.2pt,10.8pt,10.8pt">
                  <w:txbxContent>
                    <w:p w14:paraId="28832D8F" w14:textId="77777777" w:rsidR="000A5E0B" w:rsidRPr="00CF4050" w:rsidRDefault="000A5E0B" w:rsidP="00CC3424">
                      <w:pPr>
                        <w:pStyle w:val="TextBoxTitle"/>
                      </w:pPr>
                      <w:r w:rsidRPr="00CF4050">
                        <w:t xml:space="preserve">Example of General Comments </w:t>
                      </w:r>
                    </w:p>
                    <w:p w14:paraId="4B778EA8" w14:textId="77777777" w:rsidR="000A5E0B" w:rsidRPr="007D54DC" w:rsidRDefault="003F54E1" w:rsidP="00A606B7">
                      <w:pPr>
                        <w:pStyle w:val="TextBox10"/>
                        <w:spacing w:before="80" w:after="80"/>
                        <w:rPr>
                          <w:u w:val="single"/>
                        </w:rPr>
                      </w:pPr>
                      <w:hyperlink r:id="rId14" w:history="1">
                        <w:r w:rsidR="000A5E0B" w:rsidRPr="007D54DC">
                          <w:rPr>
                            <w:rStyle w:val="Hyperlink"/>
                          </w:rPr>
                          <w:t>General Comment No. 2 on Article 14.1 (a), (b), (c) and (f) and Article 14. 2 (a) and (c) of the Protocol to the African Charter on Human and Peoples’ Rights on the Rights of Women in Africa</w:t>
                        </w:r>
                      </w:hyperlink>
                    </w:p>
                    <w:p w14:paraId="1456100D" w14:textId="77777777" w:rsidR="000A5E0B" w:rsidRPr="00A606B7" w:rsidRDefault="000A5E0B" w:rsidP="00A606B7">
                      <w:pPr>
                        <w:pStyle w:val="TextBox10"/>
                        <w:spacing w:before="80" w:after="80"/>
                      </w:pPr>
                      <w:r w:rsidRPr="00A606B7">
                        <w:t>53. It is crucial to ensure availability, accessibility, acceptability and good quality reproductive health care, including family planning / contraception and safe abortion for women. State parties should ensure services that are comprehensive, integrated, rights-based, sensitive to the reality of women in all contexts, and adapted to women living with disabilities and the youth, free from any coercion, discrimination and violence.</w:t>
                      </w:r>
                    </w:p>
                    <w:p w14:paraId="0C03247F" w14:textId="77777777" w:rsidR="000A5E0B" w:rsidRPr="00A606B7" w:rsidRDefault="000A5E0B" w:rsidP="00A606B7">
                      <w:pPr>
                        <w:pStyle w:val="TextBox10"/>
                        <w:spacing w:before="80" w:after="80"/>
                      </w:pPr>
                      <w:r w:rsidRPr="00A606B7">
                        <w:t>54. They should integrate and/or link family planning/contraception and safe abortion services funded by public resources to other services relating to reproductive health, primary health care, HIV and other sexually transmitted infections.</w:t>
                      </w:r>
                      <w:r w:rsidRPr="00A606B7">
                        <w:rPr>
                          <w:rFonts w:hint="eastAsia"/>
                        </w:rPr>
                        <w:t xml:space="preserve"> </w:t>
                      </w:r>
                    </w:p>
                    <w:p w14:paraId="6F9BE3B1" w14:textId="77777777" w:rsidR="000A5E0B" w:rsidRPr="00CF4050" w:rsidRDefault="000A5E0B" w:rsidP="00841CE6">
                      <w:pPr>
                        <w:rPr>
                          <w:sz w:val="21"/>
                        </w:rPr>
                      </w:pPr>
                    </w:p>
                  </w:txbxContent>
                </v:textbox>
                <w10:wrap type="topAndBottom" anchorx="page" anchory="page"/>
              </v:shape>
            </w:pict>
          </mc:Fallback>
        </mc:AlternateContent>
      </w:r>
      <w:r w:rsidR="00227A90" w:rsidRPr="00635709">
        <w:t>Interpret the provisions of the Banjul C</w:t>
      </w:r>
      <w:r w:rsidR="00227A90" w:rsidRPr="00635709">
        <w:rPr>
          <w:rFonts w:hint="eastAsia"/>
        </w:rPr>
        <w:t>harter</w:t>
      </w:r>
      <w:r w:rsidR="00227A90" w:rsidRPr="00635709">
        <w:t xml:space="preserve"> and the supplementary protocols through issuing </w:t>
      </w:r>
      <w:r w:rsidR="00227A90" w:rsidRPr="00635709">
        <w:rPr>
          <w:rFonts w:ascii="Franklin Gothic Demi" w:hAnsi="Franklin Gothic Demi"/>
        </w:rPr>
        <w:t>General Comments</w:t>
      </w:r>
      <w:r w:rsidR="00227A90" w:rsidRPr="00490619">
        <w:t>,</w:t>
      </w:r>
      <w:r w:rsidR="00227A90" w:rsidRPr="00635709">
        <w:rPr>
          <w:rFonts w:ascii="Franklin Gothic Demi" w:hAnsi="Franklin Gothic Demi"/>
        </w:rPr>
        <w:t xml:space="preserve"> Thematic Resolutions</w:t>
      </w:r>
      <w:r w:rsidR="00227A90" w:rsidRPr="00490619">
        <w:t>,</w:t>
      </w:r>
      <w:r w:rsidR="00227A90" w:rsidRPr="00635709">
        <w:rPr>
          <w:rFonts w:ascii="Franklin Gothic Demi" w:hAnsi="Franklin Gothic Demi"/>
        </w:rPr>
        <w:t xml:space="preserve"> Guidelines </w:t>
      </w:r>
      <w:r w:rsidR="00227A90" w:rsidRPr="00635709">
        <w:t xml:space="preserve">or </w:t>
      </w:r>
      <w:r w:rsidR="00227A90" w:rsidRPr="00635709">
        <w:rPr>
          <w:rFonts w:ascii="Franklin Gothic Demi" w:hAnsi="Franklin Gothic Demi"/>
        </w:rPr>
        <w:t>Principles</w:t>
      </w:r>
      <w:r w:rsidR="00227A90" w:rsidRPr="00490619">
        <w:t>.</w:t>
      </w:r>
      <w:r w:rsidR="00227A90" w:rsidRPr="00635709">
        <w:t xml:space="preserve"> All General Comments </w:t>
      </w:r>
      <w:r w:rsidR="00227A90" w:rsidRPr="00635709">
        <w:rPr>
          <w:rFonts w:hint="eastAsia"/>
        </w:rPr>
        <w:t>ad</w:t>
      </w:r>
      <w:r w:rsidR="00227A90" w:rsidRPr="00635709">
        <w:t xml:space="preserve">opted so far to the Charter and the Maputo Protocol have made special reference to women and people with disabilities.  </w:t>
      </w:r>
    </w:p>
    <w:p w14:paraId="118F6E61" w14:textId="77777777" w:rsidR="00B47CF3" w:rsidRDefault="00B47CF3" w:rsidP="00B47CF3">
      <w:pPr>
        <w:ind w:left="90"/>
      </w:pPr>
    </w:p>
    <w:p w14:paraId="34C91E11" w14:textId="39301D65" w:rsidR="00B47CF3" w:rsidRDefault="00B47CF3" w:rsidP="00F25999">
      <w:pPr>
        <w:pStyle w:val="ListParagraph"/>
      </w:pPr>
      <w:r w:rsidRPr="00635709">
        <w:rPr>
          <w:rFonts w:ascii="Franklin Gothic Heavy" w:hAnsi="Franklin Gothic Heavy" w:cs="Franklin Gothic Heavy"/>
          <w:noProof/>
          <w:color w:val="3E286D"/>
          <w:szCs w:val="26"/>
        </w:rPr>
        <mc:AlternateContent>
          <mc:Choice Requires="wps">
            <w:drawing>
              <wp:anchor distT="118745" distB="228600" distL="114300" distR="114300" simplePos="0" relativeHeight="251671552" behindDoc="0" locked="0" layoutInCell="1" allowOverlap="1" wp14:anchorId="1B8CDB7F" wp14:editId="34CA28B0">
                <wp:simplePos x="0" y="0"/>
                <wp:positionH relativeFrom="page">
                  <wp:posOffset>779780</wp:posOffset>
                </wp:positionH>
                <wp:positionV relativeFrom="page">
                  <wp:posOffset>1877695</wp:posOffset>
                </wp:positionV>
                <wp:extent cx="6172200" cy="2679192"/>
                <wp:effectExtent l="0" t="0" r="0" b="635"/>
                <wp:wrapTopAndBottom/>
                <wp:docPr id="5" name="Text Box 5"/>
                <wp:cNvGraphicFramePr/>
                <a:graphic xmlns:a="http://schemas.openxmlformats.org/drawingml/2006/main">
                  <a:graphicData uri="http://schemas.microsoft.com/office/word/2010/wordprocessingShape">
                    <wps:wsp>
                      <wps:cNvSpPr txBox="1"/>
                      <wps:spPr>
                        <a:xfrm>
                          <a:off x="0" y="0"/>
                          <a:ext cx="6172200" cy="2679192"/>
                        </a:xfrm>
                        <a:prstGeom prst="rect">
                          <a:avLst/>
                        </a:prstGeom>
                        <a:solidFill>
                          <a:srgbClr val="B7A0CB">
                            <a:alpha val="34902"/>
                          </a:srgbClr>
                        </a:solidFill>
                        <a:ln w="6350">
                          <a:noFill/>
                        </a:ln>
                      </wps:spPr>
                      <wps:txbx>
                        <w:txbxContent>
                          <w:p w14:paraId="73AAF7F9" w14:textId="332A030D" w:rsidR="00341A5B" w:rsidRPr="00CC3424" w:rsidRDefault="00341A5B" w:rsidP="00CC3424">
                            <w:pPr>
                              <w:pStyle w:val="TextBoxTitle"/>
                            </w:pPr>
                            <w:r w:rsidRPr="00CC3424">
                              <w:t xml:space="preserve">Example of Concluding Observations </w:t>
                            </w:r>
                          </w:p>
                          <w:p w14:paraId="24E380ED" w14:textId="77777777" w:rsidR="00341A5B" w:rsidRPr="007D54DC" w:rsidRDefault="00341A5B" w:rsidP="007D54DC">
                            <w:pPr>
                              <w:pStyle w:val="TextBox10"/>
                              <w:rPr>
                                <w:rStyle w:val="Hyperlink"/>
                              </w:rPr>
                            </w:pPr>
                            <w:r w:rsidRPr="007D54DC">
                              <w:rPr>
                                <w:u w:val="single"/>
                              </w:rPr>
                              <w:fldChar w:fldCharType="begin"/>
                            </w:r>
                            <w:r w:rsidRPr="007D54DC">
                              <w:rPr>
                                <w:u w:val="single"/>
                              </w:rPr>
                              <w:instrText xml:space="preserve"> HYPERLINK "http://www.achpr.org/files/sessions/57th/conc-obs/1-1995-2013/concluding_observations__initial__combined_state_report_malawi.pdf" </w:instrText>
                            </w:r>
                            <w:r w:rsidRPr="007D54DC">
                              <w:rPr>
                                <w:u w:val="single"/>
                              </w:rPr>
                              <w:fldChar w:fldCharType="separate"/>
                            </w:r>
                            <w:r w:rsidRPr="007D54DC">
                              <w:rPr>
                                <w:rStyle w:val="Hyperlink"/>
                              </w:rPr>
                              <w:t>Concluding Observations and Recommendations on the Initial and Combined Periodic Report of the Republic of Malawi on the Implementation of the African Charter on Human and Peoples’ Rights (1995 – 2013)</w:t>
                            </w:r>
                            <w:r w:rsidRPr="007D54DC">
                              <w:rPr>
                                <w:rStyle w:val="Hyperlink"/>
                                <w:rFonts w:hint="eastAsia"/>
                              </w:rPr>
                              <w:t xml:space="preserve"> </w:t>
                            </w:r>
                          </w:p>
                          <w:p w14:paraId="289F2E29" w14:textId="77777777" w:rsidR="00D46C24" w:rsidRPr="007D54DC" w:rsidRDefault="00341A5B" w:rsidP="007D54DC">
                            <w:pPr>
                              <w:pStyle w:val="TextBox10"/>
                            </w:pPr>
                            <w:r w:rsidRPr="007D54DC">
                              <w:rPr>
                                <w:u w:val="single"/>
                              </w:rPr>
                              <w:fldChar w:fldCharType="end"/>
                            </w:r>
                            <w:r w:rsidRPr="007D54DC">
                              <w:t>IV. Areas of Concern</w:t>
                            </w:r>
                          </w:p>
                          <w:p w14:paraId="7477650C" w14:textId="78532429" w:rsidR="00341A5B" w:rsidRPr="007D54DC" w:rsidRDefault="00341A5B" w:rsidP="007D54DC">
                            <w:pPr>
                              <w:pStyle w:val="TextBox10"/>
                            </w:pPr>
                            <w:r w:rsidRPr="007D54DC">
                              <w:t>69. The existence of customary discriminatory practices such as patriarchal attitudes and deep-rooted stereotypes regarding the roles, responsibilities and identities of women and men in all spheres of life, as well as traditional beliefs resulting in acts of torture and violence against elderly women on account of suspicion of practicing witchcraft;</w:t>
                            </w:r>
                          </w:p>
                          <w:p w14:paraId="133EE36A" w14:textId="2191B184" w:rsidR="00341A5B" w:rsidRPr="007D54DC" w:rsidRDefault="00341A5B" w:rsidP="007D54DC">
                            <w:pPr>
                              <w:pStyle w:val="TextBox10"/>
                            </w:pPr>
                            <w:r w:rsidRPr="007D54DC">
                              <w:rPr>
                                <w:rFonts w:hint="eastAsia"/>
                              </w:rPr>
                              <w:t>V.</w:t>
                            </w:r>
                            <w:r w:rsidRPr="007D54DC">
                              <w:t xml:space="preserve"> </w:t>
                            </w:r>
                            <w:r w:rsidRPr="007D54DC">
                              <w:rPr>
                                <w:rFonts w:hint="eastAsia"/>
                              </w:rPr>
                              <w:t>Recommendations to the Government of the Re</w:t>
                            </w:r>
                            <w:r w:rsidRPr="007D54DC">
                              <w:t>public of Malawi</w:t>
                            </w:r>
                            <w:r w:rsidR="00CF4050" w:rsidRPr="007D54DC">
                              <w:br/>
                            </w:r>
                            <w:r w:rsidRPr="007D54DC">
                              <w:t>102. Adopt a comprehensive strategy to modify or eliminate negative cultural practices and stereotypes which are harmful to and discriminate against women, and to promote women’s full enjoyment of their human rights[.]</w:t>
                            </w:r>
                            <w:r w:rsidRPr="007D54DC">
                              <w:rPr>
                                <w:rFonts w:hint="eastAsia"/>
                              </w:rPr>
                              <w:t xml:space="preserve"> </w:t>
                            </w:r>
                          </w:p>
                        </w:txbxContent>
                      </wps:txbx>
                      <wps:bodyPr rot="0" spcFirstLastPara="0" vertOverflow="overflow" horzOverflow="overflow" vert="horz" wrap="square" lIns="137160" tIns="9144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DB7F" id="Text Box 5" o:spid="_x0000_s1029" type="#_x0000_t202" style="position:absolute;left:0;text-align:left;margin-left:61.4pt;margin-top:147.85pt;width:486pt;height:210.95pt;z-index:251671552;visibility:visible;mso-wrap-style:square;mso-width-percent:0;mso-height-percent:0;mso-wrap-distance-left:9pt;mso-wrap-distance-top:9.35pt;mso-wrap-distance-right:9pt;mso-wrap-distance-bottom:1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" fillcolor="#b7a0cb" stroked="f" strokeweight=".5pt">
                <v:fill opacity="22873f"/>
                <v:textbox inset="10.8pt,7.2pt,10.8pt,10.8pt">
                  <w:txbxContent>
                    <w:p w14:paraId="73AAF7F9" w14:textId="332A030D" w:rsidR="00341A5B" w:rsidRPr="00CC3424" w:rsidRDefault="00341A5B" w:rsidP="00CC3424">
                      <w:pPr>
                        <w:pStyle w:val="TextBoxTitle"/>
                      </w:pPr>
                      <w:r w:rsidRPr="00CC3424">
                        <w:t xml:space="preserve">Example of Concluding Observations </w:t>
                      </w:r>
                    </w:p>
                    <w:p w14:paraId="24E380ED" w14:textId="77777777" w:rsidR="00341A5B" w:rsidRPr="007D54DC" w:rsidRDefault="00341A5B" w:rsidP="007D54DC">
                      <w:pPr>
                        <w:pStyle w:val="TextBox10"/>
                        <w:rPr>
                          <w:rStyle w:val="Hyperlink"/>
                        </w:rPr>
                      </w:pPr>
                      <w:r w:rsidRPr="007D54DC">
                        <w:rPr>
                          <w:u w:val="single"/>
                        </w:rPr>
                        <w:fldChar w:fldCharType="begin"/>
                      </w:r>
                      <w:r w:rsidRPr="007D54DC">
                        <w:rPr>
                          <w:u w:val="single"/>
                        </w:rPr>
                        <w:instrText xml:space="preserve"> HYPERLINK "http://www.achpr.org/files/sessions/57th/conc-obs/1-1995-2013/concluding_observations__initial__combined_state_report_malawi.pdf" </w:instrText>
                      </w:r>
                      <w:r w:rsidRPr="007D54DC">
                        <w:rPr>
                          <w:u w:val="single"/>
                        </w:rPr>
                        <w:fldChar w:fldCharType="separate"/>
                      </w:r>
                      <w:r w:rsidRPr="007D54DC">
                        <w:rPr>
                          <w:rStyle w:val="Hyperlink"/>
                        </w:rPr>
                        <w:t>Concluding Observations and Recommendations on the Initial and Combined Periodic Report of the Republic of Malawi on the Implementation of the African Charter on Human and Peoples’ Rights (1995 – 2013)</w:t>
                      </w:r>
                      <w:r w:rsidRPr="007D54DC">
                        <w:rPr>
                          <w:rStyle w:val="Hyperlink"/>
                          <w:rFonts w:hint="eastAsia"/>
                        </w:rPr>
                        <w:t xml:space="preserve"> </w:t>
                      </w:r>
                    </w:p>
                    <w:p w14:paraId="289F2E29" w14:textId="77777777" w:rsidR="00D46C24" w:rsidRPr="007D54DC" w:rsidRDefault="00341A5B" w:rsidP="007D54DC">
                      <w:pPr>
                        <w:pStyle w:val="TextBox10"/>
                      </w:pPr>
                      <w:r w:rsidRPr="007D54DC">
                        <w:rPr>
                          <w:u w:val="single"/>
                        </w:rPr>
                        <w:fldChar w:fldCharType="end"/>
                      </w:r>
                      <w:r w:rsidRPr="007D54DC">
                        <w:t>IV. Areas of Concern</w:t>
                      </w:r>
                    </w:p>
                    <w:p w14:paraId="7477650C" w14:textId="78532429" w:rsidR="00341A5B" w:rsidRPr="007D54DC" w:rsidRDefault="00341A5B" w:rsidP="007D54DC">
                      <w:pPr>
                        <w:pStyle w:val="TextBox10"/>
                      </w:pPr>
                      <w:r w:rsidRPr="007D54DC">
                        <w:t>69. The existence of customary discriminatory practices such as patriarchal attitudes and deep-rooted stereotypes regarding the roles, responsibilities and identities of women and men in all spheres of life, as well as traditional beliefs resulting in acts of torture and violence against elderly women on account of suspicion of practicing witchcraft;</w:t>
                      </w:r>
                    </w:p>
                    <w:p w14:paraId="133EE36A" w14:textId="2191B184" w:rsidR="00341A5B" w:rsidRPr="007D54DC" w:rsidRDefault="00341A5B" w:rsidP="007D54DC">
                      <w:pPr>
                        <w:pStyle w:val="TextBox10"/>
                      </w:pPr>
                      <w:r w:rsidRPr="007D54DC">
                        <w:rPr>
                          <w:rFonts w:hint="eastAsia"/>
                        </w:rPr>
                        <w:t>V.</w:t>
                      </w:r>
                      <w:r w:rsidRPr="007D54DC">
                        <w:t xml:space="preserve"> </w:t>
                      </w:r>
                      <w:r w:rsidRPr="007D54DC">
                        <w:rPr>
                          <w:rFonts w:hint="eastAsia"/>
                        </w:rPr>
                        <w:t>Recommendations to the Government of the Re</w:t>
                      </w:r>
                      <w:r w:rsidRPr="007D54DC">
                        <w:t>public of Malawi</w:t>
                      </w:r>
                      <w:r w:rsidR="00CF4050" w:rsidRPr="007D54DC">
                        <w:br/>
                      </w:r>
                      <w:r w:rsidRPr="007D54DC">
                        <w:t>102. Adopt a comprehensive strategy to modify or eliminate negative cultural practices and stereotypes which are harmful to and discriminate against women, and to promote women’s full enjoyment of their human rights[.]</w:t>
                      </w:r>
                      <w:r w:rsidRPr="007D54DC">
                        <w:rPr>
                          <w:rFonts w:hint="eastAsia"/>
                        </w:rPr>
                        <w:t xml:space="preserve"> </w:t>
                      </w:r>
                    </w:p>
                  </w:txbxContent>
                </v:textbox>
                <w10:wrap type="topAndBottom" anchorx="page" anchory="page"/>
              </v:shape>
            </w:pict>
          </mc:Fallback>
        </mc:AlternateContent>
      </w:r>
      <w:r w:rsidR="00341A5B" w:rsidRPr="00635709">
        <w:t xml:space="preserve">Review </w:t>
      </w:r>
      <w:r w:rsidR="00490619" w:rsidRPr="00B47CF3">
        <w:rPr>
          <w:rFonts w:ascii="Franklin Gothic Demi" w:hAnsi="Franklin Gothic Demi"/>
        </w:rPr>
        <w:t>S</w:t>
      </w:r>
      <w:r w:rsidR="00341A5B" w:rsidRPr="00B47CF3">
        <w:rPr>
          <w:rFonts w:ascii="Franklin Gothic Demi" w:hAnsi="Franklin Gothic Demi"/>
        </w:rPr>
        <w:t>tate Reports</w:t>
      </w:r>
      <w:r w:rsidR="00341A5B" w:rsidRPr="00635709">
        <w:t xml:space="preserve"> to monitor compliance with states’ human rights obligations and issue </w:t>
      </w:r>
      <w:r w:rsidR="00341A5B" w:rsidRPr="00B47CF3">
        <w:rPr>
          <w:rFonts w:ascii="Franklin Gothic Demi" w:hAnsi="Franklin Gothic Demi"/>
        </w:rPr>
        <w:t>Concluding Observations</w:t>
      </w:r>
      <w:r w:rsidR="00341A5B" w:rsidRPr="00490619">
        <w:t>.</w:t>
      </w:r>
      <w:r w:rsidR="00341A5B" w:rsidRPr="00635709">
        <w:t xml:space="preserve"> States are required to submit a report to the African Commission every two years on the measures they have taken to implement the Banjul Charter and any additional protocols the state has ratified. The African Commission will review the report and adopt concluding observations that acknowledge the progress made, express concern about possible human rights violations, and offer recommendations to improve compliance. </w:t>
      </w:r>
    </w:p>
    <w:p w14:paraId="5C6406E7" w14:textId="5CFA7091" w:rsidR="00341A5B" w:rsidRPr="00635709" w:rsidRDefault="00341A5B" w:rsidP="00BC77CF">
      <w:pPr>
        <w:pStyle w:val="ListParagraph"/>
        <w:ind w:right="342"/>
      </w:pPr>
      <w:r w:rsidRPr="00635709">
        <w:t xml:space="preserve">Hear </w:t>
      </w:r>
      <w:r w:rsidRPr="00B47CF3">
        <w:rPr>
          <w:rFonts w:ascii="Franklin Gothic Demi" w:hAnsi="Franklin Gothic Demi"/>
        </w:rPr>
        <w:t>Individual Complaints</w:t>
      </w:r>
      <w:r w:rsidRPr="00635709">
        <w:t xml:space="preserve"> (or </w:t>
      </w:r>
      <w:r w:rsidRPr="00B47CF3">
        <w:rPr>
          <w:rFonts w:ascii="Franklin Gothic Demi" w:hAnsi="Franklin Gothic Demi"/>
        </w:rPr>
        <w:t>Communications</w:t>
      </w:r>
      <w:r w:rsidRPr="00635709">
        <w:t xml:space="preserve">). </w:t>
      </w:r>
      <w:r w:rsidRPr="00490619">
        <w:t>NGOs and individuals</w:t>
      </w:r>
      <w:r w:rsidRPr="00635709">
        <w:t xml:space="preserve"> can file individual complaints alleging violations of the rights protected in the Banjul Charter, as well as the Maputo Protocol, and when it comes into effect, the Disability Protocol. The African Commission will examine the facts and review arguments of parties to determine whether there has been a violation and, if so, will recommend what the state must do to remedy the victim. </w:t>
      </w:r>
      <w:r w:rsidR="00FF5A68" w:rsidRPr="00635709">
        <w:br/>
      </w:r>
      <w:r w:rsidR="00FF5A68" w:rsidRPr="00635709">
        <w:br/>
      </w:r>
      <w:r w:rsidRPr="00635709">
        <w:t xml:space="preserve">In the context of individual complaints, the African Commission can: </w:t>
      </w:r>
    </w:p>
    <w:p w14:paraId="1808D79E" w14:textId="0EAC30D0" w:rsidR="00341A5B" w:rsidRPr="00635709" w:rsidRDefault="00341A5B" w:rsidP="00F25999">
      <w:pPr>
        <w:pStyle w:val="SecondLevelListParagraph"/>
      </w:pPr>
      <w:r w:rsidRPr="00635709">
        <w:t xml:space="preserve">facilitate </w:t>
      </w:r>
      <w:r w:rsidRPr="00635709">
        <w:rPr>
          <w:rFonts w:ascii="Franklin Gothic Demi" w:hAnsi="Franklin Gothic Demi"/>
        </w:rPr>
        <w:t>friendly settlements</w:t>
      </w:r>
      <w:r w:rsidRPr="00635709">
        <w:t xml:space="preserve"> (negotiations between the victim and the state to reach an agreement); </w:t>
      </w:r>
    </w:p>
    <w:p w14:paraId="26448039" w14:textId="2350E50F" w:rsidR="00341A5B" w:rsidRPr="00635709" w:rsidRDefault="00341A5B" w:rsidP="00F25999">
      <w:pPr>
        <w:pStyle w:val="SecondLevelListParagraph"/>
      </w:pPr>
      <w:r w:rsidRPr="00635709">
        <w:t xml:space="preserve">call on the state to take </w:t>
      </w:r>
      <w:r w:rsidRPr="00490619">
        <w:rPr>
          <w:rFonts w:ascii="Franklin Gothic Medium" w:hAnsi="Franklin Gothic Medium"/>
        </w:rPr>
        <w:t>Provisional Measures</w:t>
      </w:r>
      <w:r w:rsidRPr="00635709">
        <w:t xml:space="preserve">, while the case is pending before the African Commission, to </w:t>
      </w:r>
      <w:r w:rsidRPr="00490619">
        <w:rPr>
          <w:rFonts w:ascii="Franklin Gothic Medium" w:hAnsi="Franklin Gothic Medium"/>
        </w:rPr>
        <w:t>prevent irreparable harm to the victim or victims</w:t>
      </w:r>
      <w:r w:rsidRPr="00635709">
        <w:t xml:space="preserve"> of the alleged violation; </w:t>
      </w:r>
      <w:r w:rsidR="007B39F1">
        <w:t>and</w:t>
      </w:r>
    </w:p>
    <w:p w14:paraId="36CBEC5B" w14:textId="48C3407A" w:rsidR="00341A5B" w:rsidRPr="00635709" w:rsidRDefault="00B47CF3" w:rsidP="00F25999">
      <w:pPr>
        <w:pStyle w:val="SecondLevelListParagraph"/>
      </w:pPr>
      <w:r w:rsidRPr="00635709">
        <w:rPr>
          <w:noProof/>
        </w:rPr>
        <mc:AlternateContent>
          <mc:Choice Requires="wps">
            <w:drawing>
              <wp:anchor distT="0" distB="118745" distL="114300" distR="114300" simplePos="0" relativeHeight="251673600" behindDoc="0" locked="0" layoutInCell="1" allowOverlap="1" wp14:anchorId="357BE305" wp14:editId="61D76D96">
                <wp:simplePos x="0" y="0"/>
                <wp:positionH relativeFrom="page">
                  <wp:posOffset>779780</wp:posOffset>
                </wp:positionH>
                <wp:positionV relativeFrom="paragraph">
                  <wp:posOffset>847725</wp:posOffset>
                </wp:positionV>
                <wp:extent cx="6172200" cy="1828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172200" cy="1828800"/>
                        </a:xfrm>
                        <a:prstGeom prst="rect">
                          <a:avLst/>
                        </a:prstGeom>
                        <a:solidFill>
                          <a:srgbClr val="B7A0CB">
                            <a:alpha val="34902"/>
                          </a:srgbClr>
                        </a:solidFill>
                        <a:ln w="6350">
                          <a:noFill/>
                        </a:ln>
                      </wps:spPr>
                      <wps:txbx>
                        <w:txbxContent>
                          <w:p w14:paraId="257720D4" w14:textId="2D996ED7" w:rsidR="00341A5B" w:rsidRPr="00CF4050" w:rsidRDefault="00341A5B" w:rsidP="00CC3424">
                            <w:pPr>
                              <w:pStyle w:val="TextBoxTitle"/>
                            </w:pPr>
                            <w:r w:rsidRPr="00CF4050">
                              <w:t xml:space="preserve">Example of </w:t>
                            </w:r>
                            <w:r w:rsidR="007E42A1" w:rsidRPr="00CF4050">
                              <w:t>Individual Complaints</w:t>
                            </w:r>
                            <w:r w:rsidRPr="00CF4050">
                              <w:t xml:space="preserve"> </w:t>
                            </w:r>
                          </w:p>
                          <w:p w14:paraId="4998F5E2" w14:textId="77777777" w:rsidR="00341A5B" w:rsidRPr="007D54DC" w:rsidRDefault="00341A5B" w:rsidP="00A606B7">
                            <w:pPr>
                              <w:pStyle w:val="TextBox10"/>
                              <w:rPr>
                                <w:rStyle w:val="Hyperlink"/>
                              </w:rPr>
                            </w:pPr>
                            <w:r w:rsidRPr="007D54DC">
                              <w:fldChar w:fldCharType="begin"/>
                            </w:r>
                            <w:r w:rsidRPr="007D54DC">
                              <w:instrText xml:space="preserve"> HYPERLINK "http://caselaw.ihrda.org/doc/241.01/" </w:instrText>
                            </w:r>
                            <w:r w:rsidRPr="007D54DC">
                              <w:fldChar w:fldCharType="separate"/>
                            </w:r>
                            <w:r w:rsidRPr="007D54DC">
                              <w:rPr>
                                <w:rStyle w:val="Hyperlink"/>
                              </w:rPr>
                              <w:t>Purohit and Moore v. The Gambia (Communication. No. 241/01 (2003))</w:t>
                            </w:r>
                          </w:p>
                          <w:p w14:paraId="0C1DB86B" w14:textId="6D69094E" w:rsidR="00341A5B" w:rsidRPr="00CF4050" w:rsidRDefault="00341A5B" w:rsidP="00A606B7">
                            <w:pPr>
                              <w:pStyle w:val="TextBox10"/>
                            </w:pPr>
                            <w:r w:rsidRPr="007D54DC">
                              <w:fldChar w:fldCharType="end"/>
                            </w:r>
                            <w:r w:rsidRPr="00CF4050">
                              <w:t xml:space="preserve">This case concerns the detention of people with mental disabilities in psychiatric </w:t>
                            </w:r>
                            <w:r w:rsidRPr="00CF4050">
                              <w:rPr>
                                <w:rFonts w:hint="eastAsia"/>
                              </w:rPr>
                              <w:t xml:space="preserve">hospitals. </w:t>
                            </w:r>
                            <w:bookmarkStart w:id="7" w:name="OLE_LINK305"/>
                            <w:bookmarkStart w:id="8" w:name="OLE_LINK306"/>
                            <w:r w:rsidRPr="00CF4050">
                              <w:t xml:space="preserve">Mental health advocates, on behalf of patients detained in a psychiatric unit of a hospital and future mental health patients, complained that the Lunatics Detention Act (LDA) of the Republic of The </w:t>
                            </w:r>
                            <w:r w:rsidRPr="00CF4050">
                              <w:rPr>
                                <w:rFonts w:hint="eastAsia"/>
                              </w:rPr>
                              <w:t>Gambia</w:t>
                            </w:r>
                            <w:r w:rsidRPr="00CF4050">
                              <w:t xml:space="preserve">, allows for automatic and indefinite institutionalization </w:t>
                            </w:r>
                            <w:r w:rsidRPr="00CF4050">
                              <w:rPr>
                                <w:rFonts w:hint="eastAsia"/>
                              </w:rPr>
                              <w:t xml:space="preserve">of any person described as a </w:t>
                            </w:r>
                            <w:r w:rsidRPr="00CF4050">
                              <w:t>“lunatic” without due process</w:t>
                            </w:r>
                            <w:r w:rsidRPr="00CF4050">
                              <w:rPr>
                                <w:rFonts w:hint="eastAsia"/>
                              </w:rPr>
                              <w:t>.</w:t>
                            </w:r>
                            <w:r w:rsidRPr="00CF4050">
                              <w:t xml:space="preserve"> The </w:t>
                            </w:r>
                            <w:r w:rsidRPr="00CF4050">
                              <w:rPr>
                                <w:rFonts w:hint="eastAsia"/>
                              </w:rPr>
                              <w:t>Af</w:t>
                            </w:r>
                            <w:r w:rsidRPr="00CF4050">
                              <w:t xml:space="preserve">rican Commission found that the state party has violated the rights of people with mental disabilities </w:t>
                            </w:r>
                            <w:r w:rsidRPr="00CF4050">
                              <w:rPr>
                                <w:rFonts w:hint="eastAsia"/>
                              </w:rPr>
                              <w:t>to equality and non-discrimination,</w:t>
                            </w:r>
                            <w:r w:rsidRPr="00CF4050">
                              <w:t xml:space="preserve"> dignity, fair trial, liberty and health, all of which are protected in the Banjul Charter.</w:t>
                            </w:r>
                            <w:bookmarkEnd w:id="7"/>
                            <w:bookmarkEnd w:id="8"/>
                            <w:r w:rsidRPr="00CF4050">
                              <w:rPr>
                                <w:rFonts w:hint="eastAsia"/>
                              </w:rPr>
                              <w:t xml:space="preserve"> </w:t>
                            </w:r>
                          </w:p>
                          <w:p w14:paraId="383297C0" w14:textId="77777777" w:rsidR="00341A5B" w:rsidRPr="00CF4050" w:rsidRDefault="00341A5B" w:rsidP="00841CE6">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E305" id="Text Box 6" o:spid="_x0000_s1030" type="#_x0000_t202" style="position:absolute;left:0;text-align:left;margin-left:61.4pt;margin-top:66.75pt;width:486pt;height:2in;z-index:251673600;visibility:visible;mso-wrap-style:square;mso-width-percent:0;mso-height-percent:0;mso-wrap-distance-left:9pt;mso-wrap-distance-top:0;mso-wrap-distance-right:9pt;mso-wrap-distance-bottom:9.3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" fillcolor="#b7a0cb" stroked="f" strokeweight=".5pt">
                <v:fill opacity="22873f"/>
                <v:textbox>
                  <w:txbxContent>
                    <w:p w14:paraId="257720D4" w14:textId="2D996ED7" w:rsidR="00341A5B" w:rsidRPr="00CF4050" w:rsidRDefault="00341A5B" w:rsidP="00CC3424">
                      <w:pPr>
                        <w:pStyle w:val="TextBoxTitle"/>
                      </w:pPr>
                      <w:r w:rsidRPr="00CF4050">
                        <w:t xml:space="preserve">Example of </w:t>
                      </w:r>
                      <w:r w:rsidR="007E42A1" w:rsidRPr="00CF4050">
                        <w:t>Individual Complaints</w:t>
                      </w:r>
                      <w:r w:rsidRPr="00CF4050">
                        <w:t xml:space="preserve"> </w:t>
                      </w:r>
                    </w:p>
                    <w:p w14:paraId="4998F5E2" w14:textId="77777777" w:rsidR="00341A5B" w:rsidRPr="007D54DC" w:rsidRDefault="00341A5B" w:rsidP="00A606B7">
                      <w:pPr>
                        <w:pStyle w:val="TextBox10"/>
                        <w:rPr>
                          <w:rStyle w:val="Hyperlink"/>
                        </w:rPr>
                      </w:pPr>
                      <w:r w:rsidRPr="007D54DC">
                        <w:fldChar w:fldCharType="begin"/>
                      </w:r>
                      <w:r w:rsidRPr="007D54DC">
                        <w:instrText xml:space="preserve"> HYPERLINK "http://caselaw.ihrda.org/doc/241.01/" </w:instrText>
                      </w:r>
                      <w:r w:rsidRPr="007D54DC">
                        <w:fldChar w:fldCharType="separate"/>
                      </w:r>
                      <w:r w:rsidRPr="007D54DC">
                        <w:rPr>
                          <w:rStyle w:val="Hyperlink"/>
                        </w:rPr>
                        <w:t>Purohit and Moore v. The Gambia (Communication. No. 241/01 (2003))</w:t>
                      </w:r>
                    </w:p>
                    <w:p w14:paraId="0C1DB86B" w14:textId="6D69094E" w:rsidR="00341A5B" w:rsidRPr="00CF4050" w:rsidRDefault="00341A5B" w:rsidP="00A606B7">
                      <w:pPr>
                        <w:pStyle w:val="TextBox10"/>
                      </w:pPr>
                      <w:r w:rsidRPr="007D54DC">
                        <w:fldChar w:fldCharType="end"/>
                      </w:r>
                      <w:r w:rsidRPr="00CF4050">
                        <w:t xml:space="preserve">This case concerns the detention of people with mental disabilities in psychiatric </w:t>
                      </w:r>
                      <w:r w:rsidRPr="00CF4050">
                        <w:rPr>
                          <w:rFonts w:hint="eastAsia"/>
                        </w:rPr>
                        <w:t xml:space="preserve">hospitals. </w:t>
                      </w:r>
                      <w:bookmarkStart w:id="12" w:name="OLE_LINK305"/>
                      <w:bookmarkStart w:id="13" w:name="OLE_LINK306"/>
                      <w:r w:rsidRPr="00CF4050">
                        <w:t xml:space="preserve">Mental health advocates, on behalf of patients detained in a psychiatric unit of a hospital and future mental health patients, complained that the Lunatics Detention Act (LDA) of the Republic of The </w:t>
                      </w:r>
                      <w:r w:rsidRPr="00CF4050">
                        <w:rPr>
                          <w:rFonts w:hint="eastAsia"/>
                        </w:rPr>
                        <w:t>Gambia</w:t>
                      </w:r>
                      <w:r w:rsidRPr="00CF4050">
                        <w:t xml:space="preserve">, allows for automatic and indefinite institutionalization </w:t>
                      </w:r>
                      <w:r w:rsidRPr="00CF4050">
                        <w:rPr>
                          <w:rFonts w:hint="eastAsia"/>
                        </w:rPr>
                        <w:t xml:space="preserve">of any person described as a </w:t>
                      </w:r>
                      <w:r w:rsidRPr="00CF4050">
                        <w:t>“lunatic” without due process</w:t>
                      </w:r>
                      <w:r w:rsidRPr="00CF4050">
                        <w:rPr>
                          <w:rFonts w:hint="eastAsia"/>
                        </w:rPr>
                        <w:t>.</w:t>
                      </w:r>
                      <w:r w:rsidRPr="00CF4050">
                        <w:t xml:space="preserve"> The </w:t>
                      </w:r>
                      <w:r w:rsidRPr="00CF4050">
                        <w:rPr>
                          <w:rFonts w:hint="eastAsia"/>
                        </w:rPr>
                        <w:t>Af</w:t>
                      </w:r>
                      <w:r w:rsidRPr="00CF4050">
                        <w:t xml:space="preserve">rican Commission found that the state party has violated the rights of people with mental disabilities </w:t>
                      </w:r>
                      <w:r w:rsidRPr="00CF4050">
                        <w:rPr>
                          <w:rFonts w:hint="eastAsia"/>
                        </w:rPr>
                        <w:t>to equality and non-discrimination,</w:t>
                      </w:r>
                      <w:r w:rsidRPr="00CF4050">
                        <w:t xml:space="preserve"> dignity, fair trial, liberty and health, all of which are protected in the Banjul Charter.</w:t>
                      </w:r>
                      <w:bookmarkEnd w:id="12"/>
                      <w:bookmarkEnd w:id="13"/>
                      <w:r w:rsidRPr="00CF4050">
                        <w:rPr>
                          <w:rFonts w:hint="eastAsia"/>
                        </w:rPr>
                        <w:t xml:space="preserve"> </w:t>
                      </w:r>
                    </w:p>
                    <w:p w14:paraId="383297C0" w14:textId="77777777" w:rsidR="00341A5B" w:rsidRPr="00CF4050" w:rsidRDefault="00341A5B" w:rsidP="00841CE6">
                      <w:pPr>
                        <w:rPr>
                          <w:sz w:val="21"/>
                        </w:rPr>
                      </w:pPr>
                    </w:p>
                  </w:txbxContent>
                </v:textbox>
                <w10:wrap type="topAndBottom" anchorx="page"/>
              </v:shape>
            </w:pict>
          </mc:Fallback>
        </mc:AlternateContent>
      </w:r>
      <w:r w:rsidR="00341A5B" w:rsidRPr="00635709">
        <w:t xml:space="preserve">make a determination to treat the complaint as an Emergency, where there is evidence of </w:t>
      </w:r>
      <w:r w:rsidR="00341A5B" w:rsidRPr="00635709">
        <w:rPr>
          <w:rFonts w:ascii="Franklin Gothic Demi" w:hAnsi="Franklin Gothic Demi"/>
        </w:rPr>
        <w:t xml:space="preserve">serious </w:t>
      </w:r>
      <w:r w:rsidR="00BC77CF">
        <w:rPr>
          <w:rFonts w:ascii="Franklin Gothic Demi" w:hAnsi="Franklin Gothic Demi"/>
        </w:rPr>
        <w:br/>
      </w:r>
      <w:r w:rsidR="00341A5B" w:rsidRPr="00635709">
        <w:rPr>
          <w:rFonts w:ascii="Franklin Gothic Demi" w:hAnsi="Franklin Gothic Demi"/>
        </w:rPr>
        <w:t xml:space="preserve">or massive violations of human and peoples’ rights </w:t>
      </w:r>
      <w:r w:rsidR="00341A5B" w:rsidRPr="00635709">
        <w:t xml:space="preserve">or of a situation that presents the </w:t>
      </w:r>
      <w:r w:rsidR="00341A5B" w:rsidRPr="00635709">
        <w:rPr>
          <w:rFonts w:ascii="Franklin Gothic Demi" w:hAnsi="Franklin Gothic Demi"/>
        </w:rPr>
        <w:t>danger of irreparable harm.</w:t>
      </w:r>
      <w:r w:rsidR="00341A5B" w:rsidRPr="00635709">
        <w:t xml:space="preserve"> In such cases, the Commission may issue </w:t>
      </w:r>
      <w:r w:rsidR="00341A5B" w:rsidRPr="00635709">
        <w:rPr>
          <w:rFonts w:ascii="Franklin Gothic Demi" w:hAnsi="Franklin Gothic Demi"/>
        </w:rPr>
        <w:t>Urgent Appeals</w:t>
      </w:r>
      <w:r w:rsidR="00341A5B" w:rsidRPr="00635709">
        <w:t xml:space="preserve"> to communicate </w:t>
      </w:r>
      <w:r w:rsidR="00BC77CF">
        <w:br/>
      </w:r>
      <w:r w:rsidR="00341A5B" w:rsidRPr="00635709">
        <w:t xml:space="preserve">time-sensitive information requesting state authorities to take urgent interventions. </w:t>
      </w:r>
    </w:p>
    <w:p w14:paraId="1633B067" w14:textId="712D4AB1" w:rsidR="009874C7" w:rsidRPr="00635709" w:rsidRDefault="009874C7" w:rsidP="00F25999">
      <w:pPr>
        <w:pStyle w:val="SecondLevelListParagraph"/>
        <w:numPr>
          <w:ilvl w:val="0"/>
          <w:numId w:val="0"/>
        </w:numPr>
        <w:ind w:left="720"/>
        <w:sectPr w:rsidR="009874C7" w:rsidRPr="00635709" w:rsidSect="009874C7">
          <w:pgSz w:w="12240" w:h="15840"/>
          <w:pgMar w:top="720" w:right="864" w:bottom="720" w:left="864" w:header="432" w:footer="432" w:gutter="0"/>
          <w:cols w:space="720"/>
          <w:noEndnote/>
          <w:docGrid w:linePitch="326"/>
        </w:sectPr>
      </w:pPr>
    </w:p>
    <w:p w14:paraId="6AEE6E3F" w14:textId="0E7AF241" w:rsidR="00EA160A" w:rsidRPr="00635709" w:rsidRDefault="00EA160A" w:rsidP="00404998">
      <w:pPr>
        <w:pStyle w:val="Heading2"/>
        <w:pBdr>
          <w:bottom w:val="single" w:sz="18" w:space="2" w:color="133D8F"/>
        </w:pBdr>
        <w:spacing w:before="240"/>
      </w:pPr>
      <w:r w:rsidRPr="00635709">
        <w:lastRenderedPageBreak/>
        <w:t>African Regional Human Rights Mechanisms</w:t>
      </w:r>
      <w:r>
        <w:t>, continued</w:t>
      </w:r>
      <w:r w:rsidRPr="00635709">
        <w:t xml:space="preserve"> </w:t>
      </w:r>
    </w:p>
    <w:p w14:paraId="677C22F3" w14:textId="6D5B5760" w:rsidR="00EA160A" w:rsidRPr="00635709" w:rsidRDefault="00EA160A" w:rsidP="00EA160A">
      <w:pPr>
        <w:pStyle w:val="secondaryheader"/>
        <w:spacing w:beforeLines="120" w:before="288" w:line="240" w:lineRule="auto"/>
      </w:pPr>
      <w:r w:rsidRPr="00635709">
        <w:fldChar w:fldCharType="begin"/>
      </w:r>
      <w:r w:rsidRPr="00635709">
        <w:instrText xml:space="preserve"> HYPERLINK "http://www.achpr.org/" </w:instrText>
      </w:r>
      <w:r w:rsidRPr="00635709">
        <w:fldChar w:fldCharType="separate"/>
      </w:r>
      <w:r w:rsidRPr="00635709">
        <w:rPr>
          <w:rFonts w:hint="eastAsia"/>
        </w:rPr>
        <w:t>The African Commission on Human and Peoples</w:t>
      </w:r>
      <w:r w:rsidRPr="00635709">
        <w:t>’</w:t>
      </w:r>
      <w:r w:rsidRPr="00635709">
        <w:rPr>
          <w:rFonts w:hint="eastAsia"/>
        </w:rPr>
        <w:t xml:space="preserve"> Rights</w:t>
      </w:r>
      <w:r>
        <w:t>, continued</w:t>
      </w:r>
    </w:p>
    <w:p w14:paraId="07DF8B8C" w14:textId="11E42C04" w:rsidR="00D46C24" w:rsidRPr="00EA160A" w:rsidRDefault="00EA160A" w:rsidP="00EA160A">
      <w:pPr>
        <w:pStyle w:val="SecondLevelListParagraph"/>
        <w:numPr>
          <w:ilvl w:val="0"/>
          <w:numId w:val="0"/>
        </w:numPr>
        <w:tabs>
          <w:tab w:val="left" w:pos="2000"/>
        </w:tabs>
        <w:spacing w:before="0" w:after="0" w:line="240" w:lineRule="auto"/>
        <w:ind w:left="720"/>
        <w:rPr>
          <w:sz w:val="10"/>
          <w:szCs w:val="10"/>
        </w:rPr>
      </w:pPr>
      <w:r w:rsidRPr="00635709">
        <w:rPr>
          <w:rFonts w:ascii="Franklin Gothic Heavy" w:hAnsi="Franklin Gothic Heavy" w:cs="Franklin Gothic Heavy"/>
          <w:color w:val="7E599A"/>
          <w:sz w:val="24"/>
          <w:szCs w:val="24"/>
          <w:u w:val="single"/>
        </w:rPr>
        <w:fldChar w:fldCharType="end"/>
      </w:r>
    </w:p>
    <w:p w14:paraId="33C67FA9" w14:textId="67618086" w:rsidR="007E42A1" w:rsidRPr="00635709" w:rsidRDefault="007E42A1" w:rsidP="00F25999">
      <w:pPr>
        <w:pStyle w:val="ListParagraph"/>
      </w:pPr>
      <w:r w:rsidRPr="00635709">
        <w:t xml:space="preserve">Conduct </w:t>
      </w:r>
      <w:r w:rsidRPr="00635709">
        <w:rPr>
          <w:rFonts w:ascii="Franklin Gothic Demi" w:hAnsi="Franklin Gothic Demi"/>
        </w:rPr>
        <w:t>missions</w:t>
      </w:r>
      <w:r w:rsidRPr="00635709">
        <w:t xml:space="preserve"> in African Union (AU) member states to investigate and disseminate information. The African Commission conducts two types of missions: </w:t>
      </w:r>
    </w:p>
    <w:p w14:paraId="104B051A" w14:textId="39BA599E" w:rsidR="007E42A1" w:rsidRPr="00635709" w:rsidRDefault="007E42A1" w:rsidP="00F25999">
      <w:pPr>
        <w:pStyle w:val="SecondLevelListParagraph"/>
      </w:pPr>
      <w:r w:rsidRPr="00635709">
        <w:rPr>
          <w:rFonts w:ascii="Franklin Gothic Demi" w:hAnsi="Franklin Gothic Demi"/>
        </w:rPr>
        <w:t>Protective missions</w:t>
      </w:r>
      <w:r w:rsidRPr="00635709">
        <w:t xml:space="preserve">, which typically include </w:t>
      </w:r>
      <w:r w:rsidRPr="00635709">
        <w:rPr>
          <w:rFonts w:ascii="Franklin Gothic Demi" w:hAnsi="Franklin Gothic Demi"/>
        </w:rPr>
        <w:t>on-site visits</w:t>
      </w:r>
      <w:r w:rsidRPr="00635709">
        <w:t xml:space="preserve">, for example to investigate specific facts relating to a pending individual complaint or allegations of </w:t>
      </w:r>
      <w:r w:rsidRPr="00635709">
        <w:rPr>
          <w:rFonts w:ascii="Franklin Gothic Demi" w:hAnsi="Franklin Gothic Demi"/>
        </w:rPr>
        <w:t>massive</w:t>
      </w:r>
      <w:r w:rsidRPr="00635709">
        <w:t xml:space="preserve"> </w:t>
      </w:r>
      <w:r w:rsidRPr="00635709">
        <w:rPr>
          <w:rFonts w:ascii="Franklin Gothic Demi" w:hAnsi="Franklin Gothic Demi"/>
        </w:rPr>
        <w:t>and</w:t>
      </w:r>
      <w:r w:rsidRPr="00635709">
        <w:t xml:space="preserve"> </w:t>
      </w:r>
      <w:r w:rsidRPr="00635709">
        <w:rPr>
          <w:rFonts w:ascii="Franklin Gothic Demi" w:hAnsi="Franklin Gothic Demi"/>
        </w:rPr>
        <w:t>serious</w:t>
      </w:r>
      <w:r w:rsidRPr="00635709">
        <w:t xml:space="preserve"> </w:t>
      </w:r>
      <w:r w:rsidRPr="00635709">
        <w:rPr>
          <w:rFonts w:ascii="Franklin Gothic Demi" w:hAnsi="Franklin Gothic Demi"/>
        </w:rPr>
        <w:t>human</w:t>
      </w:r>
      <w:r w:rsidRPr="00635709">
        <w:t xml:space="preserve"> </w:t>
      </w:r>
      <w:r w:rsidRPr="00635709">
        <w:rPr>
          <w:rFonts w:ascii="Franklin Gothic Demi" w:hAnsi="Franklin Gothic Demi"/>
        </w:rPr>
        <w:t>rights</w:t>
      </w:r>
      <w:r w:rsidRPr="00635709">
        <w:t xml:space="preserve"> </w:t>
      </w:r>
      <w:r w:rsidRPr="00635709">
        <w:rPr>
          <w:rFonts w:ascii="Franklin Gothic Demi" w:hAnsi="Franklin Gothic Demi"/>
        </w:rPr>
        <w:t>violations</w:t>
      </w:r>
      <w:r w:rsidRPr="00635709">
        <w:t xml:space="preserve">; and </w:t>
      </w:r>
    </w:p>
    <w:p w14:paraId="758E4E0C" w14:textId="06A5B4DE" w:rsidR="00382D16" w:rsidRPr="00635709" w:rsidRDefault="007E42A1" w:rsidP="00F25999">
      <w:pPr>
        <w:pStyle w:val="SecondLevelListParagraph"/>
      </w:pPr>
      <w:r w:rsidRPr="00635709">
        <w:rPr>
          <w:rFonts w:ascii="Franklin Gothic Demi" w:hAnsi="Franklin Gothic Demi"/>
        </w:rPr>
        <w:t>Promotional</w:t>
      </w:r>
      <w:r w:rsidRPr="00635709">
        <w:t xml:space="preserve"> </w:t>
      </w:r>
      <w:r w:rsidRPr="00635709">
        <w:rPr>
          <w:rFonts w:ascii="Franklin Gothic Demi" w:hAnsi="Franklin Gothic Demi"/>
        </w:rPr>
        <w:t>missions</w:t>
      </w:r>
      <w:r w:rsidRPr="00635709">
        <w:t>, undertaken by the African Commission or its Special Mechanisms to sensitize States about the role of the Banjul Charter, encourage states to ratify the Banjul Charter or other human rights instruments, or to persuade non-reporting states to comply with their reporting obligations.</w:t>
      </w:r>
    </w:p>
    <w:p w14:paraId="6B4925EC" w14:textId="77777777" w:rsidR="00D46C24" w:rsidRPr="00635709" w:rsidRDefault="00D46C24" w:rsidP="00EA160A">
      <w:pPr>
        <w:pStyle w:val="SecondLevelListParagraph"/>
        <w:numPr>
          <w:ilvl w:val="0"/>
          <w:numId w:val="0"/>
        </w:numPr>
        <w:spacing w:before="0" w:after="0" w:line="360" w:lineRule="auto"/>
        <w:ind w:left="720"/>
      </w:pPr>
    </w:p>
    <w:p w14:paraId="308F405D" w14:textId="7F935019" w:rsidR="0015753D" w:rsidRPr="00635709" w:rsidRDefault="0015753D" w:rsidP="00D46C24">
      <w:pPr>
        <w:pStyle w:val="secondaryheader"/>
      </w:pPr>
      <w:r w:rsidRPr="00635709">
        <w:fldChar w:fldCharType="begin"/>
      </w:r>
      <w:r w:rsidRPr="00635709">
        <w:instrText>HYPERLINK "http://www.achpr.org/mechanisms/"</w:instrText>
      </w:r>
      <w:r w:rsidRPr="00635709">
        <w:fldChar w:fldCharType="separate"/>
      </w:r>
      <w:r w:rsidRPr="00635709">
        <w:t>Special Mechanisms</w:t>
      </w:r>
    </w:p>
    <w:p w14:paraId="246880CF" w14:textId="670CE944" w:rsidR="0015753D" w:rsidRPr="00635709" w:rsidRDefault="0015753D" w:rsidP="00D46C24">
      <w:r w:rsidRPr="00635709">
        <w:rPr>
          <w:rFonts w:ascii="Franklin Gothic Heavy" w:hAnsi="Franklin Gothic Heavy" w:cs="Franklin Gothic Heavy"/>
          <w:color w:val="7E599A"/>
          <w:sz w:val="24"/>
          <w:szCs w:val="24"/>
          <w:u w:val="single"/>
        </w:rPr>
        <w:fldChar w:fldCharType="end"/>
      </w:r>
      <w:r w:rsidRPr="00635709">
        <w:t xml:space="preserve">Subsidiary special mechanisms, including </w:t>
      </w:r>
      <w:r w:rsidRPr="00635709">
        <w:rPr>
          <w:rFonts w:ascii="Franklin Gothic Demi" w:hAnsi="Franklin Gothic Demi"/>
        </w:rPr>
        <w:t>Special Rapporteurs</w:t>
      </w:r>
      <w:r w:rsidRPr="00490619">
        <w:t>,</w:t>
      </w:r>
      <w:r w:rsidRPr="00635709">
        <w:rPr>
          <w:rFonts w:ascii="Franklin Gothic Demi" w:hAnsi="Franklin Gothic Demi"/>
        </w:rPr>
        <w:t xml:space="preserve"> Committees</w:t>
      </w:r>
      <w:r w:rsidR="00490619" w:rsidRPr="00490619">
        <w:t>,</w:t>
      </w:r>
      <w:r w:rsidRPr="00490619">
        <w:t xml:space="preserve"> </w:t>
      </w:r>
      <w:r w:rsidRPr="00635709">
        <w:t xml:space="preserve">and </w:t>
      </w:r>
      <w:r w:rsidRPr="00490619">
        <w:rPr>
          <w:rFonts w:ascii="Franklin Gothic Medium" w:hAnsi="Franklin Gothic Medium"/>
        </w:rPr>
        <w:t>Working Groups</w:t>
      </w:r>
      <w:r w:rsidRPr="00635709">
        <w:t xml:space="preserve">, are mandated by the African Commission to: </w:t>
      </w:r>
    </w:p>
    <w:p w14:paraId="3AEFC45E" w14:textId="018772F0" w:rsidR="000A5E0B" w:rsidRPr="00635709" w:rsidRDefault="000A5E0B" w:rsidP="00F25999">
      <w:pPr>
        <w:pStyle w:val="ListParagraph"/>
      </w:pPr>
      <w:r w:rsidRPr="00635709">
        <w:t xml:space="preserve">collect information and research on specific human rights issues; </w:t>
      </w:r>
    </w:p>
    <w:p w14:paraId="1B4D1A07" w14:textId="03F9DAF0" w:rsidR="000A5E0B" w:rsidRPr="00635709" w:rsidRDefault="000A5E0B" w:rsidP="00F25999">
      <w:pPr>
        <w:pStyle w:val="ListParagraph"/>
      </w:pPr>
      <w:r w:rsidRPr="00635709">
        <w:t xml:space="preserve">investigate human rights violations through fact-finding missions; </w:t>
      </w:r>
      <w:r w:rsidR="007B39F1">
        <w:t>and</w:t>
      </w:r>
    </w:p>
    <w:p w14:paraId="77EC3AC8" w14:textId="3EA88C4D" w:rsidR="000A5E0B" w:rsidRPr="00635709" w:rsidRDefault="000A5E0B" w:rsidP="00F25999">
      <w:pPr>
        <w:pStyle w:val="ListParagraph"/>
      </w:pPr>
      <w:r w:rsidRPr="00635709">
        <w:t xml:space="preserve">develop recommendations and strategies, engage in dialogues with states and raise awareness of human rights. </w:t>
      </w:r>
    </w:p>
    <w:p w14:paraId="041DBA9C" w14:textId="580324F3" w:rsidR="00D46C24" w:rsidRPr="00635709" w:rsidRDefault="00CF4050" w:rsidP="00A606B7">
      <w:r w:rsidRPr="00635709">
        <w:rPr>
          <w:noProof/>
        </w:rPr>
        <mc:AlternateContent>
          <mc:Choice Requires="wps">
            <w:drawing>
              <wp:anchor distT="0" distB="365760" distL="114300" distR="114300" simplePos="0" relativeHeight="251678720" behindDoc="0" locked="0" layoutInCell="1" allowOverlap="1" wp14:anchorId="00E5D0F4" wp14:editId="27A7CF78">
                <wp:simplePos x="0" y="0"/>
                <wp:positionH relativeFrom="column">
                  <wp:posOffset>251460</wp:posOffset>
                </wp:positionH>
                <wp:positionV relativeFrom="paragraph">
                  <wp:posOffset>585662</wp:posOffset>
                </wp:positionV>
                <wp:extent cx="6172200" cy="1481328"/>
                <wp:effectExtent l="0" t="0" r="0" b="5080"/>
                <wp:wrapTopAndBottom/>
                <wp:docPr id="10" name="Text Box 10"/>
                <wp:cNvGraphicFramePr/>
                <a:graphic xmlns:a="http://schemas.openxmlformats.org/drawingml/2006/main">
                  <a:graphicData uri="http://schemas.microsoft.com/office/word/2010/wordprocessingShape">
                    <wps:wsp>
                      <wps:cNvSpPr txBox="1"/>
                      <wps:spPr>
                        <a:xfrm>
                          <a:off x="0" y="0"/>
                          <a:ext cx="6172200" cy="1481328"/>
                        </a:xfrm>
                        <a:prstGeom prst="rect">
                          <a:avLst/>
                        </a:prstGeom>
                        <a:solidFill>
                          <a:srgbClr val="B7A0CB">
                            <a:alpha val="34902"/>
                          </a:srgbClr>
                        </a:solidFill>
                        <a:ln w="6350">
                          <a:noFill/>
                        </a:ln>
                      </wps:spPr>
                      <wps:txbx>
                        <w:txbxContent>
                          <w:p w14:paraId="0BFDC8C3" w14:textId="7F21F208" w:rsidR="000A5E0B" w:rsidRPr="00CF4050" w:rsidRDefault="000A5E0B" w:rsidP="00897832">
                            <w:pPr>
                              <w:pStyle w:val="TextBoxTitle"/>
                              <w:ind w:left="0"/>
                              <w:rPr>
                                <w:iCs/>
                              </w:rPr>
                            </w:pPr>
                            <w:r w:rsidRPr="00CF4050">
                              <w:t xml:space="preserve">Examples of Special Mechanisms </w:t>
                            </w:r>
                            <w:r w:rsidR="00897832">
                              <w:t>C</w:t>
                            </w:r>
                            <w:r w:rsidRPr="00CF4050">
                              <w:t>oncerning Women and Girls with Disabilities</w:t>
                            </w:r>
                            <w:r w:rsidRPr="00CF4050">
                              <w:rPr>
                                <w:iCs/>
                              </w:rPr>
                              <w:t xml:space="preserve"> </w:t>
                            </w:r>
                          </w:p>
                          <w:p w14:paraId="1C239607" w14:textId="220B9D16" w:rsidR="000A5E0B" w:rsidRPr="00CF4050" w:rsidRDefault="000A5E0B" w:rsidP="007D54DC">
                            <w:pPr>
                              <w:pStyle w:val="TextBox10"/>
                            </w:pPr>
                            <w:r w:rsidRPr="00CF4050">
                              <w:t xml:space="preserve">The </w:t>
                            </w:r>
                            <w:hyperlink r:id="rId15" w:history="1">
                              <w:r w:rsidRPr="00490619">
                                <w:rPr>
                                  <w:rStyle w:val="Hyperlink"/>
                                  <w:rFonts w:ascii="Franklin Gothic Demi" w:hAnsi="Franklin Gothic Demi"/>
                                  <w:spacing w:val="-2"/>
                                  <w:u w:val="none"/>
                                </w:rPr>
                                <w:t>Special Rapporteur on Rights of Women</w:t>
                              </w:r>
                            </w:hyperlink>
                            <w:r w:rsidRPr="00CF4050">
                              <w:t xml:space="preserve"> works with States to ensure compliance with the Protocol </w:t>
                            </w:r>
                            <w:bookmarkStart w:id="9" w:name="OLE_LINK291"/>
                            <w:bookmarkStart w:id="10" w:name="OLE_LINK292"/>
                            <w:r w:rsidRPr="00CF4050">
                              <w:t>to the African Charter on Human and Peoples’ rights on the Rights of Women in Africa</w:t>
                            </w:r>
                            <w:bookmarkEnd w:id="9"/>
                            <w:bookmarkEnd w:id="10"/>
                            <w:r w:rsidRPr="00CF4050">
                              <w:t>.</w:t>
                            </w:r>
                          </w:p>
                          <w:p w14:paraId="1C3F4E5B" w14:textId="410932AE" w:rsidR="000A5E0B" w:rsidRPr="00CF4050" w:rsidRDefault="000A5E0B" w:rsidP="007D54DC">
                            <w:pPr>
                              <w:pStyle w:val="TextBox10"/>
                            </w:pPr>
                            <w:r w:rsidRPr="00CF4050">
                              <w:t xml:space="preserve">The </w:t>
                            </w:r>
                            <w:hyperlink r:id="rId16" w:history="1">
                              <w:r w:rsidRPr="00490619">
                                <w:rPr>
                                  <w:rStyle w:val="BetterBold"/>
                                  <w:b w:val="0"/>
                                  <w:bCs w:val="0"/>
                                  <w:u w:val="none"/>
                                </w:rPr>
                                <w:t>Working Group on Rights of Older Persons and People with Disabilities</w:t>
                              </w:r>
                            </w:hyperlink>
                            <w:r w:rsidRPr="00CF4050">
                              <w:t xml:space="preserve"> is charged with clarifying and defining the rights of older persons and people with disabilities, including by developing, e.g., the Disability Protocol. </w:t>
                            </w:r>
                          </w:p>
                          <w:p w14:paraId="6ABB77FC" w14:textId="77777777" w:rsidR="000A5E0B" w:rsidRPr="00CF4050" w:rsidRDefault="000A5E0B" w:rsidP="00841CE6">
                            <w:pPr>
                              <w:rPr>
                                <w:sz w:val="21"/>
                              </w:rPr>
                            </w:pPr>
                          </w:p>
                        </w:txbxContent>
                      </wps:txbx>
                      <wps:bodyPr rot="0" spcFirstLastPara="0" vertOverflow="overflow" horzOverflow="overflow" vert="horz" wrap="square" lIns="137160" tIns="9144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D0F4" id="Text Box 10" o:spid="_x0000_s1031" type="#_x0000_t202" style="position:absolute;left:0;text-align:left;margin-left:19.8pt;margin-top:46.1pt;width:486pt;height:116.65pt;z-index:251678720;visibility:visible;mso-wrap-style:square;mso-width-percent:0;mso-height-percent:0;mso-wrap-distance-left:9pt;mso-wrap-distance-top:0;mso-wrap-distance-right:9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" fillcolor="#b7a0cb" stroked="f" strokeweight=".5pt">
                <v:fill opacity="22873f"/>
                <v:textbox inset="10.8pt,7.2pt,10.8pt,10.8pt">
                  <w:txbxContent>
                    <w:p w14:paraId="0BFDC8C3" w14:textId="7F21F208" w:rsidR="000A5E0B" w:rsidRPr="00CF4050" w:rsidRDefault="000A5E0B" w:rsidP="00897832">
                      <w:pPr>
                        <w:pStyle w:val="TextBoxTitle"/>
                        <w:ind w:left="0"/>
                        <w:rPr>
                          <w:iCs/>
                        </w:rPr>
                      </w:pPr>
                      <w:r w:rsidRPr="00CF4050">
                        <w:t xml:space="preserve">Examples of Special Mechanisms </w:t>
                      </w:r>
                      <w:r w:rsidR="00897832">
                        <w:t>C</w:t>
                      </w:r>
                      <w:r w:rsidRPr="00CF4050">
                        <w:t>oncerning Women and Girls with Disabilities</w:t>
                      </w:r>
                      <w:r w:rsidRPr="00CF4050">
                        <w:rPr>
                          <w:iCs/>
                        </w:rPr>
                        <w:t xml:space="preserve"> </w:t>
                      </w:r>
                    </w:p>
                    <w:p w14:paraId="1C239607" w14:textId="220B9D16" w:rsidR="000A5E0B" w:rsidRPr="00CF4050" w:rsidRDefault="000A5E0B" w:rsidP="007D54DC">
                      <w:pPr>
                        <w:pStyle w:val="TextBox10"/>
                      </w:pPr>
                      <w:r w:rsidRPr="00CF4050">
                        <w:t xml:space="preserve">The </w:t>
                      </w:r>
                      <w:hyperlink r:id="rId17" w:history="1">
                        <w:r w:rsidRPr="00490619">
                          <w:rPr>
                            <w:rStyle w:val="Hyperlink"/>
                            <w:rFonts w:ascii="Franklin Gothic Demi" w:hAnsi="Franklin Gothic Demi"/>
                            <w:spacing w:val="-2"/>
                            <w:u w:val="none"/>
                          </w:rPr>
                          <w:t>Special Rapporteur on Rights of Women</w:t>
                        </w:r>
                      </w:hyperlink>
                      <w:r w:rsidRPr="00CF4050">
                        <w:t xml:space="preserve"> works with States to ensure compliance with the Protocol </w:t>
                      </w:r>
                      <w:bookmarkStart w:id="16" w:name="OLE_LINK291"/>
                      <w:bookmarkStart w:id="17" w:name="OLE_LINK292"/>
                      <w:r w:rsidRPr="00CF4050">
                        <w:t>to the African Charter on Human and Peoples’ rights on the Rights of Women in Africa</w:t>
                      </w:r>
                      <w:bookmarkEnd w:id="16"/>
                      <w:bookmarkEnd w:id="17"/>
                      <w:r w:rsidRPr="00CF4050">
                        <w:t>.</w:t>
                      </w:r>
                    </w:p>
                    <w:p w14:paraId="1C3F4E5B" w14:textId="410932AE" w:rsidR="000A5E0B" w:rsidRPr="00CF4050" w:rsidRDefault="000A5E0B" w:rsidP="007D54DC">
                      <w:pPr>
                        <w:pStyle w:val="TextBox10"/>
                      </w:pPr>
                      <w:r w:rsidRPr="00CF4050">
                        <w:t xml:space="preserve">The </w:t>
                      </w:r>
                      <w:hyperlink r:id="rId18" w:history="1">
                        <w:r w:rsidRPr="00490619">
                          <w:rPr>
                            <w:rStyle w:val="BetterBold"/>
                            <w:b w:val="0"/>
                            <w:bCs w:val="0"/>
                            <w:u w:val="none"/>
                          </w:rPr>
                          <w:t>Working Group on Rights of Older Persons and People with Disabilities</w:t>
                        </w:r>
                      </w:hyperlink>
                      <w:r w:rsidRPr="00CF4050">
                        <w:t xml:space="preserve"> is charged with clarifying and defining the rights of older persons and people with disabilities, including by developing, e.g., the Disability Protocol. </w:t>
                      </w:r>
                    </w:p>
                    <w:p w14:paraId="6ABB77FC" w14:textId="77777777" w:rsidR="000A5E0B" w:rsidRPr="00CF4050" w:rsidRDefault="000A5E0B" w:rsidP="00841CE6">
                      <w:pPr>
                        <w:rPr>
                          <w:sz w:val="21"/>
                        </w:rPr>
                      </w:pPr>
                    </w:p>
                  </w:txbxContent>
                </v:textbox>
                <w10:wrap type="topAndBottom"/>
              </v:shape>
            </w:pict>
          </mc:Fallback>
        </mc:AlternateContent>
      </w:r>
      <w:r w:rsidR="000A5E0B" w:rsidRPr="00635709">
        <w:t xml:space="preserve">The Special Rapporteurs and Committees focus on monitoring and awareness-raising, while the Working Groups are tasked to develop principles, guidelines or strategies on certain issues. These mechanisms report to the African Commission during its sessions. </w:t>
      </w:r>
    </w:p>
    <w:p w14:paraId="75F72CCA" w14:textId="4C9B7D2B" w:rsidR="000A5E0B" w:rsidRPr="00635709" w:rsidRDefault="000A5E0B" w:rsidP="00CC3424">
      <w:pPr>
        <w:pStyle w:val="secondaryheader"/>
      </w:pPr>
      <w:r w:rsidRPr="00635709">
        <w:fldChar w:fldCharType="begin"/>
      </w:r>
      <w:r w:rsidRPr="00635709">
        <w:instrText>HYPERLINK "http://www.achpr.org/mechanisms/"</w:instrText>
      </w:r>
      <w:r w:rsidRPr="00635709">
        <w:fldChar w:fldCharType="separate"/>
      </w:r>
      <w:hyperlink r:id="rId19" w:history="1">
        <w:r w:rsidRPr="00635709">
          <w:t>African Committee of Experts on the Rights and Welfare of the Child (</w:t>
        </w:r>
        <w:r w:rsidRPr="00635709">
          <w:rPr>
            <w:rFonts w:hint="eastAsia"/>
          </w:rPr>
          <w:t>ACERWC</w:t>
        </w:r>
        <w:r w:rsidRPr="00635709">
          <w:t>)</w:t>
        </w:r>
      </w:hyperlink>
    </w:p>
    <w:p w14:paraId="1D51EA06" w14:textId="5345995E" w:rsidR="000A5E0B" w:rsidRPr="00635709" w:rsidRDefault="000A5E0B" w:rsidP="002E29E8">
      <w:r w:rsidRPr="00635709">
        <w:rPr>
          <w:rFonts w:ascii="Franklin Gothic Heavy" w:hAnsi="Franklin Gothic Heavy" w:cs="Franklin Gothic Heavy"/>
          <w:color w:val="7E599A"/>
          <w:szCs w:val="24"/>
          <w:u w:val="single"/>
        </w:rPr>
        <w:fldChar w:fldCharType="end"/>
      </w:r>
      <w:r w:rsidRPr="00635709">
        <w:t>The ACERWC promotes and protects the rights of children by monitoring implementation of the ACRWC. It is currently the only regional treaty body worldwide focused on children’s rights. The primary functions include:</w:t>
      </w:r>
    </w:p>
    <w:p w14:paraId="69819612" w14:textId="1BB512F3" w:rsidR="000A5E0B" w:rsidRPr="00635709" w:rsidRDefault="000A5E0B" w:rsidP="00F25999">
      <w:pPr>
        <w:pStyle w:val="ListParagraph"/>
      </w:pPr>
      <w:r w:rsidRPr="00635709">
        <w:rPr>
          <w:rFonts w:ascii="Franklin Gothic Demi" w:hAnsi="Franklin Gothic Demi"/>
        </w:rPr>
        <w:t>collecting information</w:t>
      </w:r>
      <w:r w:rsidRPr="00635709">
        <w:t xml:space="preserve"> on the situation of children and </w:t>
      </w:r>
      <w:r w:rsidRPr="00635709">
        <w:rPr>
          <w:rFonts w:ascii="Franklin Gothic Demi" w:hAnsi="Franklin Gothic Demi"/>
        </w:rPr>
        <w:t>making recommendations</w:t>
      </w:r>
      <w:r w:rsidR="007B39F1">
        <w:t xml:space="preserve"> to states where necessary;</w:t>
      </w:r>
      <w:r w:rsidRPr="00635709">
        <w:t xml:space="preserve"> </w:t>
      </w:r>
    </w:p>
    <w:p w14:paraId="2B671399" w14:textId="504AFE07" w:rsidR="000A5E0B" w:rsidRPr="00635709" w:rsidRDefault="000A5E0B" w:rsidP="00F25999">
      <w:pPr>
        <w:pStyle w:val="ListParagraph"/>
      </w:pPr>
      <w:r w:rsidRPr="00635709">
        <w:rPr>
          <w:rFonts w:ascii="Franklin Gothic Demi" w:hAnsi="Franklin Gothic Demi"/>
        </w:rPr>
        <w:t>establishing principles</w:t>
      </w:r>
      <w:r w:rsidRPr="00635709">
        <w:t xml:space="preserve"> for protecting</w:t>
      </w:r>
      <w:r w:rsidR="007B39F1">
        <w:t xml:space="preserve"> the rights of African children;</w:t>
      </w:r>
      <w:r w:rsidRPr="00635709">
        <w:t xml:space="preserve"> </w:t>
      </w:r>
      <w:r w:rsidR="007B39F1">
        <w:t>and</w:t>
      </w:r>
    </w:p>
    <w:p w14:paraId="3DB4E645" w14:textId="7A015045" w:rsidR="000A5E0B" w:rsidRPr="00635709" w:rsidRDefault="000A5E0B" w:rsidP="00F25999">
      <w:pPr>
        <w:pStyle w:val="ListParagraph"/>
      </w:pPr>
      <w:r w:rsidRPr="007B39F1">
        <w:rPr>
          <w:rFonts w:ascii="Franklin Gothic Medium" w:hAnsi="Franklin Gothic Medium"/>
        </w:rPr>
        <w:t>interpreting and monitoring compliance</w:t>
      </w:r>
      <w:r w:rsidRPr="00635709">
        <w:t xml:space="preserve"> with the ACRWC. </w:t>
      </w:r>
    </w:p>
    <w:p w14:paraId="7DE4DDA0" w14:textId="5FF13441" w:rsidR="002E29E8" w:rsidRPr="00635709" w:rsidRDefault="000A5E0B" w:rsidP="007D54DC">
      <w:r w:rsidRPr="00635709">
        <w:t xml:space="preserve">Similar to but independent from the African Commission, the ACERWC performs several functions to achieve its mandate, including </w:t>
      </w:r>
      <w:r w:rsidRPr="00635709">
        <w:rPr>
          <w:rFonts w:ascii="Franklin Gothic Demi" w:hAnsi="Franklin Gothic Demi"/>
        </w:rPr>
        <w:t>holding regular sessions, monitoring State Reports</w:t>
      </w:r>
      <w:r w:rsidRPr="00635709">
        <w:t xml:space="preserve">, and hearing </w:t>
      </w:r>
      <w:r w:rsidRPr="00635709">
        <w:rPr>
          <w:rFonts w:ascii="Franklin Gothic Demi" w:hAnsi="Franklin Gothic Demi"/>
        </w:rPr>
        <w:t>Individual Communications</w:t>
      </w:r>
      <w:r w:rsidRPr="00635709">
        <w:t xml:space="preserve">. </w:t>
      </w:r>
    </w:p>
    <w:p w14:paraId="5E9602F0" w14:textId="77777777" w:rsidR="009874C7" w:rsidRPr="00635709" w:rsidRDefault="009874C7" w:rsidP="002E29E8">
      <w:pPr>
        <w:sectPr w:rsidR="009874C7" w:rsidRPr="00635709" w:rsidSect="009910E8">
          <w:pgSz w:w="12240" w:h="15840"/>
          <w:pgMar w:top="720" w:right="864" w:bottom="720" w:left="864" w:header="432" w:footer="432" w:gutter="0"/>
          <w:cols w:space="720"/>
          <w:noEndnote/>
          <w:docGrid w:linePitch="326"/>
        </w:sectPr>
      </w:pPr>
    </w:p>
    <w:p w14:paraId="43FA468F" w14:textId="5B504F89" w:rsidR="00D46C24" w:rsidRPr="00635709" w:rsidRDefault="00D46C24" w:rsidP="002E29E8"/>
    <w:p w14:paraId="164576BA" w14:textId="25728C4C" w:rsidR="000A5E0B" w:rsidRPr="00635709" w:rsidRDefault="003C3B49" w:rsidP="00841CE6">
      <w:pPr>
        <w:pStyle w:val="secondaryheader"/>
      </w:pPr>
      <w:hyperlink r:id="rId20" w:history="1">
        <w:r w:rsidR="000A5E0B" w:rsidRPr="00635709">
          <w:rPr>
            <w:rStyle w:val="Hyperlink"/>
            <w:color w:val="7E599A"/>
          </w:rPr>
          <w:t>The African Court on Human and Peoples’ Rights (African Court)</w:t>
        </w:r>
      </w:hyperlink>
    </w:p>
    <w:p w14:paraId="4222BD37" w14:textId="6701DB21" w:rsidR="000A5E0B" w:rsidRPr="00635709" w:rsidRDefault="003C3B49" w:rsidP="002E29E8">
      <w:hyperlink r:id="rId21" w:history="1"/>
      <w:r w:rsidR="000A5E0B" w:rsidRPr="00635709">
        <w:t>The African Court is a continental court established by African countries to ensure the protection of human and peoples’ rights in Africa. The African Court may:</w:t>
      </w:r>
    </w:p>
    <w:p w14:paraId="26CD47D1" w14:textId="067464B1" w:rsidR="000A5E0B" w:rsidRPr="00635709" w:rsidRDefault="007B39F1" w:rsidP="00F25999">
      <w:pPr>
        <w:pStyle w:val="ListParagraph"/>
      </w:pPr>
      <w:bookmarkStart w:id="11" w:name="OLE_LINK3"/>
      <w:bookmarkStart w:id="12" w:name="OLE_LINK4"/>
      <w:r>
        <w:rPr>
          <w:rFonts w:ascii="Franklin Gothic Demi" w:hAnsi="Franklin Gothic Demi"/>
        </w:rPr>
        <w:t>H</w:t>
      </w:r>
      <w:r w:rsidR="000A5E0B" w:rsidRPr="00635709">
        <w:rPr>
          <w:rFonts w:ascii="Franklin Gothic Demi" w:hAnsi="Franklin Gothic Demi"/>
        </w:rPr>
        <w:t>ear cases and disputes</w:t>
      </w:r>
      <w:r w:rsidR="000A5E0B" w:rsidRPr="00635709">
        <w:t xml:space="preserve"> concerning the interpretation and application of the Banjul Charter, the ACRWC, and any other human rights instruments ratified by the state concerned. </w:t>
      </w:r>
      <w:bookmarkEnd w:id="11"/>
      <w:bookmarkEnd w:id="12"/>
      <w:r w:rsidR="000A5E0B" w:rsidRPr="00635709">
        <w:t>After deciding a case on the merits, the African Court will make appropriate orders to remedy the violation, including the payment of fair compensation or reparation.</w:t>
      </w:r>
    </w:p>
    <w:p w14:paraId="2C48D7D2" w14:textId="658A034D" w:rsidR="000A5E0B" w:rsidRPr="00635709" w:rsidRDefault="007B39F1" w:rsidP="00F25999">
      <w:pPr>
        <w:pStyle w:val="ListParagraph"/>
      </w:pPr>
      <w:r>
        <w:rPr>
          <w:rFonts w:ascii="Franklin Gothic Demi" w:hAnsi="Franklin Gothic Demi"/>
        </w:rPr>
        <w:t>F</w:t>
      </w:r>
      <w:r w:rsidR="000A5E0B" w:rsidRPr="00635709">
        <w:rPr>
          <w:rFonts w:ascii="Franklin Gothic Demi" w:hAnsi="Franklin Gothic Demi"/>
        </w:rPr>
        <w:t xml:space="preserve">acilitate friendly (or amicable) settlements </w:t>
      </w:r>
      <w:r w:rsidR="000A5E0B" w:rsidRPr="00635709">
        <w:t xml:space="preserve">between parties and can adopt </w:t>
      </w:r>
      <w:r w:rsidR="000A5E0B" w:rsidRPr="00635709">
        <w:rPr>
          <w:rFonts w:ascii="Franklin Gothic Demi" w:hAnsi="Franklin Gothic Demi"/>
        </w:rPr>
        <w:t>provisional measures</w:t>
      </w:r>
      <w:r w:rsidR="000A5E0B" w:rsidRPr="00635709">
        <w:t xml:space="preserve"> in cases of emergency, like the African Commission. </w:t>
      </w:r>
    </w:p>
    <w:p w14:paraId="018C644A" w14:textId="6DC01E8D" w:rsidR="000A5E0B" w:rsidRPr="00635709" w:rsidRDefault="007B39F1" w:rsidP="00F25999">
      <w:pPr>
        <w:pStyle w:val="ListParagraph"/>
      </w:pPr>
      <w:r>
        <w:t>I</w:t>
      </w:r>
      <w:r w:rsidR="000A5E0B" w:rsidRPr="00635709">
        <w:t xml:space="preserve">ssue </w:t>
      </w:r>
      <w:r w:rsidR="000A5E0B" w:rsidRPr="00635709">
        <w:rPr>
          <w:rFonts w:ascii="Franklin Gothic Demi" w:hAnsi="Franklin Gothic Demi"/>
        </w:rPr>
        <w:t>advisory opinions</w:t>
      </w:r>
      <w:r w:rsidR="000A5E0B" w:rsidRPr="00635709">
        <w:t xml:space="preserve"> on legal matters relating to the treaties that it monitors, upon request by the AU or its organs, member states of the AU, and any African organization recognized by the AU (a special status granted by the AU).</w:t>
      </w:r>
    </w:p>
    <w:p w14:paraId="355BE4F0" w14:textId="308D0F36" w:rsidR="009874C7" w:rsidRPr="00635709" w:rsidRDefault="009874C7" w:rsidP="00404998">
      <w:pPr>
        <w:pStyle w:val="Heading2"/>
        <w:pBdr>
          <w:bottom w:val="single" w:sz="18" w:space="2" w:color="133D8F"/>
        </w:pBdr>
      </w:pPr>
    </w:p>
    <w:p w14:paraId="6700CC8E" w14:textId="00C5F0C2" w:rsidR="00AB4017" w:rsidRPr="00635709" w:rsidRDefault="00D46C24" w:rsidP="00404998">
      <w:pPr>
        <w:pStyle w:val="Heading2"/>
        <w:pBdr>
          <w:bottom w:val="single" w:sz="18" w:space="2" w:color="133D8F"/>
        </w:pBdr>
      </w:pPr>
      <w:r w:rsidRPr="00635709">
        <w:t>C</w:t>
      </w:r>
      <w:r w:rsidR="00AB4017" w:rsidRPr="00635709">
        <w:t>ivil Society Engagement with the African Human Rights System</w:t>
      </w:r>
    </w:p>
    <w:p w14:paraId="2E5709BD" w14:textId="1AC1810E" w:rsidR="00AB4017" w:rsidRPr="00635709" w:rsidRDefault="00AB4017" w:rsidP="002E29E8">
      <w:r w:rsidRPr="00635709">
        <w:t>Civil society plays an important role in the African human rights system by providing essential information to the regional human rights mechanisms discussed above to ensure that the system is responsive</w:t>
      </w:r>
      <w:r w:rsidRPr="00635709">
        <w:rPr>
          <w:rFonts w:hint="eastAsia"/>
        </w:rPr>
        <w:t xml:space="preserve"> </w:t>
      </w:r>
      <w:r w:rsidRPr="00635709">
        <w:t xml:space="preserve">to the human rights situation on the ground, including for women and girls with disabilities. </w:t>
      </w:r>
    </w:p>
    <w:p w14:paraId="6EFE6F99" w14:textId="787C9537" w:rsidR="00AB4017" w:rsidRPr="00635709" w:rsidRDefault="00AB4017" w:rsidP="002E29E8">
      <w:r w:rsidRPr="00635709">
        <w:t xml:space="preserve">The African system is complex and offers multiple forums and opportunities for civil society to engage with. While the process to engage with </w:t>
      </w:r>
      <w:r w:rsidRPr="00635709">
        <w:rPr>
          <w:rFonts w:hint="eastAsia"/>
        </w:rPr>
        <w:t>different bodies can be similar, it is important to c</w:t>
      </w:r>
      <w:r w:rsidRPr="00635709">
        <w:t>heck with those bodies separately regarding their requirements for civil society engagement.</w:t>
      </w:r>
      <w:r w:rsidRPr="00635709">
        <w:rPr>
          <w:rFonts w:hint="eastAsia"/>
        </w:rPr>
        <w:t xml:space="preserve"> </w:t>
      </w:r>
      <w:r w:rsidRPr="00635709">
        <w:t>Advocates can also use these instruments and mechanisms in complementary ways to strengthen the efficacy of their advocacy strategies.</w:t>
      </w:r>
      <w:r w:rsidR="00CC3424" w:rsidRPr="00635709">
        <w:br/>
      </w:r>
    </w:p>
    <w:p w14:paraId="320C38EB" w14:textId="06F3BAB1" w:rsidR="00AB4017" w:rsidRPr="00635709" w:rsidRDefault="00AB4017" w:rsidP="00841CE6">
      <w:pPr>
        <w:pStyle w:val="secondaryheader"/>
      </w:pPr>
      <w:bookmarkStart w:id="13" w:name="OLE_LINK7"/>
      <w:r w:rsidRPr="00635709">
        <w:t>Participation in African Commission/ACERWC Sessions</w:t>
      </w:r>
      <w:bookmarkEnd w:id="13"/>
    </w:p>
    <w:p w14:paraId="19F05E6C" w14:textId="572843FC" w:rsidR="00AB4017" w:rsidRPr="00635709" w:rsidRDefault="00AB4017" w:rsidP="00382D16">
      <w:r w:rsidRPr="00635709">
        <w:rPr>
          <w:rFonts w:hint="eastAsia"/>
        </w:rPr>
        <w:t xml:space="preserve">Civil society </w:t>
      </w:r>
      <w:r w:rsidRPr="00635709">
        <w:t>can participate in the A</w:t>
      </w:r>
      <w:r w:rsidRPr="00635709">
        <w:rPr>
          <w:rFonts w:hint="eastAsia"/>
        </w:rPr>
        <w:t>f</w:t>
      </w:r>
      <w:r w:rsidRPr="00635709">
        <w:t>rican Commission and the ACERWC</w:t>
      </w:r>
      <w:r w:rsidRPr="00635709">
        <w:rPr>
          <w:rFonts w:hint="eastAsia"/>
        </w:rPr>
        <w:t xml:space="preserve"> sessions by </w:t>
      </w:r>
      <w:r w:rsidRPr="00635709">
        <w:rPr>
          <w:rFonts w:ascii="Franklin Gothic Demi" w:hAnsi="Franklin Gothic Demi" w:hint="eastAsia"/>
        </w:rPr>
        <w:t xml:space="preserve">proposing </w:t>
      </w:r>
      <w:r w:rsidRPr="00635709">
        <w:rPr>
          <w:rFonts w:ascii="Franklin Gothic Demi" w:hAnsi="Franklin Gothic Demi"/>
        </w:rPr>
        <w:t>agenda items</w:t>
      </w:r>
      <w:r w:rsidRPr="00635709">
        <w:t xml:space="preserve">, </w:t>
      </w:r>
      <w:r w:rsidRPr="00635709">
        <w:rPr>
          <w:rFonts w:ascii="Franklin Gothic Demi" w:hAnsi="Franklin Gothic Demi"/>
        </w:rPr>
        <w:t>attending sessions and making statements</w:t>
      </w:r>
      <w:r w:rsidRPr="00635709">
        <w:t xml:space="preserve"> (where NGOs have </w:t>
      </w:r>
      <w:r w:rsidRPr="00635709">
        <w:rPr>
          <w:rFonts w:hint="eastAsia"/>
        </w:rPr>
        <w:t>O</w:t>
      </w:r>
      <w:r w:rsidRPr="00635709">
        <w:t xml:space="preserve">bserver Status), advocating and networking at the </w:t>
      </w:r>
      <w:r w:rsidRPr="00635709">
        <w:rPr>
          <w:rFonts w:ascii="Franklin Gothic Demi" w:hAnsi="Franklin Gothic Demi"/>
        </w:rPr>
        <w:t>NGO Forum/CSO forum</w:t>
      </w:r>
      <w:r w:rsidRPr="00635709">
        <w:t xml:space="preserve"> held before the </w:t>
      </w:r>
      <w:r w:rsidRPr="00635709">
        <w:rPr>
          <w:rFonts w:hint="eastAsia"/>
        </w:rPr>
        <w:t>sessions</w:t>
      </w:r>
      <w:r w:rsidRPr="00635709">
        <w:t xml:space="preserve">, and organizing </w:t>
      </w:r>
      <w:r w:rsidRPr="00635709">
        <w:rPr>
          <w:rFonts w:ascii="Franklin Gothic Demi" w:hAnsi="Franklin Gothic Demi"/>
        </w:rPr>
        <w:t>side events.</w:t>
      </w:r>
      <w:r w:rsidRPr="00635709">
        <w:rPr>
          <w:rFonts w:hint="eastAsia"/>
        </w:rPr>
        <w:t xml:space="preserve"> </w:t>
      </w:r>
      <w:r w:rsidRPr="00635709">
        <w:t xml:space="preserve">Information about sessions of the African Commission can be found at: </w:t>
      </w:r>
      <w:hyperlink r:id="rId22" w:history="1">
        <w:r w:rsidRPr="00635709">
          <w:rPr>
            <w:rStyle w:val="Hyperlink"/>
          </w:rPr>
          <w:t>http://www.achpr.org/sessions/</w:t>
        </w:r>
      </w:hyperlink>
      <w:r w:rsidRPr="00635709">
        <w:t xml:space="preserve">, while information for the ACERWC can be found at </w:t>
      </w:r>
      <w:hyperlink r:id="rId23" w:history="1">
        <w:r w:rsidRPr="00635709">
          <w:rPr>
            <w:rStyle w:val="Hyperlink"/>
          </w:rPr>
          <w:t>http://www.acerwc.org/session-reports/</w:t>
        </w:r>
      </w:hyperlink>
      <w:r w:rsidRPr="00635709">
        <w:t>.</w:t>
      </w:r>
    </w:p>
    <w:p w14:paraId="755D0083" w14:textId="62412BD1" w:rsidR="00D46C24" w:rsidRPr="00635709" w:rsidRDefault="00D46C24" w:rsidP="00382D16">
      <w:pPr>
        <w:rPr>
          <w:u w:val="single"/>
        </w:rPr>
      </w:pPr>
    </w:p>
    <w:p w14:paraId="17B25C7B" w14:textId="2D5811E8" w:rsidR="00DA79FD" w:rsidRPr="00635709" w:rsidRDefault="00DA79FD" w:rsidP="00841CE6">
      <w:pPr>
        <w:pStyle w:val="secondaryheader"/>
      </w:pPr>
      <w:r w:rsidRPr="00635709">
        <w:t>Participating in the State R</w:t>
      </w:r>
      <w:r w:rsidRPr="00635709">
        <w:rPr>
          <w:rFonts w:hint="eastAsia"/>
        </w:rPr>
        <w:t>eporting</w:t>
      </w:r>
      <w:r w:rsidRPr="00635709">
        <w:t xml:space="preserve"> Process </w:t>
      </w:r>
    </w:p>
    <w:p w14:paraId="011B312C" w14:textId="7F201884" w:rsidR="00DA79FD" w:rsidRPr="00635709" w:rsidRDefault="00DA79FD" w:rsidP="002E29E8">
      <w:r w:rsidRPr="00635709">
        <w:t xml:space="preserve">Any person or group may submit a </w:t>
      </w:r>
      <w:r w:rsidRPr="00635709">
        <w:rPr>
          <w:rFonts w:ascii="Franklin Gothic Demi" w:hAnsi="Franklin Gothic Demi"/>
        </w:rPr>
        <w:t>Shadow Report</w:t>
      </w:r>
      <w:r w:rsidRPr="00635709">
        <w:t xml:space="preserve"> to the African Commission (called a </w:t>
      </w:r>
      <w:r w:rsidRPr="00635709">
        <w:rPr>
          <w:rFonts w:ascii="Franklin Gothic Demi" w:hAnsi="Franklin Gothic Demi"/>
        </w:rPr>
        <w:t>Complimentary Report</w:t>
      </w:r>
      <w:r w:rsidRPr="00635709">
        <w:t xml:space="preserve"> when submitted to the ACERWC) to provide alternative perspectives on the human rights situation in a given country. </w:t>
      </w:r>
      <w:bookmarkStart w:id="14" w:name="OLE_LINK319"/>
      <w:r w:rsidRPr="00635709">
        <w:t xml:space="preserve">State reporting information before the </w:t>
      </w:r>
      <w:r w:rsidRPr="00635709">
        <w:rPr>
          <w:rFonts w:ascii="Franklin Gothic Demi" w:hAnsi="Franklin Gothic Demi"/>
        </w:rPr>
        <w:t>African Commission</w:t>
      </w:r>
      <w:r w:rsidRPr="00635709">
        <w:t xml:space="preserve"> can be found at </w:t>
      </w:r>
      <w:hyperlink r:id="rId24" w:history="1">
        <w:r w:rsidRPr="00635709">
          <w:rPr>
            <w:rStyle w:val="Hyperlink"/>
            <w:sz w:val="21"/>
          </w:rPr>
          <w:t>http://www.achpr.org/states/</w:t>
        </w:r>
      </w:hyperlink>
      <w:r w:rsidR="00A32BE8" w:rsidRPr="00635709">
        <w:t xml:space="preserve">. </w:t>
      </w:r>
      <w:r w:rsidRPr="00635709">
        <w:t xml:space="preserve">State reporting information before for the </w:t>
      </w:r>
      <w:r w:rsidRPr="00635709">
        <w:rPr>
          <w:rFonts w:ascii="Franklin Gothic Demi" w:hAnsi="Franklin Gothic Demi"/>
        </w:rPr>
        <w:t xml:space="preserve">ACERWC </w:t>
      </w:r>
      <w:r w:rsidRPr="00635709">
        <w:t xml:space="preserve">can be found at </w:t>
      </w:r>
      <w:hyperlink r:id="rId25" w:history="1">
        <w:r w:rsidRPr="00635709">
          <w:rPr>
            <w:rStyle w:val="Hyperlink"/>
            <w:sz w:val="21"/>
          </w:rPr>
          <w:t>http://www.acerwc.org/</w:t>
        </w:r>
      </w:hyperlink>
      <w:r w:rsidRPr="00635709">
        <w:t xml:space="preserve">.   </w:t>
      </w:r>
    </w:p>
    <w:p w14:paraId="0208B729" w14:textId="04177E49" w:rsidR="001A4402" w:rsidRPr="00635709" w:rsidRDefault="001A4402" w:rsidP="00841CE6">
      <w:pPr>
        <w:rPr>
          <w:sz w:val="21"/>
        </w:rPr>
      </w:pPr>
    </w:p>
    <w:p w14:paraId="44FB4D64" w14:textId="5BC6F109" w:rsidR="00A32BE8" w:rsidRPr="00635709" w:rsidRDefault="00A32BE8" w:rsidP="00841CE6">
      <w:pPr>
        <w:pStyle w:val="secondaryheader"/>
      </w:pPr>
      <w:r w:rsidRPr="00635709">
        <w:t>Engaging with Special Mechanisms and African Commission</w:t>
      </w:r>
      <w:r w:rsidRPr="00635709">
        <w:rPr>
          <w:rFonts w:hint="eastAsia"/>
        </w:rPr>
        <w:t xml:space="preserve"> Missions</w:t>
      </w:r>
    </w:p>
    <w:p w14:paraId="3E6D0561" w14:textId="77777777" w:rsidR="009910E8" w:rsidRPr="00635709" w:rsidRDefault="00A32BE8" w:rsidP="002E29E8">
      <w:pPr>
        <w:sectPr w:rsidR="009910E8" w:rsidRPr="00635709" w:rsidSect="009874C7">
          <w:pgSz w:w="12240" w:h="15840"/>
          <w:pgMar w:top="720" w:right="864" w:bottom="720" w:left="864" w:header="432" w:footer="432" w:gutter="0"/>
          <w:cols w:space="720"/>
          <w:noEndnote/>
          <w:docGrid w:linePitch="326"/>
        </w:sectPr>
      </w:pPr>
      <w:r w:rsidRPr="00635709">
        <w:rPr>
          <w:rFonts w:hint="eastAsia"/>
        </w:rPr>
        <w:t xml:space="preserve">Civil society </w:t>
      </w:r>
      <w:r w:rsidRPr="00635709">
        <w:t>can actively communicate with the Special Mechanisms and the Commissioners of the African Commission by providing independent information in person or in writing on specific human rights topics, as well as encouraging recommendations</w:t>
      </w:r>
      <w:r w:rsidRPr="00635709">
        <w:rPr>
          <w:rFonts w:hint="eastAsia"/>
        </w:rPr>
        <w:t xml:space="preserve"> </w:t>
      </w:r>
      <w:r w:rsidRPr="00635709">
        <w:t xml:space="preserve">and reports on the situation of women and girls with disabilities regarding the rights of women and girls with disabilities. Additional information can be found at </w:t>
      </w:r>
      <w:hyperlink r:id="rId26" w:history="1">
        <w:r w:rsidRPr="00635709">
          <w:rPr>
            <w:rStyle w:val="Hyperlink"/>
            <w:sz w:val="21"/>
          </w:rPr>
          <w:t>http://www.achpr.org/mechanisms/</w:t>
        </w:r>
      </w:hyperlink>
      <w:r w:rsidRPr="00635709">
        <w:t xml:space="preserve">. </w:t>
      </w:r>
    </w:p>
    <w:p w14:paraId="6D91DA9C" w14:textId="56596463" w:rsidR="00A32BE8" w:rsidRPr="007C1679" w:rsidRDefault="00A32BE8" w:rsidP="007C1679">
      <w:pPr>
        <w:spacing w:before="40" w:after="40" w:line="160" w:lineRule="exact"/>
        <w:rPr>
          <w:sz w:val="20"/>
          <w:szCs w:val="20"/>
        </w:rPr>
      </w:pPr>
    </w:p>
    <w:p w14:paraId="66898991" w14:textId="07024635" w:rsidR="00B47CF3" w:rsidRPr="00635709" w:rsidRDefault="00B47CF3" w:rsidP="00404998">
      <w:pPr>
        <w:pStyle w:val="Heading2"/>
        <w:pBdr>
          <w:bottom w:val="single" w:sz="18" w:space="2" w:color="133D8F"/>
        </w:pBdr>
      </w:pPr>
      <w:r w:rsidRPr="00635709">
        <w:t>Civil Society Engagement with the African Human Rights System</w:t>
      </w:r>
      <w:r>
        <w:t>, continued</w:t>
      </w:r>
    </w:p>
    <w:p w14:paraId="18C4EEC8" w14:textId="77777777" w:rsidR="007C1679" w:rsidRPr="007C1679" w:rsidRDefault="007C1679" w:rsidP="007C1679">
      <w:pPr>
        <w:spacing w:before="40" w:after="40" w:line="160" w:lineRule="exact"/>
        <w:rPr>
          <w:sz w:val="20"/>
          <w:szCs w:val="20"/>
        </w:rPr>
      </w:pPr>
    </w:p>
    <w:p w14:paraId="13B8E75A" w14:textId="7D4C0AEF" w:rsidR="00A32BE8" w:rsidRPr="00635709" w:rsidRDefault="00A32BE8" w:rsidP="00841CE6">
      <w:pPr>
        <w:pStyle w:val="secondaryheader"/>
      </w:pPr>
      <w:r w:rsidRPr="00635709">
        <w:t xml:space="preserve">Requesting an Advisory Opinion from the African Court </w:t>
      </w:r>
    </w:p>
    <w:p w14:paraId="59B584BB" w14:textId="22DCDE02" w:rsidR="00A32BE8" w:rsidRPr="00635709" w:rsidRDefault="00A32BE8" w:rsidP="002E29E8">
      <w:r w:rsidRPr="00635709">
        <w:t xml:space="preserve">NGOs with observer status before the African Commission can request </w:t>
      </w:r>
      <w:r w:rsidRPr="00635709">
        <w:rPr>
          <w:rFonts w:ascii="Franklin Gothic Demi" w:hAnsi="Franklin Gothic Demi"/>
        </w:rPr>
        <w:t>advisory opinions</w:t>
      </w:r>
      <w:r w:rsidRPr="00635709">
        <w:t xml:space="preserve"> from the African Court. Since advisory opinions are interpretations of international law, rather than judgments on an individual case, they apply equally to all states that have ratified the relevant treaty. As a result, advisory opinions can be a powerful tool for clarifying what states must do to protect the rights of women and girls with disabilities. </w:t>
      </w:r>
    </w:p>
    <w:p w14:paraId="09E112E0" w14:textId="77777777" w:rsidR="007C1679" w:rsidRPr="007C1679" w:rsidRDefault="007C1679" w:rsidP="007C1679">
      <w:pPr>
        <w:spacing w:before="40" w:after="40" w:line="160" w:lineRule="exact"/>
        <w:rPr>
          <w:sz w:val="20"/>
          <w:szCs w:val="20"/>
        </w:rPr>
      </w:pPr>
      <w:bookmarkStart w:id="15" w:name="OLE_LINK309"/>
      <w:bookmarkStart w:id="16" w:name="OLE_LINK310"/>
    </w:p>
    <w:p w14:paraId="07A5601A" w14:textId="175097ED" w:rsidR="001A4402" w:rsidRPr="00635709" w:rsidRDefault="001A4402" w:rsidP="00CC3424">
      <w:pPr>
        <w:pStyle w:val="secondaryheader"/>
      </w:pPr>
      <w:r w:rsidRPr="00635709">
        <w:t>Bringing Individual Complaints to African Regional Human R</w:t>
      </w:r>
      <w:r w:rsidRPr="00635709">
        <w:rPr>
          <w:rFonts w:hint="eastAsia"/>
        </w:rPr>
        <w:t>ights Bodies</w:t>
      </w:r>
    </w:p>
    <w:bookmarkEnd w:id="15"/>
    <w:bookmarkEnd w:id="16"/>
    <w:p w14:paraId="0FCA79B0" w14:textId="3DCE00A6" w:rsidR="001A4402" w:rsidRPr="00635709" w:rsidRDefault="001A4402" w:rsidP="002E29E8">
      <w:r w:rsidRPr="00635709">
        <w:t xml:space="preserve">Civil society can bring individual complaints before the African Commission, the ACERWC and the African Court. Each body has its own criteria and procedures for accepting and hearing a complaint. For example: </w:t>
      </w:r>
    </w:p>
    <w:p w14:paraId="65AB0F4E" w14:textId="11B9F634" w:rsidR="001A4402" w:rsidRPr="00635709" w:rsidRDefault="007B39F1" w:rsidP="007C1679">
      <w:pPr>
        <w:pStyle w:val="ListParagraph"/>
        <w:spacing w:after="80"/>
        <w:ind w:hanging="274"/>
      </w:pPr>
      <w:r>
        <w:t>A</w:t>
      </w:r>
      <w:r w:rsidR="001A4402" w:rsidRPr="00635709">
        <w:t>ny individual or NGO can bring a complaint</w:t>
      </w:r>
      <w:r>
        <w:t xml:space="preserve"> before the African Commission.</w:t>
      </w:r>
    </w:p>
    <w:p w14:paraId="6E771047" w14:textId="0AD95446" w:rsidR="001A4402" w:rsidRPr="00635709" w:rsidRDefault="007B39F1" w:rsidP="007C1679">
      <w:pPr>
        <w:pStyle w:val="ListParagraph"/>
        <w:spacing w:after="80"/>
        <w:ind w:hanging="274"/>
      </w:pPr>
      <w:r>
        <w:t>T</w:t>
      </w:r>
      <w:r w:rsidR="001A4402" w:rsidRPr="00635709">
        <w:t>he ACERWC can only hear complaints initiated by individuals (including children) or NGOs legally</w:t>
      </w:r>
      <w:r>
        <w:t xml:space="preserve"> recognized in AU member states.</w:t>
      </w:r>
      <w:r w:rsidR="001A4402" w:rsidRPr="00635709">
        <w:t xml:space="preserve"> </w:t>
      </w:r>
    </w:p>
    <w:p w14:paraId="0F3A05E1" w14:textId="36659C55" w:rsidR="001A4402" w:rsidRPr="00635709" w:rsidRDefault="007B39F1" w:rsidP="007C1679">
      <w:pPr>
        <w:pStyle w:val="ListParagraph"/>
        <w:spacing w:after="80"/>
        <w:ind w:hanging="274"/>
      </w:pPr>
      <w:r>
        <w:t>O</w:t>
      </w:r>
      <w:r w:rsidR="001A4402" w:rsidRPr="00635709">
        <w:t>nly NGOs or individuals with observer status before the African Commission can initiate cases directly with the African Court, and even then, only if the state in question has recognized the jurisdiction of the Court to accept cases from individuals and NGOs.</w:t>
      </w:r>
    </w:p>
    <w:p w14:paraId="4E09E48C" w14:textId="73EDE429" w:rsidR="001A4402" w:rsidRPr="00635709" w:rsidRDefault="001A4402" w:rsidP="002E29E8">
      <w:pPr>
        <w:rPr>
          <w:lang w:eastAsia="zh-CN"/>
        </w:rPr>
      </w:pPr>
      <w:r w:rsidRPr="00635709">
        <w:rPr>
          <w:lang w:eastAsia="zh-CN"/>
        </w:rPr>
        <w:t xml:space="preserve">When it appears from a complaint that there exist </w:t>
      </w:r>
      <w:r w:rsidRPr="00635709">
        <w:rPr>
          <w:rFonts w:ascii="Franklin Gothic Demi" w:hAnsi="Franklin Gothic Demi"/>
        </w:rPr>
        <w:t>serious or massive violations of human or peoples’ rights</w:t>
      </w:r>
      <w:r w:rsidRPr="00635709">
        <w:rPr>
          <w:lang w:eastAsia="zh-CN"/>
        </w:rPr>
        <w:t xml:space="preserve">, or a situation that presents the </w:t>
      </w:r>
      <w:r w:rsidRPr="00635709">
        <w:rPr>
          <w:rFonts w:ascii="Franklin Gothic Demi" w:hAnsi="Franklin Gothic Demi"/>
        </w:rPr>
        <w:t>danger of irreparable harm</w:t>
      </w:r>
      <w:r w:rsidRPr="00635709">
        <w:rPr>
          <w:lang w:eastAsia="zh-CN"/>
        </w:rPr>
        <w:t xml:space="preserve">, the person or organization that brought the complaint can ask for </w:t>
      </w:r>
      <w:r w:rsidRPr="00635709">
        <w:rPr>
          <w:rFonts w:ascii="Franklin Gothic Demi" w:hAnsi="Franklin Gothic Demi"/>
        </w:rPr>
        <w:t>Provisional Measures</w:t>
      </w:r>
      <w:r w:rsidRPr="00635709">
        <w:rPr>
          <w:lang w:eastAsia="zh-CN"/>
        </w:rPr>
        <w:t xml:space="preserve"> to prevent irreparable harm to the victim or victims of the alleged violation. </w:t>
      </w:r>
    </w:p>
    <w:p w14:paraId="662E7CAB" w14:textId="0856DFA0" w:rsidR="001A4402" w:rsidRPr="00635709" w:rsidRDefault="007C1679" w:rsidP="009874C7">
      <w:pPr>
        <w:rPr>
          <w:lang w:eastAsia="zh-CN"/>
        </w:rPr>
      </w:pPr>
      <w:r w:rsidRPr="00635709">
        <w:rPr>
          <w:noProof/>
        </w:rPr>
        <mc:AlternateContent>
          <mc:Choice Requires="wps">
            <w:drawing>
              <wp:anchor distT="118745" distB="228600" distL="114300" distR="114300" simplePos="0" relativeHeight="251680768" behindDoc="0" locked="0" layoutInCell="1" allowOverlap="0" wp14:anchorId="0EF2CEBB" wp14:editId="47AAD627">
                <wp:simplePos x="0" y="0"/>
                <wp:positionH relativeFrom="column">
                  <wp:posOffset>254000</wp:posOffset>
                </wp:positionH>
                <wp:positionV relativeFrom="page">
                  <wp:posOffset>5321300</wp:posOffset>
                </wp:positionV>
                <wp:extent cx="6172200" cy="1950720"/>
                <wp:effectExtent l="0" t="0" r="0" b="5080"/>
                <wp:wrapTopAndBottom/>
                <wp:docPr id="12" name="Text Box 12"/>
                <wp:cNvGraphicFramePr/>
                <a:graphic xmlns:a="http://schemas.openxmlformats.org/drawingml/2006/main">
                  <a:graphicData uri="http://schemas.microsoft.com/office/word/2010/wordprocessingShape">
                    <wps:wsp>
                      <wps:cNvSpPr txBox="1"/>
                      <wps:spPr>
                        <a:xfrm>
                          <a:off x="0" y="0"/>
                          <a:ext cx="6172200" cy="1950720"/>
                        </a:xfrm>
                        <a:prstGeom prst="rect">
                          <a:avLst/>
                        </a:prstGeom>
                        <a:solidFill>
                          <a:srgbClr val="B7A0CB">
                            <a:alpha val="34902"/>
                          </a:srgbClr>
                        </a:solidFill>
                        <a:ln w="6350">
                          <a:noFill/>
                        </a:ln>
                      </wps:spPr>
                      <wps:txbx>
                        <w:txbxContent>
                          <w:p w14:paraId="2F97AB06" w14:textId="77777777" w:rsidR="00AB4017" w:rsidRPr="00CF4050" w:rsidRDefault="00AB4017" w:rsidP="00CC3424">
                            <w:pPr>
                              <w:pStyle w:val="TextBoxTitle"/>
                            </w:pPr>
                            <w:r w:rsidRPr="00CF4050">
                              <w:t>NGOs with Observer Status</w:t>
                            </w:r>
                          </w:p>
                          <w:p w14:paraId="6888D281" w14:textId="77777777" w:rsidR="00AB4017" w:rsidRPr="00CF4050" w:rsidRDefault="00AB4017" w:rsidP="007D54DC">
                            <w:pPr>
                              <w:pStyle w:val="TextBox10"/>
                            </w:pPr>
                            <w:r w:rsidRPr="00CF4050">
                              <w:t xml:space="preserve">Some engagement opportunities are only reserved for NGOs with observer status, including: </w:t>
                            </w:r>
                          </w:p>
                          <w:p w14:paraId="64008A15" w14:textId="1B4C1E8E" w:rsidR="00AB4017" w:rsidRPr="00CF4050" w:rsidRDefault="00AB4017" w:rsidP="00A80B9F">
                            <w:pPr>
                              <w:pStyle w:val="TextBoxListtight"/>
                              <w:spacing w:after="80"/>
                            </w:pPr>
                            <w:r w:rsidRPr="00CF4050">
                              <w:t>proposing agenda items to and speaking in African Commission/ACERWC’</w:t>
                            </w:r>
                            <w:r w:rsidRPr="00CF4050">
                              <w:rPr>
                                <w:rFonts w:hint="eastAsia"/>
                              </w:rPr>
                              <w:t>s</w:t>
                            </w:r>
                            <w:r w:rsidRPr="00CF4050">
                              <w:t xml:space="preserve"> public sessions, </w:t>
                            </w:r>
                          </w:p>
                          <w:p w14:paraId="03BE4510" w14:textId="1B19E237" w:rsidR="00AB4017" w:rsidRPr="00CF4050" w:rsidRDefault="00AB4017" w:rsidP="00A80B9F">
                            <w:pPr>
                              <w:pStyle w:val="TextBoxListtight"/>
                              <w:spacing w:after="80"/>
                            </w:pPr>
                            <w:r w:rsidRPr="00CF4050">
                              <w:t>attending closed meetings during the sessions of the African C</w:t>
                            </w:r>
                            <w:r w:rsidRPr="00CF4050">
                              <w:rPr>
                                <w:rFonts w:hint="eastAsia"/>
                              </w:rPr>
                              <w:t>ommi</w:t>
                            </w:r>
                            <w:r w:rsidRPr="00CF4050">
                              <w:t>ssion and the ACERWC, and</w:t>
                            </w:r>
                          </w:p>
                          <w:p w14:paraId="356C2CD6" w14:textId="75BBE404" w:rsidR="00AB4017" w:rsidRPr="00CF4050" w:rsidRDefault="00AB4017" w:rsidP="00A80B9F">
                            <w:pPr>
                              <w:pStyle w:val="TextBoxListtight"/>
                              <w:spacing w:after="80"/>
                            </w:pPr>
                            <w:r w:rsidRPr="00CF4050">
                              <w:t xml:space="preserve">bringing individual cases directly to the African Court, where a state has recognized the Court’s authority to do so (for NGOs with observer status with the African Commission). </w:t>
                            </w:r>
                          </w:p>
                          <w:p w14:paraId="06089223" w14:textId="77777777" w:rsidR="00DA79FD" w:rsidRPr="00CF4050" w:rsidRDefault="00DA79FD" w:rsidP="007D54DC">
                            <w:pPr>
                              <w:pStyle w:val="TextBox10"/>
                            </w:pPr>
                            <w:r w:rsidRPr="00CF4050">
                              <w:t xml:space="preserve">NGOs can apply for observer status before the African Commission and/or the ACERWC to better advocate for the rights of women and girls with disabilities. Observer status is granted separately for each mechanism. </w:t>
                            </w:r>
                          </w:p>
                          <w:p w14:paraId="23040DBC" w14:textId="77777777" w:rsidR="00DA79FD" w:rsidRPr="00CF4050" w:rsidRDefault="00DA79FD" w:rsidP="00841CE6">
                            <w:pPr>
                              <w:rPr>
                                <w:sz w:val="21"/>
                              </w:rPr>
                            </w:pPr>
                          </w:p>
                          <w:p w14:paraId="1200E629" w14:textId="77777777" w:rsidR="00AB4017" w:rsidRPr="00CF4050" w:rsidRDefault="00AB4017" w:rsidP="00841CE6">
                            <w:pPr>
                              <w:rPr>
                                <w:sz w:val="21"/>
                              </w:rPr>
                            </w:pPr>
                          </w:p>
                          <w:p w14:paraId="478A7342" w14:textId="77777777" w:rsidR="00AB4017" w:rsidRPr="00CF4050" w:rsidRDefault="00AB4017" w:rsidP="00841CE6">
                            <w:pPr>
                              <w:rPr>
                                <w:sz w:val="21"/>
                              </w:rPr>
                            </w:pPr>
                            <w:r w:rsidRPr="00CF4050">
                              <w:rPr>
                                <w:sz w:val="21"/>
                              </w:rPr>
                              <w:t xml:space="preserve">NGOs can apply for observer status before the African Commission and/or the ACERWC to better advocate for the rights of women and girls with disabilities. Observer status is granted separately for each mechanism. </w:t>
                            </w:r>
                          </w:p>
                          <w:p w14:paraId="257485F1" w14:textId="77777777" w:rsidR="00AB4017" w:rsidRPr="00CF4050" w:rsidRDefault="00AB4017" w:rsidP="00841CE6">
                            <w:pPr>
                              <w:rPr>
                                <w:sz w:val="21"/>
                              </w:rPr>
                            </w:pPr>
                            <w:r w:rsidRPr="00CF4050">
                              <w:rPr>
                                <w:sz w:val="21"/>
                              </w:rPr>
                              <w:t>.</w:t>
                            </w:r>
                          </w:p>
                          <w:p w14:paraId="024335A9" w14:textId="77777777" w:rsidR="00AB4017" w:rsidRPr="00CF4050" w:rsidRDefault="00AB4017" w:rsidP="00841CE6">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CEBB" id="Text Box 12" o:spid="_x0000_s1032" type="#_x0000_t202" style="position:absolute;left:0;text-align:left;margin-left:20pt;margin-top:419pt;width:486pt;height:153.6pt;z-index:251680768;visibility:visible;mso-wrap-style:square;mso-width-percent:0;mso-height-percent:0;mso-wrap-distance-left:9pt;mso-wrap-distance-top:9.35pt;mso-wrap-distance-right:9pt;mso-wrap-distance-bottom:1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" o:allowoverlap="f" fillcolor="#b7a0cb" stroked="f" strokeweight=".5pt">
                <v:fill opacity="22873f"/>
                <v:textbox>
                  <w:txbxContent>
                    <w:p w14:paraId="2F97AB06" w14:textId="77777777" w:rsidR="00AB4017" w:rsidRPr="00CF4050" w:rsidRDefault="00AB4017" w:rsidP="00CC3424">
                      <w:pPr>
                        <w:pStyle w:val="TextBoxTitle"/>
                      </w:pPr>
                      <w:r w:rsidRPr="00CF4050">
                        <w:t>NGOs with Observer Status</w:t>
                      </w:r>
                    </w:p>
                    <w:p w14:paraId="6888D281" w14:textId="77777777" w:rsidR="00AB4017" w:rsidRPr="00CF4050" w:rsidRDefault="00AB4017" w:rsidP="007D54DC">
                      <w:pPr>
                        <w:pStyle w:val="TextBox10"/>
                      </w:pPr>
                      <w:r w:rsidRPr="00CF4050">
                        <w:t xml:space="preserve">Some engagement opportunities are only reserved for NGOs with observer status, including: </w:t>
                      </w:r>
                    </w:p>
                    <w:p w14:paraId="64008A15" w14:textId="1B4C1E8E" w:rsidR="00AB4017" w:rsidRPr="00CF4050" w:rsidRDefault="00AB4017" w:rsidP="00A80B9F">
                      <w:pPr>
                        <w:pStyle w:val="TextBoxListtight"/>
                        <w:spacing w:after="80"/>
                      </w:pPr>
                      <w:r w:rsidRPr="00CF4050">
                        <w:t>proposing agenda items to and speaking in African Commission/ACERWC’</w:t>
                      </w:r>
                      <w:r w:rsidRPr="00CF4050">
                        <w:rPr>
                          <w:rFonts w:hint="eastAsia"/>
                        </w:rPr>
                        <w:t>s</w:t>
                      </w:r>
                      <w:r w:rsidRPr="00CF4050">
                        <w:t xml:space="preserve"> public sessions, </w:t>
                      </w:r>
                    </w:p>
                    <w:p w14:paraId="03BE4510" w14:textId="1B19E237" w:rsidR="00AB4017" w:rsidRPr="00CF4050" w:rsidRDefault="00AB4017" w:rsidP="00A80B9F">
                      <w:pPr>
                        <w:pStyle w:val="TextBoxListtight"/>
                        <w:spacing w:after="80"/>
                      </w:pPr>
                      <w:r w:rsidRPr="00CF4050">
                        <w:t>attending closed meetings during the sessions of the African C</w:t>
                      </w:r>
                      <w:r w:rsidRPr="00CF4050">
                        <w:rPr>
                          <w:rFonts w:hint="eastAsia"/>
                        </w:rPr>
                        <w:t>ommi</w:t>
                      </w:r>
                      <w:r w:rsidRPr="00CF4050">
                        <w:t>ssion and the ACERWC, and</w:t>
                      </w:r>
                    </w:p>
                    <w:p w14:paraId="356C2CD6" w14:textId="75BBE404" w:rsidR="00AB4017" w:rsidRPr="00CF4050" w:rsidRDefault="00AB4017" w:rsidP="00A80B9F">
                      <w:pPr>
                        <w:pStyle w:val="TextBoxListtight"/>
                        <w:spacing w:after="80"/>
                      </w:pPr>
                      <w:r w:rsidRPr="00CF4050">
                        <w:t xml:space="preserve">bringing individual cases directly to the African Court, where a state has recognized the Court’s authority to do so (for NGOs with observer status with the African Commission). </w:t>
                      </w:r>
                    </w:p>
                    <w:p w14:paraId="06089223" w14:textId="77777777" w:rsidR="00DA79FD" w:rsidRPr="00CF4050" w:rsidRDefault="00DA79FD" w:rsidP="007D54DC">
                      <w:pPr>
                        <w:pStyle w:val="TextBox10"/>
                      </w:pPr>
                      <w:r w:rsidRPr="00CF4050">
                        <w:t xml:space="preserve">NGOs can apply for observer status before the African Commission and/or the ACERWC to better advocate for the rights of women and girls with disabilities. Observer status is granted separately for each mechanism. </w:t>
                      </w:r>
                    </w:p>
                    <w:p w14:paraId="23040DBC" w14:textId="77777777" w:rsidR="00DA79FD" w:rsidRPr="00CF4050" w:rsidRDefault="00DA79FD" w:rsidP="00841CE6">
                      <w:pPr>
                        <w:rPr>
                          <w:sz w:val="21"/>
                        </w:rPr>
                      </w:pPr>
                    </w:p>
                    <w:p w14:paraId="1200E629" w14:textId="77777777" w:rsidR="00AB4017" w:rsidRPr="00CF4050" w:rsidRDefault="00AB4017" w:rsidP="00841CE6">
                      <w:pPr>
                        <w:rPr>
                          <w:sz w:val="21"/>
                        </w:rPr>
                      </w:pPr>
                    </w:p>
                    <w:p w14:paraId="478A7342" w14:textId="77777777" w:rsidR="00AB4017" w:rsidRPr="00CF4050" w:rsidRDefault="00AB4017" w:rsidP="00841CE6">
                      <w:pPr>
                        <w:rPr>
                          <w:sz w:val="21"/>
                        </w:rPr>
                      </w:pPr>
                      <w:r w:rsidRPr="00CF4050">
                        <w:rPr>
                          <w:sz w:val="21"/>
                        </w:rPr>
                        <w:t xml:space="preserve">NGOs can apply for observer status before the African Commission and/or the ACERWC to better advocate for the rights of women and girls with disabilities. Observer status is granted separately for each mechanism. </w:t>
                      </w:r>
                    </w:p>
                    <w:p w14:paraId="257485F1" w14:textId="77777777" w:rsidR="00AB4017" w:rsidRPr="00CF4050" w:rsidRDefault="00AB4017" w:rsidP="00841CE6">
                      <w:pPr>
                        <w:rPr>
                          <w:sz w:val="21"/>
                        </w:rPr>
                      </w:pPr>
                      <w:r w:rsidRPr="00CF4050">
                        <w:rPr>
                          <w:sz w:val="21"/>
                        </w:rPr>
                        <w:t>.</w:t>
                      </w:r>
                    </w:p>
                    <w:p w14:paraId="024335A9" w14:textId="77777777" w:rsidR="00AB4017" w:rsidRPr="00CF4050" w:rsidRDefault="00AB4017" w:rsidP="00841CE6">
                      <w:pPr>
                        <w:rPr>
                          <w:sz w:val="21"/>
                        </w:rPr>
                      </w:pPr>
                    </w:p>
                  </w:txbxContent>
                </v:textbox>
                <w10:wrap type="topAndBottom" anchory="page"/>
              </v:shape>
            </w:pict>
          </mc:Fallback>
        </mc:AlternateContent>
      </w:r>
      <w:r w:rsidR="001A4402" w:rsidRPr="00635709">
        <w:rPr>
          <w:lang w:eastAsia="zh-CN"/>
        </w:rPr>
        <w:t xml:space="preserve">When a communication is under consideration, NGOs can submit </w:t>
      </w:r>
      <w:r w:rsidR="001A4402" w:rsidRPr="00635709">
        <w:rPr>
          <w:rFonts w:ascii="Franklin Gothic Demi" w:hAnsi="Franklin Gothic Demi"/>
          <w:i/>
          <w:iCs/>
        </w:rPr>
        <w:t>amicus curiae</w:t>
      </w:r>
      <w:r w:rsidR="001A4402" w:rsidRPr="00635709">
        <w:rPr>
          <w:rFonts w:ascii="Franklin Gothic Demi" w:hAnsi="Franklin Gothic Demi"/>
        </w:rPr>
        <w:t xml:space="preserve"> briefs</w:t>
      </w:r>
      <w:r w:rsidR="001A4402" w:rsidRPr="00635709">
        <w:rPr>
          <w:lang w:eastAsia="zh-CN"/>
        </w:rPr>
        <w:t>. Amicus curiae briefs are written submissions by an individual or organization who is not a party to a case but who would like to offer additional information or legal analysis to help inform the body considering a case.</w:t>
      </w:r>
    </w:p>
    <w:p w14:paraId="706FF08A" w14:textId="77777777" w:rsidR="001A4402" w:rsidRPr="00635709" w:rsidRDefault="001A4402" w:rsidP="00CC3424">
      <w:pPr>
        <w:pStyle w:val="secondaryheader"/>
      </w:pPr>
      <w:r w:rsidRPr="00635709">
        <w:rPr>
          <w:rFonts w:hint="eastAsia"/>
        </w:rPr>
        <w:t xml:space="preserve">Deciding on an Advocacy Strategy </w:t>
      </w:r>
    </w:p>
    <w:p w14:paraId="05F8D65F" w14:textId="77777777" w:rsidR="001A4402" w:rsidRPr="00635709" w:rsidRDefault="001A4402" w:rsidP="002E29E8">
      <w:r w:rsidRPr="00635709">
        <w:t xml:space="preserve">Several questions can help advocates identify what advocacy opportunities are available to them and which forums and actions would be most strategic: </w:t>
      </w:r>
    </w:p>
    <w:p w14:paraId="613CED05" w14:textId="5DE46F5D" w:rsidR="001A4402" w:rsidRPr="00635709" w:rsidRDefault="001A4402" w:rsidP="009910E8">
      <w:pPr>
        <w:pStyle w:val="ListParagraph"/>
        <w:numPr>
          <w:ilvl w:val="0"/>
          <w:numId w:val="21"/>
        </w:numPr>
        <w:ind w:left="450" w:right="72"/>
      </w:pPr>
      <w:r w:rsidRPr="00635709">
        <w:t xml:space="preserve">What human rights documents has the country in question ratified? </w:t>
      </w:r>
    </w:p>
    <w:p w14:paraId="795DB7F9" w14:textId="77777777" w:rsidR="001A4402" w:rsidRPr="00635709" w:rsidRDefault="001A4402" w:rsidP="009910E8">
      <w:pPr>
        <w:pStyle w:val="ListParagraph"/>
        <w:numPr>
          <w:ilvl w:val="0"/>
          <w:numId w:val="21"/>
        </w:numPr>
        <w:ind w:left="450" w:right="72"/>
      </w:pPr>
      <w:r w:rsidRPr="00635709">
        <w:t xml:space="preserve">Does the country recognize the competency of any of the African human rights bodies to hear individual complaints? </w:t>
      </w:r>
    </w:p>
    <w:p w14:paraId="07FBFF80" w14:textId="77777777" w:rsidR="00B47CF3" w:rsidRDefault="001A4402" w:rsidP="009910E8">
      <w:pPr>
        <w:pStyle w:val="ListParagraph"/>
        <w:numPr>
          <w:ilvl w:val="0"/>
          <w:numId w:val="21"/>
        </w:numPr>
        <w:ind w:left="450" w:right="72"/>
        <w:sectPr w:rsidR="00B47CF3" w:rsidSect="009874C7">
          <w:pgSz w:w="12240" w:h="15840"/>
          <w:pgMar w:top="720" w:right="864" w:bottom="720" w:left="864" w:header="432" w:footer="432" w:gutter="0"/>
          <w:cols w:space="720"/>
          <w:noEndnote/>
          <w:docGrid w:linePitch="326"/>
        </w:sectPr>
      </w:pPr>
      <w:r w:rsidRPr="00635709">
        <w:rPr>
          <w:rFonts w:hint="eastAsia"/>
        </w:rPr>
        <w:t>Which mechanism(</w:t>
      </w:r>
      <w:r w:rsidRPr="00635709">
        <w:t>s</w:t>
      </w:r>
      <w:r w:rsidRPr="00635709">
        <w:rPr>
          <w:rFonts w:hint="eastAsia"/>
        </w:rPr>
        <w:t>)</w:t>
      </w:r>
      <w:r w:rsidRPr="00635709">
        <w:t xml:space="preserve"> can best address the issue you are working on, given the benefits and challenges for different mechanisms? The African Court has the broadest jurisdiction to hear complaints about all human rights instruments, but only a few AU member states allow the Court to accept cases directly from NGOs with observer status. Any individuals and NGOs can submit complaints to the African Commission. </w:t>
      </w:r>
    </w:p>
    <w:p w14:paraId="1B67BF86" w14:textId="3F10F10B" w:rsidR="001A4402" w:rsidRPr="00635709" w:rsidRDefault="001A4402" w:rsidP="00B47CF3">
      <w:pPr>
        <w:ind w:left="90" w:right="72"/>
      </w:pPr>
    </w:p>
    <w:p w14:paraId="0506C704" w14:textId="77777777" w:rsidR="00F25999" w:rsidRPr="00635709" w:rsidRDefault="001A4402" w:rsidP="009910E8">
      <w:pPr>
        <w:pStyle w:val="ListParagraph"/>
        <w:numPr>
          <w:ilvl w:val="0"/>
          <w:numId w:val="21"/>
        </w:numPr>
        <w:ind w:left="450" w:right="72"/>
        <w:rPr>
          <w:sz w:val="21"/>
        </w:rPr>
      </w:pPr>
      <w:r w:rsidRPr="00635709">
        <w:t xml:space="preserve">Are there any upcoming opportunities for engagement, such as sessions or a country review? It is helpful to examine the calendars of different mechanisms to prepare in advance. With this information in mind, NGOs can engage multi-level and multi-forum advocacy as opportunities arise, on their own or in partnership or coalition with other organizations.  </w:t>
      </w:r>
    </w:p>
    <w:p w14:paraId="733A1725" w14:textId="3583314A" w:rsidR="001A4402" w:rsidRPr="00635709" w:rsidRDefault="001A4402" w:rsidP="009910E8">
      <w:pPr>
        <w:pStyle w:val="ListParagraph"/>
        <w:numPr>
          <w:ilvl w:val="0"/>
          <w:numId w:val="21"/>
        </w:numPr>
        <w:ind w:left="450" w:right="72"/>
        <w:rPr>
          <w:sz w:val="21"/>
        </w:rPr>
      </w:pPr>
      <w:r w:rsidRPr="00635709">
        <w:t>Are there other groups or organizations with whom you can work? Working in coalition can bring together various areas of expertise and skill sets. In addition, joint submission and other collective advocacy can amplify the voices of an organization and increase the quality and credibility of the information provided. However, on the other hand, space constraints may limit the op</w:t>
      </w:r>
      <w:r w:rsidRPr="00635709">
        <w:rPr>
          <w:sz w:val="21"/>
        </w:rPr>
        <w:t>portunity to focus on the most important issues for you or your organization when working in coalition.</w:t>
      </w:r>
    </w:p>
    <w:p w14:paraId="058992EE" w14:textId="2A224F30" w:rsidR="00382D16" w:rsidRPr="00635709" w:rsidRDefault="001A4402" w:rsidP="009910E8">
      <w:pPr>
        <w:pStyle w:val="ListParagraph"/>
        <w:numPr>
          <w:ilvl w:val="0"/>
          <w:numId w:val="21"/>
        </w:numPr>
        <w:ind w:left="450" w:right="-108"/>
      </w:pPr>
      <w:r w:rsidRPr="00635709">
        <w:t>Do you have a media strategy in place to help raise public awareness of the issue on which you are working? Effective media engagement can put pressure on or mobilize key decision-makers around an issue.</w:t>
      </w:r>
    </w:p>
    <w:p w14:paraId="2C8BBF1F" w14:textId="33AE5EB4" w:rsidR="00C6514F" w:rsidRPr="00635709" w:rsidRDefault="00B47CF3" w:rsidP="00C6514F">
      <w:pPr>
        <w:ind w:left="403"/>
      </w:pPr>
      <w:r w:rsidRPr="00635709">
        <w:rPr>
          <w:noProof/>
        </w:rPr>
        <mc:AlternateContent>
          <mc:Choice Requires="wps">
            <w:drawing>
              <wp:anchor distT="118745" distB="118745" distL="114300" distR="114300" simplePos="0" relativeHeight="251708416" behindDoc="1" locked="0" layoutInCell="1" allowOverlap="0" wp14:anchorId="1F99C2CF" wp14:editId="44F5E9A8">
                <wp:simplePos x="0" y="0"/>
                <wp:positionH relativeFrom="column">
                  <wp:posOffset>50800</wp:posOffset>
                </wp:positionH>
                <wp:positionV relativeFrom="page">
                  <wp:posOffset>2915920</wp:posOffset>
                </wp:positionV>
                <wp:extent cx="6574155" cy="649224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6574155" cy="6492240"/>
                        </a:xfrm>
                        <a:prstGeom prst="rect">
                          <a:avLst/>
                        </a:prstGeom>
                        <a:solidFill>
                          <a:srgbClr val="B7A0CB">
                            <a:alpha val="34902"/>
                          </a:srgbClr>
                        </a:solidFill>
                        <a:ln w="6350">
                          <a:noFill/>
                        </a:ln>
                      </wps:spPr>
                      <wps:txbx>
                        <w:txbxContent>
                          <w:p w14:paraId="20C4997D" w14:textId="77777777" w:rsidR="00C6514F" w:rsidRPr="007A4DFE" w:rsidRDefault="00C6514F" w:rsidP="00C6514F">
                            <w:pPr>
                              <w:pStyle w:val="TextBoxTitle"/>
                              <w:rPr>
                                <w:sz w:val="28"/>
                                <w:szCs w:val="28"/>
                              </w:rPr>
                            </w:pPr>
                            <w:r w:rsidRPr="007A4DFE">
                              <w:rPr>
                                <w:sz w:val="28"/>
                                <w:szCs w:val="28"/>
                              </w:rPr>
                              <w:t>Additional Resources</w:t>
                            </w:r>
                          </w:p>
                          <w:p w14:paraId="3141047D" w14:textId="77777777" w:rsidR="00C6514F" w:rsidRPr="007A4DFE" w:rsidRDefault="00C6514F" w:rsidP="009910E8">
                            <w:pPr>
                              <w:pStyle w:val="TextBoxBoldTitle"/>
                              <w:ind w:left="270"/>
                              <w:rPr>
                                <w:sz w:val="23"/>
                                <w:szCs w:val="23"/>
                              </w:rPr>
                            </w:pPr>
                            <w:r w:rsidRPr="007A4DFE">
                              <w:rPr>
                                <w:sz w:val="23"/>
                                <w:szCs w:val="23"/>
                              </w:rPr>
                              <w:t>Main African Human Rights Bodies:</w:t>
                            </w:r>
                          </w:p>
                          <w:p w14:paraId="2655EC1B" w14:textId="77777777" w:rsidR="00C6514F" w:rsidRPr="007A4DFE" w:rsidRDefault="00C6514F" w:rsidP="009910E8">
                            <w:pPr>
                              <w:pStyle w:val="AddlResourcesListItem"/>
                              <w:spacing w:after="120"/>
                              <w:ind w:left="548" w:hanging="274"/>
                            </w:pPr>
                            <w:r w:rsidRPr="007A4DFE">
                              <w:t xml:space="preserve">African Union, </w:t>
                            </w:r>
                            <w:hyperlink r:id="rId27" w:history="1">
                              <w:r w:rsidRPr="007A4DFE">
                                <w:rPr>
                                  <w:rStyle w:val="Hyperlink"/>
                                </w:rPr>
                                <w:t>https://au.int/en</w:t>
                              </w:r>
                            </w:hyperlink>
                            <w:r w:rsidRPr="007A4DFE">
                              <w:t xml:space="preserve"> </w:t>
                            </w:r>
                          </w:p>
                          <w:p w14:paraId="494F803B" w14:textId="77777777" w:rsidR="00C6514F" w:rsidRPr="007A4DFE" w:rsidRDefault="00C6514F" w:rsidP="009910E8">
                            <w:pPr>
                              <w:pStyle w:val="AddlResourcesListItem"/>
                              <w:spacing w:after="120"/>
                              <w:ind w:left="548" w:hanging="274"/>
                            </w:pPr>
                            <w:r w:rsidRPr="007A4DFE">
                              <w:t xml:space="preserve">African Commission on Human and People’s Rights, </w:t>
                            </w:r>
                            <w:hyperlink r:id="rId28" w:history="1">
                              <w:r w:rsidRPr="007A4DFE">
                                <w:rPr>
                                  <w:rStyle w:val="Hyperlink"/>
                                </w:rPr>
                                <w:t>http://www.achpr.org/</w:t>
                              </w:r>
                            </w:hyperlink>
                            <w:r w:rsidRPr="007A4DFE">
                              <w:t xml:space="preserve"> </w:t>
                            </w:r>
                          </w:p>
                          <w:p w14:paraId="09F728A9" w14:textId="77777777" w:rsidR="00C6514F" w:rsidRPr="007A4DFE" w:rsidRDefault="00C6514F" w:rsidP="009910E8">
                            <w:pPr>
                              <w:pStyle w:val="AddlResourcesListItem"/>
                              <w:spacing w:after="120"/>
                              <w:ind w:left="548" w:hanging="274"/>
                            </w:pPr>
                            <w:r w:rsidRPr="007A4DFE">
                              <w:t xml:space="preserve">African Court on Human and People’s Rights, </w:t>
                            </w:r>
                            <w:hyperlink r:id="rId29" w:history="1">
                              <w:r w:rsidRPr="007A4DFE">
                                <w:rPr>
                                  <w:rStyle w:val="Hyperlink"/>
                                </w:rPr>
                                <w:t>http://en.african-court.org/</w:t>
                              </w:r>
                            </w:hyperlink>
                            <w:r w:rsidRPr="007A4DFE">
                              <w:t xml:space="preserve"> </w:t>
                            </w:r>
                          </w:p>
                          <w:p w14:paraId="69DF8AF9" w14:textId="77777777" w:rsidR="00C6514F" w:rsidRPr="007A4DFE" w:rsidRDefault="00C6514F" w:rsidP="009910E8">
                            <w:pPr>
                              <w:pStyle w:val="AddlResourcesListItem"/>
                              <w:spacing w:after="120"/>
                              <w:ind w:left="548" w:hanging="274"/>
                            </w:pPr>
                            <w:r w:rsidRPr="007A4DFE">
                              <w:t xml:space="preserve">African Committee of Experts on the Rights and Welfare of the Child, </w:t>
                            </w:r>
                            <w:hyperlink r:id="rId30" w:history="1">
                              <w:r w:rsidRPr="007A4DFE">
                                <w:rPr>
                                  <w:rStyle w:val="Hyperlink"/>
                                </w:rPr>
                                <w:t>http://www.acerwc.org/</w:t>
                              </w:r>
                            </w:hyperlink>
                            <w:r w:rsidRPr="007A4DFE">
                              <w:t xml:space="preserve"> </w:t>
                            </w:r>
                          </w:p>
                          <w:p w14:paraId="3FE35969" w14:textId="77777777" w:rsidR="00C6514F" w:rsidRPr="007A4DFE" w:rsidRDefault="00C6514F" w:rsidP="009910E8">
                            <w:pPr>
                              <w:pStyle w:val="AddlResourcesListItem"/>
                              <w:spacing w:after="120"/>
                              <w:ind w:left="548" w:hanging="274"/>
                            </w:pPr>
                            <w:r w:rsidRPr="007A4DFE">
                              <w:t xml:space="preserve">Special Rapporteur on Rights of Women, </w:t>
                            </w:r>
                            <w:hyperlink r:id="rId31" w:history="1">
                              <w:r w:rsidRPr="007A4DFE">
                                <w:rPr>
                                  <w:rStyle w:val="Hyperlink"/>
                                </w:rPr>
                                <w:t>http://www.achpr.org/mechanisms/rights-of-women/</w:t>
                              </w:r>
                            </w:hyperlink>
                            <w:r w:rsidRPr="007A4DFE">
                              <w:t xml:space="preserve"> </w:t>
                            </w:r>
                          </w:p>
                          <w:p w14:paraId="75C2DEC0" w14:textId="0D7AC080" w:rsidR="00C6514F" w:rsidRPr="007A4DFE" w:rsidRDefault="00C6514F" w:rsidP="009910E8">
                            <w:pPr>
                              <w:pStyle w:val="AddlResourcesListItem"/>
                              <w:spacing w:after="120"/>
                              <w:ind w:left="548" w:hanging="274"/>
                            </w:pPr>
                            <w:r w:rsidRPr="007A4DFE">
                              <w:t xml:space="preserve">Working Group on Rights of Older Persons and People with Disabilities, </w:t>
                            </w:r>
                            <w:hyperlink r:id="rId32" w:history="1">
                              <w:r w:rsidRPr="007A4DFE">
                                <w:rPr>
                                  <w:rStyle w:val="Hyperlink"/>
                                </w:rPr>
                                <w:t>http://www.achpr.org/mechanisms/older-disabled/</w:t>
                              </w:r>
                            </w:hyperlink>
                          </w:p>
                          <w:p w14:paraId="22D048A0" w14:textId="77777777" w:rsidR="007D54DC" w:rsidRPr="007A4DFE" w:rsidRDefault="007D54DC" w:rsidP="009910E8">
                            <w:pPr>
                              <w:pStyle w:val="TextBoxBoldTitle"/>
                              <w:spacing w:before="400"/>
                              <w:ind w:left="274"/>
                              <w:rPr>
                                <w:sz w:val="23"/>
                                <w:szCs w:val="23"/>
                              </w:rPr>
                            </w:pPr>
                            <w:r w:rsidRPr="007A4DFE">
                              <w:rPr>
                                <w:sz w:val="23"/>
                                <w:szCs w:val="23"/>
                              </w:rPr>
                              <w:t>Treaties and Additional Key Documents:</w:t>
                            </w:r>
                          </w:p>
                          <w:p w14:paraId="2B7ED4EE" w14:textId="77777777" w:rsidR="007D54DC" w:rsidRPr="007A4DFE" w:rsidRDefault="007D54DC" w:rsidP="009910E8">
                            <w:pPr>
                              <w:pStyle w:val="AddlResourcesListItem"/>
                              <w:ind w:left="540" w:hanging="270"/>
                            </w:pPr>
                            <w:r w:rsidRPr="007A4DFE">
                              <w:t xml:space="preserve">Status of ratifications for human rights documents by AU member states: </w:t>
                            </w:r>
                            <w:hyperlink r:id="rId33" w:history="1">
                              <w:r w:rsidRPr="007A4DFE">
                                <w:rPr>
                                  <w:rStyle w:val="Hyperlink"/>
                                </w:rPr>
                                <w:t>https://au.int/en/treaties</w:t>
                              </w:r>
                            </w:hyperlink>
                            <w:r w:rsidRPr="007A4DFE">
                              <w:t>.</w:t>
                            </w:r>
                          </w:p>
                          <w:p w14:paraId="41E25064" w14:textId="3082343F" w:rsidR="007A4DFE" w:rsidRPr="009910E8" w:rsidRDefault="007D54DC" w:rsidP="009910E8">
                            <w:pPr>
                              <w:pStyle w:val="AddlResourcesListItem"/>
                              <w:ind w:left="540" w:hanging="270"/>
                            </w:pPr>
                            <w:r w:rsidRPr="007A4DFE">
                              <w:t xml:space="preserve">Regional human rights documents including treaties, general comments and resolutions: </w:t>
                            </w:r>
                            <w:hyperlink r:id="rId34" w:history="1">
                              <w:r w:rsidRPr="007A4DFE">
                                <w:rPr>
                                  <w:rStyle w:val="Hyperlink"/>
                                </w:rPr>
                                <w:t>http://www.achpr.org/instruments/</w:t>
                              </w:r>
                            </w:hyperlink>
                          </w:p>
                          <w:p w14:paraId="571C26B3" w14:textId="77777777" w:rsidR="007A4DFE" w:rsidRPr="007A4DFE" w:rsidRDefault="007A4DFE" w:rsidP="009910E8">
                            <w:pPr>
                              <w:pStyle w:val="TextBoxBoldTitle"/>
                              <w:spacing w:before="400"/>
                              <w:ind w:left="274"/>
                              <w:rPr>
                                <w:sz w:val="23"/>
                                <w:szCs w:val="23"/>
                              </w:rPr>
                            </w:pPr>
                            <w:r w:rsidRPr="007A4DFE">
                              <w:rPr>
                                <w:sz w:val="23"/>
                                <w:szCs w:val="23"/>
                              </w:rPr>
                              <w:t>Information about Engaging with African Human Rights bodies:</w:t>
                            </w:r>
                          </w:p>
                          <w:p w14:paraId="4ABF8972" w14:textId="34122924" w:rsidR="007A4DFE" w:rsidRDefault="007A4DFE" w:rsidP="009910E8">
                            <w:pPr>
                              <w:pStyle w:val="AddlResourcesListItem"/>
                              <w:ind w:left="540" w:hanging="270"/>
                              <w:rPr>
                                <w:i/>
                                <w:iCs/>
                              </w:rPr>
                            </w:pPr>
                            <w:r w:rsidRPr="007A4DFE">
                              <w:t xml:space="preserve">State reporting information before the African Commission: </w:t>
                            </w:r>
                            <w:hyperlink r:id="rId35" w:history="1">
                              <w:r w:rsidRPr="007A4DFE">
                                <w:rPr>
                                  <w:rStyle w:val="Hyperlink"/>
                                </w:rPr>
                                <w:t>http://www.achpr.org/states/</w:t>
                              </w:r>
                            </w:hyperlink>
                          </w:p>
                          <w:p w14:paraId="6E0591F1" w14:textId="42016654" w:rsidR="007A4DFE" w:rsidRPr="007A4DFE" w:rsidRDefault="007A4DFE" w:rsidP="00F25999">
                            <w:pPr>
                              <w:pStyle w:val="AddlResourcesListItem"/>
                              <w:numPr>
                                <w:ilvl w:val="0"/>
                                <w:numId w:val="0"/>
                              </w:numPr>
                              <w:ind w:left="810"/>
                            </w:pPr>
                            <w:r w:rsidRPr="007A4DFE">
                              <w:t>By clicking on the name of a specific country on this webpage, one has access to state reports submitted by state parties, concluding observations issued by the Commission, decisions on individual complaints against the state, and mission reports about the state.</w:t>
                            </w:r>
                          </w:p>
                          <w:p w14:paraId="66BCC07C" w14:textId="75874B11" w:rsidR="007A4DFE" w:rsidRPr="007A4DFE" w:rsidRDefault="007A4DFE" w:rsidP="009910E8">
                            <w:pPr>
                              <w:pStyle w:val="AddlResourcesListItem"/>
                              <w:ind w:left="540" w:hanging="270"/>
                            </w:pPr>
                            <w:r w:rsidRPr="007A4DFE">
                              <w:t>Complimentary Report guidelines for the ACERWC:</w:t>
                            </w:r>
                            <w:r w:rsidRPr="007A4DFE">
                              <w:br/>
                            </w:r>
                            <w:hyperlink r:id="rId36" w:history="1">
                              <w:r w:rsidRPr="007A4DFE">
                                <w:rPr>
                                  <w:rStyle w:val="Hyperlink"/>
                                </w:rPr>
                                <w:t>http://www.acerwc.org/download/guidelines_for_civil_societies_organisations_eng/?wpdmdl=10089</w:t>
                              </w:r>
                            </w:hyperlink>
                          </w:p>
                          <w:p w14:paraId="723151A6" w14:textId="5D6FB691" w:rsidR="007A4DFE" w:rsidRPr="007A4DFE" w:rsidRDefault="007A4DFE" w:rsidP="009910E8">
                            <w:pPr>
                              <w:pStyle w:val="AddlResourcesListItem"/>
                              <w:ind w:left="540" w:hanging="270"/>
                            </w:pPr>
                            <w:r w:rsidRPr="007A4DFE">
                              <w:t xml:space="preserve">Information about and Guidelines on submitting a Communication to the African Commission: </w:t>
                            </w:r>
                            <w:hyperlink r:id="rId37" w:history="1">
                              <w:r w:rsidRPr="007A4DFE">
                                <w:rPr>
                                  <w:rStyle w:val="Hyperlink"/>
                                </w:rPr>
                                <w:t>http://www.achpr.org/communications/procedure/</w:t>
                              </w:r>
                            </w:hyperlink>
                            <w:r w:rsidRPr="007A4DFE">
                              <w:rPr>
                                <w:rStyle w:val="Hyperlink"/>
                              </w:rPr>
                              <w:t xml:space="preserve">; </w:t>
                            </w:r>
                            <w:hyperlink r:id="rId38" w:history="1">
                              <w:r w:rsidRPr="007A4DFE">
                                <w:rPr>
                                  <w:rStyle w:val="Hyperlink"/>
                                </w:rPr>
                                <w:t>http://www.achpr.org/communications/guidelines/</w:t>
                              </w:r>
                            </w:hyperlink>
                          </w:p>
                          <w:p w14:paraId="58ABEFD2" w14:textId="48AC8FB1" w:rsidR="007A4DFE" w:rsidRPr="007A4DFE" w:rsidRDefault="007A4DFE" w:rsidP="009910E8">
                            <w:pPr>
                              <w:pStyle w:val="AddlResourcesListItem"/>
                              <w:ind w:left="540" w:hanging="270"/>
                            </w:pPr>
                            <w:r w:rsidRPr="007A4DFE">
                              <w:t xml:space="preserve">Guidelines on submitting a Communication to the ACERWC: </w:t>
                            </w:r>
                            <w:hyperlink r:id="rId39" w:history="1">
                              <w:r w:rsidRPr="007A4DFE">
                                <w:rPr>
                                  <w:rStyle w:val="Hyperlink"/>
                                </w:rPr>
                                <w:t>http://www.acerwc.org/submit-a-communication/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C2CF" id="Text Box 13" o:spid="_x0000_s1033" type="#_x0000_t202" style="position:absolute;left:0;text-align:left;margin-left:4pt;margin-top:229.6pt;width:517.65pt;height:511.2pt;z-index:-2516080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" o:allowoverlap="f" fillcolor="#b7a0cb" stroked="f" strokeweight=".5pt">
                <v:fill opacity="22873f"/>
                <v:textbox>
                  <w:txbxContent>
                    <w:p w14:paraId="20C4997D" w14:textId="77777777" w:rsidR="00C6514F" w:rsidRPr="007A4DFE" w:rsidRDefault="00C6514F" w:rsidP="00C6514F">
                      <w:pPr>
                        <w:pStyle w:val="TextBoxTitle"/>
                        <w:rPr>
                          <w:sz w:val="28"/>
                          <w:szCs w:val="28"/>
                        </w:rPr>
                      </w:pPr>
                      <w:r w:rsidRPr="007A4DFE">
                        <w:rPr>
                          <w:sz w:val="28"/>
                          <w:szCs w:val="28"/>
                        </w:rPr>
                        <w:t>Additional Resources</w:t>
                      </w:r>
                    </w:p>
                    <w:p w14:paraId="3141047D" w14:textId="77777777" w:rsidR="00C6514F" w:rsidRPr="007A4DFE" w:rsidRDefault="00C6514F" w:rsidP="009910E8">
                      <w:pPr>
                        <w:pStyle w:val="TextBoxBoldTitle"/>
                        <w:ind w:left="270"/>
                        <w:rPr>
                          <w:sz w:val="23"/>
                          <w:szCs w:val="23"/>
                        </w:rPr>
                      </w:pPr>
                      <w:r w:rsidRPr="007A4DFE">
                        <w:rPr>
                          <w:sz w:val="23"/>
                          <w:szCs w:val="23"/>
                        </w:rPr>
                        <w:t>Main African Human Rights Bodies:</w:t>
                      </w:r>
                    </w:p>
                    <w:p w14:paraId="2655EC1B" w14:textId="77777777" w:rsidR="00C6514F" w:rsidRPr="007A4DFE" w:rsidRDefault="00C6514F" w:rsidP="009910E8">
                      <w:pPr>
                        <w:pStyle w:val="AddlResourcesListItem"/>
                        <w:spacing w:after="120"/>
                        <w:ind w:left="548" w:hanging="274"/>
                      </w:pPr>
                      <w:r w:rsidRPr="007A4DFE">
                        <w:t xml:space="preserve">African Union, </w:t>
                      </w:r>
                      <w:hyperlink r:id="rId40" w:history="1">
                        <w:r w:rsidRPr="007A4DFE">
                          <w:rPr>
                            <w:rStyle w:val="Hyperlink"/>
                          </w:rPr>
                          <w:t>https://au.int/en</w:t>
                        </w:r>
                      </w:hyperlink>
                      <w:r w:rsidRPr="007A4DFE">
                        <w:t xml:space="preserve"> </w:t>
                      </w:r>
                    </w:p>
                    <w:p w14:paraId="494F803B" w14:textId="77777777" w:rsidR="00C6514F" w:rsidRPr="007A4DFE" w:rsidRDefault="00C6514F" w:rsidP="009910E8">
                      <w:pPr>
                        <w:pStyle w:val="AddlResourcesListItem"/>
                        <w:spacing w:after="120"/>
                        <w:ind w:left="548" w:hanging="274"/>
                      </w:pPr>
                      <w:r w:rsidRPr="007A4DFE">
                        <w:t xml:space="preserve">African Commission on Human and People’s Rights, </w:t>
                      </w:r>
                      <w:hyperlink r:id="rId41" w:history="1">
                        <w:r w:rsidRPr="007A4DFE">
                          <w:rPr>
                            <w:rStyle w:val="Hyperlink"/>
                          </w:rPr>
                          <w:t>http://www.achpr.org/</w:t>
                        </w:r>
                      </w:hyperlink>
                      <w:r w:rsidRPr="007A4DFE">
                        <w:t xml:space="preserve"> </w:t>
                      </w:r>
                    </w:p>
                    <w:p w14:paraId="09F728A9" w14:textId="77777777" w:rsidR="00C6514F" w:rsidRPr="007A4DFE" w:rsidRDefault="00C6514F" w:rsidP="009910E8">
                      <w:pPr>
                        <w:pStyle w:val="AddlResourcesListItem"/>
                        <w:spacing w:after="120"/>
                        <w:ind w:left="548" w:hanging="274"/>
                      </w:pPr>
                      <w:r w:rsidRPr="007A4DFE">
                        <w:t xml:space="preserve">African Court on Human and People’s Rights, </w:t>
                      </w:r>
                      <w:hyperlink r:id="rId42" w:history="1">
                        <w:r w:rsidRPr="007A4DFE">
                          <w:rPr>
                            <w:rStyle w:val="Hyperlink"/>
                          </w:rPr>
                          <w:t>http://en.african-court.org/</w:t>
                        </w:r>
                      </w:hyperlink>
                      <w:r w:rsidRPr="007A4DFE">
                        <w:t xml:space="preserve"> </w:t>
                      </w:r>
                    </w:p>
                    <w:p w14:paraId="69DF8AF9" w14:textId="77777777" w:rsidR="00C6514F" w:rsidRPr="007A4DFE" w:rsidRDefault="00C6514F" w:rsidP="009910E8">
                      <w:pPr>
                        <w:pStyle w:val="AddlResourcesListItem"/>
                        <w:spacing w:after="120"/>
                        <w:ind w:left="548" w:hanging="274"/>
                      </w:pPr>
                      <w:r w:rsidRPr="007A4DFE">
                        <w:t xml:space="preserve">African Committee of Experts on the Rights and Welfare of the Child, </w:t>
                      </w:r>
                      <w:hyperlink r:id="rId43" w:history="1">
                        <w:r w:rsidRPr="007A4DFE">
                          <w:rPr>
                            <w:rStyle w:val="Hyperlink"/>
                          </w:rPr>
                          <w:t>http://www.acerwc.org/</w:t>
                        </w:r>
                      </w:hyperlink>
                      <w:r w:rsidRPr="007A4DFE">
                        <w:t xml:space="preserve"> </w:t>
                      </w:r>
                    </w:p>
                    <w:p w14:paraId="3FE35969" w14:textId="77777777" w:rsidR="00C6514F" w:rsidRPr="007A4DFE" w:rsidRDefault="00C6514F" w:rsidP="009910E8">
                      <w:pPr>
                        <w:pStyle w:val="AddlResourcesListItem"/>
                        <w:spacing w:after="120"/>
                        <w:ind w:left="548" w:hanging="274"/>
                      </w:pPr>
                      <w:r w:rsidRPr="007A4DFE">
                        <w:t xml:space="preserve">Special Rapporteur on Rights of Women, </w:t>
                      </w:r>
                      <w:hyperlink r:id="rId44" w:history="1">
                        <w:r w:rsidRPr="007A4DFE">
                          <w:rPr>
                            <w:rStyle w:val="Hyperlink"/>
                          </w:rPr>
                          <w:t>http://www.achpr.org/mechanisms/rights-of-women/</w:t>
                        </w:r>
                      </w:hyperlink>
                      <w:r w:rsidRPr="007A4DFE">
                        <w:t xml:space="preserve"> </w:t>
                      </w:r>
                    </w:p>
                    <w:p w14:paraId="75C2DEC0" w14:textId="0D7AC080" w:rsidR="00C6514F" w:rsidRPr="007A4DFE" w:rsidRDefault="00C6514F" w:rsidP="009910E8">
                      <w:pPr>
                        <w:pStyle w:val="AddlResourcesListItem"/>
                        <w:spacing w:after="120"/>
                        <w:ind w:left="548" w:hanging="274"/>
                      </w:pPr>
                      <w:r w:rsidRPr="007A4DFE">
                        <w:t xml:space="preserve">Working Group on Rights of Older Persons and People with Disabilities, </w:t>
                      </w:r>
                      <w:hyperlink r:id="rId45" w:history="1">
                        <w:r w:rsidRPr="007A4DFE">
                          <w:rPr>
                            <w:rStyle w:val="Hyperlink"/>
                          </w:rPr>
                          <w:t>http://www.achpr.org/mechanisms/older-disabled/</w:t>
                        </w:r>
                      </w:hyperlink>
                    </w:p>
                    <w:p w14:paraId="22D048A0" w14:textId="77777777" w:rsidR="007D54DC" w:rsidRPr="007A4DFE" w:rsidRDefault="007D54DC" w:rsidP="009910E8">
                      <w:pPr>
                        <w:pStyle w:val="TextBoxBoldTitle"/>
                        <w:spacing w:before="400"/>
                        <w:ind w:left="274"/>
                        <w:rPr>
                          <w:sz w:val="23"/>
                          <w:szCs w:val="23"/>
                        </w:rPr>
                      </w:pPr>
                      <w:r w:rsidRPr="007A4DFE">
                        <w:rPr>
                          <w:sz w:val="23"/>
                          <w:szCs w:val="23"/>
                        </w:rPr>
                        <w:t>Treaties and Additional Key Documents:</w:t>
                      </w:r>
                    </w:p>
                    <w:p w14:paraId="2B7ED4EE" w14:textId="77777777" w:rsidR="007D54DC" w:rsidRPr="007A4DFE" w:rsidRDefault="007D54DC" w:rsidP="009910E8">
                      <w:pPr>
                        <w:pStyle w:val="AddlResourcesListItem"/>
                        <w:ind w:left="540" w:hanging="270"/>
                      </w:pPr>
                      <w:r w:rsidRPr="007A4DFE">
                        <w:t xml:space="preserve">Status of ratifications for human rights documents by AU member states: </w:t>
                      </w:r>
                      <w:hyperlink r:id="rId46" w:history="1">
                        <w:r w:rsidRPr="007A4DFE">
                          <w:rPr>
                            <w:rStyle w:val="Hyperlink"/>
                          </w:rPr>
                          <w:t>https://au.int/en/treaties</w:t>
                        </w:r>
                      </w:hyperlink>
                      <w:r w:rsidRPr="007A4DFE">
                        <w:t>.</w:t>
                      </w:r>
                    </w:p>
                    <w:p w14:paraId="41E25064" w14:textId="3082343F" w:rsidR="007A4DFE" w:rsidRPr="009910E8" w:rsidRDefault="007D54DC" w:rsidP="009910E8">
                      <w:pPr>
                        <w:pStyle w:val="AddlResourcesListItem"/>
                        <w:ind w:left="540" w:hanging="270"/>
                      </w:pPr>
                      <w:r w:rsidRPr="007A4DFE">
                        <w:t xml:space="preserve">Regional human rights documents including treaties, general comments and resolutions: </w:t>
                      </w:r>
                      <w:hyperlink r:id="rId47" w:history="1">
                        <w:r w:rsidRPr="007A4DFE">
                          <w:rPr>
                            <w:rStyle w:val="Hyperlink"/>
                          </w:rPr>
                          <w:t>http://www.achpr.org/instruments/</w:t>
                        </w:r>
                      </w:hyperlink>
                    </w:p>
                    <w:p w14:paraId="571C26B3" w14:textId="77777777" w:rsidR="007A4DFE" w:rsidRPr="007A4DFE" w:rsidRDefault="007A4DFE" w:rsidP="009910E8">
                      <w:pPr>
                        <w:pStyle w:val="TextBoxBoldTitle"/>
                        <w:spacing w:before="400"/>
                        <w:ind w:left="274"/>
                        <w:rPr>
                          <w:sz w:val="23"/>
                          <w:szCs w:val="23"/>
                        </w:rPr>
                      </w:pPr>
                      <w:r w:rsidRPr="007A4DFE">
                        <w:rPr>
                          <w:sz w:val="23"/>
                          <w:szCs w:val="23"/>
                        </w:rPr>
                        <w:t>Information about Engaging with African Human Rights bodies:</w:t>
                      </w:r>
                    </w:p>
                    <w:p w14:paraId="4ABF8972" w14:textId="34122924" w:rsidR="007A4DFE" w:rsidRDefault="007A4DFE" w:rsidP="009910E8">
                      <w:pPr>
                        <w:pStyle w:val="AddlResourcesListItem"/>
                        <w:ind w:left="540" w:hanging="270"/>
                        <w:rPr>
                          <w:i/>
                          <w:iCs/>
                        </w:rPr>
                      </w:pPr>
                      <w:r w:rsidRPr="007A4DFE">
                        <w:t xml:space="preserve">State reporting information before the African Commission: </w:t>
                      </w:r>
                      <w:hyperlink r:id="rId48" w:history="1">
                        <w:r w:rsidRPr="007A4DFE">
                          <w:rPr>
                            <w:rStyle w:val="Hyperlink"/>
                          </w:rPr>
                          <w:t>http://www.achpr.org/states/</w:t>
                        </w:r>
                      </w:hyperlink>
                    </w:p>
                    <w:p w14:paraId="6E0591F1" w14:textId="42016654" w:rsidR="007A4DFE" w:rsidRPr="007A4DFE" w:rsidRDefault="007A4DFE" w:rsidP="00F25999">
                      <w:pPr>
                        <w:pStyle w:val="AddlResourcesListItem"/>
                        <w:numPr>
                          <w:ilvl w:val="0"/>
                          <w:numId w:val="0"/>
                        </w:numPr>
                        <w:ind w:left="810"/>
                      </w:pPr>
                      <w:r w:rsidRPr="007A4DFE">
                        <w:t>By clicking on the name of a specific country on this webpage, one has access to state reports submitted by state parties, concluding observations issued by the Commission, decisions on individual complaints against the state, and mission reports about the state.</w:t>
                      </w:r>
                    </w:p>
                    <w:p w14:paraId="66BCC07C" w14:textId="75874B11" w:rsidR="007A4DFE" w:rsidRPr="007A4DFE" w:rsidRDefault="007A4DFE" w:rsidP="009910E8">
                      <w:pPr>
                        <w:pStyle w:val="AddlResourcesListItem"/>
                        <w:ind w:left="540" w:hanging="270"/>
                      </w:pPr>
                      <w:r w:rsidRPr="007A4DFE">
                        <w:t>Complimentary Report guidelines for the ACERWC:</w:t>
                      </w:r>
                      <w:r w:rsidRPr="007A4DFE">
                        <w:br/>
                      </w:r>
                      <w:hyperlink r:id="rId49" w:history="1">
                        <w:r w:rsidRPr="007A4DFE">
                          <w:rPr>
                            <w:rStyle w:val="Hyperlink"/>
                          </w:rPr>
                          <w:t>http://www.acerwc.org/download/guidelines_for_civil_societies_organisations_eng/?wpdmdl=10089</w:t>
                        </w:r>
                      </w:hyperlink>
                    </w:p>
                    <w:p w14:paraId="723151A6" w14:textId="5D6FB691" w:rsidR="007A4DFE" w:rsidRPr="007A4DFE" w:rsidRDefault="007A4DFE" w:rsidP="009910E8">
                      <w:pPr>
                        <w:pStyle w:val="AddlResourcesListItem"/>
                        <w:ind w:left="540" w:hanging="270"/>
                      </w:pPr>
                      <w:r w:rsidRPr="007A4DFE">
                        <w:t xml:space="preserve">Information about and Guidelines on submitting a Communication to the African Commission: </w:t>
                      </w:r>
                      <w:hyperlink r:id="rId50" w:history="1">
                        <w:r w:rsidRPr="007A4DFE">
                          <w:rPr>
                            <w:rStyle w:val="Hyperlink"/>
                          </w:rPr>
                          <w:t>http://www.achpr.org/communications/procedure/</w:t>
                        </w:r>
                      </w:hyperlink>
                      <w:r w:rsidRPr="007A4DFE">
                        <w:rPr>
                          <w:rStyle w:val="Hyperlink"/>
                        </w:rPr>
                        <w:t xml:space="preserve">; </w:t>
                      </w:r>
                      <w:hyperlink r:id="rId51" w:history="1">
                        <w:r w:rsidRPr="007A4DFE">
                          <w:rPr>
                            <w:rStyle w:val="Hyperlink"/>
                          </w:rPr>
                          <w:t>http://www.achpr.org/communications/guidelines/</w:t>
                        </w:r>
                      </w:hyperlink>
                    </w:p>
                    <w:p w14:paraId="58ABEFD2" w14:textId="48AC8FB1" w:rsidR="007A4DFE" w:rsidRPr="007A4DFE" w:rsidRDefault="007A4DFE" w:rsidP="009910E8">
                      <w:pPr>
                        <w:pStyle w:val="AddlResourcesListItem"/>
                        <w:ind w:left="540" w:hanging="270"/>
                      </w:pPr>
                      <w:r w:rsidRPr="007A4DFE">
                        <w:t xml:space="preserve">Guidelines on submitting a Communication to the ACERWC: </w:t>
                      </w:r>
                      <w:hyperlink r:id="rId52" w:history="1">
                        <w:r w:rsidRPr="007A4DFE">
                          <w:rPr>
                            <w:rStyle w:val="Hyperlink"/>
                          </w:rPr>
                          <w:t>http://www.acerwc.org/submit-a-communication/</w:t>
                        </w:r>
                      </w:hyperlink>
                    </w:p>
                  </w:txbxContent>
                </v:textbox>
                <w10:wrap anchory="page"/>
              </v:shape>
            </w:pict>
          </mc:Fallback>
        </mc:AlternateContent>
      </w:r>
    </w:p>
    <w:p w14:paraId="538066E7" w14:textId="6B443B93" w:rsidR="00C6514F" w:rsidRPr="00635709" w:rsidRDefault="00C6514F" w:rsidP="00C6514F">
      <w:pPr>
        <w:ind w:left="403"/>
      </w:pPr>
    </w:p>
    <w:p w14:paraId="7FAB5AB1" w14:textId="1C8251B2" w:rsidR="00C6514F" w:rsidRPr="00635709" w:rsidRDefault="00B47CF3" w:rsidP="00B47CF3">
      <w:pPr>
        <w:tabs>
          <w:tab w:val="left" w:pos="3936"/>
        </w:tabs>
        <w:ind w:left="403"/>
      </w:pPr>
      <w:r>
        <w:tab/>
      </w:r>
    </w:p>
    <w:p w14:paraId="39EB8F2A" w14:textId="77FAEFFB" w:rsidR="00C6514F" w:rsidRPr="00635709" w:rsidRDefault="00C6514F" w:rsidP="00B47CF3">
      <w:pPr>
        <w:tabs>
          <w:tab w:val="left" w:pos="2592"/>
          <w:tab w:val="left" w:pos="5920"/>
        </w:tabs>
        <w:ind w:left="403"/>
      </w:pPr>
      <w:r w:rsidRPr="00635709">
        <w:tab/>
      </w:r>
      <w:r w:rsidR="00B47CF3">
        <w:tab/>
      </w:r>
    </w:p>
    <w:p w14:paraId="5B964DED" w14:textId="303861E1" w:rsidR="00C6514F" w:rsidRPr="00635709" w:rsidRDefault="00C6514F" w:rsidP="00C6514F">
      <w:pPr>
        <w:ind w:left="403"/>
      </w:pPr>
    </w:p>
    <w:p w14:paraId="7E0FB3F9" w14:textId="3B786359" w:rsidR="00C6514F" w:rsidRPr="00635709" w:rsidRDefault="00C6514F" w:rsidP="00C6514F">
      <w:pPr>
        <w:ind w:left="403"/>
      </w:pPr>
    </w:p>
    <w:p w14:paraId="14882BF8" w14:textId="3DC69C98" w:rsidR="00C6514F" w:rsidRPr="00635709" w:rsidRDefault="00C6514F" w:rsidP="00C6514F">
      <w:pPr>
        <w:ind w:left="403"/>
      </w:pPr>
    </w:p>
    <w:p w14:paraId="2115436D" w14:textId="1CBA6EB8" w:rsidR="00C6514F" w:rsidRPr="00635709" w:rsidRDefault="00C6514F" w:rsidP="00C6514F">
      <w:pPr>
        <w:ind w:left="403"/>
      </w:pPr>
    </w:p>
    <w:p w14:paraId="6EF4D53C" w14:textId="150F4EEA" w:rsidR="00C6514F" w:rsidRPr="00635709" w:rsidRDefault="00C6514F" w:rsidP="00C6514F">
      <w:pPr>
        <w:ind w:left="403"/>
      </w:pPr>
    </w:p>
    <w:p w14:paraId="7BFEA593" w14:textId="5AF4CD43" w:rsidR="00C6514F" w:rsidRPr="00635709" w:rsidRDefault="00C6514F" w:rsidP="00C6514F">
      <w:pPr>
        <w:ind w:left="403"/>
      </w:pPr>
    </w:p>
    <w:p w14:paraId="50259126" w14:textId="68D7B6C3" w:rsidR="00C6514F" w:rsidRPr="00635709" w:rsidRDefault="00C6514F" w:rsidP="00C6514F">
      <w:pPr>
        <w:ind w:left="403"/>
      </w:pPr>
    </w:p>
    <w:p w14:paraId="28091AE4" w14:textId="45504EF4" w:rsidR="00C6514F" w:rsidRPr="00635709" w:rsidRDefault="00C6514F" w:rsidP="00382D16"/>
    <w:p w14:paraId="024FD9A0" w14:textId="5C17DC5D" w:rsidR="00C6514F" w:rsidRPr="00635709" w:rsidRDefault="00C6514F" w:rsidP="00382D16"/>
    <w:p w14:paraId="32D6EE08" w14:textId="2C1AD000" w:rsidR="00C6514F" w:rsidRPr="00635709" w:rsidRDefault="00C6514F" w:rsidP="00382D16"/>
    <w:p w14:paraId="14BBC9A1" w14:textId="5FEEB564" w:rsidR="00C6514F" w:rsidRPr="00635709" w:rsidRDefault="00C6514F" w:rsidP="00382D16"/>
    <w:p w14:paraId="50868FBB" w14:textId="71E85916" w:rsidR="00C6514F" w:rsidRPr="00635709" w:rsidRDefault="00C6514F" w:rsidP="00382D16"/>
    <w:p w14:paraId="4BE3E3C7" w14:textId="27D9F154" w:rsidR="00C6514F" w:rsidRPr="00635709" w:rsidRDefault="00C6514F" w:rsidP="00382D16"/>
    <w:p w14:paraId="00E67DCB" w14:textId="257493D7" w:rsidR="00C6514F" w:rsidRPr="00635709" w:rsidRDefault="00C6514F" w:rsidP="00382D16"/>
    <w:p w14:paraId="04585BD6" w14:textId="49AA3D18" w:rsidR="00C6514F" w:rsidRPr="00635709" w:rsidRDefault="00C6514F" w:rsidP="00382D16"/>
    <w:p w14:paraId="29D60210" w14:textId="4F589182" w:rsidR="00C6514F" w:rsidRPr="00635709" w:rsidRDefault="00C6514F" w:rsidP="00382D16"/>
    <w:p w14:paraId="08DBF53B" w14:textId="795BA0A9" w:rsidR="00C6514F" w:rsidRPr="00635709" w:rsidRDefault="00C6514F" w:rsidP="00382D16"/>
    <w:p w14:paraId="4B2F777E" w14:textId="04A21711" w:rsidR="00C6514F" w:rsidRPr="00635709" w:rsidRDefault="00C6514F" w:rsidP="00382D16"/>
    <w:p w14:paraId="08E5A731" w14:textId="6D4BBA2C" w:rsidR="00C6514F" w:rsidRPr="00635709" w:rsidRDefault="00C6514F" w:rsidP="00382D16"/>
    <w:p w14:paraId="0D320CBE" w14:textId="541F9815" w:rsidR="00C6514F" w:rsidRPr="00635709" w:rsidRDefault="00C6514F" w:rsidP="00382D16"/>
    <w:p w14:paraId="5B1A4D45" w14:textId="1B1342A2" w:rsidR="00C6514F" w:rsidRPr="00635709" w:rsidRDefault="00C6514F" w:rsidP="00382D16"/>
    <w:p w14:paraId="4CF01046" w14:textId="354E41BD" w:rsidR="00C6514F" w:rsidRPr="00635709" w:rsidRDefault="00C6514F" w:rsidP="00382D16"/>
    <w:p w14:paraId="00E1B00C" w14:textId="132A7CC3" w:rsidR="00C6514F" w:rsidRPr="00635709" w:rsidRDefault="00C6514F" w:rsidP="00382D16"/>
    <w:p w14:paraId="38625FEA" w14:textId="23240D17" w:rsidR="00C6514F" w:rsidRPr="00635709" w:rsidRDefault="00C6514F" w:rsidP="00382D16"/>
    <w:p w14:paraId="5C60CA25" w14:textId="3141254F" w:rsidR="00C6514F" w:rsidRPr="00635709" w:rsidRDefault="00C6514F" w:rsidP="00382D16"/>
    <w:p w14:paraId="5F915F11" w14:textId="1457ECFD" w:rsidR="00C6514F" w:rsidRPr="00635709" w:rsidRDefault="005F1680" w:rsidP="00382D16">
      <w:r w:rsidRPr="00635709">
        <w:rPr>
          <w:noProof/>
        </w:rPr>
        <w:lastRenderedPageBreak/>
        <mc:AlternateContent>
          <mc:Choice Requires="wps">
            <w:drawing>
              <wp:anchor distT="118745" distB="118745" distL="114300" distR="114300" simplePos="0" relativeHeight="251707392" behindDoc="1" locked="0" layoutInCell="1" allowOverlap="0" wp14:anchorId="5E70FFE7" wp14:editId="79F47B8D">
                <wp:simplePos x="0" y="0"/>
                <wp:positionH relativeFrom="column">
                  <wp:posOffset>46783</wp:posOffset>
                </wp:positionH>
                <wp:positionV relativeFrom="page">
                  <wp:posOffset>606056</wp:posOffset>
                </wp:positionV>
                <wp:extent cx="6574155" cy="6624084"/>
                <wp:effectExtent l="0" t="0" r="4445" b="5715"/>
                <wp:wrapNone/>
                <wp:docPr id="3" name="Text Box 3"/>
                <wp:cNvGraphicFramePr/>
                <a:graphic xmlns:a="http://schemas.openxmlformats.org/drawingml/2006/main">
                  <a:graphicData uri="http://schemas.microsoft.com/office/word/2010/wordprocessingShape">
                    <wps:wsp>
                      <wps:cNvSpPr txBox="1"/>
                      <wps:spPr>
                        <a:xfrm>
                          <a:off x="0" y="0"/>
                          <a:ext cx="6574155" cy="6624084"/>
                        </a:xfrm>
                        <a:prstGeom prst="rect">
                          <a:avLst/>
                        </a:prstGeom>
                        <a:solidFill>
                          <a:srgbClr val="B7A0CB">
                            <a:alpha val="34902"/>
                          </a:srgbClr>
                        </a:solidFill>
                        <a:ln w="6350">
                          <a:noFill/>
                        </a:ln>
                      </wps:spPr>
                      <wps:txbx>
                        <w:txbxContent>
                          <w:p w14:paraId="12991CDB" w14:textId="2102C7D0" w:rsidR="007A4DFE" w:rsidRPr="00635709" w:rsidRDefault="007A4DFE" w:rsidP="00B47CF3">
                            <w:pPr>
                              <w:pStyle w:val="TextBoxTitle"/>
                              <w:spacing w:before="160"/>
                              <w:rPr>
                                <w:sz w:val="28"/>
                                <w:szCs w:val="28"/>
                              </w:rPr>
                            </w:pPr>
                            <w:bookmarkStart w:id="17" w:name="_GoBack"/>
                            <w:r w:rsidRPr="007A4DFE">
                              <w:rPr>
                                <w:sz w:val="28"/>
                                <w:szCs w:val="28"/>
                              </w:rPr>
                              <w:t>Additional Resources</w:t>
                            </w:r>
                            <w:r>
                              <w:rPr>
                                <w:sz w:val="28"/>
                                <w:szCs w:val="28"/>
                              </w:rPr>
                              <w:t>, continued</w:t>
                            </w:r>
                          </w:p>
                          <w:p w14:paraId="24098E04" w14:textId="7B47F544" w:rsidR="007A4DFE" w:rsidRPr="005F1680" w:rsidRDefault="007A4DFE" w:rsidP="00635709">
                            <w:pPr>
                              <w:pStyle w:val="TextBoxBoldTitle"/>
                              <w:spacing w:before="400"/>
                              <w:ind w:left="274"/>
                              <w:rPr>
                                <w:sz w:val="23"/>
                                <w:szCs w:val="23"/>
                              </w:rPr>
                            </w:pPr>
                            <w:r w:rsidRPr="005F1680">
                              <w:rPr>
                                <w:sz w:val="23"/>
                                <w:szCs w:val="23"/>
                              </w:rPr>
                              <w:t xml:space="preserve">Additional </w:t>
                            </w:r>
                            <w:r w:rsidRPr="00635709">
                              <w:rPr>
                                <w:sz w:val="23"/>
                                <w:szCs w:val="23"/>
                              </w:rPr>
                              <w:t>Guides</w:t>
                            </w:r>
                            <w:r w:rsidRPr="005F1680">
                              <w:rPr>
                                <w:sz w:val="23"/>
                                <w:szCs w:val="23"/>
                              </w:rPr>
                              <w:t xml:space="preserve"> and Resources:</w:t>
                            </w:r>
                          </w:p>
                          <w:p w14:paraId="231558FF" w14:textId="77777777" w:rsidR="007A4DFE" w:rsidRDefault="007A4DFE" w:rsidP="00635709">
                            <w:pPr>
                              <w:pStyle w:val="AddlResourcesListItem"/>
                              <w:ind w:left="540" w:hanging="270"/>
                            </w:pPr>
                            <w:r w:rsidRPr="007A4DFE">
                              <w:t>International Justice Resource Center, Advocacy before the African Human Rights System: A Manual for Attorneys and Advocates:</w:t>
                            </w:r>
                            <w:r w:rsidRPr="007A4DFE">
                              <w:br/>
                            </w:r>
                            <w:hyperlink r:id="rId53" w:history="1">
                              <w:r w:rsidRPr="007A4DFE">
                                <w:rPr>
                                  <w:rStyle w:val="Hyperlink"/>
                                </w:rPr>
                                <w:t>http://www.ijrcenter.org/wp-content/uploads/2016/11/Advocacy-before-the-African-Human-Rights-System.pdf</w:t>
                              </w:r>
                            </w:hyperlink>
                            <w:r>
                              <w:t>.</w:t>
                            </w:r>
                          </w:p>
                          <w:p w14:paraId="09D49584" w14:textId="1B3E8ED8" w:rsidR="007A4DFE" w:rsidRPr="007A4DFE" w:rsidRDefault="007A4DFE" w:rsidP="00F25999">
                            <w:pPr>
                              <w:pStyle w:val="AddlResourcesListItem"/>
                              <w:numPr>
                                <w:ilvl w:val="0"/>
                                <w:numId w:val="0"/>
                              </w:numPr>
                              <w:ind w:left="907"/>
                            </w:pPr>
                            <w:r w:rsidRPr="007A4DFE">
                              <w:t>This manual provides a detailed introduction to the African human rights system, including how NGOs can apply for observer status, how to bring individual communications to the African Commission and the African Court.</w:t>
                            </w:r>
                          </w:p>
                          <w:p w14:paraId="52F000A4" w14:textId="56085FE2" w:rsidR="007A4DFE" w:rsidRDefault="007A4DFE" w:rsidP="00635709">
                            <w:pPr>
                              <w:pStyle w:val="AddlResourcesListItem"/>
                              <w:ind w:left="540" w:hanging="270"/>
                              <w:rPr>
                                <w:i/>
                                <w:iCs/>
                              </w:rPr>
                            </w:pPr>
                            <w:r w:rsidRPr="007A4DFE">
                              <w:t>Save the Children and Plan, Advancing Children’s Rights: A Guide for Civil Society Organisations on how to engage with the African Committee of Experts on the Rights and Welfare of the Child (2nd Edition),</w:t>
                            </w:r>
                            <w:bookmarkStart w:id="18" w:name="OLE_LINK169"/>
                            <w:bookmarkStart w:id="19" w:name="OLE_LINK170"/>
                            <w:r w:rsidRPr="007A4DFE">
                              <w:br/>
                            </w:r>
                            <w:hyperlink r:id="rId54" w:history="1">
                              <w:r w:rsidRPr="007A4DFE">
                                <w:rPr>
                                  <w:rStyle w:val="Hyperlink"/>
                                </w:rPr>
                                <w:t>https://www.crin.org/en/docs/Advancing_Children_Rights_2nd_Edition.pdf</w:t>
                              </w:r>
                            </w:hyperlink>
                            <w:bookmarkEnd w:id="18"/>
                            <w:bookmarkEnd w:id="19"/>
                            <w:r>
                              <w:rPr>
                                <w:i/>
                                <w:iCs/>
                              </w:rPr>
                              <w:t>.</w:t>
                            </w:r>
                          </w:p>
                          <w:p w14:paraId="35360407" w14:textId="7FD2BED5" w:rsidR="007A4DFE" w:rsidRPr="007A4DFE" w:rsidRDefault="007A4DFE" w:rsidP="00F25999">
                            <w:pPr>
                              <w:pStyle w:val="AddlResourcesListItem"/>
                              <w:numPr>
                                <w:ilvl w:val="0"/>
                                <w:numId w:val="0"/>
                              </w:numPr>
                              <w:ind w:left="907"/>
                            </w:pPr>
                            <w:r w:rsidRPr="007A4DFE">
                              <w:t>This manual provides a detailed introduction to the ACERWC including how NGOs can apply for observer status and engage with the Committee.</w:t>
                            </w:r>
                          </w:p>
                          <w:p w14:paraId="55DB09E8" w14:textId="77777777" w:rsidR="007A4DFE" w:rsidRPr="007A4DFE" w:rsidRDefault="007A4DFE" w:rsidP="00635709">
                            <w:pPr>
                              <w:pStyle w:val="AddlResourcesListItem"/>
                              <w:ind w:left="540" w:hanging="270"/>
                              <w:rPr>
                                <w:i/>
                                <w:iCs/>
                              </w:rPr>
                            </w:pPr>
                            <w:r w:rsidRPr="007A4DFE">
                              <w:t>Equality Now, A Guide to Using the Protocol on the Rights of Women in Africa for Legal Action,</w:t>
                            </w:r>
                            <w:r w:rsidRPr="007A4DFE">
                              <w:br/>
                            </w:r>
                            <w:hyperlink r:id="rId55" w:history="1">
                              <w:r w:rsidRPr="007A4DFE">
                                <w:rPr>
                                  <w:rStyle w:val="Hyperlink"/>
                                </w:rPr>
                                <w:t>https://d3n8a8pro7vhmx.cloudfront.net/equalitynow/pages/303/attachments/original/1527598602/Manual_on_Protocol_on_Women_Rights_in_Africa_EN.pdf?1527598602</w:t>
                              </w:r>
                            </w:hyperlink>
                            <w:r>
                              <w:t xml:space="preserve">. </w:t>
                            </w:r>
                          </w:p>
                          <w:p w14:paraId="7445586E" w14:textId="3DBB4F39" w:rsidR="007A4DFE" w:rsidRPr="007A4DFE" w:rsidRDefault="007A4DFE" w:rsidP="00F25999">
                            <w:pPr>
                              <w:pStyle w:val="AddlResourcesListItem"/>
                              <w:numPr>
                                <w:ilvl w:val="0"/>
                                <w:numId w:val="0"/>
                              </w:numPr>
                              <w:ind w:left="900"/>
                            </w:pPr>
                            <w:r w:rsidRPr="007A4DFE">
                              <w:t>This manual provides a detailed introduction to the Maputo Protocol and how to this protocol at domestic and regional levels, including how to submit complaints to the African Commission and the African Court, as well as strategies to promote the Maputo Protocol through ratification campaigns, awareness raising and training etc.</w:t>
                            </w:r>
                          </w:p>
                          <w:p w14:paraId="42C8887F" w14:textId="77777777" w:rsidR="007A4DFE" w:rsidRPr="007A4DFE" w:rsidRDefault="007A4DFE" w:rsidP="00F25999">
                            <w:pPr>
                              <w:pStyle w:val="AddlResourcesListItem"/>
                              <w:numPr>
                                <w:ilvl w:val="0"/>
                                <w:numId w:val="0"/>
                              </w:numPr>
                              <w:ind w:left="630"/>
                            </w:pPr>
                          </w:p>
                          <w:p w14:paraId="235E76A3" w14:textId="16F4A772" w:rsidR="007A4DFE" w:rsidRPr="00635709" w:rsidRDefault="007A4DFE" w:rsidP="00635709">
                            <w:pPr>
                              <w:pStyle w:val="TextBoxBoldTitle"/>
                              <w:spacing w:before="400"/>
                              <w:ind w:left="274"/>
                              <w:rPr>
                                <w:sz w:val="23"/>
                                <w:szCs w:val="23"/>
                              </w:rPr>
                            </w:pPr>
                            <w:r w:rsidRPr="00635709">
                              <w:rPr>
                                <w:sz w:val="23"/>
                                <w:szCs w:val="23"/>
                              </w:rPr>
                              <w:t>Cases</w:t>
                            </w:r>
                            <w:r w:rsidRPr="007A4DFE">
                              <w:t>:</w:t>
                            </w:r>
                          </w:p>
                          <w:p w14:paraId="79FA1CA9" w14:textId="77777777" w:rsidR="007A4DFE" w:rsidRPr="007A4DFE" w:rsidRDefault="007A4DFE" w:rsidP="00635709">
                            <w:pPr>
                              <w:pStyle w:val="AddlResourcesListItem"/>
                              <w:ind w:left="540" w:hanging="270"/>
                            </w:pPr>
                            <w:r w:rsidRPr="007A4DFE">
                              <w:t xml:space="preserve">Case Law Analyser: </w:t>
                            </w:r>
                            <w:hyperlink r:id="rId56" w:history="1">
                              <w:r w:rsidRPr="007A4DFE">
                                <w:rPr>
                                  <w:rStyle w:val="Hyperlink"/>
                                  <w:iCs/>
                                </w:rPr>
                                <w:t>http://caselaw.ihrda.org/</w:t>
                              </w:r>
                            </w:hyperlink>
                            <w:r w:rsidRPr="007A4DFE">
                              <w:br/>
                              <w:t xml:space="preserve">This is a free collection of the human rights decisions of African regional mechanisms. It offers regional legal documents as well as case law in English, French and Portuguese. The decisions are categorized by adjudicating bodies, keywords (issues), countries and articles of instruments that are relevant. </w:t>
                            </w:r>
                          </w:p>
                          <w:bookmarkEnd w:id="17"/>
                          <w:p w14:paraId="0515FFF8" w14:textId="688DD3F7" w:rsidR="007A4DFE" w:rsidRPr="007A4DFE" w:rsidRDefault="007A4DFE" w:rsidP="007A4DFE">
                            <w:pPr>
                              <w:pStyle w:val="TextBoxBold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0FFE7" id="_x0000_t202" coordsize="21600,21600" o:spt="202" path="m,l,21600r21600,l21600,xe">
                <v:stroke joinstyle="miter"/>
                <v:path gradientshapeok="t" o:connecttype="rect"/>
              </v:shapetype>
              <v:shape id="Text Box 3" o:spid="_x0000_s1034" type="#_x0000_t202" style="position:absolute;left:0;text-align:left;margin-left:3.7pt;margin-top:47.7pt;width:517.65pt;height:521.6pt;z-index:-251609088;visibility:visible;mso-wrap-style:square;mso-width-percent:0;mso-height-percent:0;mso-wrap-distance-left:9pt;mso-wrap-distance-top:9.35pt;mso-wrap-distance-right:9pt;mso-wrap-distance-bottom:9.3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" o:allowoverlap="f" fillcolor="#b7a0cb" stroked="f" strokeweight=".5pt">
                <v:fill opacity="22873f"/>
                <v:textbox>
                  <w:txbxContent>
                    <w:p w14:paraId="12991CDB" w14:textId="2102C7D0" w:rsidR="007A4DFE" w:rsidRPr="00635709" w:rsidRDefault="007A4DFE" w:rsidP="00B47CF3">
                      <w:pPr>
                        <w:pStyle w:val="TextBoxTitle"/>
                        <w:spacing w:before="160"/>
                        <w:rPr>
                          <w:sz w:val="28"/>
                          <w:szCs w:val="28"/>
                        </w:rPr>
                      </w:pPr>
                      <w:bookmarkStart w:id="20" w:name="_GoBack"/>
                      <w:r w:rsidRPr="007A4DFE">
                        <w:rPr>
                          <w:sz w:val="28"/>
                          <w:szCs w:val="28"/>
                        </w:rPr>
                        <w:t>Additional Resources</w:t>
                      </w:r>
                      <w:r>
                        <w:rPr>
                          <w:sz w:val="28"/>
                          <w:szCs w:val="28"/>
                        </w:rPr>
                        <w:t>, continued</w:t>
                      </w:r>
                    </w:p>
                    <w:p w14:paraId="24098E04" w14:textId="7B47F544" w:rsidR="007A4DFE" w:rsidRPr="005F1680" w:rsidRDefault="007A4DFE" w:rsidP="00635709">
                      <w:pPr>
                        <w:pStyle w:val="TextBoxBoldTitle"/>
                        <w:spacing w:before="400"/>
                        <w:ind w:left="274"/>
                        <w:rPr>
                          <w:sz w:val="23"/>
                          <w:szCs w:val="23"/>
                        </w:rPr>
                      </w:pPr>
                      <w:r w:rsidRPr="005F1680">
                        <w:rPr>
                          <w:sz w:val="23"/>
                          <w:szCs w:val="23"/>
                        </w:rPr>
                        <w:t xml:space="preserve">Additional </w:t>
                      </w:r>
                      <w:r w:rsidRPr="00635709">
                        <w:rPr>
                          <w:sz w:val="23"/>
                          <w:szCs w:val="23"/>
                        </w:rPr>
                        <w:t>Guides</w:t>
                      </w:r>
                      <w:r w:rsidRPr="005F1680">
                        <w:rPr>
                          <w:sz w:val="23"/>
                          <w:szCs w:val="23"/>
                        </w:rPr>
                        <w:t xml:space="preserve"> and Resources:</w:t>
                      </w:r>
                    </w:p>
                    <w:p w14:paraId="231558FF" w14:textId="77777777" w:rsidR="007A4DFE" w:rsidRDefault="007A4DFE" w:rsidP="00635709">
                      <w:pPr>
                        <w:pStyle w:val="AddlResourcesListItem"/>
                        <w:ind w:left="540" w:hanging="270"/>
                      </w:pPr>
                      <w:r w:rsidRPr="007A4DFE">
                        <w:t>International Justice Resource Center, Advocacy before the African Human Rights System: A Manual for Attorneys and Advocates:</w:t>
                      </w:r>
                      <w:r w:rsidRPr="007A4DFE">
                        <w:br/>
                      </w:r>
                      <w:hyperlink r:id="rId57" w:history="1">
                        <w:r w:rsidRPr="007A4DFE">
                          <w:rPr>
                            <w:rStyle w:val="Hyperlink"/>
                          </w:rPr>
                          <w:t>http://www.ijrcenter.org/wp-content/uploads/2016/11/Advocacy-before-the-African-Human-Rights-System.pdf</w:t>
                        </w:r>
                      </w:hyperlink>
                      <w:r>
                        <w:t>.</w:t>
                      </w:r>
                    </w:p>
                    <w:p w14:paraId="09D49584" w14:textId="1B3E8ED8" w:rsidR="007A4DFE" w:rsidRPr="007A4DFE" w:rsidRDefault="007A4DFE" w:rsidP="00F25999">
                      <w:pPr>
                        <w:pStyle w:val="AddlResourcesListItem"/>
                        <w:numPr>
                          <w:ilvl w:val="0"/>
                          <w:numId w:val="0"/>
                        </w:numPr>
                        <w:ind w:left="907"/>
                      </w:pPr>
                      <w:r w:rsidRPr="007A4DFE">
                        <w:t>This manual provides a detailed introduction to the African human rights system, including how NGOs can apply for observer status, how to bring individual communications to the African Commission and the African Court.</w:t>
                      </w:r>
                    </w:p>
                    <w:p w14:paraId="52F000A4" w14:textId="56085FE2" w:rsidR="007A4DFE" w:rsidRDefault="007A4DFE" w:rsidP="00635709">
                      <w:pPr>
                        <w:pStyle w:val="AddlResourcesListItem"/>
                        <w:ind w:left="540" w:hanging="270"/>
                        <w:rPr>
                          <w:i/>
                          <w:iCs/>
                        </w:rPr>
                      </w:pPr>
                      <w:r w:rsidRPr="007A4DFE">
                        <w:t>Save the Children and Plan, Advancing Children’s Rights: A Guide for Civil Society Organisations on how to engage with the African Committee of Experts on the Rights and Welfare of the Child (2nd Edition),</w:t>
                      </w:r>
                      <w:bookmarkStart w:id="21" w:name="OLE_LINK169"/>
                      <w:bookmarkStart w:id="22" w:name="OLE_LINK170"/>
                      <w:r w:rsidRPr="007A4DFE">
                        <w:br/>
                      </w:r>
                      <w:hyperlink r:id="rId58" w:history="1">
                        <w:r w:rsidRPr="007A4DFE">
                          <w:rPr>
                            <w:rStyle w:val="Hyperlink"/>
                          </w:rPr>
                          <w:t>https://www.crin.org/en/docs/Advancing_Children_Rights_2nd_Edition.pdf</w:t>
                        </w:r>
                      </w:hyperlink>
                      <w:bookmarkEnd w:id="21"/>
                      <w:bookmarkEnd w:id="22"/>
                      <w:r>
                        <w:rPr>
                          <w:i/>
                          <w:iCs/>
                        </w:rPr>
                        <w:t>.</w:t>
                      </w:r>
                    </w:p>
                    <w:p w14:paraId="35360407" w14:textId="7FD2BED5" w:rsidR="007A4DFE" w:rsidRPr="007A4DFE" w:rsidRDefault="007A4DFE" w:rsidP="00F25999">
                      <w:pPr>
                        <w:pStyle w:val="AddlResourcesListItem"/>
                        <w:numPr>
                          <w:ilvl w:val="0"/>
                          <w:numId w:val="0"/>
                        </w:numPr>
                        <w:ind w:left="907"/>
                      </w:pPr>
                      <w:r w:rsidRPr="007A4DFE">
                        <w:t>This manual provides a detailed introduction to the ACERWC including how NGOs can apply for observer status and engage with the Committee.</w:t>
                      </w:r>
                    </w:p>
                    <w:p w14:paraId="55DB09E8" w14:textId="77777777" w:rsidR="007A4DFE" w:rsidRPr="007A4DFE" w:rsidRDefault="007A4DFE" w:rsidP="00635709">
                      <w:pPr>
                        <w:pStyle w:val="AddlResourcesListItem"/>
                        <w:ind w:left="540" w:hanging="270"/>
                        <w:rPr>
                          <w:i/>
                          <w:iCs/>
                        </w:rPr>
                      </w:pPr>
                      <w:r w:rsidRPr="007A4DFE">
                        <w:t>Equality Now, A Guide to Using the Protocol on the Rights of Women in Africa for Legal Action,</w:t>
                      </w:r>
                      <w:r w:rsidRPr="007A4DFE">
                        <w:br/>
                      </w:r>
                      <w:hyperlink r:id="rId59" w:history="1">
                        <w:r w:rsidRPr="007A4DFE">
                          <w:rPr>
                            <w:rStyle w:val="Hyperlink"/>
                          </w:rPr>
                          <w:t>https://d3n8a8pro7vhmx.cloudfront.net/equalitynow/pages/303/attachments/original/1527598602/Manual_on_Protocol_on_Women_Rights_in_Africa_EN.pdf?1527598602</w:t>
                        </w:r>
                      </w:hyperlink>
                      <w:r>
                        <w:t xml:space="preserve">. </w:t>
                      </w:r>
                    </w:p>
                    <w:p w14:paraId="7445586E" w14:textId="3DBB4F39" w:rsidR="007A4DFE" w:rsidRPr="007A4DFE" w:rsidRDefault="007A4DFE" w:rsidP="00F25999">
                      <w:pPr>
                        <w:pStyle w:val="AddlResourcesListItem"/>
                        <w:numPr>
                          <w:ilvl w:val="0"/>
                          <w:numId w:val="0"/>
                        </w:numPr>
                        <w:ind w:left="900"/>
                      </w:pPr>
                      <w:r w:rsidRPr="007A4DFE">
                        <w:t>This manual provides a detailed introduction to the Maputo Protocol and how to this protocol at domestic and regional levels, including how to submit complaints to the African Commission and the African Court, as well as strategies to promote the Maputo Protocol through ratification campaigns, awareness raising and training etc.</w:t>
                      </w:r>
                    </w:p>
                    <w:p w14:paraId="42C8887F" w14:textId="77777777" w:rsidR="007A4DFE" w:rsidRPr="007A4DFE" w:rsidRDefault="007A4DFE" w:rsidP="00F25999">
                      <w:pPr>
                        <w:pStyle w:val="AddlResourcesListItem"/>
                        <w:numPr>
                          <w:ilvl w:val="0"/>
                          <w:numId w:val="0"/>
                        </w:numPr>
                        <w:ind w:left="630"/>
                      </w:pPr>
                    </w:p>
                    <w:p w14:paraId="235E76A3" w14:textId="16F4A772" w:rsidR="007A4DFE" w:rsidRPr="00635709" w:rsidRDefault="007A4DFE" w:rsidP="00635709">
                      <w:pPr>
                        <w:pStyle w:val="TextBoxBoldTitle"/>
                        <w:spacing w:before="400"/>
                        <w:ind w:left="274"/>
                        <w:rPr>
                          <w:sz w:val="23"/>
                          <w:szCs w:val="23"/>
                        </w:rPr>
                      </w:pPr>
                      <w:r w:rsidRPr="00635709">
                        <w:rPr>
                          <w:sz w:val="23"/>
                          <w:szCs w:val="23"/>
                        </w:rPr>
                        <w:t>Cases</w:t>
                      </w:r>
                      <w:r w:rsidRPr="007A4DFE">
                        <w:t>:</w:t>
                      </w:r>
                    </w:p>
                    <w:p w14:paraId="79FA1CA9" w14:textId="77777777" w:rsidR="007A4DFE" w:rsidRPr="007A4DFE" w:rsidRDefault="007A4DFE" w:rsidP="00635709">
                      <w:pPr>
                        <w:pStyle w:val="AddlResourcesListItem"/>
                        <w:ind w:left="540" w:hanging="270"/>
                      </w:pPr>
                      <w:r w:rsidRPr="007A4DFE">
                        <w:t xml:space="preserve">Case Law Analyser: </w:t>
                      </w:r>
                      <w:hyperlink r:id="rId60" w:history="1">
                        <w:r w:rsidRPr="007A4DFE">
                          <w:rPr>
                            <w:rStyle w:val="Hyperlink"/>
                            <w:iCs/>
                          </w:rPr>
                          <w:t>http://caselaw.ihrda.org/</w:t>
                        </w:r>
                      </w:hyperlink>
                      <w:r w:rsidRPr="007A4DFE">
                        <w:br/>
                        <w:t xml:space="preserve">This is a free collection of the human rights decisions of African regional mechanisms. It offers regional legal documents as well as case law in English, French and Portuguese. The decisions are categorized by adjudicating bodies, keywords (issues), countries and articles of instruments that are relevant. </w:t>
                      </w:r>
                    </w:p>
                    <w:bookmarkEnd w:id="20"/>
                    <w:p w14:paraId="0515FFF8" w14:textId="688DD3F7" w:rsidR="007A4DFE" w:rsidRPr="007A4DFE" w:rsidRDefault="007A4DFE" w:rsidP="007A4DFE">
                      <w:pPr>
                        <w:pStyle w:val="TextBoxBoldTitle"/>
                      </w:pPr>
                    </w:p>
                  </w:txbxContent>
                </v:textbox>
                <w10:wrap anchory="page"/>
              </v:shape>
            </w:pict>
          </mc:Fallback>
        </mc:AlternateContent>
      </w:r>
    </w:p>
    <w:p w14:paraId="792F2C2B" w14:textId="17B4F641" w:rsidR="00C6514F" w:rsidRPr="00635709" w:rsidRDefault="00C6514F" w:rsidP="00382D16"/>
    <w:p w14:paraId="22400120" w14:textId="7A39CF7B" w:rsidR="00C6514F" w:rsidRPr="00635709" w:rsidRDefault="00C6514F" w:rsidP="00382D16"/>
    <w:p w14:paraId="6EF5AF96" w14:textId="625E04C7" w:rsidR="00C6514F" w:rsidRPr="00635709" w:rsidRDefault="00C6514F" w:rsidP="00382D16"/>
    <w:p w14:paraId="4BEA26BA" w14:textId="70DC7EA4" w:rsidR="00C6514F" w:rsidRPr="00635709" w:rsidRDefault="00C6514F" w:rsidP="00382D16"/>
    <w:p w14:paraId="55F347F2" w14:textId="711BFE2E" w:rsidR="00C6514F" w:rsidRPr="00635709" w:rsidRDefault="00C6514F" w:rsidP="00382D16"/>
    <w:p w14:paraId="59F320CC" w14:textId="7A008966" w:rsidR="00C6514F" w:rsidRPr="00635709" w:rsidRDefault="00C6514F" w:rsidP="00382D16"/>
    <w:p w14:paraId="6BE4295C" w14:textId="1F1CBDC4" w:rsidR="00C6514F" w:rsidRPr="00635709" w:rsidRDefault="00C6514F" w:rsidP="00382D16"/>
    <w:p w14:paraId="298CEB00" w14:textId="73360E4B" w:rsidR="00C6514F" w:rsidRPr="00635709" w:rsidRDefault="00C6514F" w:rsidP="00382D16"/>
    <w:p w14:paraId="51576E23" w14:textId="645580E4" w:rsidR="00C6514F" w:rsidRPr="00635709" w:rsidRDefault="00C6514F" w:rsidP="00382D16"/>
    <w:p w14:paraId="3DBB60E0" w14:textId="2E38CFC7" w:rsidR="007A4DFE" w:rsidRPr="00635709" w:rsidRDefault="007A4DFE" w:rsidP="00382D16"/>
    <w:p w14:paraId="034E8DB9" w14:textId="7E88EB31" w:rsidR="007A4DFE" w:rsidRPr="00635709" w:rsidRDefault="007A4DFE" w:rsidP="00382D16"/>
    <w:p w14:paraId="454D3D99" w14:textId="7B460310" w:rsidR="007A4DFE" w:rsidRPr="00635709" w:rsidRDefault="007A4DFE" w:rsidP="00382D16"/>
    <w:p w14:paraId="3A11E85F" w14:textId="38466231" w:rsidR="007A4DFE" w:rsidRPr="00635709" w:rsidRDefault="007A4DFE" w:rsidP="00382D16"/>
    <w:p w14:paraId="60F6FB17" w14:textId="57D972FD" w:rsidR="007A4DFE" w:rsidRPr="00635709" w:rsidRDefault="007A4DFE" w:rsidP="00382D16"/>
    <w:p w14:paraId="1CCF18D1" w14:textId="62C79EF2" w:rsidR="007A4DFE" w:rsidRPr="00635709" w:rsidRDefault="007A4DFE" w:rsidP="00382D16"/>
    <w:p w14:paraId="707FCF30" w14:textId="723C5700" w:rsidR="007A4DFE" w:rsidRPr="00635709" w:rsidRDefault="007A4DFE" w:rsidP="00382D16"/>
    <w:p w14:paraId="0FE290DE" w14:textId="01DC3D7D" w:rsidR="007A4DFE" w:rsidRPr="00635709" w:rsidRDefault="007A4DFE" w:rsidP="00382D16"/>
    <w:p w14:paraId="792F97A8" w14:textId="31DA1187" w:rsidR="007A4DFE" w:rsidRPr="00635709" w:rsidRDefault="007A4DFE" w:rsidP="00382D16"/>
    <w:p w14:paraId="15DF3E70" w14:textId="306B12B9" w:rsidR="007A4DFE" w:rsidRPr="00635709" w:rsidRDefault="007A4DFE" w:rsidP="00382D16"/>
    <w:p w14:paraId="16BA1A5A" w14:textId="7C91ABAF" w:rsidR="007A4DFE" w:rsidRPr="00635709" w:rsidRDefault="007A4DFE" w:rsidP="00382D16"/>
    <w:p w14:paraId="7B74533B" w14:textId="38A9E59C" w:rsidR="007A4DFE" w:rsidRPr="00635709" w:rsidRDefault="007A4DFE" w:rsidP="00382D16"/>
    <w:p w14:paraId="68DA7027" w14:textId="1F0D8A3F" w:rsidR="007A4DFE" w:rsidRPr="00635709" w:rsidRDefault="007A4DFE" w:rsidP="00382D16"/>
    <w:p w14:paraId="657D52F3" w14:textId="13E419BC" w:rsidR="007A4DFE" w:rsidRPr="00635709" w:rsidRDefault="007A4DFE" w:rsidP="00382D16"/>
    <w:p w14:paraId="30BBF287" w14:textId="3553E57B" w:rsidR="007A4DFE" w:rsidRPr="00635709" w:rsidRDefault="007A4DFE" w:rsidP="00382D16"/>
    <w:p w14:paraId="6E97819D" w14:textId="45544D62" w:rsidR="007A4DFE" w:rsidRPr="00635709" w:rsidRDefault="007A4DFE" w:rsidP="00382D16"/>
    <w:p w14:paraId="4E29916D" w14:textId="2BBCE0DC" w:rsidR="007A4DFE" w:rsidRPr="00635709" w:rsidRDefault="007A4DFE" w:rsidP="00382D16"/>
    <w:p w14:paraId="080B1EBC" w14:textId="2DA6B85D" w:rsidR="007A4DFE" w:rsidRPr="00635709" w:rsidRDefault="007A4DFE" w:rsidP="00382D16"/>
    <w:p w14:paraId="5513920F" w14:textId="420DE784" w:rsidR="007A4DFE" w:rsidRPr="00635709" w:rsidRDefault="007A4DFE" w:rsidP="00382D16"/>
    <w:p w14:paraId="0F84E729" w14:textId="77777777" w:rsidR="00635709" w:rsidRPr="00635709" w:rsidRDefault="00635709" w:rsidP="00382D16"/>
    <w:p w14:paraId="683A1718" w14:textId="1700A9F5" w:rsidR="00382D16" w:rsidRPr="00635709" w:rsidRDefault="00382D16" w:rsidP="00382D16">
      <w:r w:rsidRPr="00635709">
        <w:rPr>
          <w:noProof/>
        </w:rPr>
        <mc:AlternateContent>
          <mc:Choice Requires="wps">
            <w:drawing>
              <wp:anchor distT="0" distB="0" distL="114300" distR="114300" simplePos="0" relativeHeight="251689984" behindDoc="0" locked="0" layoutInCell="1" allowOverlap="1" wp14:anchorId="56B97201" wp14:editId="011EBB18">
                <wp:simplePos x="0" y="0"/>
                <wp:positionH relativeFrom="column">
                  <wp:posOffset>30480</wp:posOffset>
                </wp:positionH>
                <wp:positionV relativeFrom="paragraph">
                  <wp:posOffset>189865</wp:posOffset>
                </wp:positionV>
                <wp:extent cx="27432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4C8F7"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pt,14.95pt" to="218.4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" strokecolor="black [3200]" strokeweight=".5pt">
                <v:stroke joinstyle="miter"/>
              </v:line>
            </w:pict>
          </mc:Fallback>
        </mc:AlternateContent>
      </w:r>
    </w:p>
    <w:p w14:paraId="1696E6F2" w14:textId="4FF92D40" w:rsidR="001A4402" w:rsidRPr="00E179A6" w:rsidRDefault="00C6514F" w:rsidP="00C6514F">
      <w:pPr>
        <w:pStyle w:val="EndnoteText"/>
        <w:rPr>
          <w:color w:val="000000" w:themeColor="text1"/>
          <w:sz w:val="18"/>
          <w:szCs w:val="18"/>
        </w:rPr>
      </w:pPr>
      <w:bookmarkStart w:id="23" w:name="OLE_LINK320"/>
      <w:bookmarkStart w:id="24" w:name="END"/>
      <w:bookmarkEnd w:id="23"/>
      <w:bookmarkEnd w:id="24"/>
      <w:r w:rsidRPr="00E179A6">
        <w:rPr>
          <w:noProof/>
          <w:color w:val="000000" w:themeColor="text1"/>
          <w:sz w:val="18"/>
          <w:szCs w:val="18"/>
        </w:rPr>
        <w:drawing>
          <wp:anchor distT="0" distB="0" distL="114300" distR="114300" simplePos="0" relativeHeight="251688960" behindDoc="0" locked="0" layoutInCell="1" allowOverlap="1" wp14:anchorId="3B9BFB40" wp14:editId="776D3E67">
            <wp:simplePos x="0" y="0"/>
            <wp:positionH relativeFrom="page">
              <wp:posOffset>488950</wp:posOffset>
            </wp:positionH>
            <wp:positionV relativeFrom="bottomMargin">
              <wp:posOffset>-894080</wp:posOffset>
            </wp:positionV>
            <wp:extent cx="6778625" cy="829310"/>
            <wp:effectExtent l="0" t="0" r="3175" b="0"/>
            <wp:wrapSquare wrapText="bothSides"/>
            <wp:docPr id="7" name="Picture 7" descr="Women Enabled International, 1875 Connecticut Ave., N.W., 10th Floor, Washington DC, 20009. Website: womenenabled.org. Email: info@womenenabled.or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men Enabled International, 1875 Connecticut Ave., N.W., 10th Floor, Washington DC, 20009. Website: womenenabled.org. Email: info@womenenabled.org">
                      <a:hlinkClick r:id="rId61"/>
                    </pic:cNvPr>
                    <pic:cNvPicPr/>
                  </pic:nvPicPr>
                  <pic:blipFill>
                    <a:blip r:embed="rId62">
                      <a:extLst>
                        <a:ext uri="{28A0092B-C50C-407E-A947-70E740481C1C}">
                          <a14:useLocalDpi xmlns:a14="http://schemas.microsoft.com/office/drawing/2010/main" val="0"/>
                        </a:ext>
                      </a:extLst>
                    </a:blip>
                    <a:stretch>
                      <a:fillRect/>
                    </a:stretch>
                  </pic:blipFill>
                  <pic:spPr>
                    <a:xfrm>
                      <a:off x="0" y="0"/>
                      <a:ext cx="6778625" cy="829310"/>
                    </a:xfrm>
                    <a:prstGeom prst="rect">
                      <a:avLst/>
                    </a:prstGeom>
                  </pic:spPr>
                </pic:pic>
              </a:graphicData>
            </a:graphic>
            <wp14:sizeRelH relativeFrom="margin">
              <wp14:pctWidth>0</wp14:pctWidth>
            </wp14:sizeRelH>
            <wp14:sizeRelV relativeFrom="margin">
              <wp14:pctHeight>0</wp14:pctHeight>
            </wp14:sizeRelV>
          </wp:anchor>
        </w:drawing>
      </w:r>
      <w:r w:rsidR="00382D16" w:rsidRPr="00E179A6">
        <w:rPr>
          <w:rStyle w:val="EndnoteReference"/>
          <w:color w:val="000000" w:themeColor="text1"/>
          <w:sz w:val="18"/>
          <w:szCs w:val="18"/>
          <w:vertAlign w:val="baseline"/>
        </w:rPr>
        <w:footnoteRef/>
      </w:r>
      <w:r w:rsidR="00382D16" w:rsidRPr="00E179A6">
        <w:rPr>
          <w:color w:val="000000" w:themeColor="text1"/>
          <w:sz w:val="18"/>
          <w:szCs w:val="18"/>
        </w:rPr>
        <w:t xml:space="preserve"> The African Commission uses a “non-exhaustive list of grounds of discrimination” in one of its general comments and explicitly include the ground of disability. See General Comment No. 4 on the African Charter on Human and Peoples’ Rights: The Right to Redress for Victims of Torture and Other Cruel, Inhuman or Degrading Punishment or Treatment (Article 5), ¶ 20, </w:t>
      </w:r>
      <w:hyperlink r:id="rId63" w:history="1">
        <w:r w:rsidR="00382D16" w:rsidRPr="00E179A6">
          <w:rPr>
            <w:rStyle w:val="Hyperlink"/>
            <w:color w:val="000000" w:themeColor="text1"/>
            <w:sz w:val="18"/>
            <w:szCs w:val="18"/>
          </w:rPr>
          <w:t>http://www.achpr.org/files/instruments/general-comment-right-to-redress/achpr_general_comment_no._4_english.pdf</w:t>
        </w:r>
      </w:hyperlink>
      <w:r w:rsidR="00382D16" w:rsidRPr="00E179A6">
        <w:rPr>
          <w:color w:val="000000" w:themeColor="text1"/>
          <w:sz w:val="18"/>
          <w:szCs w:val="18"/>
          <w:u w:val="single"/>
        </w:rPr>
        <w:t>.</w:t>
      </w:r>
      <w:bookmarkEnd w:id="14"/>
    </w:p>
    <w:sectPr w:rsidR="001A4402" w:rsidRPr="00E179A6" w:rsidSect="009874C7">
      <w:pgSz w:w="12240" w:h="15840"/>
      <w:pgMar w:top="720" w:right="864" w:bottom="720" w:left="864"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BFD6" w14:textId="77777777" w:rsidR="003C3B49" w:rsidRDefault="003C3B49" w:rsidP="00841CE6">
      <w:r>
        <w:separator/>
      </w:r>
    </w:p>
  </w:endnote>
  <w:endnote w:type="continuationSeparator" w:id="0">
    <w:p w14:paraId="7D27653E" w14:textId="77777777" w:rsidR="003C3B49" w:rsidRDefault="003C3B49" w:rsidP="008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Futura Md BT">
    <w:panose1 w:val="02000800000000000000"/>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50810"/>
      <w:docPartObj>
        <w:docPartGallery w:val="Page Numbers (Bottom of Page)"/>
        <w:docPartUnique/>
      </w:docPartObj>
    </w:sdtPr>
    <w:sdtEndPr>
      <w:rPr>
        <w:rStyle w:val="PageNumber"/>
      </w:rPr>
    </w:sdtEndPr>
    <w:sdtContent>
      <w:p w14:paraId="2CA0C724" w14:textId="57BF40FF" w:rsidR="00EA160A" w:rsidRDefault="00EA160A" w:rsidP="002D73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BE61A" w14:textId="77777777" w:rsidR="00EA160A" w:rsidRDefault="00EA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848676675"/>
      <w:docPartObj>
        <w:docPartGallery w:val="Page Numbers (Bottom of Page)"/>
        <w:docPartUnique/>
      </w:docPartObj>
    </w:sdtPr>
    <w:sdtEndPr>
      <w:rPr>
        <w:rStyle w:val="PageNumber"/>
      </w:rPr>
    </w:sdtEndPr>
    <w:sdtContent>
      <w:p w14:paraId="582296A7" w14:textId="2F55990B" w:rsidR="00EA160A" w:rsidRPr="00EA160A" w:rsidRDefault="00EA160A" w:rsidP="002D73B3">
        <w:pPr>
          <w:pStyle w:val="Footer"/>
          <w:framePr w:wrap="none" w:vAnchor="text" w:hAnchor="margin" w:xAlign="center" w:y="1"/>
          <w:rPr>
            <w:rStyle w:val="PageNumber"/>
            <w:sz w:val="18"/>
            <w:szCs w:val="18"/>
          </w:rPr>
        </w:pPr>
        <w:r w:rsidRPr="00EA160A">
          <w:rPr>
            <w:rStyle w:val="PageNumber"/>
            <w:sz w:val="18"/>
            <w:szCs w:val="18"/>
          </w:rPr>
          <w:fldChar w:fldCharType="begin"/>
        </w:r>
        <w:r w:rsidRPr="00EA160A">
          <w:rPr>
            <w:rStyle w:val="PageNumber"/>
            <w:sz w:val="18"/>
            <w:szCs w:val="18"/>
          </w:rPr>
          <w:instrText xml:space="preserve"> PAGE </w:instrText>
        </w:r>
        <w:r w:rsidRPr="00EA160A">
          <w:rPr>
            <w:rStyle w:val="PageNumber"/>
            <w:sz w:val="18"/>
            <w:szCs w:val="18"/>
          </w:rPr>
          <w:fldChar w:fldCharType="separate"/>
        </w:r>
        <w:r w:rsidRPr="00EA160A">
          <w:rPr>
            <w:rStyle w:val="PageNumber"/>
            <w:noProof/>
            <w:sz w:val="18"/>
            <w:szCs w:val="18"/>
          </w:rPr>
          <w:t>1</w:t>
        </w:r>
        <w:r w:rsidRPr="00EA160A">
          <w:rPr>
            <w:rStyle w:val="PageNumber"/>
            <w:sz w:val="18"/>
            <w:szCs w:val="18"/>
          </w:rPr>
          <w:fldChar w:fldCharType="end"/>
        </w:r>
      </w:p>
    </w:sdtContent>
  </w:sdt>
  <w:p w14:paraId="349C790D" w14:textId="77777777" w:rsidR="00EA160A" w:rsidRDefault="00EA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6959" w14:textId="77777777" w:rsidR="003C3B49" w:rsidRDefault="003C3B49" w:rsidP="00841CE6">
      <w:r>
        <w:separator/>
      </w:r>
    </w:p>
  </w:footnote>
  <w:footnote w:type="continuationSeparator" w:id="0">
    <w:p w14:paraId="7244615C" w14:textId="77777777" w:rsidR="003C3B49" w:rsidRDefault="003C3B49" w:rsidP="0084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219"/>
    <w:multiLevelType w:val="hybridMultilevel"/>
    <w:tmpl w:val="09929966"/>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1398678E"/>
    <w:multiLevelType w:val="hybridMultilevel"/>
    <w:tmpl w:val="DA64E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538FB"/>
    <w:multiLevelType w:val="hybridMultilevel"/>
    <w:tmpl w:val="45C4EBAE"/>
    <w:lvl w:ilvl="0" w:tplc="0B0042DE">
      <w:start w:val="1"/>
      <w:numFmt w:val="bullet"/>
      <w:pStyle w:val="ListParagraph"/>
      <w:lvlText w:val=""/>
      <w:lvlJc w:val="left"/>
      <w:pPr>
        <w:ind w:left="1100" w:hanging="360"/>
      </w:pPr>
      <w:rPr>
        <w:rFonts w:ascii="Wingdings" w:hAnsi="Wingdings"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1E527318"/>
    <w:multiLevelType w:val="hybridMultilevel"/>
    <w:tmpl w:val="81504990"/>
    <w:lvl w:ilvl="0" w:tplc="04090005">
      <w:start w:val="1"/>
      <w:numFmt w:val="bullet"/>
      <w:lvlText w:val=""/>
      <w:lvlJc w:val="left"/>
      <w:pPr>
        <w:ind w:left="1100" w:hanging="360"/>
      </w:pPr>
      <w:rPr>
        <w:rFonts w:ascii="Wingdings" w:hAnsi="Wingdings" w:hint="default"/>
      </w:rPr>
    </w:lvl>
    <w:lvl w:ilvl="1" w:tplc="0BA07788">
      <w:start w:val="1"/>
      <w:numFmt w:val="bullet"/>
      <w:lvlText w:val=""/>
      <w:lvlJc w:val="left"/>
      <w:pPr>
        <w:ind w:left="1820" w:hanging="360"/>
      </w:pPr>
      <w:rPr>
        <w:rFonts w:ascii="Wingdings" w:hAnsi="Wingdings"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1FDF67FF"/>
    <w:multiLevelType w:val="hybridMultilevel"/>
    <w:tmpl w:val="B8F4F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B5C54"/>
    <w:multiLevelType w:val="hybridMultilevel"/>
    <w:tmpl w:val="0152F2F4"/>
    <w:lvl w:ilvl="0" w:tplc="04090005">
      <w:start w:val="1"/>
      <w:numFmt w:val="bullet"/>
      <w:lvlText w:val=""/>
      <w:lvlJc w:val="left"/>
      <w:pPr>
        <w:ind w:left="1100" w:hanging="360"/>
      </w:pPr>
      <w:rPr>
        <w:rFonts w:ascii="Wingdings" w:hAnsi="Wingdings" w:hint="default"/>
      </w:rPr>
    </w:lvl>
    <w:lvl w:ilvl="1" w:tplc="D72A19BA">
      <w:start w:val="1"/>
      <w:numFmt w:val="bullet"/>
      <w:lvlText w:val=""/>
      <w:lvlJc w:val="left"/>
      <w:pPr>
        <w:ind w:left="1820" w:hanging="360"/>
      </w:pPr>
      <w:rPr>
        <w:rFonts w:ascii="Wingdings" w:hAnsi="Wingdings" w:cs="Wingdings"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15:restartNumberingAfterBreak="0">
    <w:nsid w:val="25BB2FFA"/>
    <w:multiLevelType w:val="hybridMultilevel"/>
    <w:tmpl w:val="927A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5F47"/>
    <w:multiLevelType w:val="hybridMultilevel"/>
    <w:tmpl w:val="DC121AA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7EA076C"/>
    <w:multiLevelType w:val="hybridMultilevel"/>
    <w:tmpl w:val="B7A00CBE"/>
    <w:lvl w:ilvl="0" w:tplc="1476316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CF423E"/>
    <w:multiLevelType w:val="hybridMultilevel"/>
    <w:tmpl w:val="A57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137E"/>
    <w:multiLevelType w:val="hybridMultilevel"/>
    <w:tmpl w:val="AB021C74"/>
    <w:lvl w:ilvl="0" w:tplc="04090005">
      <w:start w:val="1"/>
      <w:numFmt w:val="bullet"/>
      <w:lvlText w:val=""/>
      <w:lvlJc w:val="left"/>
      <w:pPr>
        <w:ind w:left="1100" w:hanging="360"/>
      </w:pPr>
      <w:rPr>
        <w:rFonts w:ascii="Wingdings" w:hAnsi="Wingdings" w:hint="default"/>
      </w:rPr>
    </w:lvl>
    <w:lvl w:ilvl="1" w:tplc="C02E5244">
      <w:start w:val="1"/>
      <w:numFmt w:val="bullet"/>
      <w:lvlText w:val=""/>
      <w:lvlJc w:val="left"/>
      <w:pPr>
        <w:ind w:left="1820" w:hanging="360"/>
      </w:pPr>
      <w:rPr>
        <w:rFonts w:ascii="Wingdings" w:hAnsi="Wingdings" w:cs="Wingdings" w:hint="default"/>
        <w:sz w:val="18"/>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15:restartNumberingAfterBreak="0">
    <w:nsid w:val="2DF95D72"/>
    <w:multiLevelType w:val="hybridMultilevel"/>
    <w:tmpl w:val="51C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B4C91"/>
    <w:multiLevelType w:val="hybridMultilevel"/>
    <w:tmpl w:val="7CF66CCC"/>
    <w:lvl w:ilvl="0" w:tplc="E2F0C162">
      <w:numFmt w:val="bullet"/>
      <w:lvlText w:val="•"/>
      <w:lvlJc w:val="left"/>
      <w:pPr>
        <w:ind w:left="740" w:hanging="360"/>
      </w:pPr>
      <w:rPr>
        <w:rFonts w:ascii="Franklin Gothic Book" w:eastAsiaTheme="minorHAnsi" w:hAnsi="Franklin Gothic Book" w:cs="Franklin Gothic Book"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33046720"/>
    <w:multiLevelType w:val="hybridMultilevel"/>
    <w:tmpl w:val="21F8AFA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70017"/>
    <w:multiLevelType w:val="hybridMultilevel"/>
    <w:tmpl w:val="63182DEE"/>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57E24332"/>
    <w:multiLevelType w:val="hybridMultilevel"/>
    <w:tmpl w:val="A06E1C0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5C404AA4"/>
    <w:multiLevelType w:val="hybridMultilevel"/>
    <w:tmpl w:val="727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269C7"/>
    <w:multiLevelType w:val="hybridMultilevel"/>
    <w:tmpl w:val="ADFE8A82"/>
    <w:lvl w:ilvl="0" w:tplc="04090005">
      <w:start w:val="1"/>
      <w:numFmt w:val="bullet"/>
      <w:lvlText w:val=""/>
      <w:lvlJc w:val="left"/>
      <w:pPr>
        <w:ind w:left="1100" w:hanging="360"/>
      </w:pPr>
      <w:rPr>
        <w:rFonts w:ascii="Wingdings" w:hAnsi="Wingdings" w:hint="default"/>
      </w:rPr>
    </w:lvl>
    <w:lvl w:ilvl="1" w:tplc="476E9DD6">
      <w:start w:val="1"/>
      <w:numFmt w:val="bullet"/>
      <w:pStyle w:val="SecondLevelListParagraph"/>
      <w:lvlText w:val=""/>
      <w:lvlJc w:val="left"/>
      <w:pPr>
        <w:ind w:left="1820" w:hanging="360"/>
      </w:pPr>
      <w:rPr>
        <w:rFonts w:ascii="Wingdings" w:hAnsi="Wingdings" w:cs="Wingdings" w:hint="default"/>
        <w:sz w:val="13"/>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15:restartNumberingAfterBreak="0">
    <w:nsid w:val="5CF273D8"/>
    <w:multiLevelType w:val="hybridMultilevel"/>
    <w:tmpl w:val="EF0C3338"/>
    <w:lvl w:ilvl="0" w:tplc="F656CC0E">
      <w:start w:val="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D600D"/>
    <w:multiLevelType w:val="hybridMultilevel"/>
    <w:tmpl w:val="4942FC5A"/>
    <w:lvl w:ilvl="0" w:tplc="84369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B528B"/>
    <w:multiLevelType w:val="hybridMultilevel"/>
    <w:tmpl w:val="B46E76E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20E75B5"/>
    <w:multiLevelType w:val="hybridMultilevel"/>
    <w:tmpl w:val="D4542C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C4F2B"/>
    <w:multiLevelType w:val="hybridMultilevel"/>
    <w:tmpl w:val="F2CCFBE0"/>
    <w:lvl w:ilvl="0" w:tplc="84369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0CE6"/>
    <w:multiLevelType w:val="hybridMultilevel"/>
    <w:tmpl w:val="1B5E2778"/>
    <w:lvl w:ilvl="0" w:tplc="84369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96D91"/>
    <w:multiLevelType w:val="hybridMultilevel"/>
    <w:tmpl w:val="47F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2"/>
  </w:num>
  <w:num w:numId="5">
    <w:abstractNumId w:val="12"/>
  </w:num>
  <w:num w:numId="6">
    <w:abstractNumId w:val="11"/>
  </w:num>
  <w:num w:numId="7">
    <w:abstractNumId w:val="24"/>
  </w:num>
  <w:num w:numId="8">
    <w:abstractNumId w:val="19"/>
  </w:num>
  <w:num w:numId="9">
    <w:abstractNumId w:val="22"/>
  </w:num>
  <w:num w:numId="10">
    <w:abstractNumId w:val="23"/>
  </w:num>
  <w:num w:numId="11">
    <w:abstractNumId w:val="21"/>
  </w:num>
  <w:num w:numId="12">
    <w:abstractNumId w:val="9"/>
  </w:num>
  <w:num w:numId="13">
    <w:abstractNumId w:val="1"/>
  </w:num>
  <w:num w:numId="14">
    <w:abstractNumId w:val="3"/>
  </w:num>
  <w:num w:numId="15">
    <w:abstractNumId w:val="16"/>
  </w:num>
  <w:num w:numId="16">
    <w:abstractNumId w:val="6"/>
  </w:num>
  <w:num w:numId="17">
    <w:abstractNumId w:val="4"/>
  </w:num>
  <w:num w:numId="18">
    <w:abstractNumId w:val="18"/>
  </w:num>
  <w:num w:numId="19">
    <w:abstractNumId w:val="13"/>
  </w:num>
  <w:num w:numId="20">
    <w:abstractNumId w:val="14"/>
  </w:num>
  <w:num w:numId="21">
    <w:abstractNumId w:val="15"/>
  </w:num>
  <w:num w:numId="22">
    <w:abstractNumId w:val="5"/>
  </w:num>
  <w:num w:numId="23">
    <w:abstractNumId w:val="10"/>
  </w:num>
  <w:num w:numId="24">
    <w:abstractNumId w:val="17"/>
  </w:num>
  <w:num w:numId="25">
    <w:abstractNumId w:val="17"/>
    <w:lvlOverride w:ilvl="0">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8"/>
    <w:rsid w:val="00026C07"/>
    <w:rsid w:val="00030684"/>
    <w:rsid w:val="0005564B"/>
    <w:rsid w:val="000A5E0B"/>
    <w:rsid w:val="000C0E47"/>
    <w:rsid w:val="000E0D3D"/>
    <w:rsid w:val="000E1006"/>
    <w:rsid w:val="000F2F07"/>
    <w:rsid w:val="00141647"/>
    <w:rsid w:val="0015753D"/>
    <w:rsid w:val="001A4402"/>
    <w:rsid w:val="001B0F6F"/>
    <w:rsid w:val="00227A90"/>
    <w:rsid w:val="002431B3"/>
    <w:rsid w:val="00247C01"/>
    <w:rsid w:val="00264B4C"/>
    <w:rsid w:val="002759A0"/>
    <w:rsid w:val="00280EB7"/>
    <w:rsid w:val="002A50B3"/>
    <w:rsid w:val="002E29E8"/>
    <w:rsid w:val="002F1E78"/>
    <w:rsid w:val="00341A5B"/>
    <w:rsid w:val="00382D16"/>
    <w:rsid w:val="003832F2"/>
    <w:rsid w:val="00391884"/>
    <w:rsid w:val="003C198B"/>
    <w:rsid w:val="003C3B49"/>
    <w:rsid w:val="003F54E1"/>
    <w:rsid w:val="00404998"/>
    <w:rsid w:val="00432B09"/>
    <w:rsid w:val="00490619"/>
    <w:rsid w:val="004B1D08"/>
    <w:rsid w:val="004B71D7"/>
    <w:rsid w:val="005909C3"/>
    <w:rsid w:val="005A310D"/>
    <w:rsid w:val="005A7754"/>
    <w:rsid w:val="005E6663"/>
    <w:rsid w:val="005E66E1"/>
    <w:rsid w:val="005F1680"/>
    <w:rsid w:val="00635709"/>
    <w:rsid w:val="00725CC5"/>
    <w:rsid w:val="007474BA"/>
    <w:rsid w:val="007A4DFE"/>
    <w:rsid w:val="007B39F1"/>
    <w:rsid w:val="007C1679"/>
    <w:rsid w:val="007D54BB"/>
    <w:rsid w:val="007D54DC"/>
    <w:rsid w:val="007E42A1"/>
    <w:rsid w:val="007F626D"/>
    <w:rsid w:val="008001BC"/>
    <w:rsid w:val="00841CE6"/>
    <w:rsid w:val="008816A3"/>
    <w:rsid w:val="00892EA8"/>
    <w:rsid w:val="00897832"/>
    <w:rsid w:val="008A409D"/>
    <w:rsid w:val="008B7A80"/>
    <w:rsid w:val="00917F5C"/>
    <w:rsid w:val="00931A49"/>
    <w:rsid w:val="00936BF6"/>
    <w:rsid w:val="00950057"/>
    <w:rsid w:val="009874C7"/>
    <w:rsid w:val="009910E8"/>
    <w:rsid w:val="00A32BE8"/>
    <w:rsid w:val="00A42050"/>
    <w:rsid w:val="00A606B7"/>
    <w:rsid w:val="00A71DC0"/>
    <w:rsid w:val="00A736C1"/>
    <w:rsid w:val="00A75210"/>
    <w:rsid w:val="00A80B9F"/>
    <w:rsid w:val="00A83FAF"/>
    <w:rsid w:val="00AA5E79"/>
    <w:rsid w:val="00AB4017"/>
    <w:rsid w:val="00B415DA"/>
    <w:rsid w:val="00B47CF3"/>
    <w:rsid w:val="00B5491A"/>
    <w:rsid w:val="00B96DF3"/>
    <w:rsid w:val="00BB6241"/>
    <w:rsid w:val="00BC77CF"/>
    <w:rsid w:val="00BD0978"/>
    <w:rsid w:val="00BE0492"/>
    <w:rsid w:val="00BE2ADB"/>
    <w:rsid w:val="00BE7F7D"/>
    <w:rsid w:val="00C53B6F"/>
    <w:rsid w:val="00C6514F"/>
    <w:rsid w:val="00CA5452"/>
    <w:rsid w:val="00CC3424"/>
    <w:rsid w:val="00CF4050"/>
    <w:rsid w:val="00D46C24"/>
    <w:rsid w:val="00D92CBE"/>
    <w:rsid w:val="00DA5CF0"/>
    <w:rsid w:val="00DA79FD"/>
    <w:rsid w:val="00E05FB2"/>
    <w:rsid w:val="00E179A6"/>
    <w:rsid w:val="00E7315C"/>
    <w:rsid w:val="00E93727"/>
    <w:rsid w:val="00EA160A"/>
    <w:rsid w:val="00EE22A7"/>
    <w:rsid w:val="00EE6540"/>
    <w:rsid w:val="00F1323C"/>
    <w:rsid w:val="00F25999"/>
    <w:rsid w:val="00FC7560"/>
    <w:rsid w:val="00FE1C76"/>
    <w:rsid w:val="00FE6A4E"/>
    <w:rsid w:val="00FF5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F8E1"/>
  <w14:defaultImageDpi w14:val="32767"/>
  <w15:chartTrackingRefBased/>
  <w15:docId w15:val="{DF670082-B846-F941-B20F-96B15AA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9E8"/>
    <w:pPr>
      <w:suppressAutoHyphens/>
      <w:autoSpaceDE w:val="0"/>
      <w:autoSpaceDN w:val="0"/>
      <w:adjustRightInd w:val="0"/>
      <w:spacing w:before="120" w:after="120" w:line="250" w:lineRule="atLeast"/>
      <w:ind w:left="43"/>
      <w:textAlignment w:val="center"/>
    </w:pPr>
    <w:rPr>
      <w:rFonts w:ascii="Franklin Gothic Book" w:hAnsi="Franklin Gothic Book" w:cs="Franklin Gothic Book"/>
      <w:color w:val="000000"/>
      <w:kern w:val="18"/>
      <w:sz w:val="22"/>
      <w:szCs w:val="22"/>
    </w:rPr>
  </w:style>
  <w:style w:type="paragraph" w:styleId="Heading1">
    <w:name w:val="heading 1"/>
    <w:basedOn w:val="Normal"/>
    <w:next w:val="Normal"/>
    <w:link w:val="Heading1Char"/>
    <w:uiPriority w:val="9"/>
    <w:qFormat/>
    <w:rsid w:val="00CC3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874C7"/>
    <w:pPr>
      <w:keepNext/>
      <w:keepLines/>
      <w:pBdr>
        <w:bottom w:val="single" w:sz="18" w:space="2" w:color="auto"/>
      </w:pBdr>
      <w:snapToGrid w:val="0"/>
      <w:spacing w:after="80" w:line="300" w:lineRule="atLeast"/>
      <w:ind w:left="0" w:right="58"/>
      <w:outlineLvl w:val="1"/>
    </w:pPr>
    <w:rPr>
      <w:rFonts w:ascii="Franklin Gothic Heavy" w:hAnsi="Franklin Gothic Heavy" w:cs="Franklin Gothic Heavy"/>
      <w:color w:val="1C3882"/>
      <w:sz w:val="28"/>
      <w:szCs w:val="36"/>
    </w:rPr>
  </w:style>
  <w:style w:type="paragraph" w:styleId="Heading3">
    <w:name w:val="heading 3"/>
    <w:basedOn w:val="Normal"/>
    <w:next w:val="Normal"/>
    <w:link w:val="Heading3Char"/>
    <w:uiPriority w:val="9"/>
    <w:semiHidden/>
    <w:unhideWhenUsed/>
    <w:qFormat/>
    <w:rsid w:val="00BD09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4C7"/>
    <w:rPr>
      <w:rFonts w:ascii="Franklin Gothic Heavy" w:hAnsi="Franklin Gothic Heavy" w:cs="Franklin Gothic Heavy"/>
      <w:color w:val="1C3882"/>
      <w:kern w:val="18"/>
      <w:sz w:val="28"/>
      <w:szCs w:val="36"/>
    </w:rPr>
  </w:style>
  <w:style w:type="paragraph" w:styleId="Header">
    <w:name w:val="header"/>
    <w:basedOn w:val="Normal"/>
    <w:link w:val="HeaderChar"/>
    <w:uiPriority w:val="99"/>
    <w:unhideWhenUsed/>
    <w:rsid w:val="00BD0978"/>
    <w:pPr>
      <w:tabs>
        <w:tab w:val="center" w:pos="4680"/>
        <w:tab w:val="right" w:pos="9360"/>
      </w:tabs>
    </w:pPr>
  </w:style>
  <w:style w:type="character" w:customStyle="1" w:styleId="HeaderChar">
    <w:name w:val="Header Char"/>
    <w:basedOn w:val="DefaultParagraphFont"/>
    <w:link w:val="Header"/>
    <w:uiPriority w:val="99"/>
    <w:rsid w:val="00BD0978"/>
  </w:style>
  <w:style w:type="paragraph" w:styleId="Footer">
    <w:name w:val="footer"/>
    <w:basedOn w:val="Normal"/>
    <w:link w:val="FooterChar"/>
    <w:uiPriority w:val="99"/>
    <w:unhideWhenUsed/>
    <w:rsid w:val="00BD0978"/>
    <w:pPr>
      <w:tabs>
        <w:tab w:val="center" w:pos="4680"/>
        <w:tab w:val="right" w:pos="9360"/>
      </w:tabs>
    </w:pPr>
  </w:style>
  <w:style w:type="character" w:customStyle="1" w:styleId="FooterChar">
    <w:name w:val="Footer Char"/>
    <w:basedOn w:val="DefaultParagraphFont"/>
    <w:link w:val="Footer"/>
    <w:uiPriority w:val="99"/>
    <w:rsid w:val="00BD0978"/>
  </w:style>
  <w:style w:type="paragraph" w:customStyle="1" w:styleId="GeneralCommentH3">
    <w:name w:val="General Comment H3"/>
    <w:basedOn w:val="Heading3"/>
    <w:uiPriority w:val="99"/>
    <w:rsid w:val="00BD0978"/>
    <w:pPr>
      <w:spacing w:before="480" w:line="260" w:lineRule="atLeast"/>
      <w:ind w:left="86" w:right="58"/>
      <w:outlineLvl w:val="9"/>
    </w:pPr>
    <w:rPr>
      <w:rFonts w:ascii="Franklin Gothic Heavy" w:eastAsiaTheme="minorHAnsi" w:hAnsi="Franklin Gothic Heavy" w:cs="Franklin Gothic Heavy"/>
      <w:caps/>
      <w:color w:val="1C3882"/>
      <w:spacing w:val="-3"/>
      <w:w w:val="95"/>
      <w:sz w:val="25"/>
      <w:szCs w:val="25"/>
    </w:rPr>
  </w:style>
  <w:style w:type="paragraph" w:customStyle="1" w:styleId="BulletedList">
    <w:name w:val="Bulleted List"/>
    <w:basedOn w:val="ListParagraph"/>
    <w:uiPriority w:val="99"/>
    <w:rsid w:val="00BD0978"/>
    <w:pPr>
      <w:tabs>
        <w:tab w:val="left" w:pos="740"/>
      </w:tabs>
      <w:spacing w:before="40" w:line="230" w:lineRule="atLeast"/>
      <w:ind w:left="420" w:hanging="220"/>
    </w:pPr>
    <w:rPr>
      <w:spacing w:val="-1"/>
      <w:w w:val="95"/>
      <w:sz w:val="21"/>
      <w:szCs w:val="21"/>
    </w:rPr>
  </w:style>
  <w:style w:type="paragraph" w:customStyle="1" w:styleId="LetteredExtract">
    <w:name w:val="Lettered Extract"/>
    <w:basedOn w:val="Normal"/>
    <w:uiPriority w:val="99"/>
    <w:rsid w:val="00BD0978"/>
    <w:pPr>
      <w:tabs>
        <w:tab w:val="left" w:pos="820"/>
      </w:tabs>
      <w:spacing w:before="80" w:line="240" w:lineRule="atLeast"/>
      <w:ind w:left="820" w:right="180" w:hanging="380"/>
    </w:pPr>
    <w:rPr>
      <w:spacing w:val="-1"/>
      <w:w w:val="95"/>
    </w:rPr>
  </w:style>
  <w:style w:type="character" w:styleId="Hyperlink">
    <w:name w:val="Hyperlink"/>
    <w:basedOn w:val="DefaultParagraphFont"/>
    <w:uiPriority w:val="99"/>
    <w:rsid w:val="000F2F07"/>
    <w:rPr>
      <w:color w:val="000000"/>
      <w:w w:val="100"/>
      <w:u w:val="single" w:color="000000"/>
    </w:rPr>
  </w:style>
  <w:style w:type="character" w:customStyle="1" w:styleId="Heading3Char">
    <w:name w:val="Heading 3 Char"/>
    <w:basedOn w:val="DefaultParagraphFont"/>
    <w:link w:val="Heading3"/>
    <w:uiPriority w:val="9"/>
    <w:semiHidden/>
    <w:rsid w:val="00BD097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25999"/>
    <w:pPr>
      <w:numPr>
        <w:numId w:val="4"/>
      </w:numPr>
      <w:spacing w:before="60" w:line="260" w:lineRule="atLeast"/>
      <w:ind w:left="360" w:right="274" w:hanging="270"/>
    </w:pPr>
  </w:style>
  <w:style w:type="paragraph" w:customStyle="1" w:styleId="BasicParagraph">
    <w:name w:val="[Basic Paragraph]"/>
    <w:basedOn w:val="Normal"/>
    <w:uiPriority w:val="99"/>
    <w:rsid w:val="00BD0978"/>
    <w:pPr>
      <w:spacing w:line="288" w:lineRule="auto"/>
    </w:pPr>
    <w:rPr>
      <w:rFonts w:ascii="Minion Pro" w:hAnsi="Minion Pro" w:cs="Minion Pro"/>
    </w:rPr>
  </w:style>
  <w:style w:type="character" w:styleId="UnresolvedMention">
    <w:name w:val="Unresolved Mention"/>
    <w:basedOn w:val="DefaultParagraphFont"/>
    <w:uiPriority w:val="99"/>
    <w:rsid w:val="00BD0978"/>
    <w:rPr>
      <w:color w:val="808080"/>
      <w:shd w:val="clear" w:color="auto" w:fill="E6E6E6"/>
    </w:rPr>
  </w:style>
  <w:style w:type="character" w:customStyle="1" w:styleId="Bolderbold">
    <w:name w:val="Bolder bold"/>
    <w:uiPriority w:val="99"/>
    <w:rsid w:val="00D92CBE"/>
    <w:rPr>
      <w:rFonts w:ascii="Franklin Gothic Demi" w:hAnsi="Franklin Gothic Demi" w:cs="Franklin Gothic Demi"/>
      <w:w w:val="100"/>
      <w:lang w:val="en-US"/>
    </w:rPr>
  </w:style>
  <w:style w:type="paragraph" w:styleId="EndnoteText">
    <w:name w:val="endnote text"/>
    <w:basedOn w:val="Normal"/>
    <w:link w:val="EndnoteTextChar"/>
    <w:uiPriority w:val="99"/>
    <w:unhideWhenUsed/>
    <w:rsid w:val="00227A90"/>
    <w:rPr>
      <w:sz w:val="20"/>
      <w:szCs w:val="20"/>
    </w:rPr>
  </w:style>
  <w:style w:type="character" w:customStyle="1" w:styleId="EndnoteTextChar">
    <w:name w:val="Endnote Text Char"/>
    <w:basedOn w:val="DefaultParagraphFont"/>
    <w:link w:val="EndnoteText"/>
    <w:uiPriority w:val="99"/>
    <w:rsid w:val="00227A90"/>
    <w:rPr>
      <w:sz w:val="20"/>
      <w:szCs w:val="20"/>
    </w:rPr>
  </w:style>
  <w:style w:type="character" w:styleId="EndnoteReference">
    <w:name w:val="endnote reference"/>
    <w:basedOn w:val="DefaultParagraphFont"/>
    <w:uiPriority w:val="99"/>
    <w:unhideWhenUsed/>
    <w:rsid w:val="00227A90"/>
    <w:rPr>
      <w:vertAlign w:val="superscript"/>
    </w:rPr>
  </w:style>
  <w:style w:type="character" w:styleId="FollowedHyperlink">
    <w:name w:val="FollowedHyperlink"/>
    <w:basedOn w:val="DefaultParagraphFont"/>
    <w:uiPriority w:val="99"/>
    <w:semiHidden/>
    <w:unhideWhenUsed/>
    <w:rsid w:val="00227A90"/>
    <w:rPr>
      <w:color w:val="954F72" w:themeColor="followedHyperlink"/>
      <w:u w:val="single"/>
    </w:rPr>
  </w:style>
  <w:style w:type="paragraph" w:customStyle="1" w:styleId="secondaryheader">
    <w:name w:val="secondary header"/>
    <w:basedOn w:val="Normal"/>
    <w:qFormat/>
    <w:rsid w:val="00A736C1"/>
    <w:pPr>
      <w:spacing w:after="60" w:line="288" w:lineRule="auto"/>
      <w:ind w:left="58"/>
    </w:pPr>
    <w:rPr>
      <w:rFonts w:ascii="Franklin Gothic Heavy" w:hAnsi="Franklin Gothic Heavy" w:cs="Franklin Gothic Heavy"/>
      <w:color w:val="7E599A"/>
      <w:sz w:val="24"/>
      <w:u w:val="single"/>
    </w:rPr>
  </w:style>
  <w:style w:type="paragraph" w:customStyle="1" w:styleId="TextBoxTitle">
    <w:name w:val="Text Box Title"/>
    <w:basedOn w:val="Normal"/>
    <w:qFormat/>
    <w:rsid w:val="00BE0492"/>
    <w:pPr>
      <w:spacing w:before="100" w:after="80" w:line="240" w:lineRule="auto"/>
      <w:ind w:left="101"/>
      <w:jc w:val="center"/>
    </w:pPr>
    <w:rPr>
      <w:rFonts w:ascii="Franklin Gothic Heavy" w:hAnsi="Franklin Gothic Heavy" w:cs="Franklin Gothic Heavy"/>
      <w:color w:val="58367B"/>
      <w:sz w:val="24"/>
    </w:rPr>
  </w:style>
  <w:style w:type="paragraph" w:customStyle="1" w:styleId="SecondLevelListParagraph">
    <w:name w:val="Second Level List Paragraph"/>
    <w:basedOn w:val="ListParagraph"/>
    <w:qFormat/>
    <w:rsid w:val="007D54DC"/>
    <w:pPr>
      <w:numPr>
        <w:ilvl w:val="1"/>
        <w:numId w:val="24"/>
      </w:numPr>
      <w:spacing w:before="40" w:after="80"/>
      <w:ind w:left="810" w:hanging="270"/>
    </w:pPr>
  </w:style>
  <w:style w:type="paragraph" w:customStyle="1" w:styleId="ABox">
    <w:name w:val="A Box"/>
    <w:basedOn w:val="TextBoxTitle"/>
    <w:qFormat/>
    <w:rsid w:val="001A4402"/>
  </w:style>
  <w:style w:type="paragraph" w:customStyle="1" w:styleId="TextBoxListtight">
    <w:name w:val="Text Box List tight"/>
    <w:basedOn w:val="ListParagraph"/>
    <w:qFormat/>
    <w:rsid w:val="000F2F07"/>
    <w:pPr>
      <w:ind w:left="374" w:hanging="187"/>
    </w:pPr>
    <w:rPr>
      <w:sz w:val="20"/>
    </w:rPr>
  </w:style>
  <w:style w:type="paragraph" w:customStyle="1" w:styleId="TextBoxBoldTitle">
    <w:name w:val="Text Box Bold Title"/>
    <w:basedOn w:val="Normal"/>
    <w:qFormat/>
    <w:rsid w:val="000F2F07"/>
    <w:pPr>
      <w:spacing w:before="240" w:after="80"/>
    </w:pPr>
    <w:rPr>
      <w:rFonts w:ascii="Franklin Gothic Demi" w:hAnsi="Franklin Gothic Demi"/>
      <w:sz w:val="20"/>
      <w:szCs w:val="20"/>
    </w:rPr>
  </w:style>
  <w:style w:type="paragraph" w:customStyle="1" w:styleId="TextBox10">
    <w:name w:val="Text Box 10"/>
    <w:basedOn w:val="Normal"/>
    <w:qFormat/>
    <w:rsid w:val="007D54DC"/>
    <w:pPr>
      <w:spacing w:line="260" w:lineRule="atLeast"/>
    </w:pPr>
    <w:rPr>
      <w:sz w:val="20"/>
      <w:szCs w:val="20"/>
    </w:rPr>
  </w:style>
  <w:style w:type="character" w:customStyle="1" w:styleId="BetterBold">
    <w:name w:val="Better Bold"/>
    <w:basedOn w:val="DefaultParagraphFont"/>
    <w:uiPriority w:val="1"/>
    <w:qFormat/>
    <w:rsid w:val="00CF4050"/>
    <w:rPr>
      <w:rFonts w:ascii="Franklin Gothic Demi" w:hAnsi="Franklin Gothic Demi"/>
      <w:b/>
      <w:bCs/>
      <w:sz w:val="20"/>
      <w:szCs w:val="20"/>
      <w:u w:val="single"/>
    </w:rPr>
  </w:style>
  <w:style w:type="character" w:customStyle="1" w:styleId="Heading1Char">
    <w:name w:val="Heading 1 Char"/>
    <w:basedOn w:val="DefaultParagraphFont"/>
    <w:link w:val="Heading1"/>
    <w:uiPriority w:val="9"/>
    <w:rsid w:val="00CC3424"/>
    <w:rPr>
      <w:rFonts w:asciiTheme="majorHAnsi" w:eastAsiaTheme="majorEastAsia" w:hAnsiTheme="majorHAnsi" w:cstheme="majorBidi"/>
      <w:color w:val="2F5496" w:themeColor="accent1" w:themeShade="BF"/>
      <w:kern w:val="18"/>
      <w:sz w:val="32"/>
      <w:szCs w:val="32"/>
    </w:rPr>
  </w:style>
  <w:style w:type="paragraph" w:styleId="BalloonText">
    <w:name w:val="Balloon Text"/>
    <w:basedOn w:val="Normal"/>
    <w:link w:val="BalloonTextChar"/>
    <w:uiPriority w:val="99"/>
    <w:semiHidden/>
    <w:unhideWhenUsed/>
    <w:rsid w:val="00A4205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050"/>
    <w:rPr>
      <w:rFonts w:ascii="Times New Roman" w:hAnsi="Times New Roman" w:cs="Times New Roman"/>
      <w:color w:val="000000"/>
      <w:kern w:val="18"/>
      <w:sz w:val="18"/>
      <w:szCs w:val="18"/>
    </w:rPr>
  </w:style>
  <w:style w:type="paragraph" w:customStyle="1" w:styleId="ListBox105">
    <w:name w:val="List Box 10.5"/>
    <w:basedOn w:val="ListParagraph"/>
    <w:qFormat/>
    <w:rsid w:val="005909C3"/>
    <w:pPr>
      <w:spacing w:before="0" w:after="60" w:line="240" w:lineRule="exact"/>
      <w:ind w:left="273" w:right="-43" w:hanging="187"/>
    </w:pPr>
    <w:rPr>
      <w:sz w:val="21"/>
      <w:szCs w:val="20"/>
    </w:rPr>
  </w:style>
  <w:style w:type="paragraph" w:customStyle="1" w:styleId="textboxheader">
    <w:name w:val="text box header"/>
    <w:basedOn w:val="secondaryheader"/>
    <w:qFormat/>
    <w:rsid w:val="00247C01"/>
    <w:pPr>
      <w:pBdr>
        <w:bottom w:val="single" w:sz="18" w:space="1" w:color="B7A0CB"/>
      </w:pBdr>
      <w:spacing w:line="240" w:lineRule="auto"/>
      <w:ind w:left="0"/>
    </w:pPr>
    <w:rPr>
      <w:rFonts w:ascii="Franklin Gothic Demi" w:hAnsi="Franklin Gothic Demi"/>
      <w:b/>
      <w:sz w:val="22"/>
      <w:u w:val="none"/>
    </w:rPr>
  </w:style>
  <w:style w:type="paragraph" w:customStyle="1" w:styleId="AddlResourcesListItem">
    <w:name w:val="Add'l Resources List Item"/>
    <w:basedOn w:val="ListParagraph"/>
    <w:qFormat/>
    <w:rsid w:val="007A4DFE"/>
    <w:pPr>
      <w:spacing w:after="140" w:line="240" w:lineRule="auto"/>
      <w:ind w:left="1100" w:hanging="360"/>
    </w:pPr>
    <w:rPr>
      <w:sz w:val="23"/>
      <w:szCs w:val="23"/>
    </w:rPr>
  </w:style>
  <w:style w:type="paragraph" w:customStyle="1" w:styleId="PageOneTightList">
    <w:name w:val="Page One Tight List"/>
    <w:basedOn w:val="ListParagraph"/>
    <w:qFormat/>
    <w:rsid w:val="00BE0492"/>
    <w:pPr>
      <w:spacing w:after="60" w:line="250" w:lineRule="atLeast"/>
      <w:ind w:left="548" w:hanging="274"/>
    </w:pPr>
    <w:rPr>
      <w:spacing w:val="-2"/>
    </w:rPr>
  </w:style>
  <w:style w:type="character" w:styleId="CommentReference">
    <w:name w:val="annotation reference"/>
    <w:basedOn w:val="DefaultParagraphFont"/>
    <w:uiPriority w:val="99"/>
    <w:semiHidden/>
    <w:unhideWhenUsed/>
    <w:rsid w:val="00490619"/>
    <w:rPr>
      <w:sz w:val="16"/>
      <w:szCs w:val="16"/>
    </w:rPr>
  </w:style>
  <w:style w:type="character" w:styleId="PageNumber">
    <w:name w:val="page number"/>
    <w:basedOn w:val="DefaultParagraphFont"/>
    <w:uiPriority w:val="99"/>
    <w:semiHidden/>
    <w:unhideWhenUsed/>
    <w:rsid w:val="00EA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hpr.org/mechanisms/" TargetMode="External"/><Relationship Id="rId21" Type="http://schemas.openxmlformats.org/officeDocument/2006/relationships/hyperlink" Target="http://www.achpr.org/mechanisms/" TargetMode="External"/><Relationship Id="rId34" Type="http://schemas.openxmlformats.org/officeDocument/2006/relationships/hyperlink" Target="http://www.achpr.org/instruments/" TargetMode="External"/><Relationship Id="rId42" Type="http://schemas.openxmlformats.org/officeDocument/2006/relationships/hyperlink" Target="http://en.african-court.org/" TargetMode="External"/><Relationship Id="rId47" Type="http://schemas.openxmlformats.org/officeDocument/2006/relationships/hyperlink" Target="http://www.achpr.org/instruments/" TargetMode="External"/><Relationship Id="rId50" Type="http://schemas.openxmlformats.org/officeDocument/2006/relationships/hyperlink" Target="http://www.achpr.org/communications/procedure/" TargetMode="External"/><Relationship Id="rId55" Type="http://schemas.openxmlformats.org/officeDocument/2006/relationships/hyperlink" Target="https://d3n8a8pro7vhmx.cloudfront.net/equalitynow/pages/303/attachments/original/1527598602/Manual_on_Protocol_on_Women_Rights_in_Africa_EN.pdf?1527598602" TargetMode="External"/><Relationship Id="rId63" Type="http://schemas.openxmlformats.org/officeDocument/2006/relationships/hyperlink" Target="http://www.achpr.org/files/instruments/general-comment-right-to-redress/achpr_general_comment_no._4_english.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achpr.org/mechanisms/older-disabled/" TargetMode="External"/><Relationship Id="rId29" Type="http://schemas.openxmlformats.org/officeDocument/2006/relationships/hyperlink" Target="http://en.african-court.org/" TargetMode="External"/><Relationship Id="rId11" Type="http://schemas.openxmlformats.org/officeDocument/2006/relationships/footer" Target="footer2.xml"/><Relationship Id="rId24" Type="http://schemas.openxmlformats.org/officeDocument/2006/relationships/hyperlink" Target="http://www.achpr.org/states/" TargetMode="External"/><Relationship Id="rId32" Type="http://schemas.openxmlformats.org/officeDocument/2006/relationships/hyperlink" Target="http://www.achpr.org/mechanisms/older-disabled/" TargetMode="External"/><Relationship Id="rId37" Type="http://schemas.openxmlformats.org/officeDocument/2006/relationships/hyperlink" Target="http://www.achpr.org/communications/procedure/" TargetMode="External"/><Relationship Id="rId40" Type="http://schemas.openxmlformats.org/officeDocument/2006/relationships/hyperlink" Target="https://au.int/en" TargetMode="External"/><Relationship Id="rId45" Type="http://schemas.openxmlformats.org/officeDocument/2006/relationships/hyperlink" Target="http://www.achpr.org/mechanisms/older-disabled/" TargetMode="External"/><Relationship Id="rId53" Type="http://schemas.openxmlformats.org/officeDocument/2006/relationships/hyperlink" Target="http://www.ijrcenter.org/wp-content/uploads/2016/11/Advocacy-before-the-African-Human-Rights-System.pdf" TargetMode="External"/><Relationship Id="rId58" Type="http://schemas.openxmlformats.org/officeDocument/2006/relationships/hyperlink" Target="https://www.crin.org/en/docs/Advancing_Children_Rights_2nd_Edition.pdf" TargetMode="External"/><Relationship Id="rId5" Type="http://schemas.openxmlformats.org/officeDocument/2006/relationships/footnotes" Target="footnotes.xml"/><Relationship Id="rId61" Type="http://schemas.openxmlformats.org/officeDocument/2006/relationships/hyperlink" Target="https://womenenabled.org/" TargetMode="External"/><Relationship Id="rId19" Type="http://schemas.openxmlformats.org/officeDocument/2006/relationships/hyperlink" Target="http://www.acerwc.org/" TargetMode="External"/><Relationship Id="rId14" Type="http://schemas.openxmlformats.org/officeDocument/2006/relationships/hyperlink" Target="http://www.achpr.org/instruments/general-comment-two-rights-women/" TargetMode="External"/><Relationship Id="rId22" Type="http://schemas.openxmlformats.org/officeDocument/2006/relationships/hyperlink" Target="http://www.achpr.org/sessions/" TargetMode="External"/><Relationship Id="rId27" Type="http://schemas.openxmlformats.org/officeDocument/2006/relationships/hyperlink" Target="https://au.int/en" TargetMode="External"/><Relationship Id="rId30" Type="http://schemas.openxmlformats.org/officeDocument/2006/relationships/hyperlink" Target="http://www.acerwc.org/" TargetMode="External"/><Relationship Id="rId35" Type="http://schemas.openxmlformats.org/officeDocument/2006/relationships/hyperlink" Target="http://www.achpr.org/states/" TargetMode="External"/><Relationship Id="rId43" Type="http://schemas.openxmlformats.org/officeDocument/2006/relationships/hyperlink" Target="http://www.acerwc.org/" TargetMode="External"/><Relationship Id="rId48" Type="http://schemas.openxmlformats.org/officeDocument/2006/relationships/hyperlink" Target="http://www.achpr.org/states/" TargetMode="External"/><Relationship Id="rId56" Type="http://schemas.openxmlformats.org/officeDocument/2006/relationships/hyperlink" Target="http://caselaw.ihrda.org/" TargetMode="External"/><Relationship Id="rId64" Type="http://schemas.openxmlformats.org/officeDocument/2006/relationships/fontTable" Target="fontTable.xml"/><Relationship Id="rId8" Type="http://schemas.openxmlformats.org/officeDocument/2006/relationships/hyperlink" Target="http://www.achpr.org/instruments/achpr/" TargetMode="External"/><Relationship Id="rId51" Type="http://schemas.openxmlformats.org/officeDocument/2006/relationships/hyperlink" Target="http://www.achpr.org/communications/guidelines/" TargetMode="External"/><Relationship Id="rId3" Type="http://schemas.openxmlformats.org/officeDocument/2006/relationships/settings" Target="settings.xml"/><Relationship Id="rId12" Type="http://schemas.openxmlformats.org/officeDocument/2006/relationships/hyperlink" Target="http://www.achpr.org/instruments/child/" TargetMode="External"/><Relationship Id="rId17" Type="http://schemas.openxmlformats.org/officeDocument/2006/relationships/hyperlink" Target="http://www.achpr.org/mechanisms/rights-of-women/" TargetMode="External"/><Relationship Id="rId25" Type="http://schemas.openxmlformats.org/officeDocument/2006/relationships/hyperlink" Target="http://www.acerwc.org/" TargetMode="External"/><Relationship Id="rId33" Type="http://schemas.openxmlformats.org/officeDocument/2006/relationships/hyperlink" Target="https://au.int/en/treaties" TargetMode="External"/><Relationship Id="rId38" Type="http://schemas.openxmlformats.org/officeDocument/2006/relationships/hyperlink" Target="http://www.achpr.org/communications/guidelines/" TargetMode="External"/><Relationship Id="rId46" Type="http://schemas.openxmlformats.org/officeDocument/2006/relationships/hyperlink" Target="https://au.int/en/treaties" TargetMode="External"/><Relationship Id="rId59" Type="http://schemas.openxmlformats.org/officeDocument/2006/relationships/hyperlink" Target="https://d3n8a8pro7vhmx.cloudfront.net/equalitynow/pages/303/attachments/original/1527598602/Manual_on_Protocol_on_Women_Rights_in_Africa_EN.pdf?1527598602" TargetMode="External"/><Relationship Id="rId20" Type="http://schemas.openxmlformats.org/officeDocument/2006/relationships/hyperlink" Target="http://www.african-court.org/en/" TargetMode="External"/><Relationship Id="rId41" Type="http://schemas.openxmlformats.org/officeDocument/2006/relationships/hyperlink" Target="http://www.achpr.org/" TargetMode="External"/><Relationship Id="rId54" Type="http://schemas.openxmlformats.org/officeDocument/2006/relationships/hyperlink" Target="https://www.crin.org/en/docs/Advancing_Children_Rights_2nd_Edition.pdf" TargetMode="External"/><Relationship Id="rId62"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hpr.org/mechanisms/rights-of-women/" TargetMode="External"/><Relationship Id="rId23" Type="http://schemas.openxmlformats.org/officeDocument/2006/relationships/hyperlink" Target="http://www.acerwc.org/session-reports/" TargetMode="External"/><Relationship Id="rId28" Type="http://schemas.openxmlformats.org/officeDocument/2006/relationships/hyperlink" Target="http://www.achpr.org/" TargetMode="External"/><Relationship Id="rId36" Type="http://schemas.openxmlformats.org/officeDocument/2006/relationships/hyperlink" Target="http://www.acerwc.org/download/guidelines_for_civil_societies_organisations_eng/?wpdmdl=10089" TargetMode="External"/><Relationship Id="rId49" Type="http://schemas.openxmlformats.org/officeDocument/2006/relationships/hyperlink" Target="http://www.acerwc.org/download/guidelines_for_civil_societies_organisations_eng/?wpdmdl=10089" TargetMode="External"/><Relationship Id="rId57" Type="http://schemas.openxmlformats.org/officeDocument/2006/relationships/hyperlink" Target="http://www.ijrcenter.org/wp-content/uploads/2016/11/Advocacy-before-the-African-Human-Rights-System.pdf" TargetMode="External"/><Relationship Id="rId10" Type="http://schemas.openxmlformats.org/officeDocument/2006/relationships/footer" Target="footer1.xml"/><Relationship Id="rId31" Type="http://schemas.openxmlformats.org/officeDocument/2006/relationships/hyperlink" Target="http://www.achpr.org/mechanisms/rights-of-women/" TargetMode="External"/><Relationship Id="rId44" Type="http://schemas.openxmlformats.org/officeDocument/2006/relationships/hyperlink" Target="http://www.achpr.org/mechanisms/rights-of-women/" TargetMode="External"/><Relationship Id="rId52" Type="http://schemas.openxmlformats.org/officeDocument/2006/relationships/hyperlink" Target="http://www.acerwc.org/submit-a-communication/" TargetMode="External"/><Relationship Id="rId60" Type="http://schemas.openxmlformats.org/officeDocument/2006/relationships/hyperlink" Target="http://caselaw.ihrda.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hpr.org/instruments/women-protocol/" TargetMode="External"/><Relationship Id="rId13" Type="http://schemas.openxmlformats.org/officeDocument/2006/relationships/hyperlink" Target="http://www.achpr.org/instruments/general-comment-two-rights-women/" TargetMode="External"/><Relationship Id="rId18" Type="http://schemas.openxmlformats.org/officeDocument/2006/relationships/hyperlink" Target="http://www.achpr.org/mechanisms/older-disabled/" TargetMode="External"/><Relationship Id="rId39" Type="http://schemas.openxmlformats.org/officeDocument/2006/relationships/hyperlink" Target="http://www.acerwc.org/submit-a-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2</cp:revision>
  <cp:lastPrinted>2018-10-11T20:57:00Z</cp:lastPrinted>
  <dcterms:created xsi:type="dcterms:W3CDTF">2018-11-11T17:19:00Z</dcterms:created>
  <dcterms:modified xsi:type="dcterms:W3CDTF">2018-11-11T17:19:00Z</dcterms:modified>
</cp:coreProperties>
</file>