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DAABB" w14:textId="1EA3A945" w:rsidR="0049019C" w:rsidRDefault="00CD0EAF">
      <w:pPr>
        <w:spacing w:after="0"/>
        <w:ind w:left="-1008"/>
        <w:jc w:val="left"/>
        <w:rPr>
          <w:rFonts w:ascii="Franklin Gothic Demi" w:eastAsia="Times New Roman" w:hAnsi="Franklin Gothic Demi" w:cs="Times New Roman"/>
        </w:rPr>
        <w:sectPr w:rsidR="0049019C" w:rsidSect="009D2BDA">
          <w:footerReference w:type="even" r:id="rId8"/>
          <w:pgSz w:w="12240" w:h="15840" w:code="1"/>
          <w:pgMar w:top="1098" w:right="1008" w:bottom="1440" w:left="1008" w:header="720" w:footer="720" w:gutter="0"/>
          <w:pgNumType w:fmt="lowerRoman" w:start="1"/>
          <w:cols w:space="720"/>
          <w:docGrid w:linePitch="326"/>
        </w:sectPr>
      </w:pPr>
      <w:bookmarkStart w:id="0" w:name="_Ref483818651"/>
      <w:r>
        <w:rPr>
          <w:noProof/>
          <w:lang w:eastAsia="en-US"/>
        </w:rPr>
        <w:drawing>
          <wp:anchor distT="0" distB="0" distL="114300" distR="114300" simplePos="0" relativeHeight="251661312" behindDoc="0" locked="1" layoutInCell="1" allowOverlap="1" wp14:anchorId="6A1BF7BF" wp14:editId="38908B8B">
            <wp:simplePos x="0" y="0"/>
            <wp:positionH relativeFrom="page">
              <wp:posOffset>-24765</wp:posOffset>
            </wp:positionH>
            <wp:positionV relativeFrom="page">
              <wp:posOffset>0</wp:posOffset>
            </wp:positionV>
            <wp:extent cx="7823200" cy="10058400"/>
            <wp:effectExtent l="0" t="0" r="0" b="0"/>
            <wp:wrapNone/>
            <wp:docPr id="8" name="Picture 8" descr="La portada muestra la silueta de tres mujeres —una usando una muleta, otra usando una silla de ruedas, y otra sin ningún apoyo para la movilidad—acercándose al edificio de Naciones Unidas en Ginebra a través de un corredor de banderas de países de todo el mundo."/>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tretch>
                      <a:fillRect/>
                    </a:stretch>
                  </pic:blipFill>
                  <pic:spPr>
                    <a:xfrm>
                      <a:off x="0" y="0"/>
                      <a:ext cx="78232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7FCBAF42" w14:textId="77777777" w:rsidR="0049019C" w:rsidRDefault="00CD0EAF">
      <w:pPr>
        <w:spacing w:after="0"/>
        <w:jc w:val="left"/>
        <w:rPr>
          <w:rFonts w:ascii="Franklin Gothic Demi" w:eastAsia="Times New Roman" w:hAnsi="Franklin Gothic Demi" w:cs="Times New Roman"/>
        </w:rPr>
        <w:sectPr w:rsidR="0049019C" w:rsidSect="00307769">
          <w:pgSz w:w="12240" w:h="15840" w:code="1"/>
          <w:pgMar w:top="576" w:right="1008" w:bottom="1440" w:left="1008" w:header="720" w:footer="720" w:gutter="0"/>
          <w:pgNumType w:fmt="lowerRoman" w:start="1"/>
          <w:cols w:space="720"/>
          <w:docGrid w:linePitch="326"/>
        </w:sectPr>
      </w:pPr>
      <w:r>
        <w:rPr>
          <w:rFonts w:ascii="Franklin Gothic Demi" w:eastAsia="Times New Roman" w:hAnsi="Franklin Gothic Demi" w:cs="Times New Roman"/>
        </w:rPr>
        <w:lastRenderedPageBreak/>
        <w:t xml:space="preserve"> </w:t>
      </w:r>
    </w:p>
    <w:p w14:paraId="440F6353" w14:textId="77777777" w:rsidR="0049019C" w:rsidRDefault="0049019C">
      <w:pPr>
        <w:spacing w:after="0"/>
        <w:jc w:val="left"/>
        <w:rPr>
          <w:rFonts w:ascii="Franklin Gothic Demi" w:eastAsia="Times New Roman" w:hAnsi="Franklin Gothic Demi" w:cs="Times New Roman"/>
        </w:rPr>
      </w:pPr>
    </w:p>
    <w:p w14:paraId="1D6233CE" w14:textId="77777777" w:rsidR="0049019C" w:rsidRDefault="0049019C">
      <w:pPr>
        <w:pStyle w:val="Title"/>
        <w:pBdr>
          <w:bottom w:val="none" w:sz="0" w:space="0" w:color="auto"/>
        </w:pBdr>
        <w:jc w:val="center"/>
        <w:rPr>
          <w:rStyle w:val="Bolderbold"/>
          <w:b w:val="0"/>
        </w:rPr>
      </w:pPr>
    </w:p>
    <w:p w14:paraId="5B6A38B5" w14:textId="77777777" w:rsidR="0049019C" w:rsidRDefault="0049019C">
      <w:pPr>
        <w:jc w:val="center"/>
      </w:pPr>
    </w:p>
    <w:p w14:paraId="150E4D8D" w14:textId="77777777" w:rsidR="0049019C" w:rsidRDefault="0049019C">
      <w:pPr>
        <w:jc w:val="center"/>
      </w:pPr>
    </w:p>
    <w:p w14:paraId="60C1CCDF" w14:textId="77777777" w:rsidR="0049019C" w:rsidRDefault="0049019C">
      <w:pPr>
        <w:jc w:val="center"/>
      </w:pPr>
    </w:p>
    <w:p w14:paraId="05DD7F20" w14:textId="77777777" w:rsidR="0049019C" w:rsidRDefault="0049019C"/>
    <w:p w14:paraId="1D62A89F" w14:textId="77777777" w:rsidR="0049019C" w:rsidRDefault="0049019C"/>
    <w:p w14:paraId="6CEBA5DD" w14:textId="77777777" w:rsidR="0049019C" w:rsidRDefault="0049019C">
      <w:pPr>
        <w:pStyle w:val="Title"/>
        <w:pBdr>
          <w:bottom w:val="none" w:sz="0" w:space="0" w:color="auto"/>
        </w:pBdr>
        <w:jc w:val="center"/>
        <w:rPr>
          <w:rStyle w:val="Bolderbold"/>
          <w:b w:val="0"/>
        </w:rPr>
      </w:pPr>
    </w:p>
    <w:p w14:paraId="611D8913" w14:textId="03224681" w:rsidR="0049019C" w:rsidRDefault="00CD0EAF">
      <w:pPr>
        <w:pStyle w:val="Title"/>
        <w:pBdr>
          <w:bottom w:val="none" w:sz="0" w:space="0" w:color="auto"/>
        </w:pBdr>
        <w:jc w:val="center"/>
        <w:rPr>
          <w:rFonts w:ascii="Franklin Gothic Demi" w:hAnsi="Franklin Gothic Demi"/>
          <w:b w:val="0"/>
          <w:color w:val="FFD966" w:themeColor="accent4" w:themeTint="99"/>
          <w:sz w:val="96"/>
        </w:rPr>
      </w:pPr>
      <w:r>
        <w:rPr>
          <w:rFonts w:ascii="Franklin Gothic Demi" w:hAnsi="Franklin Gothic Demi"/>
          <w:b w:val="0"/>
          <w:color w:val="5F398F"/>
          <w:sz w:val="88"/>
        </w:rPr>
        <w:t>account</w:t>
      </w:r>
      <w:r>
        <w:rPr>
          <w:rFonts w:ascii="Franklin Gothic Demi" w:hAnsi="Franklin Gothic Demi"/>
          <w:b w:val="0"/>
          <w:color w:val="AC97C6"/>
          <w:sz w:val="96"/>
        </w:rPr>
        <w:t>ABILITY</w:t>
      </w:r>
      <w:r>
        <w:rPr>
          <w:rFonts w:ascii="Franklin Gothic Demi" w:hAnsi="Franklin Gothic Demi"/>
          <w:b w:val="0"/>
          <w:color w:val="AC97C6"/>
          <w:position w:val="10"/>
          <w:sz w:val="80"/>
        </w:rPr>
        <w:t>:</w:t>
      </w:r>
    </w:p>
    <w:p w14:paraId="45207E56" w14:textId="77777777" w:rsidR="0049019C" w:rsidRDefault="0049019C">
      <w:pPr>
        <w:pStyle w:val="Title"/>
        <w:pBdr>
          <w:bottom w:val="none" w:sz="0" w:space="0" w:color="auto"/>
        </w:pBdr>
        <w:jc w:val="center"/>
        <w:rPr>
          <w:rFonts w:ascii="Franklin Gothic Demi" w:hAnsi="Franklin Gothic Demi"/>
          <w:b w:val="0"/>
          <w:sz w:val="40"/>
        </w:rPr>
      </w:pPr>
    </w:p>
    <w:p w14:paraId="49319427" w14:textId="70BA6C29" w:rsidR="0049019C" w:rsidRPr="004B2C96" w:rsidRDefault="001F34B8">
      <w:pPr>
        <w:pStyle w:val="Title"/>
        <w:pBdr>
          <w:bottom w:val="none" w:sz="0" w:space="0" w:color="auto"/>
        </w:pBdr>
        <w:jc w:val="center"/>
        <w:rPr>
          <w:b w:val="0"/>
          <w:color w:val="71578F"/>
        </w:rPr>
      </w:pPr>
      <w:r w:rsidRPr="00515135">
        <w:rPr>
          <w:rFonts w:ascii="Franklin Gothic Demi" w:hAnsi="Franklin Gothic Demi"/>
          <w:b w:val="0"/>
          <w:color w:val="71578F"/>
          <w:sz w:val="40"/>
        </w:rPr>
        <w:t xml:space="preserve">Estándares </w:t>
      </w:r>
      <w:r w:rsidR="00CD0EAF" w:rsidRPr="00515135">
        <w:rPr>
          <w:rFonts w:ascii="Franklin Gothic Demi" w:hAnsi="Franklin Gothic Demi"/>
          <w:b w:val="0"/>
          <w:color w:val="71578F"/>
          <w:sz w:val="40"/>
        </w:rPr>
        <w:t xml:space="preserve">de las Naciones Unidas </w:t>
      </w:r>
      <w:r w:rsidR="000D30E9">
        <w:rPr>
          <w:rFonts w:ascii="Franklin Gothic Demi" w:hAnsi="Franklin Gothic Demi"/>
          <w:b w:val="0"/>
          <w:color w:val="71578F"/>
          <w:sz w:val="40"/>
        </w:rPr>
        <w:br/>
      </w:r>
      <w:r w:rsidR="00CD0EAF" w:rsidRPr="00515135">
        <w:rPr>
          <w:rFonts w:ascii="Franklin Gothic Demi" w:hAnsi="Franklin Gothic Demi"/>
          <w:b w:val="0"/>
          <w:color w:val="71578F"/>
          <w:sz w:val="40"/>
        </w:rPr>
        <w:t xml:space="preserve">en </w:t>
      </w:r>
      <w:r w:rsidR="000C0C0F" w:rsidRPr="00515135">
        <w:rPr>
          <w:rFonts w:ascii="Franklin Gothic Demi" w:hAnsi="Franklin Gothic Demi"/>
          <w:b w:val="0"/>
          <w:color w:val="71578F"/>
          <w:sz w:val="40"/>
        </w:rPr>
        <w:t xml:space="preserve">Derechos y </w:t>
      </w:r>
      <w:r w:rsidR="00CD0EAF" w:rsidRPr="00515135">
        <w:rPr>
          <w:rFonts w:ascii="Franklin Gothic Demi" w:hAnsi="Franklin Gothic Demi"/>
          <w:b w:val="0"/>
          <w:color w:val="71578F"/>
          <w:sz w:val="40"/>
        </w:rPr>
        <w:t xml:space="preserve">Salud Sexual y </w:t>
      </w:r>
      <w:r w:rsidRPr="00515135">
        <w:rPr>
          <w:rFonts w:ascii="Franklin Gothic Demi" w:hAnsi="Franklin Gothic Demi"/>
          <w:b w:val="0"/>
          <w:color w:val="71578F"/>
          <w:sz w:val="40"/>
        </w:rPr>
        <w:t>R</w:t>
      </w:r>
      <w:r w:rsidR="00CD0EAF" w:rsidRPr="00515135">
        <w:rPr>
          <w:rFonts w:ascii="Franklin Gothic Demi" w:hAnsi="Franklin Gothic Demi"/>
          <w:b w:val="0"/>
          <w:color w:val="71578F"/>
          <w:sz w:val="40"/>
        </w:rPr>
        <w:t xml:space="preserve">eproductiva </w:t>
      </w:r>
      <w:r w:rsidR="000D30E9">
        <w:rPr>
          <w:rFonts w:ascii="Franklin Gothic Demi" w:hAnsi="Franklin Gothic Demi"/>
          <w:b w:val="0"/>
          <w:color w:val="71578F"/>
          <w:sz w:val="40"/>
        </w:rPr>
        <w:br/>
      </w:r>
      <w:r w:rsidR="00CD0EAF" w:rsidRPr="00515135">
        <w:rPr>
          <w:rFonts w:ascii="Franklin Gothic Demi" w:hAnsi="Franklin Gothic Demi"/>
          <w:b w:val="0"/>
          <w:color w:val="71578F"/>
          <w:sz w:val="40"/>
        </w:rPr>
        <w:t xml:space="preserve">de las </w:t>
      </w:r>
      <w:r w:rsidRPr="00515135">
        <w:rPr>
          <w:rFonts w:ascii="Franklin Gothic Demi" w:hAnsi="Franklin Gothic Demi"/>
          <w:b w:val="0"/>
          <w:color w:val="71578F"/>
          <w:sz w:val="40"/>
        </w:rPr>
        <w:t>M</w:t>
      </w:r>
      <w:r w:rsidR="00CD0EAF" w:rsidRPr="00515135">
        <w:rPr>
          <w:rFonts w:ascii="Franklin Gothic Demi" w:hAnsi="Franklin Gothic Demi"/>
          <w:b w:val="0"/>
          <w:color w:val="71578F"/>
          <w:sz w:val="40"/>
        </w:rPr>
        <w:t xml:space="preserve">ujeres y </w:t>
      </w:r>
      <w:r w:rsidRPr="00515135">
        <w:rPr>
          <w:rFonts w:ascii="Franklin Gothic Demi" w:hAnsi="Franklin Gothic Demi"/>
          <w:b w:val="0"/>
          <w:color w:val="71578F"/>
          <w:sz w:val="40"/>
        </w:rPr>
        <w:t>N</w:t>
      </w:r>
      <w:r w:rsidR="00CD0EAF" w:rsidRPr="00515135">
        <w:rPr>
          <w:rFonts w:ascii="Franklin Gothic Demi" w:hAnsi="Franklin Gothic Demi"/>
          <w:b w:val="0"/>
          <w:color w:val="71578F"/>
          <w:sz w:val="40"/>
        </w:rPr>
        <w:t xml:space="preserve">iñas con </w:t>
      </w:r>
      <w:r w:rsidRPr="00515135">
        <w:rPr>
          <w:rFonts w:ascii="Franklin Gothic Demi" w:hAnsi="Franklin Gothic Demi"/>
          <w:b w:val="0"/>
          <w:color w:val="71578F"/>
          <w:sz w:val="40"/>
        </w:rPr>
        <w:t>D</w:t>
      </w:r>
      <w:r w:rsidR="00CD0EAF" w:rsidRPr="00515135">
        <w:rPr>
          <w:rFonts w:ascii="Franklin Gothic Demi" w:hAnsi="Franklin Gothic Demi"/>
          <w:b w:val="0"/>
          <w:color w:val="71578F"/>
          <w:sz w:val="40"/>
        </w:rPr>
        <w:t>iscapacidad</w:t>
      </w:r>
    </w:p>
    <w:p w14:paraId="0E0D8B4A" w14:textId="77777777" w:rsidR="0049019C" w:rsidRDefault="0049019C"/>
    <w:p w14:paraId="38A557AC" w14:textId="77777777" w:rsidR="0049019C" w:rsidRDefault="0049019C"/>
    <w:p w14:paraId="3A212765" w14:textId="77777777" w:rsidR="0049019C" w:rsidRDefault="0049019C"/>
    <w:p w14:paraId="24F1133A" w14:textId="77777777" w:rsidR="0049019C" w:rsidRDefault="0049019C"/>
    <w:p w14:paraId="4F7B6120" w14:textId="77777777" w:rsidR="0049019C" w:rsidRDefault="0049019C"/>
    <w:p w14:paraId="4B49E649" w14:textId="77777777" w:rsidR="0049019C" w:rsidRDefault="00CD0EAF">
      <w:pPr>
        <w:jc w:val="center"/>
      </w:pPr>
      <w:r>
        <w:rPr>
          <w:noProof/>
          <w:lang w:eastAsia="en-US"/>
          <w14:numForm w14:val="default"/>
          <w14:numSpacing w14:val="default"/>
        </w:rPr>
        <w:drawing>
          <wp:anchor distT="0" distB="0" distL="114300" distR="114300" simplePos="0" relativeHeight="251663360" behindDoc="0" locked="0" layoutInCell="1" allowOverlap="1" wp14:anchorId="5F73C9A0" wp14:editId="280EAF2D">
            <wp:simplePos x="0" y="0"/>
            <wp:positionH relativeFrom="column">
              <wp:posOffset>2509520</wp:posOffset>
            </wp:positionH>
            <wp:positionV relativeFrom="paragraph">
              <wp:posOffset>0</wp:posOffset>
            </wp:positionV>
            <wp:extent cx="1486535" cy="1436651"/>
            <wp:effectExtent l="0" t="0" r="12065" b="0"/>
            <wp:wrapTopAndBottom/>
            <wp:docPr id="1" name="Picture 1" descr="El logotipo es el símbolo femenino con las letras W y E dentro de la parte circular. Las palabras &quot;Women Enabled International&quot; están centradas debaj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I door art.pdf"/>
                    <pic:cNvPicPr/>
                  </pic:nvPicPr>
                  <pic:blipFill>
                    <a:blip r:embed="rId10">
                      <a:extLst>
                        <a:ext uri="{28A0092B-C50C-407E-A947-70E740481C1C}">
                          <a14:useLocalDpi xmlns:a14="http://schemas.microsoft.com/office/drawing/2010/main" val="0"/>
                        </a:ext>
                      </a:extLst>
                    </a:blip>
                    <a:stretch>
                      <a:fillRect/>
                    </a:stretch>
                  </pic:blipFill>
                  <pic:spPr>
                    <a:xfrm>
                      <a:off x="0" y="0"/>
                      <a:ext cx="1486535" cy="1436651"/>
                    </a:xfrm>
                    <a:prstGeom prst="rect">
                      <a:avLst/>
                    </a:prstGeom>
                  </pic:spPr>
                </pic:pic>
              </a:graphicData>
            </a:graphic>
            <wp14:sizeRelH relativeFrom="page">
              <wp14:pctWidth>0</wp14:pctWidth>
            </wp14:sizeRelH>
            <wp14:sizeRelV relativeFrom="page">
              <wp14:pctHeight>0</wp14:pctHeight>
            </wp14:sizeRelV>
          </wp:anchor>
        </w:drawing>
      </w:r>
    </w:p>
    <w:p w14:paraId="6D145A4E" w14:textId="77777777" w:rsidR="0049019C" w:rsidRDefault="0049019C">
      <w:pPr>
        <w:sectPr w:rsidR="0049019C" w:rsidSect="00307769">
          <w:footerReference w:type="first" r:id="rId11"/>
          <w:pgSz w:w="12240" w:h="15840" w:code="1"/>
          <w:pgMar w:top="576" w:right="1008" w:bottom="1440" w:left="1008" w:header="720" w:footer="720" w:gutter="0"/>
          <w:pgNumType w:fmt="lowerRoman" w:start="1"/>
          <w:cols w:space="720"/>
          <w:titlePg/>
          <w:docGrid w:linePitch="326"/>
        </w:sectPr>
      </w:pPr>
    </w:p>
    <w:p w14:paraId="40D94FBB" w14:textId="77777777" w:rsidR="0049019C" w:rsidRDefault="0049019C"/>
    <w:p w14:paraId="6BD49A43" w14:textId="77777777" w:rsidR="0049019C" w:rsidRDefault="0049019C">
      <w:pPr>
        <w:pStyle w:val="Title"/>
        <w:pBdr>
          <w:bottom w:val="none" w:sz="0" w:space="0" w:color="auto"/>
        </w:pBdr>
        <w:jc w:val="center"/>
        <w:rPr>
          <w:rFonts w:ascii="Franklin Gothic Demi" w:hAnsi="Franklin Gothic Demi"/>
          <w:b w:val="0"/>
        </w:rPr>
      </w:pPr>
    </w:p>
    <w:p w14:paraId="562EFAAB" w14:textId="77777777" w:rsidR="0049019C" w:rsidRDefault="0049019C">
      <w:pPr>
        <w:spacing w:after="0"/>
        <w:jc w:val="left"/>
        <w:rPr>
          <w:rStyle w:val="Bolderbold"/>
        </w:rPr>
      </w:pPr>
    </w:p>
    <w:p w14:paraId="6353558D" w14:textId="77777777" w:rsidR="0049019C" w:rsidRDefault="0049019C">
      <w:pPr>
        <w:spacing w:after="0"/>
        <w:jc w:val="left"/>
        <w:rPr>
          <w:rStyle w:val="Bolderbold"/>
        </w:rPr>
      </w:pPr>
    </w:p>
    <w:p w14:paraId="0F05DD7D" w14:textId="77777777" w:rsidR="0049019C" w:rsidRDefault="0049019C">
      <w:pPr>
        <w:spacing w:after="0"/>
        <w:jc w:val="left"/>
        <w:rPr>
          <w:rStyle w:val="Bolderbold"/>
        </w:rPr>
      </w:pPr>
    </w:p>
    <w:p w14:paraId="6F0EC106" w14:textId="77777777" w:rsidR="0049019C" w:rsidRDefault="0049019C">
      <w:pPr>
        <w:spacing w:after="0"/>
        <w:jc w:val="left"/>
        <w:rPr>
          <w:rStyle w:val="Bolderbold"/>
        </w:rPr>
      </w:pPr>
    </w:p>
    <w:p w14:paraId="2410015C" w14:textId="77777777" w:rsidR="0049019C" w:rsidRDefault="0049019C">
      <w:pPr>
        <w:spacing w:after="0"/>
        <w:jc w:val="left"/>
        <w:rPr>
          <w:rStyle w:val="Bolderbold"/>
        </w:rPr>
      </w:pPr>
    </w:p>
    <w:p w14:paraId="1510FBC5" w14:textId="77777777" w:rsidR="0049019C" w:rsidRDefault="0049019C">
      <w:pPr>
        <w:spacing w:after="0"/>
        <w:jc w:val="left"/>
        <w:rPr>
          <w:rStyle w:val="Bolderbold"/>
        </w:rPr>
      </w:pPr>
    </w:p>
    <w:p w14:paraId="479763C5" w14:textId="77777777" w:rsidR="0049019C" w:rsidRDefault="0049019C">
      <w:pPr>
        <w:spacing w:after="0"/>
        <w:jc w:val="left"/>
        <w:rPr>
          <w:rStyle w:val="Bolderbold"/>
        </w:rPr>
      </w:pPr>
    </w:p>
    <w:p w14:paraId="15DB670B" w14:textId="77777777" w:rsidR="0049019C" w:rsidRDefault="0049019C">
      <w:pPr>
        <w:spacing w:after="0"/>
        <w:jc w:val="left"/>
        <w:rPr>
          <w:rStyle w:val="Bolderbold"/>
        </w:rPr>
      </w:pPr>
    </w:p>
    <w:p w14:paraId="1D0CC8BF" w14:textId="77777777" w:rsidR="0049019C" w:rsidRDefault="0049019C">
      <w:pPr>
        <w:spacing w:after="0"/>
        <w:jc w:val="left"/>
        <w:rPr>
          <w:rStyle w:val="Bolderbold"/>
        </w:rPr>
      </w:pPr>
    </w:p>
    <w:p w14:paraId="0E7E0043" w14:textId="77777777" w:rsidR="0049019C" w:rsidRDefault="0049019C">
      <w:pPr>
        <w:spacing w:after="0"/>
        <w:jc w:val="left"/>
        <w:rPr>
          <w:rStyle w:val="Bolderbold"/>
        </w:rPr>
      </w:pPr>
    </w:p>
    <w:p w14:paraId="12DCB8A6" w14:textId="77777777" w:rsidR="0049019C" w:rsidRDefault="0049019C">
      <w:pPr>
        <w:spacing w:after="0"/>
        <w:jc w:val="left"/>
        <w:rPr>
          <w:rStyle w:val="Bolderbold"/>
        </w:rPr>
      </w:pPr>
    </w:p>
    <w:p w14:paraId="38A47586" w14:textId="77777777" w:rsidR="0049019C" w:rsidRDefault="0049019C">
      <w:pPr>
        <w:spacing w:after="0"/>
        <w:jc w:val="left"/>
        <w:rPr>
          <w:rStyle w:val="Bolderbold"/>
        </w:rPr>
      </w:pPr>
    </w:p>
    <w:p w14:paraId="183D5885" w14:textId="77777777" w:rsidR="0049019C" w:rsidRDefault="0049019C">
      <w:pPr>
        <w:spacing w:after="0"/>
        <w:jc w:val="left"/>
        <w:rPr>
          <w:rStyle w:val="Bolderbold"/>
        </w:rPr>
      </w:pPr>
    </w:p>
    <w:p w14:paraId="04799AB2" w14:textId="77777777" w:rsidR="0049019C" w:rsidRDefault="0049019C">
      <w:pPr>
        <w:spacing w:after="0"/>
        <w:jc w:val="left"/>
        <w:rPr>
          <w:rStyle w:val="Bolderbold"/>
        </w:rPr>
      </w:pPr>
    </w:p>
    <w:p w14:paraId="483050DE" w14:textId="77777777" w:rsidR="0049019C" w:rsidRDefault="0049019C">
      <w:pPr>
        <w:spacing w:after="0"/>
        <w:jc w:val="left"/>
        <w:rPr>
          <w:rStyle w:val="Bolderbold"/>
        </w:rPr>
      </w:pPr>
    </w:p>
    <w:p w14:paraId="009B22F4" w14:textId="77777777" w:rsidR="0049019C" w:rsidRDefault="0049019C">
      <w:pPr>
        <w:spacing w:after="0"/>
        <w:jc w:val="left"/>
        <w:rPr>
          <w:rStyle w:val="Bolderbold"/>
        </w:rPr>
      </w:pPr>
    </w:p>
    <w:p w14:paraId="5A9896FF" w14:textId="77777777" w:rsidR="0049019C" w:rsidRDefault="0049019C">
      <w:pPr>
        <w:spacing w:after="0"/>
        <w:ind w:left="0"/>
        <w:jc w:val="left"/>
        <w:rPr>
          <w:rStyle w:val="Bolderbold"/>
        </w:rPr>
      </w:pPr>
    </w:p>
    <w:p w14:paraId="2AE5A2DC" w14:textId="77777777" w:rsidR="0049019C" w:rsidRDefault="0049019C">
      <w:pPr>
        <w:spacing w:after="0"/>
        <w:ind w:left="0"/>
        <w:jc w:val="left"/>
        <w:rPr>
          <w:rStyle w:val="Bolderbold"/>
        </w:rPr>
      </w:pPr>
    </w:p>
    <w:p w14:paraId="46A59848" w14:textId="77777777" w:rsidR="0049019C" w:rsidRDefault="0049019C">
      <w:pPr>
        <w:spacing w:after="0"/>
        <w:ind w:left="0"/>
        <w:jc w:val="left"/>
        <w:rPr>
          <w:rStyle w:val="Bolderbold"/>
        </w:rPr>
      </w:pPr>
    </w:p>
    <w:p w14:paraId="59CFCB23" w14:textId="77777777" w:rsidR="0049019C" w:rsidRDefault="0049019C">
      <w:pPr>
        <w:spacing w:after="0"/>
        <w:ind w:left="0"/>
        <w:jc w:val="left"/>
        <w:rPr>
          <w:rStyle w:val="Bolderbold"/>
        </w:rPr>
      </w:pPr>
    </w:p>
    <w:p w14:paraId="5C3641F5" w14:textId="017F1C24" w:rsidR="0049019C" w:rsidRDefault="00360557" w:rsidP="00360557">
      <w:pPr>
        <w:spacing w:after="0"/>
        <w:ind w:left="0"/>
        <w:jc w:val="left"/>
        <w:rPr>
          <w:rStyle w:val="Bolderbold"/>
        </w:rPr>
      </w:pPr>
      <w:r>
        <w:rPr>
          <w:rStyle w:val="Bolderbold"/>
        </w:rPr>
        <w:t>© 201</w:t>
      </w:r>
      <w:r w:rsidR="001213FD">
        <w:rPr>
          <w:rStyle w:val="Bolderbold"/>
        </w:rPr>
        <w:t>9</w:t>
      </w:r>
      <w:r>
        <w:rPr>
          <w:rStyle w:val="Bolderbold"/>
        </w:rPr>
        <w:t xml:space="preserve"> Women Enabled International</w:t>
      </w:r>
      <w:r w:rsidR="00CD0EAF">
        <w:rPr>
          <w:rStyle w:val="Bolderbold"/>
        </w:rPr>
        <w:t xml:space="preserve"> </w:t>
      </w:r>
    </w:p>
    <w:p w14:paraId="288D38DD" w14:textId="77777777" w:rsidR="0049019C" w:rsidRDefault="0049019C">
      <w:pPr>
        <w:spacing w:after="0"/>
        <w:jc w:val="left"/>
        <w:rPr>
          <w:rFonts w:eastAsia="Times New Roman" w:cs="Times New Roman"/>
        </w:rPr>
      </w:pPr>
    </w:p>
    <w:p w14:paraId="4CCB2D22" w14:textId="77777777" w:rsidR="0049019C" w:rsidRDefault="00CD0EAF">
      <w:pPr>
        <w:spacing w:after="0"/>
        <w:jc w:val="left"/>
        <w:rPr>
          <w:rFonts w:eastAsia="Times New Roman" w:cs="Times New Roman"/>
        </w:rPr>
      </w:pPr>
      <w:r>
        <w:rPr>
          <w:rFonts w:eastAsia="Times New Roman" w:cs="Times New Roman"/>
        </w:rPr>
        <w:t xml:space="preserve">Impreso en los Estados Unidos </w:t>
      </w:r>
    </w:p>
    <w:p w14:paraId="298F49B2" w14:textId="77777777" w:rsidR="0049019C" w:rsidRDefault="0049019C">
      <w:pPr>
        <w:spacing w:after="0"/>
        <w:jc w:val="left"/>
        <w:rPr>
          <w:rFonts w:eastAsia="Times New Roman" w:cs="Times New Roman"/>
        </w:rPr>
      </w:pPr>
    </w:p>
    <w:p w14:paraId="790AEB0E" w14:textId="699A6D2E" w:rsidR="0049019C" w:rsidRDefault="008774B4">
      <w:pPr>
        <w:spacing w:after="0"/>
        <w:rPr>
          <w:rFonts w:eastAsia="Times New Roman" w:cs="Times New Roman"/>
        </w:rPr>
      </w:pPr>
      <w:r>
        <w:rPr>
          <w:rFonts w:eastAsia="Times New Roman" w:cs="Times New Roman"/>
        </w:rPr>
        <w:t>La i</w:t>
      </w:r>
      <w:r w:rsidR="00CD0EAF">
        <w:rPr>
          <w:rFonts w:eastAsia="Times New Roman" w:cs="Times New Roman"/>
        </w:rPr>
        <w:t>magen de la portada representa a tres mujeres en silueta—</w:t>
      </w:r>
      <w:r>
        <w:rPr>
          <w:rFonts w:eastAsia="Times New Roman" w:cs="Times New Roman"/>
        </w:rPr>
        <w:t xml:space="preserve">una </w:t>
      </w:r>
      <w:r w:rsidR="00CD0EAF">
        <w:rPr>
          <w:rFonts w:eastAsia="Times New Roman" w:cs="Times New Roman"/>
        </w:rPr>
        <w:t xml:space="preserve">usando una muleta de antebrazo, </w:t>
      </w:r>
      <w:r>
        <w:rPr>
          <w:rFonts w:eastAsia="Times New Roman" w:cs="Times New Roman"/>
        </w:rPr>
        <w:t xml:space="preserve">una </w:t>
      </w:r>
      <w:r w:rsidR="00CD0EAF">
        <w:rPr>
          <w:rFonts w:eastAsia="Times New Roman" w:cs="Times New Roman"/>
        </w:rPr>
        <w:t xml:space="preserve">utilizando una silla de ruedas y </w:t>
      </w:r>
      <w:r>
        <w:rPr>
          <w:rFonts w:eastAsia="Times New Roman" w:cs="Times New Roman"/>
        </w:rPr>
        <w:t xml:space="preserve">una </w:t>
      </w:r>
      <w:r w:rsidR="00CD0EAF">
        <w:rPr>
          <w:rFonts w:eastAsia="Times New Roman" w:cs="Times New Roman"/>
        </w:rPr>
        <w:t xml:space="preserve">sin </w:t>
      </w:r>
      <w:r>
        <w:rPr>
          <w:rFonts w:eastAsia="Times New Roman" w:cs="Times New Roman"/>
        </w:rPr>
        <w:t xml:space="preserve">ninguna </w:t>
      </w:r>
      <w:r w:rsidR="00CD0EAF">
        <w:rPr>
          <w:rFonts w:eastAsia="Times New Roman" w:cs="Times New Roman"/>
        </w:rPr>
        <w:t>ayuda para la movilidad</w:t>
      </w:r>
      <w:r>
        <w:rPr>
          <w:rFonts w:eastAsia="Times New Roman" w:cs="Times New Roman"/>
        </w:rPr>
        <w:t>—</w:t>
      </w:r>
      <w:r w:rsidR="00CD0EAF">
        <w:rPr>
          <w:rFonts w:eastAsia="Times New Roman" w:cs="Times New Roman"/>
        </w:rPr>
        <w:t xml:space="preserve"> acerc</w:t>
      </w:r>
      <w:r>
        <w:rPr>
          <w:rFonts w:eastAsia="Times New Roman" w:cs="Times New Roman"/>
        </w:rPr>
        <w:t>ándose</w:t>
      </w:r>
      <w:r w:rsidR="00CD0EAF">
        <w:rPr>
          <w:rFonts w:eastAsia="Times New Roman" w:cs="Times New Roman"/>
        </w:rPr>
        <w:t xml:space="preserve"> a</w:t>
      </w:r>
      <w:r>
        <w:rPr>
          <w:rFonts w:eastAsia="Times New Roman" w:cs="Times New Roman"/>
        </w:rPr>
        <w:t>l edificio de</w:t>
      </w:r>
      <w:r w:rsidR="00CD0EAF">
        <w:rPr>
          <w:rFonts w:eastAsia="Times New Roman" w:cs="Times New Roman"/>
        </w:rPr>
        <w:t xml:space="preserve"> las Naciones Unidas en Ginebra a través de un corredor de banderas de países de todo el mundo.</w:t>
      </w:r>
    </w:p>
    <w:p w14:paraId="32E87D89" w14:textId="0B13AF23" w:rsidR="0049019C" w:rsidRDefault="00CD0EAF">
      <w:pPr>
        <w:spacing w:after="0"/>
        <w:rPr>
          <w:rFonts w:eastAsia="Times New Roman" w:cs="Times New Roman"/>
        </w:rPr>
      </w:pPr>
      <w:r>
        <w:rPr>
          <w:rFonts w:eastAsia="Times New Roman" w:cs="Times New Roman"/>
        </w:rPr>
        <w:br/>
      </w:r>
      <w:r w:rsidR="008774B4">
        <w:rPr>
          <w:rFonts w:eastAsia="Times New Roman" w:cs="Times New Roman"/>
        </w:rPr>
        <w:t>Crédito de la foto:</w:t>
      </w:r>
    </w:p>
    <w:p w14:paraId="1A8D5985" w14:textId="19D58061" w:rsidR="00330543" w:rsidRDefault="00CD0EAF">
      <w:pPr>
        <w:spacing w:after="0"/>
        <w:rPr>
          <w:rFonts w:eastAsia="Times New Roman" w:cs="Times New Roman"/>
        </w:rPr>
      </w:pPr>
      <w:r>
        <w:rPr>
          <w:rFonts w:eastAsia="Times New Roman" w:cs="Times New Roman"/>
        </w:rPr>
        <w:t>El</w:t>
      </w:r>
      <w:r w:rsidR="008774B4">
        <w:rPr>
          <w:rFonts w:eastAsia="Times New Roman" w:cs="Times New Roman"/>
        </w:rPr>
        <w:t xml:space="preserve"> </w:t>
      </w:r>
      <w:r>
        <w:rPr>
          <w:rFonts w:eastAsia="Times New Roman" w:cs="Times New Roman"/>
        </w:rPr>
        <w:t>"Allée des drapeaux"</w:t>
      </w:r>
      <w:r w:rsidR="00977198">
        <w:rPr>
          <w:rFonts w:eastAsia="Times New Roman" w:cs="Times New Roman"/>
        </w:rPr>
        <w:t xml:space="preserve"> </w:t>
      </w:r>
      <w:r>
        <w:rPr>
          <w:rFonts w:eastAsia="Times New Roman" w:cs="Times New Roman"/>
        </w:rPr>
        <w:t>("</w:t>
      </w:r>
      <w:r w:rsidR="008774B4">
        <w:rPr>
          <w:rFonts w:eastAsia="Times New Roman" w:cs="Times New Roman"/>
        </w:rPr>
        <w:t xml:space="preserve">Camino </w:t>
      </w:r>
      <w:r>
        <w:rPr>
          <w:rFonts w:eastAsia="Times New Roman" w:cs="Times New Roman"/>
        </w:rPr>
        <w:t>de banderas") en el Pala</w:t>
      </w:r>
      <w:r w:rsidR="008774B4">
        <w:rPr>
          <w:rFonts w:eastAsia="Times New Roman" w:cs="Times New Roman"/>
        </w:rPr>
        <w:t>cio</w:t>
      </w:r>
      <w:r>
        <w:rPr>
          <w:rFonts w:eastAsia="Times New Roman" w:cs="Times New Roman"/>
        </w:rPr>
        <w:t xml:space="preserve"> de Na</w:t>
      </w:r>
      <w:r w:rsidR="008774B4">
        <w:rPr>
          <w:rFonts w:eastAsia="Times New Roman" w:cs="Times New Roman"/>
        </w:rPr>
        <w:t>cione</w:t>
      </w:r>
      <w:r>
        <w:rPr>
          <w:rFonts w:eastAsia="Times New Roman" w:cs="Times New Roman"/>
        </w:rPr>
        <w:t xml:space="preserve">s, sede de la </w:t>
      </w:r>
      <w:r w:rsidR="008774B4">
        <w:rPr>
          <w:rFonts w:eastAsia="Times New Roman" w:cs="Times New Roman"/>
        </w:rPr>
        <w:t>O</w:t>
      </w:r>
      <w:r>
        <w:rPr>
          <w:rFonts w:eastAsia="Times New Roman" w:cs="Times New Roman"/>
        </w:rPr>
        <w:t>ficina de las Naciones Unidas en Ginebra (ONUG)."</w:t>
      </w:r>
    </w:p>
    <w:p w14:paraId="1C24B794" w14:textId="402D2744" w:rsidR="0049019C" w:rsidRDefault="00CD0EAF" w:rsidP="000D30E9">
      <w:pPr>
        <w:pStyle w:val="NormalIndented"/>
        <w:rPr>
          <w:rFonts w:ascii="Franklin Gothic Demi" w:hAnsi="Franklin Gothic Demi"/>
        </w:rPr>
      </w:pPr>
      <w:r>
        <w:t>Fotógrafo: Jean-Marc Ferré. Derechos de autor © Naciones Unidas 2015.</w:t>
      </w:r>
    </w:p>
    <w:p w14:paraId="47A37531" w14:textId="77777777" w:rsidR="0049019C" w:rsidRDefault="0049019C">
      <w:pPr>
        <w:spacing w:after="0"/>
        <w:jc w:val="left"/>
        <w:rPr>
          <w:rFonts w:eastAsia="Times New Roman" w:cs="Times New Roman"/>
        </w:rPr>
      </w:pPr>
    </w:p>
    <w:p w14:paraId="64D3BD21" w14:textId="20F388BF" w:rsidR="0049019C" w:rsidRDefault="00CD0EAF">
      <w:pPr>
        <w:spacing w:after="0"/>
        <w:jc w:val="left"/>
        <w:rPr>
          <w:rFonts w:eastAsia="Times New Roman" w:cs="Times New Roman"/>
        </w:rPr>
      </w:pPr>
      <w:r>
        <w:rPr>
          <w:rFonts w:eastAsia="Times New Roman" w:cs="Times New Roman"/>
        </w:rPr>
        <w:t>Cualquier parte de esta publicación puede ser copiad</w:t>
      </w:r>
      <w:r w:rsidR="008774B4">
        <w:rPr>
          <w:rFonts w:eastAsia="Times New Roman" w:cs="Times New Roman"/>
        </w:rPr>
        <w:t>a</w:t>
      </w:r>
      <w:r>
        <w:rPr>
          <w:rFonts w:eastAsia="Times New Roman" w:cs="Times New Roman"/>
        </w:rPr>
        <w:t>, traducid</w:t>
      </w:r>
      <w:r w:rsidR="008774B4">
        <w:rPr>
          <w:rFonts w:eastAsia="Times New Roman" w:cs="Times New Roman"/>
        </w:rPr>
        <w:t>a</w:t>
      </w:r>
      <w:r>
        <w:rPr>
          <w:rFonts w:eastAsia="Times New Roman" w:cs="Times New Roman"/>
        </w:rPr>
        <w:t xml:space="preserve"> o adaptad</w:t>
      </w:r>
      <w:r w:rsidR="008774B4">
        <w:rPr>
          <w:rFonts w:eastAsia="Times New Roman" w:cs="Times New Roman"/>
        </w:rPr>
        <w:t>a</w:t>
      </w:r>
      <w:r>
        <w:rPr>
          <w:rFonts w:eastAsia="Times New Roman" w:cs="Times New Roman"/>
        </w:rPr>
        <w:t xml:space="preserve"> con permiso de los autores, siempre y cuando las partes copiadas se distribuy</w:t>
      </w:r>
      <w:r w:rsidR="00EF38EC">
        <w:rPr>
          <w:rFonts w:eastAsia="Times New Roman" w:cs="Times New Roman"/>
        </w:rPr>
        <w:t>a</w:t>
      </w:r>
      <w:r>
        <w:rPr>
          <w:rFonts w:eastAsia="Times New Roman" w:cs="Times New Roman"/>
        </w:rPr>
        <w:t xml:space="preserve">n gratis o al costo (sin fines de lucro) y </w:t>
      </w:r>
      <w:r w:rsidR="008774B4" w:rsidRPr="00CF463C">
        <w:rPr>
          <w:rFonts w:eastAsia="Times New Roman" w:cs="Times New Roman"/>
          <w:lang w:eastAsia="en-US"/>
        </w:rPr>
        <w:t>Women Enabled International</w:t>
      </w:r>
      <w:r>
        <w:rPr>
          <w:rFonts w:eastAsia="Times New Roman" w:cs="Times New Roman"/>
        </w:rPr>
        <w:t xml:space="preserve"> s</w:t>
      </w:r>
      <w:r w:rsidR="00EF38EC">
        <w:rPr>
          <w:rFonts w:eastAsia="Times New Roman" w:cs="Times New Roman"/>
        </w:rPr>
        <w:t>ea</w:t>
      </w:r>
      <w:r>
        <w:rPr>
          <w:rFonts w:eastAsia="Times New Roman" w:cs="Times New Roman"/>
        </w:rPr>
        <w:t xml:space="preserve"> reconocid</w:t>
      </w:r>
      <w:r w:rsidR="00EF38EC">
        <w:rPr>
          <w:rFonts w:eastAsia="Times New Roman" w:cs="Times New Roman"/>
        </w:rPr>
        <w:t>a</w:t>
      </w:r>
      <w:r>
        <w:rPr>
          <w:rFonts w:eastAsia="Times New Roman" w:cs="Times New Roman"/>
        </w:rPr>
        <w:t xml:space="preserve"> como autor. Cualquier reproducción comercial requiere permiso previo por escrito de los autores. </w:t>
      </w:r>
      <w:r w:rsidR="00EF38EC" w:rsidRPr="00CF463C">
        <w:rPr>
          <w:rFonts w:eastAsia="Times New Roman" w:cs="Times New Roman"/>
          <w:lang w:eastAsia="en-US"/>
        </w:rPr>
        <w:t xml:space="preserve">Women Enabled International </w:t>
      </w:r>
      <w:r>
        <w:rPr>
          <w:rFonts w:eastAsia="Times New Roman" w:cs="Times New Roman"/>
        </w:rPr>
        <w:t>apreciaría recibir una copia de cualquier material en el cual se utiliza información de esta publicación.</w:t>
      </w:r>
    </w:p>
    <w:p w14:paraId="2A0B7D25" w14:textId="77777777" w:rsidR="0049019C" w:rsidRDefault="0049019C">
      <w:pPr>
        <w:spacing w:after="0"/>
        <w:jc w:val="left"/>
        <w:rPr>
          <w:rFonts w:eastAsia="Times New Roman" w:cs="Times New Roman"/>
        </w:rPr>
      </w:pPr>
    </w:p>
    <w:p w14:paraId="15CCCC56" w14:textId="49FDD4BD" w:rsidR="0049019C" w:rsidRPr="00330543" w:rsidRDefault="00360557">
      <w:pPr>
        <w:spacing w:after="0"/>
        <w:jc w:val="left"/>
        <w:rPr>
          <w:rFonts w:ascii="Franklin Gothic Demi" w:eastAsia="Times New Roman" w:hAnsi="Franklin Gothic Demi" w:cs="Times New Roman"/>
        </w:rPr>
      </w:pPr>
      <w:r w:rsidRPr="00330543">
        <w:rPr>
          <w:rFonts w:ascii="Franklin Gothic Demi" w:eastAsia="Times New Roman" w:hAnsi="Franklin Gothic Demi" w:cs="Times New Roman"/>
        </w:rPr>
        <w:t>Women Enabled International</w:t>
      </w:r>
    </w:p>
    <w:p w14:paraId="6CC7B530" w14:textId="41A397CC" w:rsidR="0049019C" w:rsidRPr="00330543" w:rsidRDefault="00CD0EAF">
      <w:pPr>
        <w:spacing w:after="0"/>
        <w:jc w:val="left"/>
        <w:rPr>
          <w:rFonts w:eastAsia="Times New Roman" w:cs="Times New Roman"/>
        </w:rPr>
      </w:pPr>
      <w:r w:rsidRPr="00330543">
        <w:rPr>
          <w:rFonts w:eastAsia="Times New Roman" w:cs="Times New Roman"/>
        </w:rPr>
        <w:t xml:space="preserve">1875 Connecticut Ave., NW, </w:t>
      </w:r>
      <w:r w:rsidR="00EF38EC" w:rsidRPr="00330543">
        <w:rPr>
          <w:rFonts w:eastAsia="Times New Roman" w:cs="Times New Roman"/>
        </w:rPr>
        <w:t xml:space="preserve">Piso </w:t>
      </w:r>
      <w:r w:rsidRPr="00330543">
        <w:rPr>
          <w:rFonts w:eastAsia="Times New Roman" w:cs="Times New Roman"/>
        </w:rPr>
        <w:t>10</w:t>
      </w:r>
    </w:p>
    <w:p w14:paraId="447EEA3F" w14:textId="77777777" w:rsidR="0049019C" w:rsidRDefault="00CD0EAF">
      <w:pPr>
        <w:spacing w:after="0"/>
        <w:jc w:val="left"/>
        <w:rPr>
          <w:rFonts w:eastAsia="Times New Roman" w:cs="Times New Roman"/>
        </w:rPr>
      </w:pPr>
      <w:r>
        <w:rPr>
          <w:rFonts w:eastAsia="Times New Roman" w:cs="Times New Roman"/>
        </w:rPr>
        <w:t>Washington, D.C. 20009</w:t>
      </w:r>
    </w:p>
    <w:p w14:paraId="53ED5DCF" w14:textId="77777777" w:rsidR="0049019C" w:rsidRDefault="00CD0EAF">
      <w:pPr>
        <w:spacing w:after="0"/>
        <w:jc w:val="left"/>
        <w:rPr>
          <w:rFonts w:eastAsia="Times New Roman" w:cs="Times New Roman"/>
        </w:rPr>
      </w:pPr>
      <w:r>
        <w:rPr>
          <w:rFonts w:eastAsia="Times New Roman" w:cs="Times New Roman"/>
        </w:rPr>
        <w:t>Estados Unidos</w:t>
      </w:r>
    </w:p>
    <w:p w14:paraId="5434AFC1" w14:textId="77777777" w:rsidR="0049019C" w:rsidRDefault="0049019C">
      <w:pPr>
        <w:spacing w:after="0"/>
        <w:jc w:val="left"/>
        <w:rPr>
          <w:rFonts w:eastAsia="Times New Roman" w:cs="Times New Roman"/>
        </w:rPr>
      </w:pPr>
    </w:p>
    <w:p w14:paraId="04476BFD" w14:textId="3C0345C0" w:rsidR="0049019C" w:rsidRDefault="00EF38EC">
      <w:pPr>
        <w:spacing w:after="0"/>
        <w:jc w:val="left"/>
        <w:rPr>
          <w:rFonts w:eastAsia="Times New Roman" w:cs="Times New Roman"/>
        </w:rPr>
      </w:pPr>
      <w:r>
        <w:rPr>
          <w:rFonts w:eastAsia="Times New Roman" w:cs="Times New Roman"/>
        </w:rPr>
        <w:t xml:space="preserve">Tel. </w:t>
      </w:r>
      <w:r w:rsidR="00CD0EAF">
        <w:rPr>
          <w:rFonts w:eastAsia="Times New Roman" w:cs="Times New Roman"/>
        </w:rPr>
        <w:t xml:space="preserve">1.202.630.3818 </w:t>
      </w:r>
    </w:p>
    <w:p w14:paraId="43067977" w14:textId="77777777" w:rsidR="0049019C" w:rsidRDefault="0049019C">
      <w:pPr>
        <w:spacing w:after="0"/>
        <w:jc w:val="left"/>
        <w:rPr>
          <w:rFonts w:eastAsia="Times New Roman" w:cs="Times New Roman"/>
        </w:rPr>
      </w:pPr>
    </w:p>
    <w:p w14:paraId="6A6E98AE" w14:textId="77777777" w:rsidR="0049019C" w:rsidRDefault="00CD0EAF">
      <w:pPr>
        <w:spacing w:after="0"/>
        <w:jc w:val="left"/>
        <w:rPr>
          <w:rFonts w:eastAsia="Times New Roman" w:cs="Times New Roman"/>
        </w:rPr>
      </w:pPr>
      <w:r>
        <w:rPr>
          <w:rFonts w:eastAsia="Times New Roman" w:cs="Times New Roman"/>
        </w:rPr>
        <w:t>info@womenenabled.org</w:t>
      </w:r>
    </w:p>
    <w:p w14:paraId="2FE42BDF" w14:textId="77777777" w:rsidR="0049019C" w:rsidRDefault="00CD0EAF">
      <w:pPr>
        <w:spacing w:after="0"/>
        <w:jc w:val="left"/>
        <w:rPr>
          <w:rFonts w:eastAsia="Times New Roman" w:cs="Times New Roman"/>
        </w:rPr>
        <w:sectPr w:rsidR="0049019C" w:rsidSect="007100B9">
          <w:footerReference w:type="even" r:id="rId12"/>
          <w:footerReference w:type="default" r:id="rId13"/>
          <w:pgSz w:w="12240" w:h="15840" w:code="1"/>
          <w:pgMar w:top="576" w:right="1008" w:bottom="1440" w:left="1008" w:header="720" w:footer="720" w:gutter="0"/>
          <w:pgNumType w:fmt="lowerRoman" w:start="2"/>
          <w:cols w:space="720"/>
          <w:titlePg/>
          <w:docGrid w:linePitch="326"/>
        </w:sectPr>
      </w:pPr>
      <w:r>
        <w:rPr>
          <w:rFonts w:eastAsia="Times New Roman" w:cs="Times New Roman"/>
        </w:rPr>
        <w:t xml:space="preserve">www.womenenabled.org </w:t>
      </w:r>
    </w:p>
    <w:p w14:paraId="262FA202" w14:textId="77777777" w:rsidR="0049019C" w:rsidRDefault="0049019C">
      <w:pPr>
        <w:spacing w:after="0"/>
        <w:jc w:val="left"/>
      </w:pPr>
    </w:p>
    <w:sdt>
      <w:sdtPr>
        <w:rPr>
          <w:rFonts w:ascii="Times New Roman" w:eastAsiaTheme="minorHAnsi" w:hAnsi="Times New Roman" w:cstheme="minorBidi"/>
          <w:b w:val="0"/>
          <w:bCs w:val="0"/>
          <w:noProof/>
          <w:color w:val="auto"/>
          <w:spacing w:val="0"/>
          <w:kern w:val="20"/>
          <w:sz w:val="24"/>
          <w:szCs w:val="22"/>
        </w:rPr>
        <w:id w:val="326332398"/>
        <w:docPartObj>
          <w:docPartGallery w:val="Table of Contents"/>
          <w:docPartUnique/>
        </w:docPartObj>
      </w:sdtPr>
      <w:sdtEndPr>
        <w:rPr>
          <w:rFonts w:ascii="Franklin Gothic Demi" w:eastAsiaTheme="minorEastAsia" w:hAnsi="Franklin Gothic Demi" w:cs="Times New Roman"/>
          <w:color w:val="7E599A"/>
          <w:spacing w:val="-5"/>
          <w:sz w:val="22"/>
        </w:rPr>
      </w:sdtEndPr>
      <w:sdtContent>
        <w:p w14:paraId="091B04AB" w14:textId="7635B955" w:rsidR="0049019C" w:rsidRPr="004B2C96" w:rsidRDefault="00CD0EAF">
          <w:pPr>
            <w:pStyle w:val="TitlePageTitle"/>
            <w:ind w:right="234"/>
            <w:rPr>
              <w:b w:val="0"/>
            </w:rPr>
          </w:pPr>
          <w:r w:rsidRPr="004B2C96">
            <w:rPr>
              <w:b w:val="0"/>
            </w:rPr>
            <w:t>Índice</w:t>
          </w:r>
        </w:p>
        <w:p w14:paraId="3EE58CDA" w14:textId="13861779" w:rsidR="003B04B7" w:rsidRDefault="003B04B7">
          <w:pPr>
            <w:pStyle w:val="TOC1"/>
            <w:rPr>
              <w:rFonts w:asciiTheme="minorHAnsi" w:hAnsiTheme="minorHAnsi" w:cstheme="minorBidi"/>
              <w:color w:val="auto"/>
              <w:spacing w:val="0"/>
              <w:kern w:val="0"/>
              <w:lang w:eastAsia="en-US"/>
            </w:rPr>
          </w:pPr>
          <w:r>
            <w:rPr>
              <w:b/>
              <w:caps/>
            </w:rPr>
            <w:fldChar w:fldCharType="begin"/>
          </w:r>
          <w:r>
            <w:rPr>
              <w:b/>
              <w:caps/>
            </w:rPr>
            <w:instrText xml:space="preserve"> TOC \o "1-2" \h \z </w:instrText>
          </w:r>
          <w:r>
            <w:rPr>
              <w:b/>
              <w:caps/>
            </w:rPr>
            <w:fldChar w:fldCharType="separate"/>
          </w:r>
          <w:hyperlink w:anchor="_Toc5974900" w:history="1">
            <w:r w:rsidRPr="00A3574A">
              <w:rPr>
                <w:rStyle w:val="Hyperlink"/>
              </w:rPr>
              <w:t>Agradecimientos</w:t>
            </w:r>
            <w:r w:rsidRPr="003B04B7">
              <w:rPr>
                <w:rFonts w:ascii="Franklin Gothic Book" w:hAnsi="Franklin Gothic Book"/>
                <w:webHidden/>
              </w:rPr>
              <w:tab/>
            </w:r>
            <w:r>
              <w:rPr>
                <w:webHidden/>
              </w:rPr>
              <w:fldChar w:fldCharType="begin"/>
            </w:r>
            <w:r>
              <w:rPr>
                <w:webHidden/>
              </w:rPr>
              <w:instrText xml:space="preserve"> PAGEREF _Toc5974900 \h </w:instrText>
            </w:r>
            <w:r>
              <w:rPr>
                <w:webHidden/>
              </w:rPr>
            </w:r>
            <w:r>
              <w:rPr>
                <w:webHidden/>
              </w:rPr>
              <w:fldChar w:fldCharType="separate"/>
            </w:r>
            <w:r>
              <w:rPr>
                <w:webHidden/>
              </w:rPr>
              <w:t>ii</w:t>
            </w:r>
            <w:r>
              <w:rPr>
                <w:webHidden/>
              </w:rPr>
              <w:fldChar w:fldCharType="end"/>
            </w:r>
          </w:hyperlink>
        </w:p>
        <w:p w14:paraId="07595A72" w14:textId="081D5961" w:rsidR="003B04B7" w:rsidRDefault="006C43B8">
          <w:pPr>
            <w:pStyle w:val="TOC1"/>
            <w:rPr>
              <w:rFonts w:asciiTheme="minorHAnsi" w:hAnsiTheme="minorHAnsi" w:cstheme="minorBidi"/>
              <w:color w:val="auto"/>
              <w:spacing w:val="0"/>
              <w:kern w:val="0"/>
              <w:lang w:eastAsia="en-US"/>
            </w:rPr>
          </w:pPr>
          <w:hyperlink w:anchor="_Toc5974901" w:history="1">
            <w:r w:rsidR="003B04B7" w:rsidRPr="00A3574A">
              <w:rPr>
                <w:rStyle w:val="Hyperlink"/>
              </w:rPr>
              <w:t>Uso de este Documento Informativo</w:t>
            </w:r>
            <w:r w:rsidR="003B04B7" w:rsidRPr="003B04B7">
              <w:rPr>
                <w:rFonts w:ascii="Franklin Gothic Book" w:hAnsi="Franklin Gothic Book"/>
                <w:webHidden/>
              </w:rPr>
              <w:tab/>
            </w:r>
            <w:r w:rsidR="003B04B7">
              <w:rPr>
                <w:webHidden/>
              </w:rPr>
              <w:fldChar w:fldCharType="begin"/>
            </w:r>
            <w:r w:rsidR="003B04B7">
              <w:rPr>
                <w:webHidden/>
              </w:rPr>
              <w:instrText xml:space="preserve"> PAGEREF _Toc5974901 \h </w:instrText>
            </w:r>
            <w:r w:rsidR="003B04B7">
              <w:rPr>
                <w:webHidden/>
              </w:rPr>
            </w:r>
            <w:r w:rsidR="003B04B7">
              <w:rPr>
                <w:webHidden/>
              </w:rPr>
              <w:fldChar w:fldCharType="separate"/>
            </w:r>
            <w:r w:rsidR="003B04B7">
              <w:rPr>
                <w:webHidden/>
              </w:rPr>
              <w:t>1</w:t>
            </w:r>
            <w:r w:rsidR="003B04B7">
              <w:rPr>
                <w:webHidden/>
              </w:rPr>
              <w:fldChar w:fldCharType="end"/>
            </w:r>
          </w:hyperlink>
        </w:p>
        <w:p w14:paraId="09EF7353" w14:textId="6EAF56EB" w:rsidR="003B04B7" w:rsidRDefault="006C43B8" w:rsidP="003B04B7">
          <w:pPr>
            <w:pStyle w:val="TOC1"/>
            <w:ind w:left="1080" w:firstLine="0"/>
            <w:rPr>
              <w:rFonts w:asciiTheme="minorHAnsi" w:hAnsiTheme="minorHAnsi" w:cstheme="minorBidi"/>
              <w:color w:val="auto"/>
              <w:spacing w:val="0"/>
              <w:kern w:val="0"/>
              <w:lang w:eastAsia="en-US"/>
            </w:rPr>
          </w:pPr>
          <w:hyperlink w:anchor="_Toc5974902" w:history="1">
            <w:r w:rsidR="003B04B7" w:rsidRPr="00A3574A">
              <w:rPr>
                <w:rStyle w:val="Hyperlink"/>
              </w:rPr>
              <w:t>Derechos y Salud Sexual y Reproductiva de las Mujeres y las Niñas</w:t>
            </w:r>
            <w:r w:rsidR="003B04B7">
              <w:rPr>
                <w:rStyle w:val="Hyperlink"/>
              </w:rPr>
              <w:br/>
            </w:r>
            <w:r w:rsidR="003B04B7" w:rsidRPr="00A3574A">
              <w:rPr>
                <w:rStyle w:val="Hyperlink"/>
              </w:rPr>
              <w:t>con Discapacidad: Panorama General</w:t>
            </w:r>
            <w:r w:rsidR="003B04B7" w:rsidRPr="003B04B7">
              <w:rPr>
                <w:rFonts w:ascii="Franklin Gothic Book" w:hAnsi="Franklin Gothic Book"/>
                <w:webHidden/>
              </w:rPr>
              <w:tab/>
            </w:r>
            <w:r w:rsidR="003B04B7" w:rsidRPr="00626A8E">
              <w:rPr>
                <w:webHidden/>
                <w:sz w:val="23"/>
                <w:szCs w:val="23"/>
              </w:rPr>
              <w:fldChar w:fldCharType="begin"/>
            </w:r>
            <w:r w:rsidR="003B04B7" w:rsidRPr="00626A8E">
              <w:rPr>
                <w:webHidden/>
                <w:sz w:val="23"/>
                <w:szCs w:val="23"/>
              </w:rPr>
              <w:instrText xml:space="preserve"> PAGEREF _Toc5974902 \h </w:instrText>
            </w:r>
            <w:r w:rsidR="003B04B7" w:rsidRPr="00626A8E">
              <w:rPr>
                <w:webHidden/>
                <w:sz w:val="23"/>
                <w:szCs w:val="23"/>
              </w:rPr>
            </w:r>
            <w:r w:rsidR="003B04B7" w:rsidRPr="00626A8E">
              <w:rPr>
                <w:webHidden/>
                <w:sz w:val="23"/>
                <w:szCs w:val="23"/>
              </w:rPr>
              <w:fldChar w:fldCharType="separate"/>
            </w:r>
            <w:r w:rsidR="003B04B7" w:rsidRPr="00626A8E">
              <w:rPr>
                <w:webHidden/>
                <w:sz w:val="23"/>
                <w:szCs w:val="23"/>
              </w:rPr>
              <w:t>3</w:t>
            </w:r>
            <w:r w:rsidR="003B04B7" w:rsidRPr="00626A8E">
              <w:rPr>
                <w:webHidden/>
                <w:sz w:val="23"/>
                <w:szCs w:val="23"/>
              </w:rPr>
              <w:fldChar w:fldCharType="end"/>
            </w:r>
          </w:hyperlink>
        </w:p>
        <w:p w14:paraId="28546692" w14:textId="269D89E0" w:rsidR="003B04B7" w:rsidRDefault="006C43B8">
          <w:pPr>
            <w:pStyle w:val="TOC1"/>
            <w:rPr>
              <w:rFonts w:asciiTheme="minorHAnsi" w:hAnsiTheme="minorHAnsi" w:cstheme="minorBidi"/>
              <w:color w:val="auto"/>
              <w:spacing w:val="0"/>
              <w:kern w:val="0"/>
              <w:lang w:eastAsia="en-US"/>
            </w:rPr>
          </w:pPr>
          <w:hyperlink w:anchor="_Toc5974906" w:history="1">
            <w:r w:rsidR="003B04B7" w:rsidRPr="00A3574A">
              <w:rPr>
                <w:rStyle w:val="Hyperlink"/>
              </w:rPr>
              <w:t>Comité de Derechos Humanos</w:t>
            </w:r>
            <w:r w:rsidR="003B04B7" w:rsidRPr="003B04B7">
              <w:rPr>
                <w:rFonts w:ascii="Franklin Gothic Book" w:hAnsi="Franklin Gothic Book"/>
                <w:webHidden/>
              </w:rPr>
              <w:tab/>
            </w:r>
            <w:r w:rsidR="003B04B7" w:rsidRPr="00626A8E">
              <w:rPr>
                <w:webHidden/>
                <w:sz w:val="23"/>
                <w:szCs w:val="23"/>
              </w:rPr>
              <w:fldChar w:fldCharType="begin"/>
            </w:r>
            <w:r w:rsidR="003B04B7" w:rsidRPr="00626A8E">
              <w:rPr>
                <w:webHidden/>
                <w:sz w:val="23"/>
                <w:szCs w:val="23"/>
              </w:rPr>
              <w:instrText xml:space="preserve"> PAGEREF _Toc5974906 \h </w:instrText>
            </w:r>
            <w:r w:rsidR="003B04B7" w:rsidRPr="00626A8E">
              <w:rPr>
                <w:webHidden/>
                <w:sz w:val="23"/>
                <w:szCs w:val="23"/>
              </w:rPr>
            </w:r>
            <w:r w:rsidR="003B04B7" w:rsidRPr="00626A8E">
              <w:rPr>
                <w:webHidden/>
                <w:sz w:val="23"/>
                <w:szCs w:val="23"/>
              </w:rPr>
              <w:fldChar w:fldCharType="separate"/>
            </w:r>
            <w:r w:rsidR="003B04B7" w:rsidRPr="00626A8E">
              <w:rPr>
                <w:webHidden/>
                <w:sz w:val="23"/>
                <w:szCs w:val="23"/>
              </w:rPr>
              <w:t>7</w:t>
            </w:r>
            <w:r w:rsidR="003B04B7" w:rsidRPr="00626A8E">
              <w:rPr>
                <w:webHidden/>
                <w:sz w:val="23"/>
                <w:szCs w:val="23"/>
              </w:rPr>
              <w:fldChar w:fldCharType="end"/>
            </w:r>
          </w:hyperlink>
        </w:p>
        <w:p w14:paraId="48EFC488" w14:textId="31EC4AB8" w:rsidR="003B04B7" w:rsidRDefault="006C43B8">
          <w:pPr>
            <w:pStyle w:val="TOC2"/>
            <w:rPr>
              <w:rFonts w:asciiTheme="minorHAnsi" w:hAnsiTheme="minorHAnsi"/>
              <w:noProof/>
              <w:color w:val="auto"/>
              <w:kern w:val="0"/>
              <w:lang w:eastAsia="en-US"/>
              <w14:numForm w14:val="default"/>
              <w14:numSpacing w14:val="default"/>
            </w:rPr>
          </w:pPr>
          <w:hyperlink w:anchor="_Toc5974907" w:history="1">
            <w:r w:rsidR="003B04B7" w:rsidRPr="00A3574A">
              <w:rPr>
                <w:rStyle w:val="Hyperlink"/>
                <w:noProof/>
              </w:rPr>
              <w:t>Observaciones Generales</w:t>
            </w:r>
            <w:r w:rsidR="003B04B7">
              <w:rPr>
                <w:noProof/>
                <w:webHidden/>
              </w:rPr>
              <w:tab/>
            </w:r>
            <w:r w:rsidR="003B04B7">
              <w:rPr>
                <w:noProof/>
                <w:webHidden/>
              </w:rPr>
              <w:fldChar w:fldCharType="begin"/>
            </w:r>
            <w:r w:rsidR="003B04B7">
              <w:rPr>
                <w:noProof/>
                <w:webHidden/>
              </w:rPr>
              <w:instrText xml:space="preserve"> PAGEREF _Toc5974907 \h </w:instrText>
            </w:r>
            <w:r w:rsidR="003B04B7">
              <w:rPr>
                <w:noProof/>
                <w:webHidden/>
              </w:rPr>
            </w:r>
            <w:r w:rsidR="003B04B7">
              <w:rPr>
                <w:noProof/>
                <w:webHidden/>
              </w:rPr>
              <w:fldChar w:fldCharType="separate"/>
            </w:r>
            <w:r w:rsidR="003B04B7">
              <w:rPr>
                <w:noProof/>
                <w:webHidden/>
              </w:rPr>
              <w:t>7</w:t>
            </w:r>
            <w:r w:rsidR="003B04B7">
              <w:rPr>
                <w:noProof/>
                <w:webHidden/>
              </w:rPr>
              <w:fldChar w:fldCharType="end"/>
            </w:r>
          </w:hyperlink>
        </w:p>
        <w:p w14:paraId="315378EA" w14:textId="52A4D127" w:rsidR="003B04B7" w:rsidRDefault="006C43B8">
          <w:pPr>
            <w:pStyle w:val="TOC2"/>
            <w:rPr>
              <w:rFonts w:asciiTheme="minorHAnsi" w:hAnsiTheme="minorHAnsi"/>
              <w:noProof/>
              <w:color w:val="auto"/>
              <w:kern w:val="0"/>
              <w:lang w:eastAsia="en-US"/>
              <w14:numForm w14:val="default"/>
              <w14:numSpacing w14:val="default"/>
            </w:rPr>
          </w:pPr>
          <w:hyperlink w:anchor="_Toc5974908" w:history="1">
            <w:r w:rsidR="003B04B7" w:rsidRPr="00A3574A">
              <w:rPr>
                <w:rStyle w:val="Hyperlink"/>
                <w:noProof/>
              </w:rPr>
              <w:t>Observaciones Finales</w:t>
            </w:r>
            <w:r w:rsidR="003B04B7">
              <w:rPr>
                <w:noProof/>
                <w:webHidden/>
              </w:rPr>
              <w:tab/>
            </w:r>
            <w:r w:rsidR="003B04B7">
              <w:rPr>
                <w:noProof/>
                <w:webHidden/>
              </w:rPr>
              <w:fldChar w:fldCharType="begin"/>
            </w:r>
            <w:r w:rsidR="003B04B7">
              <w:rPr>
                <w:noProof/>
                <w:webHidden/>
              </w:rPr>
              <w:instrText xml:space="preserve"> PAGEREF _Toc5974908 \h </w:instrText>
            </w:r>
            <w:r w:rsidR="003B04B7">
              <w:rPr>
                <w:noProof/>
                <w:webHidden/>
              </w:rPr>
            </w:r>
            <w:r w:rsidR="003B04B7">
              <w:rPr>
                <w:noProof/>
                <w:webHidden/>
              </w:rPr>
              <w:fldChar w:fldCharType="separate"/>
            </w:r>
            <w:r w:rsidR="003B04B7">
              <w:rPr>
                <w:noProof/>
                <w:webHidden/>
              </w:rPr>
              <w:t>8</w:t>
            </w:r>
            <w:r w:rsidR="003B04B7">
              <w:rPr>
                <w:noProof/>
                <w:webHidden/>
              </w:rPr>
              <w:fldChar w:fldCharType="end"/>
            </w:r>
          </w:hyperlink>
        </w:p>
        <w:p w14:paraId="6A5264E0" w14:textId="3920F414" w:rsidR="003B04B7" w:rsidRDefault="006C43B8">
          <w:pPr>
            <w:pStyle w:val="TOC2"/>
            <w:rPr>
              <w:rFonts w:asciiTheme="minorHAnsi" w:hAnsiTheme="minorHAnsi"/>
              <w:noProof/>
              <w:color w:val="auto"/>
              <w:kern w:val="0"/>
              <w:lang w:eastAsia="en-US"/>
              <w14:numForm w14:val="default"/>
              <w14:numSpacing w14:val="default"/>
            </w:rPr>
          </w:pPr>
          <w:hyperlink w:anchor="_Toc5974909" w:history="1">
            <w:r w:rsidR="003B04B7" w:rsidRPr="00A3574A">
              <w:rPr>
                <w:rStyle w:val="Hyperlink"/>
                <w:noProof/>
              </w:rPr>
              <w:t>Denuncias Individuales</w:t>
            </w:r>
            <w:r w:rsidR="003B04B7">
              <w:rPr>
                <w:noProof/>
                <w:webHidden/>
              </w:rPr>
              <w:tab/>
            </w:r>
            <w:r w:rsidR="003B04B7">
              <w:rPr>
                <w:noProof/>
                <w:webHidden/>
              </w:rPr>
              <w:fldChar w:fldCharType="begin"/>
            </w:r>
            <w:r w:rsidR="003B04B7">
              <w:rPr>
                <w:noProof/>
                <w:webHidden/>
              </w:rPr>
              <w:instrText xml:space="preserve"> PAGEREF _Toc5974909 \h </w:instrText>
            </w:r>
            <w:r w:rsidR="003B04B7">
              <w:rPr>
                <w:noProof/>
                <w:webHidden/>
              </w:rPr>
            </w:r>
            <w:r w:rsidR="003B04B7">
              <w:rPr>
                <w:noProof/>
                <w:webHidden/>
              </w:rPr>
              <w:fldChar w:fldCharType="separate"/>
            </w:r>
            <w:r w:rsidR="003B04B7">
              <w:rPr>
                <w:noProof/>
                <w:webHidden/>
              </w:rPr>
              <w:t>13</w:t>
            </w:r>
            <w:r w:rsidR="003B04B7">
              <w:rPr>
                <w:noProof/>
                <w:webHidden/>
              </w:rPr>
              <w:fldChar w:fldCharType="end"/>
            </w:r>
          </w:hyperlink>
        </w:p>
        <w:p w14:paraId="75F4C43B" w14:textId="049C2B87" w:rsidR="003B04B7" w:rsidRDefault="006C43B8">
          <w:pPr>
            <w:pStyle w:val="TOC2"/>
            <w:rPr>
              <w:rFonts w:asciiTheme="minorHAnsi" w:hAnsiTheme="minorHAnsi"/>
              <w:noProof/>
              <w:color w:val="auto"/>
              <w:kern w:val="0"/>
              <w:lang w:eastAsia="en-US"/>
              <w14:numForm w14:val="default"/>
              <w14:numSpacing w14:val="default"/>
            </w:rPr>
          </w:pPr>
          <w:hyperlink w:anchor="_Toc5974910" w:history="1">
            <w:r w:rsidR="003B04B7" w:rsidRPr="00A3574A">
              <w:rPr>
                <w:rStyle w:val="Hyperlink"/>
                <w:noProof/>
              </w:rPr>
              <w:t>Vacíos en los Estándares</w:t>
            </w:r>
            <w:r w:rsidR="003B04B7">
              <w:rPr>
                <w:noProof/>
                <w:webHidden/>
              </w:rPr>
              <w:tab/>
            </w:r>
            <w:r w:rsidR="003B04B7">
              <w:rPr>
                <w:noProof/>
                <w:webHidden/>
              </w:rPr>
              <w:fldChar w:fldCharType="begin"/>
            </w:r>
            <w:r w:rsidR="003B04B7">
              <w:rPr>
                <w:noProof/>
                <w:webHidden/>
              </w:rPr>
              <w:instrText xml:space="preserve"> PAGEREF _Toc5974910 \h </w:instrText>
            </w:r>
            <w:r w:rsidR="003B04B7">
              <w:rPr>
                <w:noProof/>
                <w:webHidden/>
              </w:rPr>
            </w:r>
            <w:r w:rsidR="003B04B7">
              <w:rPr>
                <w:noProof/>
                <w:webHidden/>
              </w:rPr>
              <w:fldChar w:fldCharType="separate"/>
            </w:r>
            <w:r w:rsidR="003B04B7">
              <w:rPr>
                <w:noProof/>
                <w:webHidden/>
              </w:rPr>
              <w:t>14</w:t>
            </w:r>
            <w:r w:rsidR="003B04B7">
              <w:rPr>
                <w:noProof/>
                <w:webHidden/>
              </w:rPr>
              <w:fldChar w:fldCharType="end"/>
            </w:r>
          </w:hyperlink>
        </w:p>
        <w:p w14:paraId="4A1909FD" w14:textId="59CD8D38" w:rsidR="003B04B7" w:rsidRDefault="006C43B8">
          <w:pPr>
            <w:pStyle w:val="TOC1"/>
            <w:rPr>
              <w:rFonts w:asciiTheme="minorHAnsi" w:hAnsiTheme="minorHAnsi" w:cstheme="minorBidi"/>
              <w:color w:val="auto"/>
              <w:spacing w:val="0"/>
              <w:kern w:val="0"/>
              <w:lang w:eastAsia="en-US"/>
            </w:rPr>
          </w:pPr>
          <w:hyperlink w:anchor="_Toc5974911" w:history="1">
            <w:r w:rsidR="003B04B7" w:rsidRPr="00A3574A">
              <w:rPr>
                <w:rStyle w:val="Hyperlink"/>
              </w:rPr>
              <w:t>Comité de Derechos Económicos, Sociales y Culturales</w:t>
            </w:r>
            <w:r w:rsidR="003B04B7" w:rsidRPr="003B04B7">
              <w:rPr>
                <w:rFonts w:ascii="Franklin Gothic Book" w:hAnsi="Franklin Gothic Book"/>
                <w:webHidden/>
              </w:rPr>
              <w:tab/>
            </w:r>
            <w:r w:rsidR="003B04B7" w:rsidRPr="00626A8E">
              <w:rPr>
                <w:webHidden/>
                <w:sz w:val="23"/>
                <w:szCs w:val="23"/>
              </w:rPr>
              <w:fldChar w:fldCharType="begin"/>
            </w:r>
            <w:r w:rsidR="003B04B7" w:rsidRPr="00626A8E">
              <w:rPr>
                <w:webHidden/>
                <w:sz w:val="23"/>
                <w:szCs w:val="23"/>
              </w:rPr>
              <w:instrText xml:space="preserve"> PAGEREF _Toc5974911 \h </w:instrText>
            </w:r>
            <w:r w:rsidR="003B04B7" w:rsidRPr="00626A8E">
              <w:rPr>
                <w:webHidden/>
                <w:sz w:val="23"/>
                <w:szCs w:val="23"/>
              </w:rPr>
            </w:r>
            <w:r w:rsidR="003B04B7" w:rsidRPr="00626A8E">
              <w:rPr>
                <w:webHidden/>
                <w:sz w:val="23"/>
                <w:szCs w:val="23"/>
              </w:rPr>
              <w:fldChar w:fldCharType="separate"/>
            </w:r>
            <w:r w:rsidR="003B04B7" w:rsidRPr="00626A8E">
              <w:rPr>
                <w:webHidden/>
                <w:sz w:val="23"/>
                <w:szCs w:val="23"/>
              </w:rPr>
              <w:t>15</w:t>
            </w:r>
            <w:r w:rsidR="003B04B7" w:rsidRPr="00626A8E">
              <w:rPr>
                <w:webHidden/>
                <w:sz w:val="23"/>
                <w:szCs w:val="23"/>
              </w:rPr>
              <w:fldChar w:fldCharType="end"/>
            </w:r>
          </w:hyperlink>
        </w:p>
        <w:p w14:paraId="3DA100CF" w14:textId="10B84986" w:rsidR="003B04B7" w:rsidRDefault="006C43B8">
          <w:pPr>
            <w:pStyle w:val="TOC2"/>
            <w:rPr>
              <w:rFonts w:asciiTheme="minorHAnsi" w:hAnsiTheme="minorHAnsi"/>
              <w:noProof/>
              <w:color w:val="auto"/>
              <w:kern w:val="0"/>
              <w:lang w:eastAsia="en-US"/>
              <w14:numForm w14:val="default"/>
              <w14:numSpacing w14:val="default"/>
            </w:rPr>
          </w:pPr>
          <w:hyperlink w:anchor="_Toc5974912" w:history="1">
            <w:r w:rsidR="003B04B7" w:rsidRPr="00A3574A">
              <w:rPr>
                <w:rStyle w:val="Hyperlink"/>
                <w:noProof/>
              </w:rPr>
              <w:t>Observaciones Generales</w:t>
            </w:r>
            <w:r w:rsidR="003B04B7">
              <w:rPr>
                <w:noProof/>
                <w:webHidden/>
              </w:rPr>
              <w:tab/>
            </w:r>
            <w:r w:rsidR="003B04B7">
              <w:rPr>
                <w:noProof/>
                <w:webHidden/>
              </w:rPr>
              <w:fldChar w:fldCharType="begin"/>
            </w:r>
            <w:r w:rsidR="003B04B7">
              <w:rPr>
                <w:noProof/>
                <w:webHidden/>
              </w:rPr>
              <w:instrText xml:space="preserve"> PAGEREF _Toc5974912 \h </w:instrText>
            </w:r>
            <w:r w:rsidR="003B04B7">
              <w:rPr>
                <w:noProof/>
                <w:webHidden/>
              </w:rPr>
            </w:r>
            <w:r w:rsidR="003B04B7">
              <w:rPr>
                <w:noProof/>
                <w:webHidden/>
              </w:rPr>
              <w:fldChar w:fldCharType="separate"/>
            </w:r>
            <w:r w:rsidR="003B04B7">
              <w:rPr>
                <w:noProof/>
                <w:webHidden/>
              </w:rPr>
              <w:t>15</w:t>
            </w:r>
            <w:r w:rsidR="003B04B7">
              <w:rPr>
                <w:noProof/>
                <w:webHidden/>
              </w:rPr>
              <w:fldChar w:fldCharType="end"/>
            </w:r>
          </w:hyperlink>
        </w:p>
        <w:p w14:paraId="64A8CD21" w14:textId="7A3EBDD2" w:rsidR="003B04B7" w:rsidRDefault="006C43B8">
          <w:pPr>
            <w:pStyle w:val="TOC2"/>
            <w:rPr>
              <w:rFonts w:asciiTheme="minorHAnsi" w:hAnsiTheme="minorHAnsi"/>
              <w:noProof/>
              <w:color w:val="auto"/>
              <w:kern w:val="0"/>
              <w:lang w:eastAsia="en-US"/>
              <w14:numForm w14:val="default"/>
              <w14:numSpacing w14:val="default"/>
            </w:rPr>
          </w:pPr>
          <w:hyperlink w:anchor="_Toc5974913" w:history="1">
            <w:r w:rsidR="003B04B7" w:rsidRPr="00A3574A">
              <w:rPr>
                <w:rStyle w:val="Hyperlink"/>
                <w:noProof/>
              </w:rPr>
              <w:t>Observaciones Finales</w:t>
            </w:r>
            <w:r w:rsidR="003B04B7">
              <w:rPr>
                <w:noProof/>
                <w:webHidden/>
              </w:rPr>
              <w:tab/>
            </w:r>
            <w:r w:rsidR="003B04B7">
              <w:rPr>
                <w:noProof/>
                <w:webHidden/>
              </w:rPr>
              <w:fldChar w:fldCharType="begin"/>
            </w:r>
            <w:r w:rsidR="003B04B7">
              <w:rPr>
                <w:noProof/>
                <w:webHidden/>
              </w:rPr>
              <w:instrText xml:space="preserve"> PAGEREF _Toc5974913 \h </w:instrText>
            </w:r>
            <w:r w:rsidR="003B04B7">
              <w:rPr>
                <w:noProof/>
                <w:webHidden/>
              </w:rPr>
            </w:r>
            <w:r w:rsidR="003B04B7">
              <w:rPr>
                <w:noProof/>
                <w:webHidden/>
              </w:rPr>
              <w:fldChar w:fldCharType="separate"/>
            </w:r>
            <w:r w:rsidR="003B04B7">
              <w:rPr>
                <w:noProof/>
                <w:webHidden/>
              </w:rPr>
              <w:t>16</w:t>
            </w:r>
            <w:r w:rsidR="003B04B7">
              <w:rPr>
                <w:noProof/>
                <w:webHidden/>
              </w:rPr>
              <w:fldChar w:fldCharType="end"/>
            </w:r>
          </w:hyperlink>
        </w:p>
        <w:p w14:paraId="3AD25337" w14:textId="61368F4C" w:rsidR="003B04B7" w:rsidRDefault="006C43B8">
          <w:pPr>
            <w:pStyle w:val="TOC2"/>
            <w:rPr>
              <w:rFonts w:asciiTheme="minorHAnsi" w:hAnsiTheme="minorHAnsi"/>
              <w:noProof/>
              <w:color w:val="auto"/>
              <w:kern w:val="0"/>
              <w:lang w:eastAsia="en-US"/>
              <w14:numForm w14:val="default"/>
              <w14:numSpacing w14:val="default"/>
            </w:rPr>
          </w:pPr>
          <w:hyperlink w:anchor="_Toc5974914" w:history="1">
            <w:r w:rsidR="003B04B7" w:rsidRPr="00A3574A">
              <w:rPr>
                <w:rStyle w:val="Hyperlink"/>
                <w:noProof/>
              </w:rPr>
              <w:t>Denuncias Individuales</w:t>
            </w:r>
            <w:r w:rsidR="003B04B7">
              <w:rPr>
                <w:noProof/>
                <w:webHidden/>
              </w:rPr>
              <w:tab/>
            </w:r>
            <w:r w:rsidR="003B04B7">
              <w:rPr>
                <w:noProof/>
                <w:webHidden/>
              </w:rPr>
              <w:fldChar w:fldCharType="begin"/>
            </w:r>
            <w:r w:rsidR="003B04B7">
              <w:rPr>
                <w:noProof/>
                <w:webHidden/>
              </w:rPr>
              <w:instrText xml:space="preserve"> PAGEREF _Toc5974914 \h </w:instrText>
            </w:r>
            <w:r w:rsidR="003B04B7">
              <w:rPr>
                <w:noProof/>
                <w:webHidden/>
              </w:rPr>
            </w:r>
            <w:r w:rsidR="003B04B7">
              <w:rPr>
                <w:noProof/>
                <w:webHidden/>
              </w:rPr>
              <w:fldChar w:fldCharType="separate"/>
            </w:r>
            <w:r w:rsidR="003B04B7">
              <w:rPr>
                <w:noProof/>
                <w:webHidden/>
              </w:rPr>
              <w:t>22</w:t>
            </w:r>
            <w:r w:rsidR="003B04B7">
              <w:rPr>
                <w:noProof/>
                <w:webHidden/>
              </w:rPr>
              <w:fldChar w:fldCharType="end"/>
            </w:r>
          </w:hyperlink>
        </w:p>
        <w:p w14:paraId="31CF31DC" w14:textId="5C9F2CB1" w:rsidR="003B04B7" w:rsidRDefault="006C43B8">
          <w:pPr>
            <w:pStyle w:val="TOC2"/>
            <w:rPr>
              <w:rFonts w:asciiTheme="minorHAnsi" w:hAnsiTheme="minorHAnsi"/>
              <w:noProof/>
              <w:color w:val="auto"/>
              <w:kern w:val="0"/>
              <w:lang w:eastAsia="en-US"/>
              <w14:numForm w14:val="default"/>
              <w14:numSpacing w14:val="default"/>
            </w:rPr>
          </w:pPr>
          <w:hyperlink w:anchor="_Toc5974915" w:history="1">
            <w:r w:rsidR="003B04B7" w:rsidRPr="00A3574A">
              <w:rPr>
                <w:rStyle w:val="Hyperlink"/>
                <w:noProof/>
              </w:rPr>
              <w:t>Vacíos en los Estándares</w:t>
            </w:r>
            <w:r w:rsidR="003B04B7">
              <w:rPr>
                <w:noProof/>
                <w:webHidden/>
              </w:rPr>
              <w:tab/>
            </w:r>
            <w:r w:rsidR="003B04B7">
              <w:rPr>
                <w:noProof/>
                <w:webHidden/>
              </w:rPr>
              <w:fldChar w:fldCharType="begin"/>
            </w:r>
            <w:r w:rsidR="003B04B7">
              <w:rPr>
                <w:noProof/>
                <w:webHidden/>
              </w:rPr>
              <w:instrText xml:space="preserve"> PAGEREF _Toc5974915 \h </w:instrText>
            </w:r>
            <w:r w:rsidR="003B04B7">
              <w:rPr>
                <w:noProof/>
                <w:webHidden/>
              </w:rPr>
            </w:r>
            <w:r w:rsidR="003B04B7">
              <w:rPr>
                <w:noProof/>
                <w:webHidden/>
              </w:rPr>
              <w:fldChar w:fldCharType="separate"/>
            </w:r>
            <w:r w:rsidR="003B04B7">
              <w:rPr>
                <w:noProof/>
                <w:webHidden/>
              </w:rPr>
              <w:t>22</w:t>
            </w:r>
            <w:r w:rsidR="003B04B7">
              <w:rPr>
                <w:noProof/>
                <w:webHidden/>
              </w:rPr>
              <w:fldChar w:fldCharType="end"/>
            </w:r>
          </w:hyperlink>
        </w:p>
        <w:p w14:paraId="74B88655" w14:textId="63E7224A" w:rsidR="003B04B7" w:rsidRDefault="006C43B8">
          <w:pPr>
            <w:pStyle w:val="TOC1"/>
            <w:rPr>
              <w:rFonts w:asciiTheme="minorHAnsi" w:hAnsiTheme="minorHAnsi" w:cstheme="minorBidi"/>
              <w:color w:val="auto"/>
              <w:spacing w:val="0"/>
              <w:kern w:val="0"/>
              <w:lang w:eastAsia="en-US"/>
            </w:rPr>
          </w:pPr>
          <w:hyperlink w:anchor="_Toc5974916" w:history="1">
            <w:r w:rsidR="003B04B7" w:rsidRPr="00A3574A">
              <w:rPr>
                <w:rStyle w:val="Hyperlink"/>
              </w:rPr>
              <w:t>Comité de los Derechos de las Personas con Discapacidad</w:t>
            </w:r>
            <w:r w:rsidR="003B04B7" w:rsidRPr="003B04B7">
              <w:rPr>
                <w:rFonts w:ascii="Franklin Gothic Book" w:hAnsi="Franklin Gothic Book"/>
                <w:webHidden/>
              </w:rPr>
              <w:tab/>
            </w:r>
            <w:r w:rsidR="003B04B7" w:rsidRPr="00626A8E">
              <w:rPr>
                <w:webHidden/>
                <w:sz w:val="23"/>
                <w:szCs w:val="23"/>
              </w:rPr>
              <w:fldChar w:fldCharType="begin"/>
            </w:r>
            <w:r w:rsidR="003B04B7" w:rsidRPr="00626A8E">
              <w:rPr>
                <w:webHidden/>
                <w:sz w:val="23"/>
                <w:szCs w:val="23"/>
              </w:rPr>
              <w:instrText xml:space="preserve"> PAGEREF _Toc5974916 \h </w:instrText>
            </w:r>
            <w:r w:rsidR="003B04B7" w:rsidRPr="00626A8E">
              <w:rPr>
                <w:webHidden/>
                <w:sz w:val="23"/>
                <w:szCs w:val="23"/>
              </w:rPr>
            </w:r>
            <w:r w:rsidR="003B04B7" w:rsidRPr="00626A8E">
              <w:rPr>
                <w:webHidden/>
                <w:sz w:val="23"/>
                <w:szCs w:val="23"/>
              </w:rPr>
              <w:fldChar w:fldCharType="separate"/>
            </w:r>
            <w:r w:rsidR="003B04B7" w:rsidRPr="00626A8E">
              <w:rPr>
                <w:webHidden/>
                <w:sz w:val="23"/>
                <w:szCs w:val="23"/>
              </w:rPr>
              <w:t>23</w:t>
            </w:r>
            <w:r w:rsidR="003B04B7" w:rsidRPr="00626A8E">
              <w:rPr>
                <w:webHidden/>
                <w:sz w:val="23"/>
                <w:szCs w:val="23"/>
              </w:rPr>
              <w:fldChar w:fldCharType="end"/>
            </w:r>
          </w:hyperlink>
        </w:p>
        <w:p w14:paraId="66065AAB" w14:textId="7333CB32" w:rsidR="003B04B7" w:rsidRDefault="006C43B8">
          <w:pPr>
            <w:pStyle w:val="TOC2"/>
            <w:rPr>
              <w:rFonts w:asciiTheme="minorHAnsi" w:hAnsiTheme="minorHAnsi"/>
              <w:noProof/>
              <w:color w:val="auto"/>
              <w:kern w:val="0"/>
              <w:lang w:eastAsia="en-US"/>
              <w14:numForm w14:val="default"/>
              <w14:numSpacing w14:val="default"/>
            </w:rPr>
          </w:pPr>
          <w:hyperlink w:anchor="_Toc5974917" w:history="1">
            <w:r w:rsidR="003B04B7" w:rsidRPr="00A3574A">
              <w:rPr>
                <w:rStyle w:val="Hyperlink"/>
                <w:noProof/>
              </w:rPr>
              <w:t>Observaciones Generales</w:t>
            </w:r>
            <w:r w:rsidR="003B04B7">
              <w:rPr>
                <w:noProof/>
                <w:webHidden/>
              </w:rPr>
              <w:tab/>
            </w:r>
            <w:r w:rsidR="003B04B7">
              <w:rPr>
                <w:noProof/>
                <w:webHidden/>
              </w:rPr>
              <w:fldChar w:fldCharType="begin"/>
            </w:r>
            <w:r w:rsidR="003B04B7">
              <w:rPr>
                <w:noProof/>
                <w:webHidden/>
              </w:rPr>
              <w:instrText xml:space="preserve"> PAGEREF _Toc5974917 \h </w:instrText>
            </w:r>
            <w:r w:rsidR="003B04B7">
              <w:rPr>
                <w:noProof/>
                <w:webHidden/>
              </w:rPr>
            </w:r>
            <w:r w:rsidR="003B04B7">
              <w:rPr>
                <w:noProof/>
                <w:webHidden/>
              </w:rPr>
              <w:fldChar w:fldCharType="separate"/>
            </w:r>
            <w:r w:rsidR="003B04B7">
              <w:rPr>
                <w:noProof/>
                <w:webHidden/>
              </w:rPr>
              <w:t>23</w:t>
            </w:r>
            <w:r w:rsidR="003B04B7">
              <w:rPr>
                <w:noProof/>
                <w:webHidden/>
              </w:rPr>
              <w:fldChar w:fldCharType="end"/>
            </w:r>
          </w:hyperlink>
        </w:p>
        <w:p w14:paraId="1CD152A0" w14:textId="1F714C00" w:rsidR="003B04B7" w:rsidRDefault="006C43B8">
          <w:pPr>
            <w:pStyle w:val="TOC2"/>
            <w:rPr>
              <w:rFonts w:asciiTheme="minorHAnsi" w:hAnsiTheme="minorHAnsi"/>
              <w:noProof/>
              <w:color w:val="auto"/>
              <w:kern w:val="0"/>
              <w:lang w:eastAsia="en-US"/>
              <w14:numForm w14:val="default"/>
              <w14:numSpacing w14:val="default"/>
            </w:rPr>
          </w:pPr>
          <w:hyperlink w:anchor="_Toc5974918" w:history="1">
            <w:r w:rsidR="003B04B7" w:rsidRPr="00A3574A">
              <w:rPr>
                <w:rStyle w:val="Hyperlink"/>
                <w:noProof/>
              </w:rPr>
              <w:t>Observaciones Finales</w:t>
            </w:r>
            <w:r w:rsidR="003B04B7">
              <w:rPr>
                <w:noProof/>
                <w:webHidden/>
              </w:rPr>
              <w:tab/>
            </w:r>
            <w:r w:rsidR="003B04B7">
              <w:rPr>
                <w:noProof/>
                <w:webHidden/>
              </w:rPr>
              <w:fldChar w:fldCharType="begin"/>
            </w:r>
            <w:r w:rsidR="003B04B7">
              <w:rPr>
                <w:noProof/>
                <w:webHidden/>
              </w:rPr>
              <w:instrText xml:space="preserve"> PAGEREF _Toc5974918 \h </w:instrText>
            </w:r>
            <w:r w:rsidR="003B04B7">
              <w:rPr>
                <w:noProof/>
                <w:webHidden/>
              </w:rPr>
            </w:r>
            <w:r w:rsidR="003B04B7">
              <w:rPr>
                <w:noProof/>
                <w:webHidden/>
              </w:rPr>
              <w:fldChar w:fldCharType="separate"/>
            </w:r>
            <w:r w:rsidR="003B04B7">
              <w:rPr>
                <w:noProof/>
                <w:webHidden/>
              </w:rPr>
              <w:t>24</w:t>
            </w:r>
            <w:r w:rsidR="003B04B7">
              <w:rPr>
                <w:noProof/>
                <w:webHidden/>
              </w:rPr>
              <w:fldChar w:fldCharType="end"/>
            </w:r>
          </w:hyperlink>
        </w:p>
        <w:p w14:paraId="255B8B4F" w14:textId="5EFC37D6" w:rsidR="003B04B7" w:rsidRDefault="006C43B8">
          <w:pPr>
            <w:pStyle w:val="TOC2"/>
            <w:rPr>
              <w:rFonts w:asciiTheme="minorHAnsi" w:hAnsiTheme="minorHAnsi"/>
              <w:noProof/>
              <w:color w:val="auto"/>
              <w:kern w:val="0"/>
              <w:lang w:eastAsia="en-US"/>
              <w14:numForm w14:val="default"/>
              <w14:numSpacing w14:val="default"/>
            </w:rPr>
          </w:pPr>
          <w:hyperlink w:anchor="_Toc5974919" w:history="1">
            <w:r w:rsidR="003B04B7" w:rsidRPr="00A3574A">
              <w:rPr>
                <w:rStyle w:val="Hyperlink"/>
                <w:noProof/>
              </w:rPr>
              <w:t>Denuncias Individuales</w:t>
            </w:r>
            <w:r w:rsidR="003B04B7">
              <w:rPr>
                <w:noProof/>
                <w:webHidden/>
              </w:rPr>
              <w:tab/>
            </w:r>
            <w:r w:rsidR="003B04B7">
              <w:rPr>
                <w:noProof/>
                <w:webHidden/>
              </w:rPr>
              <w:fldChar w:fldCharType="begin"/>
            </w:r>
            <w:r w:rsidR="003B04B7">
              <w:rPr>
                <w:noProof/>
                <w:webHidden/>
              </w:rPr>
              <w:instrText xml:space="preserve"> PAGEREF _Toc5974919 \h </w:instrText>
            </w:r>
            <w:r w:rsidR="003B04B7">
              <w:rPr>
                <w:noProof/>
                <w:webHidden/>
              </w:rPr>
            </w:r>
            <w:r w:rsidR="003B04B7">
              <w:rPr>
                <w:noProof/>
                <w:webHidden/>
              </w:rPr>
              <w:fldChar w:fldCharType="separate"/>
            </w:r>
            <w:r w:rsidR="003B04B7">
              <w:rPr>
                <w:noProof/>
                <w:webHidden/>
              </w:rPr>
              <w:t>27</w:t>
            </w:r>
            <w:r w:rsidR="003B04B7">
              <w:rPr>
                <w:noProof/>
                <w:webHidden/>
              </w:rPr>
              <w:fldChar w:fldCharType="end"/>
            </w:r>
          </w:hyperlink>
        </w:p>
        <w:p w14:paraId="43FC1E9B" w14:textId="7BC9DC51" w:rsidR="003B04B7" w:rsidRDefault="006C43B8">
          <w:pPr>
            <w:pStyle w:val="TOC2"/>
            <w:rPr>
              <w:rFonts w:asciiTheme="minorHAnsi" w:hAnsiTheme="minorHAnsi"/>
              <w:noProof/>
              <w:color w:val="auto"/>
              <w:kern w:val="0"/>
              <w:lang w:eastAsia="en-US"/>
              <w14:numForm w14:val="default"/>
              <w14:numSpacing w14:val="default"/>
            </w:rPr>
          </w:pPr>
          <w:hyperlink w:anchor="_Toc5974920" w:history="1">
            <w:r w:rsidR="003B04B7" w:rsidRPr="00A3574A">
              <w:rPr>
                <w:rStyle w:val="Hyperlink"/>
                <w:noProof/>
              </w:rPr>
              <w:t>Vacíos en los Estándares</w:t>
            </w:r>
            <w:r w:rsidR="003B04B7">
              <w:rPr>
                <w:noProof/>
                <w:webHidden/>
              </w:rPr>
              <w:tab/>
            </w:r>
            <w:r w:rsidR="003B04B7">
              <w:rPr>
                <w:noProof/>
                <w:webHidden/>
              </w:rPr>
              <w:fldChar w:fldCharType="begin"/>
            </w:r>
            <w:r w:rsidR="003B04B7">
              <w:rPr>
                <w:noProof/>
                <w:webHidden/>
              </w:rPr>
              <w:instrText xml:space="preserve"> PAGEREF _Toc5974920 \h </w:instrText>
            </w:r>
            <w:r w:rsidR="003B04B7">
              <w:rPr>
                <w:noProof/>
                <w:webHidden/>
              </w:rPr>
            </w:r>
            <w:r w:rsidR="003B04B7">
              <w:rPr>
                <w:noProof/>
                <w:webHidden/>
              </w:rPr>
              <w:fldChar w:fldCharType="separate"/>
            </w:r>
            <w:r w:rsidR="003B04B7">
              <w:rPr>
                <w:noProof/>
                <w:webHidden/>
              </w:rPr>
              <w:t>28</w:t>
            </w:r>
            <w:r w:rsidR="003B04B7">
              <w:rPr>
                <w:noProof/>
                <w:webHidden/>
              </w:rPr>
              <w:fldChar w:fldCharType="end"/>
            </w:r>
          </w:hyperlink>
        </w:p>
        <w:p w14:paraId="3A2EF008" w14:textId="0AD58BA7" w:rsidR="003B04B7" w:rsidRDefault="006C43B8">
          <w:pPr>
            <w:pStyle w:val="TOC1"/>
            <w:rPr>
              <w:rFonts w:asciiTheme="minorHAnsi" w:hAnsiTheme="minorHAnsi" w:cstheme="minorBidi"/>
              <w:color w:val="auto"/>
              <w:spacing w:val="0"/>
              <w:kern w:val="0"/>
              <w:lang w:eastAsia="en-US"/>
            </w:rPr>
          </w:pPr>
          <w:hyperlink w:anchor="_Toc5974921" w:history="1">
            <w:r w:rsidR="003B04B7" w:rsidRPr="00A3574A">
              <w:rPr>
                <w:rStyle w:val="Hyperlink"/>
              </w:rPr>
              <w:t>Comité para la Eliminación de la Discriminación contra la Mujer</w:t>
            </w:r>
            <w:r w:rsidR="003B04B7" w:rsidRPr="003B04B7">
              <w:rPr>
                <w:rFonts w:ascii="Franklin Gothic Book" w:hAnsi="Franklin Gothic Book"/>
                <w:webHidden/>
              </w:rPr>
              <w:tab/>
            </w:r>
            <w:r w:rsidR="003B04B7" w:rsidRPr="00626A8E">
              <w:rPr>
                <w:webHidden/>
                <w:sz w:val="23"/>
                <w:szCs w:val="23"/>
              </w:rPr>
              <w:fldChar w:fldCharType="begin"/>
            </w:r>
            <w:r w:rsidR="003B04B7" w:rsidRPr="00626A8E">
              <w:rPr>
                <w:webHidden/>
                <w:sz w:val="23"/>
                <w:szCs w:val="23"/>
              </w:rPr>
              <w:instrText xml:space="preserve"> PAGEREF _Toc5974921 \h </w:instrText>
            </w:r>
            <w:r w:rsidR="003B04B7" w:rsidRPr="00626A8E">
              <w:rPr>
                <w:webHidden/>
                <w:sz w:val="23"/>
                <w:szCs w:val="23"/>
              </w:rPr>
            </w:r>
            <w:r w:rsidR="003B04B7" w:rsidRPr="00626A8E">
              <w:rPr>
                <w:webHidden/>
                <w:sz w:val="23"/>
                <w:szCs w:val="23"/>
              </w:rPr>
              <w:fldChar w:fldCharType="separate"/>
            </w:r>
            <w:r w:rsidR="003B04B7" w:rsidRPr="00626A8E">
              <w:rPr>
                <w:webHidden/>
                <w:sz w:val="23"/>
                <w:szCs w:val="23"/>
              </w:rPr>
              <w:t>29</w:t>
            </w:r>
            <w:r w:rsidR="003B04B7" w:rsidRPr="00626A8E">
              <w:rPr>
                <w:webHidden/>
                <w:sz w:val="23"/>
                <w:szCs w:val="23"/>
              </w:rPr>
              <w:fldChar w:fldCharType="end"/>
            </w:r>
          </w:hyperlink>
        </w:p>
        <w:p w14:paraId="35BB46F0" w14:textId="6D75CB97" w:rsidR="003B04B7" w:rsidRDefault="006C43B8">
          <w:pPr>
            <w:pStyle w:val="TOC2"/>
            <w:rPr>
              <w:rFonts w:asciiTheme="minorHAnsi" w:hAnsiTheme="minorHAnsi"/>
              <w:noProof/>
              <w:color w:val="auto"/>
              <w:kern w:val="0"/>
              <w:lang w:eastAsia="en-US"/>
              <w14:numForm w14:val="default"/>
              <w14:numSpacing w14:val="default"/>
            </w:rPr>
          </w:pPr>
          <w:hyperlink w:anchor="_Toc5974922" w:history="1">
            <w:r w:rsidR="003B04B7" w:rsidRPr="00A3574A">
              <w:rPr>
                <w:rStyle w:val="Hyperlink"/>
                <w:noProof/>
              </w:rPr>
              <w:t>Recomendaciones Generales</w:t>
            </w:r>
            <w:r w:rsidR="003B04B7">
              <w:rPr>
                <w:noProof/>
                <w:webHidden/>
              </w:rPr>
              <w:tab/>
            </w:r>
            <w:r w:rsidR="003B04B7">
              <w:rPr>
                <w:noProof/>
                <w:webHidden/>
              </w:rPr>
              <w:fldChar w:fldCharType="begin"/>
            </w:r>
            <w:r w:rsidR="003B04B7">
              <w:rPr>
                <w:noProof/>
                <w:webHidden/>
              </w:rPr>
              <w:instrText xml:space="preserve"> PAGEREF _Toc5974922 \h </w:instrText>
            </w:r>
            <w:r w:rsidR="003B04B7">
              <w:rPr>
                <w:noProof/>
                <w:webHidden/>
              </w:rPr>
            </w:r>
            <w:r w:rsidR="003B04B7">
              <w:rPr>
                <w:noProof/>
                <w:webHidden/>
              </w:rPr>
              <w:fldChar w:fldCharType="separate"/>
            </w:r>
            <w:r w:rsidR="003B04B7">
              <w:rPr>
                <w:noProof/>
                <w:webHidden/>
              </w:rPr>
              <w:t>29</w:t>
            </w:r>
            <w:r w:rsidR="003B04B7">
              <w:rPr>
                <w:noProof/>
                <w:webHidden/>
              </w:rPr>
              <w:fldChar w:fldCharType="end"/>
            </w:r>
          </w:hyperlink>
        </w:p>
        <w:p w14:paraId="6C9D2B78" w14:textId="195F8961" w:rsidR="003B04B7" w:rsidRDefault="006C43B8">
          <w:pPr>
            <w:pStyle w:val="TOC2"/>
            <w:rPr>
              <w:rFonts w:asciiTheme="minorHAnsi" w:hAnsiTheme="minorHAnsi"/>
              <w:noProof/>
              <w:color w:val="auto"/>
              <w:kern w:val="0"/>
              <w:lang w:eastAsia="en-US"/>
              <w14:numForm w14:val="default"/>
              <w14:numSpacing w14:val="default"/>
            </w:rPr>
          </w:pPr>
          <w:hyperlink w:anchor="_Toc5974923" w:history="1">
            <w:r w:rsidR="003B04B7" w:rsidRPr="00A3574A">
              <w:rPr>
                <w:rStyle w:val="Hyperlink"/>
                <w:noProof/>
              </w:rPr>
              <w:t>Observaciones Finales</w:t>
            </w:r>
            <w:r w:rsidR="003B04B7">
              <w:rPr>
                <w:noProof/>
                <w:webHidden/>
              </w:rPr>
              <w:tab/>
            </w:r>
            <w:r w:rsidR="003B04B7">
              <w:rPr>
                <w:noProof/>
                <w:webHidden/>
              </w:rPr>
              <w:fldChar w:fldCharType="begin"/>
            </w:r>
            <w:r w:rsidR="003B04B7">
              <w:rPr>
                <w:noProof/>
                <w:webHidden/>
              </w:rPr>
              <w:instrText xml:space="preserve"> PAGEREF _Toc5974923 \h </w:instrText>
            </w:r>
            <w:r w:rsidR="003B04B7">
              <w:rPr>
                <w:noProof/>
                <w:webHidden/>
              </w:rPr>
            </w:r>
            <w:r w:rsidR="003B04B7">
              <w:rPr>
                <w:noProof/>
                <w:webHidden/>
              </w:rPr>
              <w:fldChar w:fldCharType="separate"/>
            </w:r>
            <w:r w:rsidR="003B04B7">
              <w:rPr>
                <w:noProof/>
                <w:webHidden/>
              </w:rPr>
              <w:t>31</w:t>
            </w:r>
            <w:r w:rsidR="003B04B7">
              <w:rPr>
                <w:noProof/>
                <w:webHidden/>
              </w:rPr>
              <w:fldChar w:fldCharType="end"/>
            </w:r>
          </w:hyperlink>
        </w:p>
        <w:p w14:paraId="649982F8" w14:textId="2E3B8BB1" w:rsidR="003B04B7" w:rsidRDefault="006C43B8">
          <w:pPr>
            <w:pStyle w:val="TOC2"/>
            <w:rPr>
              <w:rFonts w:asciiTheme="minorHAnsi" w:hAnsiTheme="minorHAnsi"/>
              <w:noProof/>
              <w:color w:val="auto"/>
              <w:kern w:val="0"/>
              <w:lang w:eastAsia="en-US"/>
              <w14:numForm w14:val="default"/>
              <w14:numSpacing w14:val="default"/>
            </w:rPr>
          </w:pPr>
          <w:hyperlink w:anchor="_Toc5974924" w:history="1">
            <w:r w:rsidR="003B04B7" w:rsidRPr="00A3574A">
              <w:rPr>
                <w:rStyle w:val="Hyperlink"/>
                <w:noProof/>
              </w:rPr>
              <w:t>Denuncias Individuales</w:t>
            </w:r>
            <w:r w:rsidR="003B04B7">
              <w:rPr>
                <w:noProof/>
                <w:webHidden/>
              </w:rPr>
              <w:tab/>
            </w:r>
            <w:r w:rsidR="003B04B7">
              <w:rPr>
                <w:noProof/>
                <w:webHidden/>
              </w:rPr>
              <w:fldChar w:fldCharType="begin"/>
            </w:r>
            <w:r w:rsidR="003B04B7">
              <w:rPr>
                <w:noProof/>
                <w:webHidden/>
              </w:rPr>
              <w:instrText xml:space="preserve"> PAGEREF _Toc5974924 \h </w:instrText>
            </w:r>
            <w:r w:rsidR="003B04B7">
              <w:rPr>
                <w:noProof/>
                <w:webHidden/>
              </w:rPr>
            </w:r>
            <w:r w:rsidR="003B04B7">
              <w:rPr>
                <w:noProof/>
                <w:webHidden/>
              </w:rPr>
              <w:fldChar w:fldCharType="separate"/>
            </w:r>
            <w:r w:rsidR="003B04B7">
              <w:rPr>
                <w:noProof/>
                <w:webHidden/>
              </w:rPr>
              <w:t>42</w:t>
            </w:r>
            <w:r w:rsidR="003B04B7">
              <w:rPr>
                <w:noProof/>
                <w:webHidden/>
              </w:rPr>
              <w:fldChar w:fldCharType="end"/>
            </w:r>
          </w:hyperlink>
        </w:p>
        <w:p w14:paraId="70423EFB" w14:textId="457E4217" w:rsidR="003B04B7" w:rsidRDefault="006C43B8">
          <w:pPr>
            <w:pStyle w:val="TOC2"/>
            <w:rPr>
              <w:rFonts w:asciiTheme="minorHAnsi" w:hAnsiTheme="minorHAnsi"/>
              <w:noProof/>
              <w:color w:val="auto"/>
              <w:kern w:val="0"/>
              <w:lang w:eastAsia="en-US"/>
              <w14:numForm w14:val="default"/>
              <w14:numSpacing w14:val="default"/>
            </w:rPr>
          </w:pPr>
          <w:hyperlink w:anchor="_Toc5974925" w:history="1">
            <w:r w:rsidR="003B04B7" w:rsidRPr="00A3574A">
              <w:rPr>
                <w:rStyle w:val="Hyperlink"/>
                <w:noProof/>
              </w:rPr>
              <w:t>Vacíos en los Estándares</w:t>
            </w:r>
            <w:r w:rsidR="003B04B7">
              <w:rPr>
                <w:noProof/>
                <w:webHidden/>
              </w:rPr>
              <w:tab/>
            </w:r>
            <w:r w:rsidR="003B04B7">
              <w:rPr>
                <w:noProof/>
                <w:webHidden/>
              </w:rPr>
              <w:fldChar w:fldCharType="begin"/>
            </w:r>
            <w:r w:rsidR="003B04B7">
              <w:rPr>
                <w:noProof/>
                <w:webHidden/>
              </w:rPr>
              <w:instrText xml:space="preserve"> PAGEREF _Toc5974925 \h </w:instrText>
            </w:r>
            <w:r w:rsidR="003B04B7">
              <w:rPr>
                <w:noProof/>
                <w:webHidden/>
              </w:rPr>
            </w:r>
            <w:r w:rsidR="003B04B7">
              <w:rPr>
                <w:noProof/>
                <w:webHidden/>
              </w:rPr>
              <w:fldChar w:fldCharType="separate"/>
            </w:r>
            <w:r w:rsidR="003B04B7">
              <w:rPr>
                <w:noProof/>
                <w:webHidden/>
              </w:rPr>
              <w:t>43</w:t>
            </w:r>
            <w:r w:rsidR="003B04B7">
              <w:rPr>
                <w:noProof/>
                <w:webHidden/>
              </w:rPr>
              <w:fldChar w:fldCharType="end"/>
            </w:r>
          </w:hyperlink>
        </w:p>
        <w:p w14:paraId="387709B0" w14:textId="6203C83D" w:rsidR="003B04B7" w:rsidRDefault="006C43B8">
          <w:pPr>
            <w:pStyle w:val="TOC1"/>
            <w:rPr>
              <w:rFonts w:asciiTheme="minorHAnsi" w:hAnsiTheme="minorHAnsi" w:cstheme="minorBidi"/>
              <w:color w:val="auto"/>
              <w:spacing w:val="0"/>
              <w:kern w:val="0"/>
              <w:lang w:eastAsia="en-US"/>
            </w:rPr>
          </w:pPr>
          <w:hyperlink w:anchor="_Toc5974926" w:history="1">
            <w:r w:rsidR="003B04B7" w:rsidRPr="00A3574A">
              <w:rPr>
                <w:rStyle w:val="Hyperlink"/>
              </w:rPr>
              <w:t>Comité de los Derechos del Niño</w:t>
            </w:r>
            <w:r w:rsidR="003B04B7" w:rsidRPr="003B04B7">
              <w:rPr>
                <w:rFonts w:ascii="Franklin Gothic Book" w:hAnsi="Franklin Gothic Book"/>
                <w:webHidden/>
              </w:rPr>
              <w:tab/>
            </w:r>
            <w:r w:rsidR="003B04B7" w:rsidRPr="00626A8E">
              <w:rPr>
                <w:webHidden/>
                <w:sz w:val="23"/>
                <w:szCs w:val="23"/>
              </w:rPr>
              <w:fldChar w:fldCharType="begin"/>
            </w:r>
            <w:r w:rsidR="003B04B7" w:rsidRPr="00626A8E">
              <w:rPr>
                <w:webHidden/>
                <w:sz w:val="23"/>
                <w:szCs w:val="23"/>
              </w:rPr>
              <w:instrText xml:space="preserve"> PAGEREF _Toc5974926 \h </w:instrText>
            </w:r>
            <w:r w:rsidR="003B04B7" w:rsidRPr="00626A8E">
              <w:rPr>
                <w:webHidden/>
                <w:sz w:val="23"/>
                <w:szCs w:val="23"/>
              </w:rPr>
            </w:r>
            <w:r w:rsidR="003B04B7" w:rsidRPr="00626A8E">
              <w:rPr>
                <w:webHidden/>
                <w:sz w:val="23"/>
                <w:szCs w:val="23"/>
              </w:rPr>
              <w:fldChar w:fldCharType="separate"/>
            </w:r>
            <w:r w:rsidR="003B04B7" w:rsidRPr="00626A8E">
              <w:rPr>
                <w:webHidden/>
                <w:sz w:val="23"/>
                <w:szCs w:val="23"/>
              </w:rPr>
              <w:t>45</w:t>
            </w:r>
            <w:r w:rsidR="003B04B7" w:rsidRPr="00626A8E">
              <w:rPr>
                <w:webHidden/>
                <w:sz w:val="23"/>
                <w:szCs w:val="23"/>
              </w:rPr>
              <w:fldChar w:fldCharType="end"/>
            </w:r>
          </w:hyperlink>
        </w:p>
        <w:p w14:paraId="49BB6AFF" w14:textId="2DA5FC71" w:rsidR="003B04B7" w:rsidRDefault="006C43B8">
          <w:pPr>
            <w:pStyle w:val="TOC2"/>
            <w:rPr>
              <w:rFonts w:asciiTheme="minorHAnsi" w:hAnsiTheme="minorHAnsi"/>
              <w:noProof/>
              <w:color w:val="auto"/>
              <w:kern w:val="0"/>
              <w:lang w:eastAsia="en-US"/>
              <w14:numForm w14:val="default"/>
              <w14:numSpacing w14:val="default"/>
            </w:rPr>
          </w:pPr>
          <w:hyperlink w:anchor="_Toc5974927" w:history="1">
            <w:r w:rsidR="003B04B7" w:rsidRPr="00A3574A">
              <w:rPr>
                <w:rStyle w:val="Hyperlink"/>
                <w:noProof/>
              </w:rPr>
              <w:t>Observacioness Generales</w:t>
            </w:r>
            <w:r w:rsidR="003B04B7">
              <w:rPr>
                <w:noProof/>
                <w:webHidden/>
              </w:rPr>
              <w:tab/>
            </w:r>
            <w:r w:rsidR="003B04B7">
              <w:rPr>
                <w:noProof/>
                <w:webHidden/>
              </w:rPr>
              <w:fldChar w:fldCharType="begin"/>
            </w:r>
            <w:r w:rsidR="003B04B7">
              <w:rPr>
                <w:noProof/>
                <w:webHidden/>
              </w:rPr>
              <w:instrText xml:space="preserve"> PAGEREF _Toc5974927 \h </w:instrText>
            </w:r>
            <w:r w:rsidR="003B04B7">
              <w:rPr>
                <w:noProof/>
                <w:webHidden/>
              </w:rPr>
            </w:r>
            <w:r w:rsidR="003B04B7">
              <w:rPr>
                <w:noProof/>
                <w:webHidden/>
              </w:rPr>
              <w:fldChar w:fldCharType="separate"/>
            </w:r>
            <w:r w:rsidR="003B04B7">
              <w:rPr>
                <w:noProof/>
                <w:webHidden/>
              </w:rPr>
              <w:t>45</w:t>
            </w:r>
            <w:r w:rsidR="003B04B7">
              <w:rPr>
                <w:noProof/>
                <w:webHidden/>
              </w:rPr>
              <w:fldChar w:fldCharType="end"/>
            </w:r>
          </w:hyperlink>
        </w:p>
        <w:p w14:paraId="36048C1C" w14:textId="430D4EAB" w:rsidR="003B04B7" w:rsidRDefault="006C43B8">
          <w:pPr>
            <w:pStyle w:val="TOC2"/>
            <w:rPr>
              <w:rFonts w:asciiTheme="minorHAnsi" w:hAnsiTheme="minorHAnsi"/>
              <w:noProof/>
              <w:color w:val="auto"/>
              <w:kern w:val="0"/>
              <w:lang w:eastAsia="en-US"/>
              <w14:numForm w14:val="default"/>
              <w14:numSpacing w14:val="default"/>
            </w:rPr>
          </w:pPr>
          <w:hyperlink w:anchor="_Toc5974928" w:history="1">
            <w:r w:rsidR="003B04B7" w:rsidRPr="00A3574A">
              <w:rPr>
                <w:rStyle w:val="Hyperlink"/>
                <w:noProof/>
              </w:rPr>
              <w:t>Observaciones Finales</w:t>
            </w:r>
            <w:r w:rsidR="003B04B7">
              <w:rPr>
                <w:noProof/>
                <w:webHidden/>
              </w:rPr>
              <w:tab/>
            </w:r>
            <w:r w:rsidR="003B04B7">
              <w:rPr>
                <w:noProof/>
                <w:webHidden/>
              </w:rPr>
              <w:fldChar w:fldCharType="begin"/>
            </w:r>
            <w:r w:rsidR="003B04B7">
              <w:rPr>
                <w:noProof/>
                <w:webHidden/>
              </w:rPr>
              <w:instrText xml:space="preserve"> PAGEREF _Toc5974928 \h </w:instrText>
            </w:r>
            <w:r w:rsidR="003B04B7">
              <w:rPr>
                <w:noProof/>
                <w:webHidden/>
              </w:rPr>
            </w:r>
            <w:r w:rsidR="003B04B7">
              <w:rPr>
                <w:noProof/>
                <w:webHidden/>
              </w:rPr>
              <w:fldChar w:fldCharType="separate"/>
            </w:r>
            <w:r w:rsidR="003B04B7">
              <w:rPr>
                <w:noProof/>
                <w:webHidden/>
              </w:rPr>
              <w:t>47</w:t>
            </w:r>
            <w:r w:rsidR="003B04B7">
              <w:rPr>
                <w:noProof/>
                <w:webHidden/>
              </w:rPr>
              <w:fldChar w:fldCharType="end"/>
            </w:r>
          </w:hyperlink>
        </w:p>
        <w:p w14:paraId="677FCEFC" w14:textId="5A1B2BAA" w:rsidR="003B04B7" w:rsidRDefault="006C43B8">
          <w:pPr>
            <w:pStyle w:val="TOC2"/>
            <w:rPr>
              <w:rFonts w:asciiTheme="minorHAnsi" w:hAnsiTheme="minorHAnsi"/>
              <w:noProof/>
              <w:color w:val="auto"/>
              <w:kern w:val="0"/>
              <w:lang w:eastAsia="en-US"/>
              <w14:numForm w14:val="default"/>
              <w14:numSpacing w14:val="default"/>
            </w:rPr>
          </w:pPr>
          <w:hyperlink w:anchor="_Toc5974929" w:history="1">
            <w:r w:rsidR="003B04B7" w:rsidRPr="00A3574A">
              <w:rPr>
                <w:rStyle w:val="Hyperlink"/>
                <w:noProof/>
              </w:rPr>
              <w:t>Denuncias Individuales</w:t>
            </w:r>
            <w:r w:rsidR="003B04B7">
              <w:rPr>
                <w:noProof/>
                <w:webHidden/>
              </w:rPr>
              <w:tab/>
            </w:r>
            <w:r w:rsidR="003B04B7">
              <w:rPr>
                <w:noProof/>
                <w:webHidden/>
              </w:rPr>
              <w:fldChar w:fldCharType="begin"/>
            </w:r>
            <w:r w:rsidR="003B04B7">
              <w:rPr>
                <w:noProof/>
                <w:webHidden/>
              </w:rPr>
              <w:instrText xml:space="preserve"> PAGEREF _Toc5974929 \h </w:instrText>
            </w:r>
            <w:r w:rsidR="003B04B7">
              <w:rPr>
                <w:noProof/>
                <w:webHidden/>
              </w:rPr>
            </w:r>
            <w:r w:rsidR="003B04B7">
              <w:rPr>
                <w:noProof/>
                <w:webHidden/>
              </w:rPr>
              <w:fldChar w:fldCharType="separate"/>
            </w:r>
            <w:r w:rsidR="003B04B7">
              <w:rPr>
                <w:noProof/>
                <w:webHidden/>
              </w:rPr>
              <w:t>55</w:t>
            </w:r>
            <w:r w:rsidR="003B04B7">
              <w:rPr>
                <w:noProof/>
                <w:webHidden/>
              </w:rPr>
              <w:fldChar w:fldCharType="end"/>
            </w:r>
          </w:hyperlink>
        </w:p>
        <w:p w14:paraId="2D3477F5" w14:textId="0DCB8E5C" w:rsidR="003B04B7" w:rsidRDefault="006C43B8">
          <w:pPr>
            <w:pStyle w:val="TOC2"/>
            <w:rPr>
              <w:rFonts w:asciiTheme="minorHAnsi" w:hAnsiTheme="minorHAnsi"/>
              <w:noProof/>
              <w:color w:val="auto"/>
              <w:kern w:val="0"/>
              <w:lang w:eastAsia="en-US"/>
              <w14:numForm w14:val="default"/>
              <w14:numSpacing w14:val="default"/>
            </w:rPr>
          </w:pPr>
          <w:hyperlink w:anchor="_Toc5974930" w:history="1">
            <w:r w:rsidR="003B04B7" w:rsidRPr="00A3574A">
              <w:rPr>
                <w:rStyle w:val="Hyperlink"/>
                <w:noProof/>
              </w:rPr>
              <w:t>Vacíos en las Estándares</w:t>
            </w:r>
            <w:r w:rsidR="003B04B7">
              <w:rPr>
                <w:noProof/>
                <w:webHidden/>
              </w:rPr>
              <w:tab/>
            </w:r>
            <w:r w:rsidR="003B04B7">
              <w:rPr>
                <w:noProof/>
                <w:webHidden/>
              </w:rPr>
              <w:fldChar w:fldCharType="begin"/>
            </w:r>
            <w:r w:rsidR="003B04B7">
              <w:rPr>
                <w:noProof/>
                <w:webHidden/>
              </w:rPr>
              <w:instrText xml:space="preserve"> PAGEREF _Toc5974930 \h </w:instrText>
            </w:r>
            <w:r w:rsidR="003B04B7">
              <w:rPr>
                <w:noProof/>
                <w:webHidden/>
              </w:rPr>
            </w:r>
            <w:r w:rsidR="003B04B7">
              <w:rPr>
                <w:noProof/>
                <w:webHidden/>
              </w:rPr>
              <w:fldChar w:fldCharType="separate"/>
            </w:r>
            <w:r w:rsidR="003B04B7">
              <w:rPr>
                <w:noProof/>
                <w:webHidden/>
              </w:rPr>
              <w:t>55</w:t>
            </w:r>
            <w:r w:rsidR="003B04B7">
              <w:rPr>
                <w:noProof/>
                <w:webHidden/>
              </w:rPr>
              <w:fldChar w:fldCharType="end"/>
            </w:r>
          </w:hyperlink>
        </w:p>
        <w:p w14:paraId="50EAC6BF" w14:textId="6ED3AAC3" w:rsidR="003B04B7" w:rsidRDefault="006C43B8">
          <w:pPr>
            <w:pStyle w:val="TOC1"/>
            <w:rPr>
              <w:rFonts w:asciiTheme="minorHAnsi" w:hAnsiTheme="minorHAnsi" w:cstheme="minorBidi"/>
              <w:color w:val="auto"/>
              <w:spacing w:val="0"/>
              <w:kern w:val="0"/>
              <w:lang w:eastAsia="en-US"/>
            </w:rPr>
          </w:pPr>
          <w:hyperlink w:anchor="_Toc5974931" w:history="1">
            <w:r w:rsidR="003B04B7" w:rsidRPr="00A3574A">
              <w:rPr>
                <w:rStyle w:val="Hyperlink"/>
              </w:rPr>
              <w:t>Comité contra la Tortura</w:t>
            </w:r>
            <w:r w:rsidR="003B04B7" w:rsidRPr="003B04B7">
              <w:rPr>
                <w:rFonts w:ascii="Franklin Gothic Book" w:hAnsi="Franklin Gothic Book"/>
                <w:webHidden/>
              </w:rPr>
              <w:tab/>
            </w:r>
            <w:r w:rsidR="003B04B7" w:rsidRPr="00626A8E">
              <w:rPr>
                <w:webHidden/>
                <w:sz w:val="23"/>
                <w:szCs w:val="23"/>
              </w:rPr>
              <w:fldChar w:fldCharType="begin"/>
            </w:r>
            <w:r w:rsidR="003B04B7" w:rsidRPr="00626A8E">
              <w:rPr>
                <w:webHidden/>
                <w:sz w:val="23"/>
                <w:szCs w:val="23"/>
              </w:rPr>
              <w:instrText xml:space="preserve"> PAGEREF _Toc5974931 \h </w:instrText>
            </w:r>
            <w:r w:rsidR="003B04B7" w:rsidRPr="00626A8E">
              <w:rPr>
                <w:webHidden/>
                <w:sz w:val="23"/>
                <w:szCs w:val="23"/>
              </w:rPr>
            </w:r>
            <w:r w:rsidR="003B04B7" w:rsidRPr="00626A8E">
              <w:rPr>
                <w:webHidden/>
                <w:sz w:val="23"/>
                <w:szCs w:val="23"/>
              </w:rPr>
              <w:fldChar w:fldCharType="separate"/>
            </w:r>
            <w:r w:rsidR="003B04B7" w:rsidRPr="00626A8E">
              <w:rPr>
                <w:webHidden/>
                <w:sz w:val="23"/>
                <w:szCs w:val="23"/>
              </w:rPr>
              <w:t>56</w:t>
            </w:r>
            <w:r w:rsidR="003B04B7" w:rsidRPr="00626A8E">
              <w:rPr>
                <w:webHidden/>
                <w:sz w:val="23"/>
                <w:szCs w:val="23"/>
              </w:rPr>
              <w:fldChar w:fldCharType="end"/>
            </w:r>
          </w:hyperlink>
        </w:p>
        <w:p w14:paraId="59D777EF" w14:textId="59E74543" w:rsidR="003B04B7" w:rsidRDefault="006C43B8">
          <w:pPr>
            <w:pStyle w:val="TOC2"/>
            <w:rPr>
              <w:rFonts w:asciiTheme="minorHAnsi" w:hAnsiTheme="minorHAnsi"/>
              <w:noProof/>
              <w:color w:val="auto"/>
              <w:kern w:val="0"/>
              <w:lang w:eastAsia="en-US"/>
              <w14:numForm w14:val="default"/>
              <w14:numSpacing w14:val="default"/>
            </w:rPr>
          </w:pPr>
          <w:hyperlink w:anchor="_Toc5974932" w:history="1">
            <w:r w:rsidR="003B04B7" w:rsidRPr="00A3574A">
              <w:rPr>
                <w:rStyle w:val="Hyperlink"/>
                <w:noProof/>
              </w:rPr>
              <w:t>Observaciones Generales</w:t>
            </w:r>
            <w:r w:rsidR="003B04B7">
              <w:rPr>
                <w:noProof/>
                <w:webHidden/>
              </w:rPr>
              <w:tab/>
            </w:r>
            <w:r w:rsidR="003B04B7">
              <w:rPr>
                <w:noProof/>
                <w:webHidden/>
              </w:rPr>
              <w:fldChar w:fldCharType="begin"/>
            </w:r>
            <w:r w:rsidR="003B04B7">
              <w:rPr>
                <w:noProof/>
                <w:webHidden/>
              </w:rPr>
              <w:instrText xml:space="preserve"> PAGEREF _Toc5974932 \h </w:instrText>
            </w:r>
            <w:r w:rsidR="003B04B7">
              <w:rPr>
                <w:noProof/>
                <w:webHidden/>
              </w:rPr>
            </w:r>
            <w:r w:rsidR="003B04B7">
              <w:rPr>
                <w:noProof/>
                <w:webHidden/>
              </w:rPr>
              <w:fldChar w:fldCharType="separate"/>
            </w:r>
            <w:r w:rsidR="003B04B7">
              <w:rPr>
                <w:noProof/>
                <w:webHidden/>
              </w:rPr>
              <w:t>56</w:t>
            </w:r>
            <w:r w:rsidR="003B04B7">
              <w:rPr>
                <w:noProof/>
                <w:webHidden/>
              </w:rPr>
              <w:fldChar w:fldCharType="end"/>
            </w:r>
          </w:hyperlink>
        </w:p>
        <w:p w14:paraId="3A20F0E7" w14:textId="2AC234DB" w:rsidR="003B04B7" w:rsidRDefault="006C43B8">
          <w:pPr>
            <w:pStyle w:val="TOC2"/>
            <w:rPr>
              <w:rFonts w:asciiTheme="minorHAnsi" w:hAnsiTheme="minorHAnsi"/>
              <w:noProof/>
              <w:color w:val="auto"/>
              <w:kern w:val="0"/>
              <w:lang w:eastAsia="en-US"/>
              <w14:numForm w14:val="default"/>
              <w14:numSpacing w14:val="default"/>
            </w:rPr>
          </w:pPr>
          <w:hyperlink w:anchor="_Toc5974933" w:history="1">
            <w:r w:rsidR="003B04B7" w:rsidRPr="00A3574A">
              <w:rPr>
                <w:rStyle w:val="Hyperlink"/>
                <w:noProof/>
              </w:rPr>
              <w:t>Observaciones Finales</w:t>
            </w:r>
            <w:r w:rsidR="003B04B7">
              <w:rPr>
                <w:noProof/>
                <w:webHidden/>
              </w:rPr>
              <w:tab/>
            </w:r>
            <w:r w:rsidR="003B04B7">
              <w:rPr>
                <w:noProof/>
                <w:webHidden/>
              </w:rPr>
              <w:fldChar w:fldCharType="begin"/>
            </w:r>
            <w:r w:rsidR="003B04B7">
              <w:rPr>
                <w:noProof/>
                <w:webHidden/>
              </w:rPr>
              <w:instrText xml:space="preserve"> PAGEREF _Toc5974933 \h </w:instrText>
            </w:r>
            <w:r w:rsidR="003B04B7">
              <w:rPr>
                <w:noProof/>
                <w:webHidden/>
              </w:rPr>
            </w:r>
            <w:r w:rsidR="003B04B7">
              <w:rPr>
                <w:noProof/>
                <w:webHidden/>
              </w:rPr>
              <w:fldChar w:fldCharType="separate"/>
            </w:r>
            <w:r w:rsidR="003B04B7">
              <w:rPr>
                <w:noProof/>
                <w:webHidden/>
              </w:rPr>
              <w:t>56</w:t>
            </w:r>
            <w:r w:rsidR="003B04B7">
              <w:rPr>
                <w:noProof/>
                <w:webHidden/>
              </w:rPr>
              <w:fldChar w:fldCharType="end"/>
            </w:r>
          </w:hyperlink>
        </w:p>
        <w:p w14:paraId="1CC6A909" w14:textId="7CF79BA2" w:rsidR="003B04B7" w:rsidRDefault="006C43B8">
          <w:pPr>
            <w:pStyle w:val="TOC2"/>
            <w:rPr>
              <w:rFonts w:asciiTheme="minorHAnsi" w:hAnsiTheme="minorHAnsi"/>
              <w:noProof/>
              <w:color w:val="auto"/>
              <w:kern w:val="0"/>
              <w:lang w:eastAsia="en-US"/>
              <w14:numForm w14:val="default"/>
              <w14:numSpacing w14:val="default"/>
            </w:rPr>
          </w:pPr>
          <w:hyperlink w:anchor="_Toc5974934" w:history="1">
            <w:r w:rsidR="003B04B7" w:rsidRPr="00A3574A">
              <w:rPr>
                <w:rStyle w:val="Hyperlink"/>
                <w:noProof/>
              </w:rPr>
              <w:t>Denuncias Individuales</w:t>
            </w:r>
            <w:r w:rsidR="003B04B7">
              <w:rPr>
                <w:noProof/>
                <w:webHidden/>
              </w:rPr>
              <w:tab/>
            </w:r>
            <w:r w:rsidR="003B04B7">
              <w:rPr>
                <w:noProof/>
                <w:webHidden/>
              </w:rPr>
              <w:fldChar w:fldCharType="begin"/>
            </w:r>
            <w:r w:rsidR="003B04B7">
              <w:rPr>
                <w:noProof/>
                <w:webHidden/>
              </w:rPr>
              <w:instrText xml:space="preserve"> PAGEREF _Toc5974934 \h </w:instrText>
            </w:r>
            <w:r w:rsidR="003B04B7">
              <w:rPr>
                <w:noProof/>
                <w:webHidden/>
              </w:rPr>
            </w:r>
            <w:r w:rsidR="003B04B7">
              <w:rPr>
                <w:noProof/>
                <w:webHidden/>
              </w:rPr>
              <w:fldChar w:fldCharType="separate"/>
            </w:r>
            <w:r w:rsidR="003B04B7">
              <w:rPr>
                <w:noProof/>
                <w:webHidden/>
              </w:rPr>
              <w:t>60</w:t>
            </w:r>
            <w:r w:rsidR="003B04B7">
              <w:rPr>
                <w:noProof/>
                <w:webHidden/>
              </w:rPr>
              <w:fldChar w:fldCharType="end"/>
            </w:r>
          </w:hyperlink>
        </w:p>
        <w:p w14:paraId="0C4F6CF4" w14:textId="11B3608F" w:rsidR="003B04B7" w:rsidRDefault="006C43B8">
          <w:pPr>
            <w:pStyle w:val="TOC2"/>
            <w:rPr>
              <w:rFonts w:asciiTheme="minorHAnsi" w:hAnsiTheme="minorHAnsi"/>
              <w:noProof/>
              <w:color w:val="auto"/>
              <w:kern w:val="0"/>
              <w:lang w:eastAsia="en-US"/>
              <w14:numForm w14:val="default"/>
              <w14:numSpacing w14:val="default"/>
            </w:rPr>
          </w:pPr>
          <w:hyperlink w:anchor="_Toc5974935" w:history="1">
            <w:r w:rsidR="003B04B7" w:rsidRPr="00A3574A">
              <w:rPr>
                <w:rStyle w:val="Hyperlink"/>
                <w:noProof/>
              </w:rPr>
              <w:t>Vacíos en los Estándares</w:t>
            </w:r>
            <w:r w:rsidR="003B04B7">
              <w:rPr>
                <w:noProof/>
                <w:webHidden/>
              </w:rPr>
              <w:tab/>
            </w:r>
            <w:r w:rsidR="003B04B7">
              <w:rPr>
                <w:noProof/>
                <w:webHidden/>
              </w:rPr>
              <w:fldChar w:fldCharType="begin"/>
            </w:r>
            <w:r w:rsidR="003B04B7">
              <w:rPr>
                <w:noProof/>
                <w:webHidden/>
              </w:rPr>
              <w:instrText xml:space="preserve"> PAGEREF _Toc5974935 \h </w:instrText>
            </w:r>
            <w:r w:rsidR="003B04B7">
              <w:rPr>
                <w:noProof/>
                <w:webHidden/>
              </w:rPr>
            </w:r>
            <w:r w:rsidR="003B04B7">
              <w:rPr>
                <w:noProof/>
                <w:webHidden/>
              </w:rPr>
              <w:fldChar w:fldCharType="separate"/>
            </w:r>
            <w:r w:rsidR="003B04B7">
              <w:rPr>
                <w:noProof/>
                <w:webHidden/>
              </w:rPr>
              <w:t>60</w:t>
            </w:r>
            <w:r w:rsidR="003B04B7">
              <w:rPr>
                <w:noProof/>
                <w:webHidden/>
              </w:rPr>
              <w:fldChar w:fldCharType="end"/>
            </w:r>
          </w:hyperlink>
        </w:p>
        <w:p w14:paraId="5E138655" w14:textId="7CD190BD" w:rsidR="003B04B7" w:rsidRDefault="006C43B8">
          <w:pPr>
            <w:pStyle w:val="TOC1"/>
            <w:rPr>
              <w:rFonts w:asciiTheme="minorHAnsi" w:hAnsiTheme="minorHAnsi" w:cstheme="minorBidi"/>
              <w:color w:val="auto"/>
              <w:spacing w:val="0"/>
              <w:kern w:val="0"/>
              <w:lang w:eastAsia="en-US"/>
            </w:rPr>
          </w:pPr>
          <w:hyperlink w:anchor="_Toc5974936" w:history="1">
            <w:r w:rsidR="003B04B7" w:rsidRPr="00A3574A">
              <w:rPr>
                <w:rStyle w:val="Hyperlink"/>
              </w:rPr>
              <w:t>Comité para la Eliminación de la Discriminación Racial</w:t>
            </w:r>
            <w:r w:rsidR="003B04B7" w:rsidRPr="009D2805">
              <w:rPr>
                <w:rFonts w:ascii="Franklin Gothic Book" w:hAnsi="Franklin Gothic Book"/>
                <w:webHidden/>
              </w:rPr>
              <w:tab/>
            </w:r>
            <w:r w:rsidR="003B04B7" w:rsidRPr="003B04B7">
              <w:rPr>
                <w:webHidden/>
                <w:sz w:val="23"/>
                <w:szCs w:val="23"/>
              </w:rPr>
              <w:fldChar w:fldCharType="begin"/>
            </w:r>
            <w:r w:rsidR="003B04B7" w:rsidRPr="003B04B7">
              <w:rPr>
                <w:webHidden/>
                <w:sz w:val="23"/>
                <w:szCs w:val="23"/>
              </w:rPr>
              <w:instrText xml:space="preserve"> PAGEREF _Toc5974936 \h </w:instrText>
            </w:r>
            <w:r w:rsidR="003B04B7" w:rsidRPr="003B04B7">
              <w:rPr>
                <w:webHidden/>
                <w:sz w:val="23"/>
                <w:szCs w:val="23"/>
              </w:rPr>
            </w:r>
            <w:r w:rsidR="003B04B7" w:rsidRPr="003B04B7">
              <w:rPr>
                <w:webHidden/>
                <w:sz w:val="23"/>
                <w:szCs w:val="23"/>
              </w:rPr>
              <w:fldChar w:fldCharType="separate"/>
            </w:r>
            <w:r w:rsidR="003B04B7" w:rsidRPr="003B04B7">
              <w:rPr>
                <w:webHidden/>
                <w:sz w:val="23"/>
                <w:szCs w:val="23"/>
              </w:rPr>
              <w:t>61</w:t>
            </w:r>
            <w:r w:rsidR="003B04B7" w:rsidRPr="003B04B7">
              <w:rPr>
                <w:webHidden/>
                <w:sz w:val="23"/>
                <w:szCs w:val="23"/>
              </w:rPr>
              <w:fldChar w:fldCharType="end"/>
            </w:r>
          </w:hyperlink>
        </w:p>
        <w:p w14:paraId="2E1565D6" w14:textId="41E0B959" w:rsidR="003B04B7" w:rsidRDefault="006C43B8">
          <w:pPr>
            <w:pStyle w:val="TOC2"/>
            <w:rPr>
              <w:rFonts w:asciiTheme="minorHAnsi" w:hAnsiTheme="minorHAnsi"/>
              <w:noProof/>
              <w:color w:val="auto"/>
              <w:kern w:val="0"/>
              <w:lang w:eastAsia="en-US"/>
              <w14:numForm w14:val="default"/>
              <w14:numSpacing w14:val="default"/>
            </w:rPr>
          </w:pPr>
          <w:hyperlink w:anchor="_Toc5974937" w:history="1">
            <w:r w:rsidR="003B04B7" w:rsidRPr="00A3574A">
              <w:rPr>
                <w:rStyle w:val="Hyperlink"/>
                <w:noProof/>
              </w:rPr>
              <w:t>Recomendaciones Generales</w:t>
            </w:r>
            <w:r w:rsidR="003B04B7">
              <w:rPr>
                <w:noProof/>
                <w:webHidden/>
              </w:rPr>
              <w:tab/>
            </w:r>
            <w:r w:rsidR="003B04B7">
              <w:rPr>
                <w:noProof/>
                <w:webHidden/>
              </w:rPr>
              <w:fldChar w:fldCharType="begin"/>
            </w:r>
            <w:r w:rsidR="003B04B7">
              <w:rPr>
                <w:noProof/>
                <w:webHidden/>
              </w:rPr>
              <w:instrText xml:space="preserve"> PAGEREF _Toc5974937 \h </w:instrText>
            </w:r>
            <w:r w:rsidR="003B04B7">
              <w:rPr>
                <w:noProof/>
                <w:webHidden/>
              </w:rPr>
            </w:r>
            <w:r w:rsidR="003B04B7">
              <w:rPr>
                <w:noProof/>
                <w:webHidden/>
              </w:rPr>
              <w:fldChar w:fldCharType="separate"/>
            </w:r>
            <w:r w:rsidR="003B04B7">
              <w:rPr>
                <w:noProof/>
                <w:webHidden/>
              </w:rPr>
              <w:t>61</w:t>
            </w:r>
            <w:r w:rsidR="003B04B7">
              <w:rPr>
                <w:noProof/>
                <w:webHidden/>
              </w:rPr>
              <w:fldChar w:fldCharType="end"/>
            </w:r>
          </w:hyperlink>
        </w:p>
        <w:p w14:paraId="05F09F5C" w14:textId="7E6CC9C9" w:rsidR="003B04B7" w:rsidRDefault="006C43B8">
          <w:pPr>
            <w:pStyle w:val="TOC2"/>
            <w:rPr>
              <w:rFonts w:asciiTheme="minorHAnsi" w:hAnsiTheme="minorHAnsi"/>
              <w:noProof/>
              <w:color w:val="auto"/>
              <w:kern w:val="0"/>
              <w:lang w:eastAsia="en-US"/>
              <w14:numForm w14:val="default"/>
              <w14:numSpacing w14:val="default"/>
            </w:rPr>
          </w:pPr>
          <w:hyperlink w:anchor="_Toc5974938" w:history="1">
            <w:r w:rsidR="003B04B7" w:rsidRPr="00A3574A">
              <w:rPr>
                <w:rStyle w:val="Hyperlink"/>
                <w:noProof/>
              </w:rPr>
              <w:t>Observaciones Finales</w:t>
            </w:r>
            <w:r w:rsidR="003B04B7">
              <w:rPr>
                <w:noProof/>
                <w:webHidden/>
              </w:rPr>
              <w:tab/>
            </w:r>
            <w:r w:rsidR="003B04B7">
              <w:rPr>
                <w:noProof/>
                <w:webHidden/>
              </w:rPr>
              <w:fldChar w:fldCharType="begin"/>
            </w:r>
            <w:r w:rsidR="003B04B7">
              <w:rPr>
                <w:noProof/>
                <w:webHidden/>
              </w:rPr>
              <w:instrText xml:space="preserve"> PAGEREF _Toc5974938 \h </w:instrText>
            </w:r>
            <w:r w:rsidR="003B04B7">
              <w:rPr>
                <w:noProof/>
                <w:webHidden/>
              </w:rPr>
            </w:r>
            <w:r w:rsidR="003B04B7">
              <w:rPr>
                <w:noProof/>
                <w:webHidden/>
              </w:rPr>
              <w:fldChar w:fldCharType="separate"/>
            </w:r>
            <w:r w:rsidR="003B04B7">
              <w:rPr>
                <w:noProof/>
                <w:webHidden/>
              </w:rPr>
              <w:t>61</w:t>
            </w:r>
            <w:r w:rsidR="003B04B7">
              <w:rPr>
                <w:noProof/>
                <w:webHidden/>
              </w:rPr>
              <w:fldChar w:fldCharType="end"/>
            </w:r>
          </w:hyperlink>
        </w:p>
        <w:p w14:paraId="7B1E2D03" w14:textId="689BEDBC" w:rsidR="003B04B7" w:rsidRDefault="006C43B8">
          <w:pPr>
            <w:pStyle w:val="TOC2"/>
            <w:rPr>
              <w:rFonts w:asciiTheme="minorHAnsi" w:hAnsiTheme="minorHAnsi"/>
              <w:noProof/>
              <w:color w:val="auto"/>
              <w:kern w:val="0"/>
              <w:lang w:eastAsia="en-US"/>
              <w14:numForm w14:val="default"/>
              <w14:numSpacing w14:val="default"/>
            </w:rPr>
          </w:pPr>
          <w:hyperlink w:anchor="_Toc5974939" w:history="1">
            <w:r w:rsidR="003B04B7" w:rsidRPr="00A3574A">
              <w:rPr>
                <w:rStyle w:val="Hyperlink"/>
                <w:noProof/>
              </w:rPr>
              <w:t>Denuncias Individuales</w:t>
            </w:r>
            <w:r w:rsidR="003B04B7">
              <w:rPr>
                <w:noProof/>
                <w:webHidden/>
              </w:rPr>
              <w:tab/>
            </w:r>
            <w:r w:rsidR="003B04B7">
              <w:rPr>
                <w:noProof/>
                <w:webHidden/>
              </w:rPr>
              <w:fldChar w:fldCharType="begin"/>
            </w:r>
            <w:r w:rsidR="003B04B7">
              <w:rPr>
                <w:noProof/>
                <w:webHidden/>
              </w:rPr>
              <w:instrText xml:space="preserve"> PAGEREF _Toc5974939 \h </w:instrText>
            </w:r>
            <w:r w:rsidR="003B04B7">
              <w:rPr>
                <w:noProof/>
                <w:webHidden/>
              </w:rPr>
            </w:r>
            <w:r w:rsidR="003B04B7">
              <w:rPr>
                <w:noProof/>
                <w:webHidden/>
              </w:rPr>
              <w:fldChar w:fldCharType="separate"/>
            </w:r>
            <w:r w:rsidR="003B04B7">
              <w:rPr>
                <w:noProof/>
                <w:webHidden/>
              </w:rPr>
              <w:t>63</w:t>
            </w:r>
            <w:r w:rsidR="003B04B7">
              <w:rPr>
                <w:noProof/>
                <w:webHidden/>
              </w:rPr>
              <w:fldChar w:fldCharType="end"/>
            </w:r>
          </w:hyperlink>
        </w:p>
        <w:p w14:paraId="4FB1CCD1" w14:textId="25685AB0" w:rsidR="003B04B7" w:rsidRDefault="006C43B8">
          <w:pPr>
            <w:pStyle w:val="TOC2"/>
            <w:rPr>
              <w:rFonts w:asciiTheme="minorHAnsi" w:hAnsiTheme="minorHAnsi"/>
              <w:noProof/>
              <w:color w:val="auto"/>
              <w:kern w:val="0"/>
              <w:lang w:eastAsia="en-US"/>
              <w14:numForm w14:val="default"/>
              <w14:numSpacing w14:val="default"/>
            </w:rPr>
          </w:pPr>
          <w:hyperlink w:anchor="_Toc5974940" w:history="1">
            <w:r w:rsidR="003B04B7" w:rsidRPr="00A3574A">
              <w:rPr>
                <w:rStyle w:val="Hyperlink"/>
                <w:noProof/>
              </w:rPr>
              <w:t>Vacíos en los Estándares</w:t>
            </w:r>
            <w:r w:rsidR="003B04B7">
              <w:rPr>
                <w:noProof/>
                <w:webHidden/>
              </w:rPr>
              <w:tab/>
            </w:r>
            <w:r w:rsidR="003B04B7">
              <w:rPr>
                <w:noProof/>
                <w:webHidden/>
              </w:rPr>
              <w:fldChar w:fldCharType="begin"/>
            </w:r>
            <w:r w:rsidR="003B04B7">
              <w:rPr>
                <w:noProof/>
                <w:webHidden/>
              </w:rPr>
              <w:instrText xml:space="preserve"> PAGEREF _Toc5974940 \h </w:instrText>
            </w:r>
            <w:r w:rsidR="003B04B7">
              <w:rPr>
                <w:noProof/>
                <w:webHidden/>
              </w:rPr>
            </w:r>
            <w:r w:rsidR="003B04B7">
              <w:rPr>
                <w:noProof/>
                <w:webHidden/>
              </w:rPr>
              <w:fldChar w:fldCharType="separate"/>
            </w:r>
            <w:r w:rsidR="003B04B7">
              <w:rPr>
                <w:noProof/>
                <w:webHidden/>
              </w:rPr>
              <w:t>63</w:t>
            </w:r>
            <w:r w:rsidR="003B04B7">
              <w:rPr>
                <w:noProof/>
                <w:webHidden/>
              </w:rPr>
              <w:fldChar w:fldCharType="end"/>
            </w:r>
          </w:hyperlink>
        </w:p>
        <w:p w14:paraId="730B4A29" w14:textId="57360603" w:rsidR="003B04B7" w:rsidRDefault="006C43B8">
          <w:pPr>
            <w:pStyle w:val="TOC1"/>
            <w:rPr>
              <w:rFonts w:asciiTheme="minorHAnsi" w:hAnsiTheme="minorHAnsi" w:cstheme="minorBidi"/>
              <w:color w:val="auto"/>
              <w:spacing w:val="0"/>
              <w:kern w:val="0"/>
              <w:lang w:eastAsia="en-US"/>
            </w:rPr>
          </w:pPr>
          <w:hyperlink w:anchor="_Toc5974941" w:history="1">
            <w:r w:rsidR="003B04B7" w:rsidRPr="00A3574A">
              <w:rPr>
                <w:rStyle w:val="Hyperlink"/>
              </w:rPr>
              <w:t>Informes Temáticos por Procedimientos Especiales de las Naciones Unidas</w:t>
            </w:r>
            <w:r w:rsidR="003B04B7" w:rsidRPr="003B04B7">
              <w:rPr>
                <w:rFonts w:ascii="Franklin Gothic Book" w:hAnsi="Franklin Gothic Book"/>
                <w:webHidden/>
              </w:rPr>
              <w:tab/>
            </w:r>
            <w:r w:rsidR="003B04B7">
              <w:rPr>
                <w:webHidden/>
              </w:rPr>
              <w:fldChar w:fldCharType="begin"/>
            </w:r>
            <w:r w:rsidR="003B04B7">
              <w:rPr>
                <w:webHidden/>
              </w:rPr>
              <w:instrText xml:space="preserve"> PAGEREF _Toc5974941 \h </w:instrText>
            </w:r>
            <w:r w:rsidR="003B04B7">
              <w:rPr>
                <w:webHidden/>
              </w:rPr>
            </w:r>
            <w:r w:rsidR="003B04B7">
              <w:rPr>
                <w:webHidden/>
              </w:rPr>
              <w:fldChar w:fldCharType="separate"/>
            </w:r>
            <w:r w:rsidR="003B04B7">
              <w:rPr>
                <w:webHidden/>
              </w:rPr>
              <w:t>65</w:t>
            </w:r>
            <w:r w:rsidR="003B04B7">
              <w:rPr>
                <w:webHidden/>
              </w:rPr>
              <w:fldChar w:fldCharType="end"/>
            </w:r>
          </w:hyperlink>
        </w:p>
        <w:p w14:paraId="41A2A9BC" w14:textId="4FA48B4B" w:rsidR="00991E5F" w:rsidRDefault="003B04B7" w:rsidP="00D90644">
          <w:pPr>
            <w:pStyle w:val="TOC1"/>
            <w:tabs>
              <w:tab w:val="clear" w:pos="9000"/>
              <w:tab w:val="left" w:pos="720"/>
              <w:tab w:val="right" w:leader="dot" w:pos="9990"/>
            </w:tabs>
            <w:ind w:left="360" w:right="234" w:firstLine="0"/>
            <w:outlineLvl w:val="0"/>
          </w:pPr>
          <w:r>
            <w:rPr>
              <w:b/>
              <w:caps/>
            </w:rPr>
            <w:fldChar w:fldCharType="end"/>
          </w:r>
        </w:p>
      </w:sdtContent>
    </w:sdt>
    <w:p w14:paraId="12731000" w14:textId="77777777" w:rsidR="0049019C" w:rsidRDefault="0049019C">
      <w:pPr>
        <w:spacing w:after="0" w:line="240" w:lineRule="auto"/>
        <w:ind w:left="0" w:right="0"/>
        <w:jc w:val="left"/>
      </w:pPr>
    </w:p>
    <w:p w14:paraId="5E22D362" w14:textId="77777777" w:rsidR="0049019C" w:rsidRDefault="00CD0EAF">
      <w:pPr>
        <w:spacing w:after="0" w:line="240" w:lineRule="auto"/>
        <w:ind w:left="0" w:right="0"/>
        <w:jc w:val="left"/>
      </w:pPr>
      <w:r>
        <w:br w:type="page"/>
      </w:r>
    </w:p>
    <w:p w14:paraId="3D4E6621" w14:textId="77777777" w:rsidR="0049019C" w:rsidRDefault="00CD0EAF" w:rsidP="0052428A">
      <w:pPr>
        <w:pStyle w:val="Heading1"/>
      </w:pPr>
      <w:bookmarkStart w:id="1" w:name="_Toc5974900"/>
      <w:r>
        <w:lastRenderedPageBreak/>
        <w:t>Agradecimientos</w:t>
      </w:r>
      <w:bookmarkEnd w:id="1"/>
    </w:p>
    <w:p w14:paraId="03B0E60B" w14:textId="043634AE" w:rsidR="0049019C" w:rsidRDefault="00CD0EAF">
      <w:pPr>
        <w:keepNext/>
        <w:keepLines/>
        <w:ind w:left="90" w:right="144"/>
      </w:pPr>
      <w:r>
        <w:t xml:space="preserve">Este documento informativo es una publicación de </w:t>
      </w:r>
      <w:r w:rsidR="009C1B79">
        <w:t xml:space="preserve">Women Enabled International </w:t>
      </w:r>
      <w:r>
        <w:t xml:space="preserve">(WEI) y fue </w:t>
      </w:r>
      <w:r w:rsidR="009C1B79">
        <w:t>conceptualiz</w:t>
      </w:r>
      <w:r>
        <w:t>ado por Stephanie Ortoleva y Suzannah Phillips de WEI. Suzannah P</w:t>
      </w:r>
      <w:r w:rsidR="00360557">
        <w:t>hillips y Amanda McRae de WEI son</w:t>
      </w:r>
      <w:r>
        <w:t xml:space="preserve"> </w:t>
      </w:r>
      <w:r w:rsidR="00360557">
        <w:t>las autoras</w:t>
      </w:r>
      <w:r>
        <w:t xml:space="preserve"> del </w:t>
      </w:r>
      <w:r w:rsidR="009C1B79">
        <w:t>documento</w:t>
      </w:r>
      <w:r>
        <w:t xml:space="preserve">, con </w:t>
      </w:r>
      <w:r w:rsidR="009C1B79">
        <w:t>el</w:t>
      </w:r>
      <w:r>
        <w:t xml:space="preserve"> </w:t>
      </w:r>
      <w:r w:rsidR="009C1B79">
        <w:t xml:space="preserve">apoyo en la </w:t>
      </w:r>
      <w:r>
        <w:t xml:space="preserve">edición de Stephanie Ortoleva. </w:t>
      </w:r>
    </w:p>
    <w:p w14:paraId="3475F69C" w14:textId="490A912F" w:rsidR="0049019C" w:rsidRDefault="00CD0EAF">
      <w:pPr>
        <w:keepNext/>
        <w:keepLines/>
        <w:ind w:left="90" w:right="144"/>
      </w:pPr>
      <w:r>
        <w:t xml:space="preserve">Amplia investigación para este informe se realizó con el generoso apoyo pro-bono de: Dechert LLP </w:t>
      </w:r>
      <w:r w:rsidRPr="00330543">
        <w:t>(</w:t>
      </w:r>
      <w:r w:rsidR="00FE702D" w:rsidRPr="00FE702D">
        <w:t>Linda Bartosch, Claire Bentley, Marie Bouchard, John Bumgarner, Sarah Burke, Stephanie Capistron, Shannon Cleary, Anna Do, Xenia Garofalo, Stephanie Kakoschke, Alvin Knight, Paul Lee, Laurel Neale, Jingjing Wu</w:t>
      </w:r>
      <w:r w:rsidRPr="00330543">
        <w:t>)</w:t>
      </w:r>
      <w:r w:rsidRPr="00FE702D">
        <w:t>,</w:t>
      </w:r>
      <w:r>
        <w:t xml:space="preserve"> quienes investigaron las observaciones </w:t>
      </w:r>
      <w:r w:rsidR="00FE702D">
        <w:t>finales de</w:t>
      </w:r>
      <w:r>
        <w:t xml:space="preserve"> </w:t>
      </w:r>
      <w:r w:rsidR="00FE702D">
        <w:t xml:space="preserve">todos </w:t>
      </w:r>
      <w:r>
        <w:t>los órganos de tratados de Naciones Unidas; Morgan, Lewis &amp; Bockius LLP (Sarah Jane Allen, Nicole Antonopoulos, Kevin Benedicto, Robert M. Brecht Jr., Emily Calmeyer, Nicholas Frontera, Albert C. Gilbert, IV, Theresa Kradjian, Shoshana Lucich, Tim Slind, Allison Soilihi y Alison Westwood), qu</w:t>
      </w:r>
      <w:r w:rsidR="00FE702D">
        <w:t>ienes</w:t>
      </w:r>
      <w:r>
        <w:t xml:space="preserve"> investiga</w:t>
      </w:r>
      <w:r w:rsidR="00FE702D">
        <w:t>ron</w:t>
      </w:r>
      <w:r>
        <w:t xml:space="preserve"> las observaciones/recomendaciones generales; Latham &amp; Watkins LLP </w:t>
      </w:r>
      <w:r w:rsidRPr="00360557">
        <w:t>(Sharon Lau, Andrew Mamo, Dolynn Yap y Alex</w:t>
      </w:r>
      <w:r w:rsidR="00FE702D" w:rsidRPr="00FE702D">
        <w:t xml:space="preserve"> </w:t>
      </w:r>
      <w:r w:rsidR="00FE702D" w:rsidRPr="008D1385">
        <w:t>Ye</w:t>
      </w:r>
      <w:r w:rsidRPr="00360557">
        <w:t>),</w:t>
      </w:r>
      <w:r>
        <w:t xml:space="preserve"> quienes investigaron denuncias individuales; Dentons (Isobel Phillips), quien investigó las recomendaciones generales y </w:t>
      </w:r>
      <w:r w:rsidR="00FE702D">
        <w:t xml:space="preserve">denuncias </w:t>
      </w:r>
      <w:r>
        <w:t xml:space="preserve">individuales del Comité CEDAW; y Jennifer Davidson y Kailey Mrosak, </w:t>
      </w:r>
      <w:r w:rsidR="00FE702D">
        <w:t xml:space="preserve">pasantes </w:t>
      </w:r>
      <w:r>
        <w:t xml:space="preserve">pro bono de la </w:t>
      </w:r>
      <w:r w:rsidR="00FE702D">
        <w:t>Escuela de Derecho de la University of Virgina</w:t>
      </w:r>
      <w:r>
        <w:t>, quienes investigaron</w:t>
      </w:r>
      <w:r w:rsidR="00FE702D">
        <w:t xml:space="preserve"> observaciones</w:t>
      </w:r>
      <w:r>
        <w:t xml:space="preserve"> generales y denuncias individuales </w:t>
      </w:r>
      <w:r w:rsidR="00FE702D">
        <w:t>d</w:t>
      </w:r>
      <w:r>
        <w:t xml:space="preserve">el Comité CDPD. </w:t>
      </w:r>
      <w:r w:rsidR="00FE702D">
        <w:t>WEI está también agradecida con los abogados</w:t>
      </w:r>
      <w:r w:rsidR="00FE702D" w:rsidRPr="00FE702D">
        <w:t xml:space="preserve"> </w:t>
      </w:r>
      <w:r w:rsidR="00FE702D">
        <w:t>pro bono de Dechert LLP, Glenn Gundersen y Prerna Soni, por su guía en la protección de la propiedad intelectual de WEI.</w:t>
      </w:r>
    </w:p>
    <w:p w14:paraId="2C828482" w14:textId="6EE746AB" w:rsidR="0049019C" w:rsidRDefault="00CD0EAF">
      <w:pPr>
        <w:keepNext/>
        <w:keepLines/>
        <w:ind w:left="90" w:right="144"/>
      </w:pPr>
      <w:r>
        <w:t xml:space="preserve">La </w:t>
      </w:r>
      <w:r w:rsidR="00FE702D" w:rsidRPr="00F421FD">
        <w:rPr>
          <w:i/>
          <w:iCs/>
        </w:rPr>
        <w:t>accountABILITY Toolkit</w:t>
      </w:r>
      <w:r w:rsidR="00FE702D">
        <w:t xml:space="preserve"> </w:t>
      </w:r>
      <w:r>
        <w:t>está dedicad</w:t>
      </w:r>
      <w:r w:rsidR="00FE702D">
        <w:t>a</w:t>
      </w:r>
      <w:r>
        <w:t xml:space="preserve"> a l</w:t>
      </w:r>
      <w:r w:rsidR="00FE702D">
        <w:t>a</w:t>
      </w:r>
      <w:r>
        <w:t xml:space="preserve">s millones de mujeres </w:t>
      </w:r>
      <w:r w:rsidR="00FE702D">
        <w:t xml:space="preserve">y niñas con </w:t>
      </w:r>
      <w:r>
        <w:t>discapaci</w:t>
      </w:r>
      <w:r w:rsidR="00FE702D">
        <w:t xml:space="preserve">dad </w:t>
      </w:r>
      <w:r>
        <w:t>alrededor del mundo que habitualmente encuentran múltiple</w:t>
      </w:r>
      <w:r w:rsidR="00FE702D">
        <w:t>s</w:t>
      </w:r>
      <w:r>
        <w:t xml:space="preserve"> </w:t>
      </w:r>
      <w:r w:rsidR="000240F8">
        <w:t>e</w:t>
      </w:r>
      <w:r>
        <w:t xml:space="preserve"> intersecci</w:t>
      </w:r>
      <w:r w:rsidR="000240F8">
        <w:t>onales</w:t>
      </w:r>
      <w:r>
        <w:t xml:space="preserve"> formas de discriminación. Este </w:t>
      </w:r>
      <w:r>
        <w:rPr>
          <w:i/>
          <w:iCs/>
        </w:rPr>
        <w:t>Toolkit</w:t>
      </w:r>
      <w:r>
        <w:t xml:space="preserve"> es una llamada a la acción, instando y empoder</w:t>
      </w:r>
      <w:r w:rsidR="000240F8">
        <w:t>ándonos</w:t>
      </w:r>
      <w:r>
        <w:t xml:space="preserve"> </w:t>
      </w:r>
      <w:r w:rsidR="000240F8">
        <w:t>para</w:t>
      </w:r>
      <w:r>
        <w:t xml:space="preserve"> colectivamente elevar nuestras voces para exigir que </w:t>
      </w:r>
      <w:r w:rsidR="000240F8">
        <w:t>los estándares</w:t>
      </w:r>
      <w:r>
        <w:t xml:space="preserve"> internacionales de derechos humanos prote</w:t>
      </w:r>
      <w:r w:rsidR="000240F8">
        <w:t>ja</w:t>
      </w:r>
      <w:r>
        <w:t xml:space="preserve">n los derechos de todas las mujeres y las niñas, independientemente de </w:t>
      </w:r>
      <w:r w:rsidR="000240F8">
        <w:t>su condición de discapacidad</w:t>
      </w:r>
      <w:r>
        <w:t xml:space="preserve">. </w:t>
      </w:r>
    </w:p>
    <w:p w14:paraId="26222DCB" w14:textId="297E431C" w:rsidR="0049019C" w:rsidRDefault="00CD0EAF">
      <w:pPr>
        <w:rPr>
          <w:noProof/>
        </w:rPr>
      </w:pPr>
      <w:r>
        <w:t xml:space="preserve">Agradecimiento especial a </w:t>
      </w:r>
      <w:r w:rsidR="000240F8">
        <w:t xml:space="preserve">Channel Foundation, </w:t>
      </w:r>
      <w:r>
        <w:t xml:space="preserve">Open Society Foundations y </w:t>
      </w:r>
      <w:r w:rsidR="000240F8">
        <w:t xml:space="preserve">a </w:t>
      </w:r>
      <w:r>
        <w:t xml:space="preserve">un donante anónimo, cuyo </w:t>
      </w:r>
      <w:r w:rsidR="000240F8">
        <w:t xml:space="preserve">generoso </w:t>
      </w:r>
      <w:r>
        <w:t xml:space="preserve">apoyo permitió la publicación de este </w:t>
      </w:r>
      <w:r w:rsidR="000240F8">
        <w:t xml:space="preserve">documento informativo, </w:t>
      </w:r>
      <w:r>
        <w:t xml:space="preserve">y </w:t>
      </w:r>
      <w:r w:rsidR="000240F8">
        <w:t xml:space="preserve">a Translators without Borders </w:t>
      </w:r>
      <w:r>
        <w:t>p</w:t>
      </w:r>
      <w:r w:rsidR="000240F8">
        <w:t>or</w:t>
      </w:r>
      <w:r>
        <w:t xml:space="preserve"> la traducción de esta publicación al </w:t>
      </w:r>
      <w:r w:rsidR="00DB2F7C">
        <w:t>e</w:t>
      </w:r>
      <w:r>
        <w:t xml:space="preserve">spañol. </w:t>
      </w:r>
    </w:p>
    <w:p w14:paraId="5B80F30F" w14:textId="77777777" w:rsidR="0049019C" w:rsidRDefault="0049019C">
      <w:pPr>
        <w:spacing w:after="0" w:line="240" w:lineRule="auto"/>
        <w:ind w:left="0" w:right="0"/>
        <w:jc w:val="left"/>
      </w:pPr>
    </w:p>
    <w:p w14:paraId="3E990EF5" w14:textId="77777777" w:rsidR="0049019C" w:rsidRDefault="0049019C">
      <w:pPr>
        <w:spacing w:after="0" w:line="240" w:lineRule="auto"/>
        <w:ind w:left="0" w:right="0"/>
        <w:jc w:val="left"/>
      </w:pPr>
    </w:p>
    <w:p w14:paraId="6CB7B92B" w14:textId="77777777" w:rsidR="0049019C" w:rsidRDefault="0049019C">
      <w:pPr>
        <w:spacing w:after="0" w:line="240" w:lineRule="auto"/>
        <w:ind w:left="0" w:right="0"/>
        <w:jc w:val="left"/>
        <w:sectPr w:rsidR="0049019C" w:rsidSect="00575467">
          <w:headerReference w:type="even" r:id="rId14"/>
          <w:headerReference w:type="default" r:id="rId15"/>
          <w:footerReference w:type="even" r:id="rId16"/>
          <w:footerReference w:type="default" r:id="rId17"/>
          <w:footnotePr>
            <w:numFmt w:val="chicago"/>
          </w:footnotePr>
          <w:endnotePr>
            <w:numFmt w:val="decimal"/>
          </w:endnotePr>
          <w:pgSz w:w="12240" w:h="15840"/>
          <w:pgMar w:top="981" w:right="1008" w:bottom="1170" w:left="1008" w:header="720" w:footer="720" w:gutter="0"/>
          <w:pgNumType w:fmt="lowerRoman" w:start="1"/>
          <w:cols w:space="720"/>
          <w:docGrid w:linePitch="360"/>
        </w:sectPr>
      </w:pPr>
    </w:p>
    <w:p w14:paraId="22385F4E" w14:textId="6283474E" w:rsidR="0049019C" w:rsidRDefault="00CD0EAF" w:rsidP="0052428A">
      <w:pPr>
        <w:pStyle w:val="Heading1"/>
      </w:pPr>
      <w:bookmarkStart w:id="2" w:name="_Toc5974901"/>
      <w:r>
        <w:lastRenderedPageBreak/>
        <w:t xml:space="preserve">Uso de este </w:t>
      </w:r>
      <w:r w:rsidR="000240F8">
        <w:t>Documento</w:t>
      </w:r>
      <w:r>
        <w:t xml:space="preserve"> </w:t>
      </w:r>
      <w:r w:rsidR="000240F8">
        <w:t>I</w:t>
      </w:r>
      <w:r>
        <w:t>nformativo</w:t>
      </w:r>
      <w:bookmarkEnd w:id="2"/>
    </w:p>
    <w:p w14:paraId="7238E78A" w14:textId="45D91414" w:rsidR="0049019C" w:rsidRDefault="00AF360F" w:rsidP="000D30E9">
      <w:pPr>
        <w:pStyle w:val="NormalIndented"/>
      </w:pPr>
      <w:r w:rsidRPr="000D30E9">
        <w:t>Como se discutió en</w:t>
      </w:r>
      <w:r w:rsidR="00CD0EAF" w:rsidRPr="000D30E9">
        <w:t xml:space="preserve"> </w:t>
      </w:r>
      <w:hyperlink r:id="rId18" w:history="1">
        <w:r w:rsidR="00CD0EAF" w:rsidRPr="00D825A3">
          <w:rPr>
            <w:rStyle w:val="Hyperlink"/>
            <w:i/>
          </w:rPr>
          <w:t>accountABILITY</w:t>
        </w:r>
        <w:r w:rsidR="00287D85" w:rsidRPr="00D825A3">
          <w:rPr>
            <w:rStyle w:val="Hyperlink"/>
            <w:i/>
          </w:rPr>
          <w:t xml:space="preserve"> Toolkit</w:t>
        </w:r>
        <w:r w:rsidR="00CD0EAF" w:rsidRPr="00D825A3">
          <w:rPr>
            <w:rStyle w:val="Hyperlink"/>
            <w:i/>
          </w:rPr>
          <w:t>: U</w:t>
        </w:r>
        <w:r w:rsidR="00E7659E" w:rsidRPr="00D825A3">
          <w:rPr>
            <w:rStyle w:val="Hyperlink"/>
            <w:i/>
          </w:rPr>
          <w:t>na Guía para Usar</w:t>
        </w:r>
        <w:r w:rsidR="00247877" w:rsidRPr="00D825A3">
          <w:rPr>
            <w:rStyle w:val="Hyperlink"/>
            <w:i/>
          </w:rPr>
          <w:t xml:space="preserve"> los Mecanismos de Derechos Humanos de </w:t>
        </w:r>
        <w:r w:rsidR="00E7659E" w:rsidRPr="00D825A3">
          <w:rPr>
            <w:rStyle w:val="Hyperlink"/>
            <w:i/>
          </w:rPr>
          <w:t xml:space="preserve">las </w:t>
        </w:r>
        <w:r w:rsidR="00247877" w:rsidRPr="00D825A3">
          <w:rPr>
            <w:rStyle w:val="Hyperlink"/>
            <w:i/>
          </w:rPr>
          <w:t>Naciones Unidas</w:t>
        </w:r>
        <w:r w:rsidR="00CD0EAF" w:rsidRPr="00D825A3">
          <w:rPr>
            <w:rStyle w:val="Hyperlink"/>
            <w:i/>
          </w:rPr>
          <w:t xml:space="preserve"> </w:t>
        </w:r>
        <w:r w:rsidR="00247877" w:rsidRPr="00D825A3">
          <w:rPr>
            <w:rStyle w:val="Hyperlink"/>
            <w:i/>
          </w:rPr>
          <w:t>para</w:t>
        </w:r>
        <w:r w:rsidR="00CD0023" w:rsidRPr="00D825A3">
          <w:rPr>
            <w:rStyle w:val="Hyperlink"/>
            <w:i/>
          </w:rPr>
          <w:t xml:space="preserve"> </w:t>
        </w:r>
        <w:r w:rsidR="00E7659E" w:rsidRPr="00D825A3">
          <w:rPr>
            <w:rStyle w:val="Hyperlink"/>
            <w:i/>
          </w:rPr>
          <w:t>Avanza</w:t>
        </w:r>
        <w:r w:rsidR="00247877" w:rsidRPr="00D825A3">
          <w:rPr>
            <w:rStyle w:val="Hyperlink"/>
            <w:i/>
          </w:rPr>
          <w:t>r los Derechos de las Mujeres y Niñas con Discapacidad</w:t>
        </w:r>
      </w:hyperlink>
      <w:r w:rsidR="00EA7D8A">
        <w:rPr>
          <w:i/>
        </w:rPr>
        <w:t xml:space="preserve"> </w:t>
      </w:r>
      <w:r w:rsidR="00CD0EAF" w:rsidRPr="000D30E9">
        <w:t>(“</w:t>
      </w:r>
      <w:r w:rsidR="00247877" w:rsidRPr="000D30E9">
        <w:t xml:space="preserve">Guía para la Incidencia </w:t>
      </w:r>
      <w:r w:rsidR="00CD0EAF" w:rsidRPr="00EA7D8A">
        <w:rPr>
          <w:i/>
        </w:rPr>
        <w:t>accountABILITY</w:t>
      </w:r>
      <w:r w:rsidR="00CD0EAF" w:rsidRPr="000D30E9">
        <w:t xml:space="preserve">”), </w:t>
      </w:r>
      <w:r w:rsidR="00247877" w:rsidRPr="000D30E9">
        <w:t>los órganos de tratados de</w:t>
      </w:r>
      <w:r w:rsidR="00EA7D8A" w:rsidRPr="000D30E9">
        <w:t xml:space="preserve"> las</w:t>
      </w:r>
      <w:r w:rsidR="00247877" w:rsidRPr="000D30E9">
        <w:t xml:space="preserve"> Naciones Unidas</w:t>
      </w:r>
      <w:r w:rsidR="00EA7D8A" w:rsidRPr="000D30E9">
        <w:t xml:space="preserve"> (ONU)</w:t>
      </w:r>
      <w:r w:rsidR="00247877" w:rsidRPr="000D30E9">
        <w:t xml:space="preserve"> </w:t>
      </w:r>
      <w:r w:rsidR="00EA7D8A" w:rsidRPr="000D30E9">
        <w:t>están conformados por</w:t>
      </w:r>
      <w:r w:rsidR="00247877" w:rsidRPr="000D30E9">
        <w:t xml:space="preserve"> </w:t>
      </w:r>
      <w:r w:rsidR="00CD0EAF" w:rsidRPr="000D30E9">
        <w:t>expert</w:t>
      </w:r>
      <w:r w:rsidR="00247877" w:rsidRPr="000D30E9">
        <w:t>o</w:t>
      </w:r>
      <w:r w:rsidR="00CD0EAF" w:rsidRPr="000D30E9">
        <w:t>s</w:t>
      </w:r>
      <w:r w:rsidR="00247877" w:rsidRPr="000D30E9">
        <w:t xml:space="preserve"> </w:t>
      </w:r>
      <w:r w:rsidR="00287D85" w:rsidRPr="000D30E9">
        <w:t xml:space="preserve">y expertas </w:t>
      </w:r>
      <w:r w:rsidR="00247877" w:rsidRPr="000D30E9">
        <w:t xml:space="preserve">independientes en derechos humanos, cuyo trabajo es </w:t>
      </w:r>
      <w:r w:rsidR="00CD0EAF" w:rsidRPr="000D30E9">
        <w:t xml:space="preserve">(1) </w:t>
      </w:r>
      <w:r w:rsidR="00247877" w:rsidRPr="000D30E9">
        <w:t>supervisar si los gobiernos están cumpliendo sus obligaciones legales int</w:t>
      </w:r>
      <w:r w:rsidR="00EA7D8A" w:rsidRPr="000D30E9">
        <w:t>e</w:t>
      </w:r>
      <w:r w:rsidR="00247877" w:rsidRPr="000D30E9">
        <w:t>rnacionales</w:t>
      </w:r>
      <w:r w:rsidR="00CD0EAF" w:rsidRPr="000D30E9">
        <w:t xml:space="preserve"> </w:t>
      </w:r>
      <w:r w:rsidR="00247877" w:rsidRPr="000D30E9">
        <w:t>ante el tratado relevante</w:t>
      </w:r>
      <w:r w:rsidR="00CD0EAF" w:rsidRPr="000D30E9">
        <w:t xml:space="preserve">, </w:t>
      </w:r>
      <w:r w:rsidR="00247877" w:rsidRPr="000D30E9">
        <w:t>e</w:t>
      </w:r>
      <w:r w:rsidR="00CD0EAF" w:rsidRPr="000D30E9">
        <w:t xml:space="preserve"> (2) interpret</w:t>
      </w:r>
      <w:r w:rsidR="00247877" w:rsidRPr="000D30E9">
        <w:t>ar</w:t>
      </w:r>
      <w:r w:rsidR="00CD0EAF" w:rsidRPr="000D30E9">
        <w:t xml:space="preserve"> </w:t>
      </w:r>
      <w:r w:rsidR="00247877" w:rsidRPr="000D30E9">
        <w:t>el signifi</w:t>
      </w:r>
      <w:r w:rsidR="00EA7D8A" w:rsidRPr="000D30E9">
        <w:t>c</w:t>
      </w:r>
      <w:r w:rsidR="00247877" w:rsidRPr="000D30E9">
        <w:t>ado y el contenido</w:t>
      </w:r>
      <w:r w:rsidR="00CD0EAF" w:rsidRPr="000D30E9">
        <w:t xml:space="preserve"> </w:t>
      </w:r>
      <w:r w:rsidR="00247877" w:rsidRPr="000D30E9">
        <w:t>de los correspondientes tratados de derechos humanos</w:t>
      </w:r>
      <w:r w:rsidR="00CD0EAF" w:rsidRPr="000D30E9">
        <w:t xml:space="preserve"> </w:t>
      </w:r>
      <w:r w:rsidR="00247877" w:rsidRPr="000D30E9">
        <w:t>a través de la elaboración de</w:t>
      </w:r>
      <w:r w:rsidR="00CD0EAF" w:rsidRPr="000D30E9">
        <w:t xml:space="preserve"> </w:t>
      </w:r>
      <w:r w:rsidR="00247877">
        <w:rPr>
          <w:rFonts w:ascii="Franklin Gothic Demi" w:hAnsi="Franklin Gothic Demi"/>
        </w:rPr>
        <w:t>Observaciones/</w:t>
      </w:r>
      <w:r w:rsidR="00855BF7">
        <w:rPr>
          <w:rFonts w:ascii="Franklin Gothic Demi" w:hAnsi="Franklin Gothic Demi"/>
        </w:rPr>
        <w:t xml:space="preserve"> </w:t>
      </w:r>
      <w:r w:rsidR="00247877">
        <w:rPr>
          <w:rFonts w:ascii="Franklin Gothic Demi" w:hAnsi="Franklin Gothic Demi"/>
        </w:rPr>
        <w:t>Recomendaciones Generales</w:t>
      </w:r>
      <w:r w:rsidR="00CD0EAF" w:rsidRPr="000D30E9">
        <w:t xml:space="preserve">, </w:t>
      </w:r>
      <w:r w:rsidR="00247877">
        <w:rPr>
          <w:rFonts w:ascii="Franklin Gothic Demi" w:hAnsi="Franklin Gothic Demi"/>
        </w:rPr>
        <w:t>Observaciones Finales</w:t>
      </w:r>
      <w:r w:rsidR="00CD0EAF" w:rsidRPr="000D30E9">
        <w:t xml:space="preserve">, </w:t>
      </w:r>
      <w:r w:rsidR="00247877" w:rsidRPr="000D30E9">
        <w:t>y</w:t>
      </w:r>
      <w:r w:rsidR="00CD0EAF" w:rsidRPr="000D30E9">
        <w:t xml:space="preserve">, </w:t>
      </w:r>
      <w:r w:rsidR="00247877" w:rsidRPr="000D30E9">
        <w:t>en algunos casos</w:t>
      </w:r>
      <w:r w:rsidR="00CD0EAF" w:rsidRPr="000D30E9">
        <w:t xml:space="preserve">, </w:t>
      </w:r>
      <w:r w:rsidR="00247877" w:rsidRPr="000D30E9">
        <w:t xml:space="preserve">Denuncias </w:t>
      </w:r>
      <w:r w:rsidR="00CD0EAF" w:rsidRPr="00EA7D8A">
        <w:rPr>
          <w:rFonts w:ascii="Franklin Gothic Demi" w:hAnsi="Franklin Gothic Demi"/>
        </w:rPr>
        <w:t>Individual</w:t>
      </w:r>
      <w:r w:rsidR="00247877">
        <w:rPr>
          <w:rFonts w:ascii="Franklin Gothic Demi" w:hAnsi="Franklin Gothic Demi"/>
        </w:rPr>
        <w:t>es</w:t>
      </w:r>
      <w:r w:rsidR="00CD0EAF" w:rsidRPr="00EA7D8A">
        <w:t>.</w:t>
      </w:r>
      <w:r w:rsidR="00CD0EAF">
        <w:t xml:space="preserve"> Juntos, estos tres tipos de documentos conforman la </w:t>
      </w:r>
      <w:r w:rsidR="00D269D5" w:rsidRPr="00EA7D8A">
        <w:rPr>
          <w:lang w:val="es-PE"/>
        </w:rPr>
        <w:t>“</w:t>
      </w:r>
      <w:r w:rsidR="00CD0EAF">
        <w:t>jurisprudencia</w:t>
      </w:r>
      <w:r w:rsidR="00D269D5">
        <w:t>”</w:t>
      </w:r>
      <w:r w:rsidR="00CD0EAF">
        <w:t xml:space="preserve"> del órgano de tratado. Al analizar esta jurisprudencia, podemos comprender mejor qué tipo de acciones violan </w:t>
      </w:r>
      <w:r w:rsidR="00D269D5">
        <w:t>el derecho</w:t>
      </w:r>
      <w:r w:rsidR="00CD0EAF">
        <w:t xml:space="preserve"> internacional de </w:t>
      </w:r>
      <w:r w:rsidR="00D269D5">
        <w:t xml:space="preserve">los </w:t>
      </w:r>
      <w:r w:rsidR="00CD0EAF">
        <w:t>derechos humanos y qué deben hacer los gobiernos para cumplir con sus obligaciones legales internacionales.</w:t>
      </w:r>
    </w:p>
    <w:p w14:paraId="7C96B5B3" w14:textId="78DC9D41" w:rsidR="0049019C" w:rsidRDefault="00D269D5" w:rsidP="000D30E9">
      <w:pPr>
        <w:pStyle w:val="NormalIndented"/>
      </w:pPr>
      <w:r>
        <w:t>Cuando nos involucramos en incidencia internacional</w:t>
      </w:r>
      <w:r w:rsidR="00CD0EAF">
        <w:t xml:space="preserve"> de los derechos humanos </w:t>
      </w:r>
      <w:r>
        <w:t>–</w:t>
      </w:r>
      <w:r w:rsidR="00406184">
        <w:t xml:space="preserve"> </w:t>
      </w:r>
      <w:r>
        <w:t xml:space="preserve">por ejemplo, cuando se remiten informaciones escritas como </w:t>
      </w:r>
      <w:r w:rsidR="00CD0EAF">
        <w:t xml:space="preserve">informes </w:t>
      </w:r>
      <w:r>
        <w:t>sombra</w:t>
      </w:r>
      <w:r w:rsidR="00406184">
        <w:t xml:space="preserve"> </w:t>
      </w:r>
      <w:r w:rsidR="00EA7D8A">
        <w:t>–</w:t>
      </w:r>
      <w:r w:rsidR="00406184">
        <w:t xml:space="preserve"> </w:t>
      </w:r>
      <w:r>
        <w:rPr>
          <w:lang w:val="es-ES_tradnl"/>
        </w:rPr>
        <w:t>nuestra incidencia se fortalece con el análisis de los estándares existentes de derechos humanos en un tema</w:t>
      </w:r>
      <w:r w:rsidR="00CD0EAF">
        <w:t xml:space="preserve">. Cuando podemos demostrar que los órganos de tratados han interpretado previamente las obligaciones internacionales de derechos humanos de manera que </w:t>
      </w:r>
      <w:r>
        <w:t>apoya lo que estamos argumentando,</w:t>
      </w:r>
      <w:r w:rsidR="00CD0EAF">
        <w:t xml:space="preserve"> resultamos más persuasivos, los órganos de tratados pueden ser más propensos a </w:t>
      </w:r>
      <w:r>
        <w:t>considerar los problemas que planteamos,</w:t>
      </w:r>
      <w:r w:rsidR="00CD0EAF">
        <w:t xml:space="preserve"> y pueden orientar mejor a los gobiernos sobre cómo corregir los problemas que planteamos.</w:t>
      </w:r>
    </w:p>
    <w:p w14:paraId="26FA0D65" w14:textId="17C93FC8" w:rsidR="0049019C" w:rsidRDefault="00CD0EAF" w:rsidP="000D30E9">
      <w:pPr>
        <w:pStyle w:val="NormalIndented"/>
      </w:pPr>
      <w:r>
        <w:t xml:space="preserve">Este informe proporciona </w:t>
      </w:r>
      <w:r w:rsidR="00360557">
        <w:t xml:space="preserve">un resumen detallado de lo que </w:t>
      </w:r>
      <w:r>
        <w:t xml:space="preserve">han sostenido los órganos de tratados de la ONU sobre salud sexual y reproductiva </w:t>
      </w:r>
      <w:r w:rsidR="00D269D5">
        <w:t xml:space="preserve">y derechos </w:t>
      </w:r>
      <w:r>
        <w:t xml:space="preserve">en general y, en algunos casos, salud sexual y reproductiva </w:t>
      </w:r>
      <w:r w:rsidR="00D269D5">
        <w:t xml:space="preserve">y derechos </w:t>
      </w:r>
      <w:r>
        <w:t>de las mujeres y las niñas con discapacidad en particular. Este documento identifica lo qu</w:t>
      </w:r>
      <w:r w:rsidR="00931B6F">
        <w:t>e los órganos de tratados de la ONU</w:t>
      </w:r>
      <w:r>
        <w:t xml:space="preserve"> han dicho en sus observaciones </w:t>
      </w:r>
      <w:r w:rsidR="00D269D5">
        <w:t xml:space="preserve">finales </w:t>
      </w:r>
      <w:r>
        <w:t xml:space="preserve">y </w:t>
      </w:r>
      <w:r w:rsidR="00D269D5">
        <w:t>denunci</w:t>
      </w:r>
      <w:r>
        <w:t xml:space="preserve">as individuales hasta finales de 2016 y lo que ellos han dicho en sus </w:t>
      </w:r>
      <w:r w:rsidR="006653BC">
        <w:t xml:space="preserve">observaciones/recomendaciones </w:t>
      </w:r>
      <w:r>
        <w:t xml:space="preserve">generales </w:t>
      </w:r>
      <w:r w:rsidR="00E7659E" w:rsidRPr="00931B6F">
        <w:t>hasta</w:t>
      </w:r>
      <w:r w:rsidR="006653BC" w:rsidRPr="00E7659E">
        <w:t xml:space="preserve"> el</w:t>
      </w:r>
      <w:r>
        <w:t xml:space="preserve"> 2017. El informe utiliza lenguaje de los órganos </w:t>
      </w:r>
      <w:r w:rsidR="006653BC">
        <w:t xml:space="preserve">de tratados en </w:t>
      </w:r>
      <w:r>
        <w:t>lo más posible. Los defensores</w:t>
      </w:r>
      <w:r w:rsidR="006653BC">
        <w:t xml:space="preserve"> y las defensoras</w:t>
      </w:r>
      <w:r>
        <w:t xml:space="preserve"> pueden utilizar este informe para identificar lo que uno o más órganos han dicho sobre un tema en el pasado para ayudar a explicar por qué determinadas situaciones o acciones violan derechos protegidos y lo que deben hacer los gobiernos para en su lugar proteger los derechos. Para cada </w:t>
      </w:r>
      <w:r w:rsidR="006653BC">
        <w:t xml:space="preserve">estándar </w:t>
      </w:r>
      <w:r>
        <w:t xml:space="preserve">o recomendación aquí indicada, el </w:t>
      </w:r>
      <w:r w:rsidR="006653BC">
        <w:t xml:space="preserve">documento </w:t>
      </w:r>
      <w:r>
        <w:t>informativo también cuenta con notas a pie de página de fu</w:t>
      </w:r>
      <w:r w:rsidR="00360557">
        <w:t>entes originales para cada tema</w:t>
      </w:r>
      <w:r>
        <w:t xml:space="preserve"> tratado. Los defensores </w:t>
      </w:r>
      <w:r w:rsidR="006653BC">
        <w:t xml:space="preserve">y las defensoras </w:t>
      </w:r>
      <w:r>
        <w:t xml:space="preserve">pueden citar estas fuentes originales para respaldar su interpretación de una obligación particular de los derechos humanos. Aunque la mayoría de las citas en este informe incluye todas las instancias identificadas donde un órgano de supervisión del tratado aborda un tema específico, hay algunos casos en los que el volumen de observaciones finales sobre un tema dado es demasiado extenso para citarlo en cada caso; cuando ello sucede, las notas al pie incluyen un conjunto de citas representativas de diferentes años y regiones. </w:t>
      </w:r>
      <w:r w:rsidR="006653BC">
        <w:t xml:space="preserve">Cuando se </w:t>
      </w:r>
      <w:r>
        <w:t xml:space="preserve">participa en la </w:t>
      </w:r>
      <w:r w:rsidR="006653BC">
        <w:t>incidencia</w:t>
      </w:r>
      <w:r>
        <w:t xml:space="preserve"> de </w:t>
      </w:r>
      <w:r w:rsidR="006653BC">
        <w:t xml:space="preserve">un </w:t>
      </w:r>
      <w:r>
        <w:t>país</w:t>
      </w:r>
      <w:r w:rsidR="006653BC">
        <w:t xml:space="preserve"> en específico</w:t>
      </w:r>
      <w:r>
        <w:t>, recomendamos que los defensores</w:t>
      </w:r>
      <w:r w:rsidR="006653BC" w:rsidRPr="006653BC">
        <w:t xml:space="preserve"> </w:t>
      </w:r>
      <w:r w:rsidR="006653BC">
        <w:t>y las defensoras</w:t>
      </w:r>
      <w:r>
        <w:t xml:space="preserve"> siempre revis</w:t>
      </w:r>
      <w:r w:rsidR="006653BC">
        <w:t>en</w:t>
      </w:r>
      <w:r>
        <w:t xml:space="preserve"> previas observaciones </w:t>
      </w:r>
      <w:r w:rsidR="00C728E9">
        <w:t xml:space="preserve">finales </w:t>
      </w:r>
      <w:r>
        <w:t xml:space="preserve">para ese país particular. </w:t>
      </w:r>
      <w:r w:rsidR="00C728E9">
        <w:t>L</w:t>
      </w:r>
      <w:r>
        <w:t xml:space="preserve">as observaciones finales </w:t>
      </w:r>
      <w:r w:rsidR="00C728E9">
        <w:t xml:space="preserve">previas </w:t>
      </w:r>
      <w:r>
        <w:t>se</w:t>
      </w:r>
      <w:r w:rsidR="00C728E9">
        <w:t xml:space="preserve"> puede</w:t>
      </w:r>
      <w:r>
        <w:t xml:space="preserve">n encontrar en </w:t>
      </w:r>
      <w:r w:rsidR="00C728E9">
        <w:t xml:space="preserve">la </w:t>
      </w:r>
      <w:r>
        <w:t xml:space="preserve">página web del país a través de la Página Web de la </w:t>
      </w:r>
      <w:hyperlink r:id="rId19" w:history="1">
        <w:r>
          <w:rPr>
            <w:rStyle w:val="Hyperlink"/>
            <w:rFonts w:cs="Times New Roman"/>
          </w:rPr>
          <w:t xml:space="preserve">Oficina del Alto Comisionado para los </w:t>
        </w:r>
        <w:r w:rsidR="00C728E9">
          <w:rPr>
            <w:rStyle w:val="Hyperlink"/>
            <w:rFonts w:cs="Times New Roman"/>
          </w:rPr>
          <w:t>D</w:t>
        </w:r>
        <w:r>
          <w:rPr>
            <w:rStyle w:val="Hyperlink"/>
            <w:rFonts w:cs="Times New Roman"/>
          </w:rPr>
          <w:t xml:space="preserve">erechos </w:t>
        </w:r>
        <w:r w:rsidR="00C728E9">
          <w:rPr>
            <w:rStyle w:val="Hyperlink"/>
            <w:rFonts w:cs="Times New Roman"/>
          </w:rPr>
          <w:t>H</w:t>
        </w:r>
        <w:r>
          <w:rPr>
            <w:rStyle w:val="Hyperlink"/>
            <w:rFonts w:cs="Times New Roman"/>
          </w:rPr>
          <w:t>umanos</w:t>
        </w:r>
      </w:hyperlink>
      <w:r w:rsidRPr="000D30E9">
        <w:t xml:space="preserve"> (ACNUDH).</w:t>
      </w:r>
      <w:r w:rsidRPr="00977198">
        <w:rPr>
          <w:vertAlign w:val="superscript"/>
        </w:rPr>
        <w:footnoteReference w:id="2"/>
      </w:r>
      <w:r w:rsidRPr="00977198">
        <w:rPr>
          <w:vertAlign w:val="superscript"/>
        </w:rPr>
        <w:t xml:space="preserve"> </w:t>
      </w:r>
    </w:p>
    <w:p w14:paraId="61E092C3" w14:textId="483776B3" w:rsidR="0049019C" w:rsidRDefault="00CD0EAF" w:rsidP="000D30E9">
      <w:pPr>
        <w:pStyle w:val="NormalIndented"/>
      </w:pPr>
      <w:r>
        <w:t xml:space="preserve">Además de resumir lo que han dicho los órganos de </w:t>
      </w:r>
      <w:r w:rsidR="00C728E9">
        <w:t xml:space="preserve">tratados de </w:t>
      </w:r>
      <w:r w:rsidR="00931B6F">
        <w:t>la</w:t>
      </w:r>
      <w:r>
        <w:t xml:space="preserve"> </w:t>
      </w:r>
      <w:r w:rsidR="00931B6F">
        <w:t>ONU</w:t>
      </w:r>
      <w:r>
        <w:t xml:space="preserve"> sobre derechos y salud sexual y reproductiva, este informe también identifica algunas lagunas </w:t>
      </w:r>
      <w:r w:rsidR="00C728E9">
        <w:t xml:space="preserve">o vacíos </w:t>
      </w:r>
      <w:r>
        <w:t>en l</w:t>
      </w:r>
      <w:r w:rsidR="00C728E9">
        <w:t>o</w:t>
      </w:r>
      <w:r>
        <w:t>s</w:t>
      </w:r>
      <w:r w:rsidR="00C728E9">
        <w:t xml:space="preserve"> estándare</w:t>
      </w:r>
      <w:r>
        <w:t xml:space="preserve">s, en particular en relación con las mujeres y las niñas con discapacidad. </w:t>
      </w:r>
      <w:r w:rsidR="00C728E9">
        <w:t>La i</w:t>
      </w:r>
      <w:r>
        <w:t xml:space="preserve">dentificación de tales vacíos provee oportunidades para </w:t>
      </w:r>
      <w:r w:rsidR="00C728E9">
        <w:t xml:space="preserve">que los </w:t>
      </w:r>
      <w:r>
        <w:t>órganos fortale</w:t>
      </w:r>
      <w:r w:rsidR="00C728E9">
        <w:t>zcan</w:t>
      </w:r>
      <w:r>
        <w:t xml:space="preserve"> su jurisprudencia, aseg</w:t>
      </w:r>
      <w:r w:rsidR="00C728E9">
        <w:t>uren</w:t>
      </w:r>
      <w:r>
        <w:t xml:space="preserve"> que sus interpretaciones de l</w:t>
      </w:r>
      <w:r w:rsidR="00C728E9">
        <w:t>o</w:t>
      </w:r>
      <w:r>
        <w:t xml:space="preserve">s </w:t>
      </w:r>
      <w:r w:rsidR="00C728E9">
        <w:t>estándares legales</w:t>
      </w:r>
      <w:r>
        <w:t xml:space="preserve"> responden a las cuestiones concretas de derechos humanos que enfrentan las mujeres y las niñas con discapacidad y promover una mayor complementariedad de l</w:t>
      </w:r>
      <w:r w:rsidR="00C728E9">
        <w:t>o</w:t>
      </w:r>
      <w:r>
        <w:t xml:space="preserve">s </w:t>
      </w:r>
      <w:r w:rsidR="00C728E9">
        <w:t xml:space="preserve">estándares </w:t>
      </w:r>
      <w:r>
        <w:t xml:space="preserve">internacionales a través de </w:t>
      </w:r>
      <w:r w:rsidR="00C728E9">
        <w:t xml:space="preserve">todos </w:t>
      </w:r>
      <w:r>
        <w:t xml:space="preserve">los órganos de </w:t>
      </w:r>
      <w:r w:rsidR="00C728E9">
        <w:t xml:space="preserve">tratados de </w:t>
      </w:r>
      <w:r w:rsidR="00931B6F">
        <w:t>la</w:t>
      </w:r>
      <w:r>
        <w:t xml:space="preserve"> </w:t>
      </w:r>
      <w:r w:rsidR="00931B6F">
        <w:t>ONU</w:t>
      </w:r>
      <w:r>
        <w:t xml:space="preserve">. Animamos a los defensores </w:t>
      </w:r>
      <w:r w:rsidR="00C728E9">
        <w:t xml:space="preserve">y las defensoras </w:t>
      </w:r>
      <w:r>
        <w:t>a considerar esta discusión de los vacíos en l</w:t>
      </w:r>
      <w:r w:rsidR="00C728E9">
        <w:t>o</w:t>
      </w:r>
      <w:r>
        <w:t xml:space="preserve">s </w:t>
      </w:r>
      <w:r w:rsidR="00C728E9">
        <w:t xml:space="preserve">estándares legales </w:t>
      </w:r>
      <w:r>
        <w:t xml:space="preserve">como una invitación a plantear dichas cuestiones en comunicaciones escritas a los mecanismos de derechos humanos de las Naciones Unidas y brindar más información a los órganos de los </w:t>
      </w:r>
      <w:r>
        <w:lastRenderedPageBreak/>
        <w:t xml:space="preserve">tratados sobre estos temas específicos para ayudar a elaborar </w:t>
      </w:r>
      <w:r w:rsidR="00C728E9">
        <w:t xml:space="preserve">estándares </w:t>
      </w:r>
      <w:r>
        <w:t>más sólid</w:t>
      </w:r>
      <w:r w:rsidR="00C728E9">
        <w:t>o</w:t>
      </w:r>
      <w:r>
        <w:t xml:space="preserve">s y con mejor nivel de respuesta. </w:t>
      </w:r>
    </w:p>
    <w:p w14:paraId="62C24BBB" w14:textId="276D5835" w:rsidR="0049019C" w:rsidRDefault="00CD0EAF" w:rsidP="000D30E9">
      <w:pPr>
        <w:pStyle w:val="NormalIndented"/>
      </w:pPr>
      <w:r>
        <w:t xml:space="preserve">Varios de los titulares de mandatos </w:t>
      </w:r>
      <w:r w:rsidR="00C728E9">
        <w:t>de los P</w:t>
      </w:r>
      <w:r>
        <w:t>rocedimientos</w:t>
      </w:r>
      <w:r w:rsidR="00360557">
        <w:t xml:space="preserve"> </w:t>
      </w:r>
      <w:r w:rsidR="00C728E9">
        <w:t>E</w:t>
      </w:r>
      <w:r w:rsidR="00360557">
        <w:t xml:space="preserve">speciales de </w:t>
      </w:r>
      <w:r w:rsidR="00931B6F">
        <w:t xml:space="preserve">la ONU </w:t>
      </w:r>
      <w:r>
        <w:t xml:space="preserve">también se han ocupado en sus informes temáticos de temas relativos a los derechos y la salud sexual y reproductiva de las mujeres y las niñas con discapacidad. Hacer referencia a esos informes también puede fortalecer nuestra </w:t>
      </w:r>
      <w:r w:rsidR="00C728E9">
        <w:t>incidencia</w:t>
      </w:r>
      <w:r>
        <w:t xml:space="preserve">. Por consiguiente, al final de este documento ofrecemos un breve resumen de algunos de los principales informes de </w:t>
      </w:r>
      <w:r w:rsidR="00C728E9">
        <w:t xml:space="preserve">los </w:t>
      </w:r>
      <w:r>
        <w:t>Procedimientos Especiales</w:t>
      </w:r>
      <w:r w:rsidR="00C728E9">
        <w:t xml:space="preserve"> </w:t>
      </w:r>
      <w:r w:rsidR="0057795C">
        <w:t xml:space="preserve">adoptados </w:t>
      </w:r>
      <w:r w:rsidR="0057795C" w:rsidRPr="00E7659E">
        <w:t>al</w:t>
      </w:r>
      <w:r w:rsidR="0057795C">
        <w:t xml:space="preserve"> 2017</w:t>
      </w:r>
      <w:r>
        <w:t>.</w:t>
      </w:r>
    </w:p>
    <w:p w14:paraId="10D1E46E" w14:textId="6277FF1A" w:rsidR="0049019C" w:rsidRPr="00931B6F" w:rsidRDefault="0057795C" w:rsidP="0052428A">
      <w:pPr>
        <w:pStyle w:val="Heading1"/>
      </w:pPr>
      <w:bookmarkStart w:id="3" w:name="_Toc5974902"/>
      <w:r w:rsidRPr="00931B6F">
        <w:lastRenderedPageBreak/>
        <w:t>D</w:t>
      </w:r>
      <w:r w:rsidR="00CD0EAF" w:rsidRPr="00931B6F">
        <w:t xml:space="preserve">erechos </w:t>
      </w:r>
      <w:r w:rsidR="00E7659E" w:rsidRPr="00931B6F">
        <w:t xml:space="preserve">y Salud </w:t>
      </w:r>
      <w:r w:rsidRPr="00931B6F">
        <w:t>S</w:t>
      </w:r>
      <w:r w:rsidR="00CD0EAF" w:rsidRPr="00931B6F">
        <w:t xml:space="preserve">exual y </w:t>
      </w:r>
      <w:r w:rsidRPr="00931B6F">
        <w:t>R</w:t>
      </w:r>
      <w:r w:rsidR="00CD0EAF" w:rsidRPr="00931B6F">
        <w:t>eproductiv</w:t>
      </w:r>
      <w:r w:rsidR="00E7659E" w:rsidRPr="00931B6F">
        <w:t>a</w:t>
      </w:r>
      <w:r w:rsidR="00CD0EAF" w:rsidRPr="00931B6F">
        <w:t xml:space="preserve"> de las </w:t>
      </w:r>
      <w:r w:rsidRPr="00931B6F">
        <w:t>M</w:t>
      </w:r>
      <w:r w:rsidR="00CD0EAF" w:rsidRPr="00931B6F">
        <w:t xml:space="preserve">ujeres y las </w:t>
      </w:r>
      <w:r w:rsidRPr="00931B6F">
        <w:t>N</w:t>
      </w:r>
      <w:r w:rsidR="00CD0EAF" w:rsidRPr="00931B6F">
        <w:t xml:space="preserve">iñas con </w:t>
      </w:r>
      <w:r w:rsidRPr="00931B6F">
        <w:t>D</w:t>
      </w:r>
      <w:r w:rsidR="00CD0EAF" w:rsidRPr="00931B6F">
        <w:t xml:space="preserve">iscapacidad: </w:t>
      </w:r>
      <w:r w:rsidRPr="00931B6F">
        <w:t>P</w:t>
      </w:r>
      <w:r w:rsidR="00CD0EAF" w:rsidRPr="00931B6F">
        <w:t xml:space="preserve">anorama </w:t>
      </w:r>
      <w:r w:rsidRPr="00931B6F">
        <w:t>G</w:t>
      </w:r>
      <w:r w:rsidR="00CD0EAF" w:rsidRPr="00931B6F">
        <w:t>eneral</w:t>
      </w:r>
      <w:bookmarkEnd w:id="3"/>
    </w:p>
    <w:p w14:paraId="01323EDB" w14:textId="641A89C7" w:rsidR="0049019C" w:rsidRDefault="00CD0EAF" w:rsidP="00287D85">
      <w:pPr>
        <w:tabs>
          <w:tab w:val="left" w:pos="2977"/>
        </w:tabs>
      </w:pPr>
      <w:r>
        <w:t>Mujeres y niñas</w:t>
      </w:r>
      <w:r w:rsidRPr="00B278C5">
        <w:rPr>
          <w:rStyle w:val="FootnoteReference"/>
          <w:position w:val="4"/>
        </w:rPr>
        <w:footnoteReference w:id="3"/>
      </w:r>
      <w:r>
        <w:t xml:space="preserve"> con discapacidad en todo el mundo enfrentan una amplia gama de violaciones a derechos humanos en temas de salud sexual y reproductiva, debido a su género y discapacidad. Los estereotipos sobre las mujeres con discapacidad</w:t>
      </w:r>
      <w:r w:rsidR="00406184">
        <w:t xml:space="preserve"> –</w:t>
      </w:r>
      <w:r>
        <w:t xml:space="preserve"> incluyendo que no pueden tomar decisiones por sí mismas, son asexuales, no serán buenas madres o no pueden quedar embarazadas</w:t>
      </w:r>
      <w:r w:rsidR="00406184">
        <w:t xml:space="preserve"> –</w:t>
      </w:r>
      <w:r>
        <w:t xml:space="preserve"> puede llevar a trabajadores de la salud y a otros, a </w:t>
      </w:r>
      <w:r w:rsidR="00821E48">
        <w:t xml:space="preserve">no considerar </w:t>
      </w:r>
      <w:r>
        <w:t>sus necesidades o a someterlas a abusos</w:t>
      </w:r>
      <w:r w:rsidRPr="00E7659E">
        <w:t>.</w:t>
      </w:r>
      <w:r w:rsidRPr="00931B6F">
        <w:rPr>
          <w:vertAlign w:val="superscript"/>
        </w:rPr>
        <w:endnoteReference w:id="2"/>
      </w:r>
      <w:r w:rsidRPr="00E7659E">
        <w:t xml:space="preserve"> Al</w:t>
      </w:r>
      <w:r>
        <w:t xml:space="preserve"> mismo tiempo, cuando los servicios  de salud sexual y reproductiva y la información sobre estos temas no están diseñados con la accesibilidad </w:t>
      </w:r>
      <w:r w:rsidR="00821E48">
        <w:t>relacionada con</w:t>
      </w:r>
      <w:r>
        <w:t xml:space="preserve"> discapaci</w:t>
      </w:r>
      <w:r w:rsidR="00821E48">
        <w:t>dad</w:t>
      </w:r>
      <w:r>
        <w:t xml:space="preserve"> en mente, se les puede negar a las mujeres con discapacidad la oportunidad de </w:t>
      </w:r>
      <w:r w:rsidR="00821E48">
        <w:t xml:space="preserve">acceder a servicios esenciales así como de </w:t>
      </w:r>
      <w:r>
        <w:t xml:space="preserve">tomar decisiones sobre su salud y sobre el momento y el </w:t>
      </w:r>
      <w:r w:rsidR="00821E48">
        <w:t xml:space="preserve">intervalo </w:t>
      </w:r>
      <w:r>
        <w:t>para tener a sus hijos.</w:t>
      </w:r>
    </w:p>
    <w:p w14:paraId="7F517143" w14:textId="24BBA850" w:rsidR="0049019C" w:rsidRPr="004B2C96" w:rsidRDefault="00CD0EAF" w:rsidP="00B278C5">
      <w:pPr>
        <w:pStyle w:val="Heading2"/>
        <w:spacing w:before="320"/>
        <w:rPr>
          <w:b w:val="0"/>
        </w:rPr>
      </w:pPr>
      <w:bookmarkStart w:id="5" w:name="_Toc498590670"/>
      <w:bookmarkStart w:id="6" w:name="_Toc531525005"/>
      <w:bookmarkStart w:id="7" w:name="_Toc5974903"/>
      <w:r w:rsidRPr="004B2C96">
        <w:rPr>
          <w:b w:val="0"/>
        </w:rPr>
        <w:t xml:space="preserve">Formas y </w:t>
      </w:r>
      <w:r w:rsidR="00BC7C85">
        <w:rPr>
          <w:b w:val="0"/>
        </w:rPr>
        <w:t>M</w:t>
      </w:r>
      <w:r w:rsidRPr="004B2C96">
        <w:rPr>
          <w:b w:val="0"/>
        </w:rPr>
        <w:t xml:space="preserve">anifestaciones de la </w:t>
      </w:r>
      <w:r w:rsidR="00BC7C85">
        <w:rPr>
          <w:b w:val="0"/>
        </w:rPr>
        <w:t>S</w:t>
      </w:r>
      <w:r w:rsidRPr="004B2C96">
        <w:rPr>
          <w:b w:val="0"/>
        </w:rPr>
        <w:t xml:space="preserve">alud </w:t>
      </w:r>
      <w:r w:rsidR="00BC7C85">
        <w:rPr>
          <w:b w:val="0"/>
        </w:rPr>
        <w:t>S</w:t>
      </w:r>
      <w:r w:rsidRPr="004B2C96">
        <w:rPr>
          <w:b w:val="0"/>
        </w:rPr>
        <w:t xml:space="preserve">exual y </w:t>
      </w:r>
      <w:r w:rsidR="00BC7C85">
        <w:rPr>
          <w:b w:val="0"/>
        </w:rPr>
        <w:t>R</w:t>
      </w:r>
      <w:r w:rsidRPr="004B2C96">
        <w:rPr>
          <w:b w:val="0"/>
        </w:rPr>
        <w:t xml:space="preserve">eproductiva y </w:t>
      </w:r>
      <w:r w:rsidR="00BC7C85">
        <w:rPr>
          <w:b w:val="0"/>
        </w:rPr>
        <w:t>V</w:t>
      </w:r>
      <w:r w:rsidRPr="004B2C96">
        <w:rPr>
          <w:b w:val="0"/>
        </w:rPr>
        <w:t xml:space="preserve">iolaciones de los </w:t>
      </w:r>
      <w:r w:rsidR="00BC7C85">
        <w:rPr>
          <w:b w:val="0"/>
        </w:rPr>
        <w:t>D</w:t>
      </w:r>
      <w:r w:rsidRPr="004B2C96">
        <w:rPr>
          <w:b w:val="0"/>
        </w:rPr>
        <w:t xml:space="preserve">erechos de las </w:t>
      </w:r>
      <w:r w:rsidR="00BC7C85">
        <w:rPr>
          <w:b w:val="0"/>
        </w:rPr>
        <w:t>M</w:t>
      </w:r>
      <w:r w:rsidRPr="004B2C96">
        <w:rPr>
          <w:b w:val="0"/>
        </w:rPr>
        <w:t xml:space="preserve">ujeres y las </w:t>
      </w:r>
      <w:r w:rsidR="00BC7C85">
        <w:rPr>
          <w:b w:val="0"/>
        </w:rPr>
        <w:t>N</w:t>
      </w:r>
      <w:r w:rsidRPr="004B2C96">
        <w:rPr>
          <w:b w:val="0"/>
        </w:rPr>
        <w:t xml:space="preserve">iñas con </w:t>
      </w:r>
      <w:r w:rsidR="00BC7C85">
        <w:rPr>
          <w:b w:val="0"/>
        </w:rPr>
        <w:t>D</w:t>
      </w:r>
      <w:r w:rsidRPr="004B2C96">
        <w:rPr>
          <w:b w:val="0"/>
        </w:rPr>
        <w:t>iscapacidad</w:t>
      </w:r>
      <w:bookmarkEnd w:id="5"/>
      <w:bookmarkEnd w:id="6"/>
      <w:bookmarkEnd w:id="7"/>
    </w:p>
    <w:p w14:paraId="3C51ABE1" w14:textId="475B787A" w:rsidR="0049019C" w:rsidRDefault="00CD0EAF">
      <w:r>
        <w:t xml:space="preserve">Las mujeres con discapacidad enfrentan muchas de las mismas barreras </w:t>
      </w:r>
      <w:r w:rsidR="00A41278">
        <w:t>para ejercer</w:t>
      </w:r>
      <w:r>
        <w:t xml:space="preserve"> sus derechos sexuales y reproductivos como las mujeres sin discapacidad; también se enfrentan a </w:t>
      </w:r>
      <w:r w:rsidR="00A41278">
        <w:t xml:space="preserve">obstáculos </w:t>
      </w:r>
      <w:r>
        <w:t xml:space="preserve">únicos </w:t>
      </w:r>
      <w:r w:rsidR="00A41278">
        <w:t xml:space="preserve">y </w:t>
      </w:r>
      <w:r>
        <w:t xml:space="preserve">abusos de derechos humanos debido a la intersección de su género y discapacidad. Las barreras jurídicas y prácticas limitan el acceso a información </w:t>
      </w:r>
      <w:r w:rsidR="00A41278">
        <w:t xml:space="preserve">esencial </w:t>
      </w:r>
      <w:r>
        <w:t>sobre salud sexual y reproductiva, bienes y servicios para todas las mujeres. Las barreras incluyen las leyes que restringen el acceso a bienes de salud reproductiva (p. ej., anticonceptivos) y servicios (p. ej., aborto) sin previo aviso parental o conyugal o autorización; gastos formales e informales que hacen servicios, bienes e información de salud sexual y reproductiva prohibitiv</w:t>
      </w:r>
      <w:r w:rsidR="00A41278">
        <w:t>amente costosos</w:t>
      </w:r>
      <w:r>
        <w:t>; falta de acceso a atención calificada durante el parto o la atención obstétrica de emergencia; prohibiciones penales sobre el aborto; falta de claridad sobre la situación legal del aborto; negativa de proveedor</w:t>
      </w:r>
      <w:r w:rsidR="00A41278">
        <w:t>es</w:t>
      </w:r>
      <w:r>
        <w:t xml:space="preserve"> a proporcionar abortos o servicios anticonceptivos (referidos a menudo como "objeción de conciencia") y el estigma asociado con tales bienes y servicios.</w:t>
      </w:r>
    </w:p>
    <w:p w14:paraId="6E89F49E" w14:textId="0F1387DB" w:rsidR="0049019C" w:rsidRDefault="00CD0EAF">
      <w:pPr>
        <w:rPr>
          <w:rFonts w:eastAsia="Times New Roman"/>
        </w:rPr>
      </w:pPr>
      <w:r>
        <w:t xml:space="preserve">Las mujeres con discapacidad </w:t>
      </w:r>
      <w:r w:rsidR="00A41278">
        <w:t>enfrentan adicionales</w:t>
      </w:r>
      <w:r>
        <w:t xml:space="preserve"> barreras físicas y de información para acceder a los servicios de salud sexual y reproductiva. Por ejemplo, en muchas partes del mundo, niños</w:t>
      </w:r>
      <w:r w:rsidR="00A41278">
        <w:t>, niñas</w:t>
      </w:r>
      <w:r>
        <w:t xml:space="preserve"> y adolescentes con discapacidad a menudo están excluidos totalmente de asistir a la escuela y</w:t>
      </w:r>
      <w:r w:rsidR="00A41278">
        <w:t>, de otro modo,</w:t>
      </w:r>
      <w:r>
        <w:t xml:space="preserve"> son aislados de sus comunidades, por lo que no tienen acceso a la educación </w:t>
      </w:r>
      <w:r w:rsidR="00A41278">
        <w:t>en</w:t>
      </w:r>
      <w:r>
        <w:t xml:space="preserve"> sexualidad.</w:t>
      </w:r>
      <w:r>
        <w:rPr>
          <w:rStyle w:val="EndnoteReference"/>
        </w:rPr>
        <w:endnoteReference w:id="3"/>
      </w:r>
      <w:r>
        <w:t xml:space="preserve"> Niños</w:t>
      </w:r>
      <w:r w:rsidR="00A41278">
        <w:t>, niñas</w:t>
      </w:r>
      <w:r>
        <w:t xml:space="preserve"> y adolescentes con discapacidad a menudo son excluid</w:t>
      </w:r>
      <w:r w:rsidR="00A41278">
        <w:t>o</w:t>
      </w:r>
      <w:r>
        <w:t xml:space="preserve">s, o no </w:t>
      </w:r>
      <w:r w:rsidR="00A41278">
        <w:t xml:space="preserve">tienen </w:t>
      </w:r>
      <w:r>
        <w:t xml:space="preserve">acceso a — programas de </w:t>
      </w:r>
      <w:r w:rsidR="00A41278">
        <w:t>e</w:t>
      </w:r>
      <w:r>
        <w:t xml:space="preserve">ducación </w:t>
      </w:r>
      <w:r w:rsidR="00A41278">
        <w:t>en</w:t>
      </w:r>
      <w:r>
        <w:t xml:space="preserve"> sexualidad debido a </w:t>
      </w:r>
      <w:r w:rsidR="00A41278">
        <w:t xml:space="preserve">percepciones </w:t>
      </w:r>
      <w:r>
        <w:t>que no necesitan esta información.</w:t>
      </w:r>
      <w:r>
        <w:rPr>
          <w:rStyle w:val="EndnoteReference"/>
        </w:rPr>
        <w:endnoteReference w:id="4"/>
      </w:r>
      <w:r>
        <w:t xml:space="preserve"> La información sobre salud sexual y reproductiva con frecuencia no se proporciona en formatos accesibles.</w:t>
      </w:r>
      <w:r>
        <w:rPr>
          <w:rStyle w:val="EndnoteReference"/>
        </w:rPr>
        <w:endnoteReference w:id="5"/>
      </w:r>
      <w:r>
        <w:t xml:space="preserve"> Como resultado, </w:t>
      </w:r>
      <w:r w:rsidR="00743A12">
        <w:t xml:space="preserve">a </w:t>
      </w:r>
      <w:r>
        <w:t xml:space="preserve">las mujeres y las niñas con discapacidad se les niega el conocimiento esencial necesario para protegerse del abuso sexual, embarazos no deseados y las infecciones de transmisión sexual (ITS) y </w:t>
      </w:r>
      <w:r w:rsidR="00743A12">
        <w:t>l</w:t>
      </w:r>
      <w:r>
        <w:t xml:space="preserve">a </w:t>
      </w:r>
      <w:r w:rsidR="00743A12">
        <w:t>toma de decisiones</w:t>
      </w:r>
      <w:r>
        <w:t xml:space="preserve"> autónom</w:t>
      </w:r>
      <w:r w:rsidR="00743A12">
        <w:t xml:space="preserve">a e informada </w:t>
      </w:r>
      <w:r w:rsidR="00360557">
        <w:t xml:space="preserve">sobre su propia salud. </w:t>
      </w:r>
      <w:r w:rsidR="00743A12" w:rsidRPr="00F60609">
        <w:t>Asimismo</w:t>
      </w:r>
      <w:r w:rsidRPr="00F60609">
        <w:t xml:space="preserve">, </w:t>
      </w:r>
      <w:r w:rsidR="00743A12" w:rsidRPr="00F60609">
        <w:t xml:space="preserve">el equipo y las </w:t>
      </w:r>
      <w:r w:rsidR="006B33D1">
        <w:t>instalaciones</w:t>
      </w:r>
      <w:r w:rsidR="00743A12" w:rsidRPr="00F60609">
        <w:t xml:space="preserve"> en salud sexual y reproductiva también pueden no ser accesibles físicamente o, no ser diseñadas en mente para mujeres c</w:t>
      </w:r>
      <w:r w:rsidR="00287D85">
        <w:t>o</w:t>
      </w:r>
      <w:r w:rsidR="00743A12" w:rsidRPr="00F60609">
        <w:t>n discapacidad</w:t>
      </w:r>
      <w:r w:rsidRPr="00F60609">
        <w:rPr>
          <w:rFonts w:eastAsia="Times New Roman"/>
        </w:rPr>
        <w:t>.</w:t>
      </w:r>
      <w:r w:rsidRPr="00F60609">
        <w:rPr>
          <w:rStyle w:val="EndnoteReference"/>
          <w:rFonts w:eastAsia="Times New Roman"/>
        </w:rPr>
        <w:endnoteReference w:id="6"/>
      </w:r>
      <w:r>
        <w:rPr>
          <w:rFonts w:eastAsia="Times New Roman"/>
        </w:rPr>
        <w:t xml:space="preserve"> </w:t>
      </w:r>
    </w:p>
    <w:p w14:paraId="287893DD" w14:textId="35C32AC8" w:rsidR="0049019C" w:rsidRDefault="00CD0EAF">
      <w:pPr>
        <w:rPr>
          <w:rFonts w:eastAsia="Times New Roman"/>
        </w:rPr>
      </w:pPr>
      <w:r>
        <w:rPr>
          <w:rFonts w:eastAsia="Times New Roman"/>
        </w:rPr>
        <w:t>Todo esto significa que las mujeres con discapacidad pueden tener menos acceso a servicios esenciales de salud sexual y reproductiva, como anticoncepción, aborto y servicios de salud materna</w:t>
      </w:r>
      <w:r w:rsidR="00743A12">
        <w:rPr>
          <w:rFonts w:eastAsia="Times New Roman"/>
        </w:rPr>
        <w:t>, o exámenes para</w:t>
      </w:r>
      <w:r w:rsidR="002B71FA">
        <w:rPr>
          <w:rFonts w:eastAsia="Times New Roman"/>
        </w:rPr>
        <w:t xml:space="preserve"> identificar</w:t>
      </w:r>
      <w:r w:rsidR="00743A12">
        <w:rPr>
          <w:rFonts w:eastAsia="Times New Roman"/>
        </w:rPr>
        <w:t xml:space="preserve"> ITS</w:t>
      </w:r>
      <w:r>
        <w:rPr>
          <w:rFonts w:eastAsia="Times New Roman"/>
        </w:rPr>
        <w:t xml:space="preserve"> y también puede ser menos probable que se les haga estudios para detectar cáncer en los órganos reproductivos.</w:t>
      </w:r>
      <w:r>
        <w:rPr>
          <w:rStyle w:val="EndnoteReference"/>
          <w:rFonts w:eastAsia="Times New Roman"/>
        </w:rPr>
        <w:endnoteReference w:id="7"/>
      </w:r>
    </w:p>
    <w:p w14:paraId="58508799" w14:textId="063B5EA8" w:rsidR="0049019C" w:rsidRDefault="00CD0EAF">
      <w:r>
        <w:t xml:space="preserve">Las mujeres con discapacidad </w:t>
      </w:r>
      <w:r w:rsidR="002B71FA">
        <w:t xml:space="preserve">están sujetas </w:t>
      </w:r>
      <w:r>
        <w:t xml:space="preserve">de manera desproporcionada </w:t>
      </w:r>
      <w:r w:rsidR="002B71FA">
        <w:t xml:space="preserve">a </w:t>
      </w:r>
      <w:r>
        <w:t>prácticas</w:t>
      </w:r>
      <w:r w:rsidR="00F60609">
        <w:t xml:space="preserve"> forzadas o bajo coacción</w:t>
      </w:r>
      <w:r>
        <w:t xml:space="preserve"> tales como la esterilización, la contracepción y el aborto.</w:t>
      </w:r>
      <w:r>
        <w:rPr>
          <w:rStyle w:val="EndnoteReference"/>
        </w:rPr>
        <w:endnoteReference w:id="8"/>
      </w:r>
      <w:r>
        <w:t xml:space="preserve"> Según l</w:t>
      </w:r>
      <w:r w:rsidR="002B71FA">
        <w:t>a</w:t>
      </w:r>
      <w:r>
        <w:t xml:space="preserve"> Relator</w:t>
      </w:r>
      <w:r w:rsidR="002B71FA">
        <w:t>a</w:t>
      </w:r>
      <w:r>
        <w:t xml:space="preserve"> Especial de </w:t>
      </w:r>
      <w:r w:rsidR="00F60609">
        <w:t>la ONU</w:t>
      </w:r>
      <w:r>
        <w:t xml:space="preserve"> sobre la </w:t>
      </w:r>
      <w:r w:rsidR="002B71FA">
        <w:t>V</w:t>
      </w:r>
      <w:r>
        <w:t xml:space="preserve">iolencia contra las </w:t>
      </w:r>
      <w:r w:rsidR="002B71FA">
        <w:t>M</w:t>
      </w:r>
      <w:r>
        <w:t xml:space="preserve">ujeres, estas prácticas con frecuencia se basan en suposiciones falsas y discriminatorias sobre la sexualidad y la capacidad de las mujeres con discapacidad </w:t>
      </w:r>
      <w:r w:rsidR="002B71FA">
        <w:t>de</w:t>
      </w:r>
      <w:r>
        <w:t xml:space="preserve"> ser madres o se basan en el deseo de controlar sus ciclos menstruales.</w:t>
      </w:r>
      <w:r w:rsidRPr="008158A8">
        <w:rPr>
          <w:vertAlign w:val="superscript"/>
        </w:rPr>
        <w:endnoteReference w:id="9"/>
      </w:r>
      <w:r>
        <w:t xml:space="preserve"> Con frecuencia, estos procedimientos de salud reproductiva impuestos a las mujeres con discapacidad, particularmente a aquellas privadas de capacidad legal cuyos padres, tutores o médicos </w:t>
      </w:r>
      <w:r>
        <w:lastRenderedPageBreak/>
        <w:t>podrían tomar la decisión por ellas, no solo pueden ocurrir en la práctica, sino que además están permitidos por la ley.</w:t>
      </w:r>
      <w:r>
        <w:rPr>
          <w:rStyle w:val="EndnoteReference"/>
        </w:rPr>
        <w:endnoteReference w:id="10"/>
      </w:r>
      <w:r>
        <w:t xml:space="preserve"> La esterilización femenina se considera una forma permanente de anticoncepción, lo que significa que las mujeres que se someten a esterilización no podrá tener hijos.</w:t>
      </w:r>
      <w:r w:rsidRPr="00F60609">
        <w:rPr>
          <w:vertAlign w:val="superscript"/>
        </w:rPr>
        <w:endnoteReference w:id="11"/>
      </w:r>
      <w:r w:rsidRPr="00F60609">
        <w:rPr>
          <w:vertAlign w:val="superscript"/>
        </w:rPr>
        <w:t xml:space="preserve"> </w:t>
      </w:r>
      <w:r>
        <w:t xml:space="preserve">Mientras que muchas mujeres alrededor del mundo voluntariamente usan la esterilización como un método anticonceptivo eficaz, esterilización forzada o bajo coacción (esterilización que se lleva a cabo sin el consentimiento libre e informado de la mujer) causa daños físicos y mentales tan graves que equivale a trato cruel, inhumano y degradante y </w:t>
      </w:r>
      <w:r w:rsidR="002B71FA">
        <w:t>puede argumentarse</w:t>
      </w:r>
      <w:r>
        <w:t xml:space="preserve"> tortura.</w:t>
      </w:r>
      <w:r>
        <w:rPr>
          <w:rStyle w:val="EndnoteReference"/>
        </w:rPr>
        <w:endnoteReference w:id="12"/>
      </w:r>
      <w:r>
        <w:t xml:space="preserve"> </w:t>
      </w:r>
    </w:p>
    <w:p w14:paraId="0293F532" w14:textId="10096392" w:rsidR="0049019C" w:rsidRDefault="00F356CA">
      <w:pPr>
        <w:rPr>
          <w:rFonts w:eastAsia="Times New Roman"/>
        </w:rPr>
      </w:pPr>
      <w:r w:rsidRPr="00F60609">
        <w:t>Asimismo</w:t>
      </w:r>
      <w:r w:rsidR="00CD0EAF" w:rsidRPr="00F60609">
        <w:t xml:space="preserve">, </w:t>
      </w:r>
      <w:r w:rsidRPr="00F60609">
        <w:t>las mujeres con discapacidad tienen al menos dos o tres veces más probabilidades que las mujeres sin discapacidad de experimentar violencia y abuso</w:t>
      </w:r>
      <w:r w:rsidR="00CD0EAF" w:rsidRPr="00F60609">
        <w:t>,</w:t>
      </w:r>
      <w:r w:rsidR="00CD0EAF" w:rsidRPr="00F60609">
        <w:rPr>
          <w:rStyle w:val="EndnoteReference"/>
        </w:rPr>
        <w:endnoteReference w:id="13"/>
      </w:r>
      <w:r w:rsidR="00CD0EAF" w:rsidRPr="00F60609">
        <w:t xml:space="preserve"> </w:t>
      </w:r>
      <w:r w:rsidRPr="00F60609">
        <w:t>incrementando su necesidad por</w:t>
      </w:r>
      <w:r w:rsidR="00CD0EAF" w:rsidRPr="00F60609">
        <w:t xml:space="preserve"> informa</w:t>
      </w:r>
      <w:r w:rsidRPr="00F60609">
        <w:t>c</w:t>
      </w:r>
      <w:r w:rsidR="00CD0EAF" w:rsidRPr="00F60609">
        <w:t>i</w:t>
      </w:r>
      <w:r w:rsidRPr="00F60609">
        <w:t>ó</w:t>
      </w:r>
      <w:r w:rsidR="00CD0EAF" w:rsidRPr="00F60609">
        <w:t xml:space="preserve">n </w:t>
      </w:r>
      <w:r w:rsidRPr="00F60609">
        <w:t>y servicios de salud sexual y reproductiva para protegerse y abordar preocupaciones sobre su salud</w:t>
      </w:r>
      <w:r w:rsidR="00287D85" w:rsidRPr="00287D85">
        <w:t xml:space="preserve"> relacionadas con esta violenci</w:t>
      </w:r>
      <w:r w:rsidRPr="00F60609">
        <w:t>a</w:t>
      </w:r>
      <w:r w:rsidR="00360557" w:rsidRPr="00F60609">
        <w:t>.</w:t>
      </w:r>
      <w:r w:rsidR="00CD0EAF">
        <w:t xml:space="preserve"> </w:t>
      </w:r>
      <w:r w:rsidR="00CD0EAF">
        <w:rPr>
          <w:rFonts w:eastAsia="Times New Roman"/>
        </w:rPr>
        <w:t xml:space="preserve">Sin embargo, los proveedores de salud sexual y reproductiva pueden </w:t>
      </w:r>
      <w:r>
        <w:rPr>
          <w:rFonts w:eastAsia="Times New Roman"/>
        </w:rPr>
        <w:t>fallar al examinar</w:t>
      </w:r>
      <w:r w:rsidR="00CD0EAF">
        <w:rPr>
          <w:rFonts w:eastAsia="Times New Roman"/>
        </w:rPr>
        <w:t xml:space="preserve"> a las </w:t>
      </w:r>
      <w:r w:rsidR="000D30E9">
        <w:rPr>
          <w:rFonts w:eastAsia="Times New Roman"/>
        </w:rPr>
        <w:br/>
      </w:r>
      <w:r w:rsidR="00CD0EAF">
        <w:rPr>
          <w:rFonts w:eastAsia="Times New Roman"/>
        </w:rPr>
        <w:t xml:space="preserve">mujeres con discapacidad por violencia, incluida la violencia sexual y doméstica, debido a la falsa creencia de que las personas </w:t>
      </w:r>
      <w:r>
        <w:rPr>
          <w:rFonts w:eastAsia="Times New Roman"/>
        </w:rPr>
        <w:t xml:space="preserve">con </w:t>
      </w:r>
      <w:r w:rsidR="00CD0EAF">
        <w:rPr>
          <w:rFonts w:eastAsia="Times New Roman"/>
        </w:rPr>
        <w:t>discapac</w:t>
      </w:r>
      <w:r>
        <w:rPr>
          <w:rFonts w:eastAsia="Times New Roman"/>
        </w:rPr>
        <w:t>idad</w:t>
      </w:r>
      <w:r w:rsidR="00CD0EAF">
        <w:rPr>
          <w:rFonts w:eastAsia="Times New Roman"/>
        </w:rPr>
        <w:t xml:space="preserve"> no son sexualmente activas.</w:t>
      </w:r>
      <w:r w:rsidR="00CD0EAF">
        <w:rPr>
          <w:rStyle w:val="EndnoteReference"/>
          <w:rFonts w:eastAsia="Times New Roman"/>
        </w:rPr>
        <w:endnoteReference w:id="14"/>
      </w:r>
      <w:r w:rsidR="00360557">
        <w:rPr>
          <w:rFonts w:eastAsia="Times New Roman"/>
        </w:rPr>
        <w:t xml:space="preserve"> </w:t>
      </w:r>
      <w:r w:rsidR="00CD0EAF">
        <w:rPr>
          <w:rFonts w:eastAsia="Times New Roman"/>
        </w:rPr>
        <w:t>Como resultado, las mujeres con discapacidad tienen menos acceso a servicios profilácticos a raíz de la violencia sexual para prevenir el embarazo o las ITS, incluyendo VIH.</w:t>
      </w:r>
    </w:p>
    <w:p w14:paraId="3C1DD8CB" w14:textId="1DD1627C" w:rsidR="0049019C" w:rsidRPr="004B2C96" w:rsidRDefault="00CD0EAF" w:rsidP="00515135">
      <w:pPr>
        <w:pStyle w:val="Heading2"/>
        <w:rPr>
          <w:b w:val="0"/>
        </w:rPr>
      </w:pPr>
      <w:bookmarkStart w:id="8" w:name="_Toc498590671"/>
      <w:bookmarkStart w:id="9" w:name="_Toc531525006"/>
      <w:bookmarkStart w:id="10" w:name="_Toc5974904"/>
      <w:r w:rsidRPr="004B2C96">
        <w:rPr>
          <w:b w:val="0"/>
        </w:rPr>
        <w:t xml:space="preserve">Garantizar la </w:t>
      </w:r>
      <w:r w:rsidR="00BC7C85">
        <w:rPr>
          <w:b w:val="0"/>
        </w:rPr>
        <w:t>P</w:t>
      </w:r>
      <w:r w:rsidRPr="004B2C96">
        <w:rPr>
          <w:b w:val="0"/>
        </w:rPr>
        <w:t xml:space="preserve">rotección de los </w:t>
      </w:r>
      <w:r w:rsidR="00BC7C85">
        <w:rPr>
          <w:b w:val="0"/>
        </w:rPr>
        <w:t>D</w:t>
      </w:r>
      <w:r w:rsidRPr="004B2C96">
        <w:rPr>
          <w:b w:val="0"/>
        </w:rPr>
        <w:t xml:space="preserve">erechos de las </w:t>
      </w:r>
      <w:r w:rsidR="00BC7C85">
        <w:rPr>
          <w:b w:val="0"/>
        </w:rPr>
        <w:t>M</w:t>
      </w:r>
      <w:r w:rsidRPr="004B2C96">
        <w:rPr>
          <w:b w:val="0"/>
        </w:rPr>
        <w:t xml:space="preserve">ujeres y las </w:t>
      </w:r>
      <w:r w:rsidR="00BC7C85">
        <w:rPr>
          <w:b w:val="0"/>
        </w:rPr>
        <w:t>N</w:t>
      </w:r>
      <w:r w:rsidRPr="004B2C96">
        <w:rPr>
          <w:b w:val="0"/>
        </w:rPr>
        <w:t xml:space="preserve">iñas con </w:t>
      </w:r>
      <w:r w:rsidR="00BC7C85">
        <w:rPr>
          <w:b w:val="0"/>
        </w:rPr>
        <w:t>D</w:t>
      </w:r>
      <w:r w:rsidRPr="004B2C96">
        <w:rPr>
          <w:b w:val="0"/>
        </w:rPr>
        <w:t xml:space="preserve">iscapacidad en </w:t>
      </w:r>
      <w:r w:rsidR="00BC7C85">
        <w:rPr>
          <w:b w:val="0"/>
        </w:rPr>
        <w:t>E</w:t>
      </w:r>
      <w:r w:rsidRPr="004B2C96">
        <w:rPr>
          <w:b w:val="0"/>
        </w:rPr>
        <w:t xml:space="preserve">ntornos de </w:t>
      </w:r>
      <w:r w:rsidR="00BC7C85">
        <w:rPr>
          <w:b w:val="0"/>
        </w:rPr>
        <w:t>A</w:t>
      </w:r>
      <w:r w:rsidRPr="004B2C96">
        <w:rPr>
          <w:b w:val="0"/>
        </w:rPr>
        <w:t xml:space="preserve">tención de </w:t>
      </w:r>
      <w:r w:rsidR="00BC7C85">
        <w:rPr>
          <w:b w:val="0"/>
        </w:rPr>
        <w:t>S</w:t>
      </w:r>
      <w:r w:rsidRPr="004B2C96">
        <w:rPr>
          <w:b w:val="0"/>
        </w:rPr>
        <w:t xml:space="preserve">alud </w:t>
      </w:r>
      <w:r w:rsidR="00BC7C85">
        <w:rPr>
          <w:b w:val="0"/>
        </w:rPr>
        <w:t>S</w:t>
      </w:r>
      <w:r w:rsidRPr="004B2C96">
        <w:rPr>
          <w:b w:val="0"/>
        </w:rPr>
        <w:t xml:space="preserve">exual y </w:t>
      </w:r>
      <w:r w:rsidR="00BC7C85">
        <w:rPr>
          <w:b w:val="0"/>
        </w:rPr>
        <w:t>R</w:t>
      </w:r>
      <w:r w:rsidRPr="004B2C96">
        <w:rPr>
          <w:b w:val="0"/>
        </w:rPr>
        <w:t>eproductiva</w:t>
      </w:r>
      <w:bookmarkEnd w:id="8"/>
      <w:bookmarkEnd w:id="9"/>
      <w:bookmarkEnd w:id="10"/>
    </w:p>
    <w:p w14:paraId="25AE6617" w14:textId="70CADE75" w:rsidR="0049019C" w:rsidRDefault="00CD0EAF" w:rsidP="000D30E9">
      <w:pPr>
        <w:pStyle w:val="NormalIndented"/>
      </w:pPr>
      <w:r w:rsidRPr="000D30E9">
        <w:t xml:space="preserve">El derecho a la salud sexual y reproductiva se refiere al "estado completo </w:t>
      </w:r>
      <w:r w:rsidR="001A55D1" w:rsidRPr="000D30E9">
        <w:t xml:space="preserve">de bienestar </w:t>
      </w:r>
      <w:r w:rsidRPr="000D30E9">
        <w:t xml:space="preserve">físico, mental y social, no solamente la ausencia de enfermedades o dolencias, en todos los </w:t>
      </w:r>
      <w:r w:rsidR="001A55D1" w:rsidRPr="000D30E9">
        <w:t>aspectos</w:t>
      </w:r>
      <w:r w:rsidRPr="000D30E9">
        <w:t xml:space="preserve"> </w:t>
      </w:r>
      <w:r w:rsidR="001A55D1" w:rsidRPr="000D30E9">
        <w:t>relacionados con e</w:t>
      </w:r>
      <w:r w:rsidRPr="000D30E9">
        <w:t xml:space="preserve">l sistema reproductivo y sus funciones y procesos[,] </w:t>
      </w:r>
      <w:r w:rsidR="00360557" w:rsidRPr="000D30E9">
        <w:t>por lo tanto impl</w:t>
      </w:r>
      <w:r w:rsidRPr="000D30E9">
        <w:t>[</w:t>
      </w:r>
      <w:r w:rsidR="00360557" w:rsidRPr="000D30E9">
        <w:t>icando</w:t>
      </w:r>
      <w:r w:rsidRPr="000D30E9">
        <w:t>] que las personas son capaces de tener una satisfac</w:t>
      </w:r>
      <w:r w:rsidR="00E0485A" w:rsidRPr="000D30E9">
        <w:t>toria y segura</w:t>
      </w:r>
      <w:r w:rsidRPr="000D30E9">
        <w:t xml:space="preserve"> vida sex</w:t>
      </w:r>
      <w:r w:rsidR="00E0485A" w:rsidRPr="000D30E9">
        <w:t>ual</w:t>
      </w:r>
      <w:r w:rsidRPr="000D30E9">
        <w:t xml:space="preserve"> y que tienen la capacidad de reproducirse y la libertad de decidir si, </w:t>
      </w:r>
      <w:r w:rsidR="00E0485A" w:rsidRPr="000D30E9">
        <w:t>c</w:t>
      </w:r>
      <w:r w:rsidRPr="000D30E9">
        <w:t xml:space="preserve">uándo y </w:t>
      </w:r>
      <w:r w:rsidR="00E0485A" w:rsidRPr="000D30E9">
        <w:t>qué tan frecuente</w:t>
      </w:r>
      <w:r w:rsidRPr="000D30E9">
        <w:t xml:space="preserve"> hacerlo</w:t>
      </w:r>
      <w:r w:rsidR="00360557" w:rsidRPr="000D30E9">
        <w:t>.</w:t>
      </w:r>
      <w:r w:rsidRPr="000D30E9">
        <w:t>"</w:t>
      </w:r>
      <w:r w:rsidRPr="00597627">
        <w:rPr>
          <w:vertAlign w:val="superscript"/>
        </w:rPr>
        <w:endnoteReference w:id="15"/>
      </w:r>
      <w:r w:rsidRPr="000D30E9">
        <w:t xml:space="preserve"> Este derecho se basa en una serie de derechos </w:t>
      </w:r>
      <w:r w:rsidR="00E0485A" w:rsidRPr="000D30E9">
        <w:t xml:space="preserve">humanos </w:t>
      </w:r>
      <w:r w:rsidRPr="000D30E9">
        <w:t xml:space="preserve">interdependientes e indivisibles, incluidos los derechos a la vida, a la salud, a la igualdad de reconocimiento ante la ley, </w:t>
      </w:r>
      <w:r w:rsidR="00E0485A" w:rsidRPr="000D30E9">
        <w:t>a</w:t>
      </w:r>
      <w:r w:rsidRPr="000D30E9">
        <w:t xml:space="preserve">l ejercicio de la capacidad jurídica en igualdad de condiciones con los demás, </w:t>
      </w:r>
      <w:r w:rsidR="00E0485A" w:rsidRPr="000D30E9">
        <w:t xml:space="preserve">a </w:t>
      </w:r>
      <w:r w:rsidRPr="000D30E9">
        <w:t xml:space="preserve">decidir sobre el número y el espaciamiento de los niños, a fundar una familia, a la integridad física y mental y </w:t>
      </w:r>
      <w:r w:rsidR="00E0485A" w:rsidRPr="000D30E9">
        <w:t>a estar libre</w:t>
      </w:r>
      <w:r w:rsidRPr="000D30E9">
        <w:t xml:space="preserve"> de tortura o malos tratos, a la </w:t>
      </w:r>
      <w:r w:rsidR="00E0485A" w:rsidRPr="000D30E9">
        <w:t>privacidad</w:t>
      </w:r>
      <w:r w:rsidRPr="000D30E9">
        <w:t xml:space="preserve">, a la igualdad y no discriminación, a </w:t>
      </w:r>
      <w:r w:rsidR="00E0485A" w:rsidRPr="000D30E9">
        <w:t>estar libre</w:t>
      </w:r>
      <w:r w:rsidRPr="000D30E9">
        <w:t xml:space="preserve"> de estereotipos nocivos y a la accesibilidad, incluyendo acceso a información y atención de </w:t>
      </w:r>
      <w:r w:rsidR="00E0485A" w:rsidRPr="000D30E9">
        <w:t xml:space="preserve">los servicios de </w:t>
      </w:r>
      <w:r w:rsidRPr="000D30E9">
        <w:t>la salud.</w:t>
      </w:r>
      <w:r w:rsidRPr="00597627">
        <w:rPr>
          <w:rStyle w:val="EndnoteReference"/>
          <w:rFonts w:cs="Times New Roman"/>
        </w:rPr>
        <w:endnoteReference w:id="16"/>
      </w:r>
      <w:r w:rsidRPr="000D30E9">
        <w:t xml:space="preserve"> Como un componente esencial del derecho a la salud, información sobre salud sexual y reproductiva, bienes y servicios deben ser </w:t>
      </w:r>
      <w:r w:rsidRPr="00717514">
        <w:rPr>
          <w:rFonts w:ascii="Franklin Gothic Demi" w:hAnsi="Franklin Gothic Demi"/>
        </w:rPr>
        <w:t>disponibles</w:t>
      </w:r>
      <w:r w:rsidRPr="000D30E9">
        <w:t>,</w:t>
      </w:r>
      <w:r w:rsidR="00E0485A" w:rsidRPr="000D30E9">
        <w:t xml:space="preserve"> </w:t>
      </w:r>
      <w:r w:rsidR="00E0485A" w:rsidRPr="00AC7FAD">
        <w:rPr>
          <w:rFonts w:ascii="Franklin Gothic Demi" w:hAnsi="Franklin Gothic Demi"/>
          <w:bCs/>
        </w:rPr>
        <w:t>accesibles</w:t>
      </w:r>
      <w:r w:rsidR="00E0485A" w:rsidRPr="000D30E9">
        <w:t xml:space="preserve"> </w:t>
      </w:r>
      <w:r w:rsidRPr="000D30E9">
        <w:t xml:space="preserve">(incluyendo </w:t>
      </w:r>
      <w:r w:rsidR="00E0485A" w:rsidRPr="000D30E9">
        <w:t xml:space="preserve">accesibilidad </w:t>
      </w:r>
      <w:r w:rsidRPr="000D30E9">
        <w:t>física, económica y de la información),</w:t>
      </w:r>
      <w:r w:rsidRPr="00717514">
        <w:rPr>
          <w:rFonts w:ascii="Franklin Gothic Demi" w:hAnsi="Franklin Gothic Demi"/>
        </w:rPr>
        <w:t xml:space="preserve"> aceptable</w:t>
      </w:r>
      <w:r w:rsidR="00E0485A" w:rsidRPr="00717514">
        <w:rPr>
          <w:rFonts w:ascii="Franklin Gothic Demi" w:hAnsi="Franklin Gothic Demi"/>
        </w:rPr>
        <w:t xml:space="preserve"> </w:t>
      </w:r>
      <w:r w:rsidRPr="000D30E9">
        <w:t xml:space="preserve">y de buena </w:t>
      </w:r>
      <w:r w:rsidRPr="00717514">
        <w:rPr>
          <w:rFonts w:ascii="Franklin Gothic Demi" w:hAnsi="Franklin Gothic Demi"/>
        </w:rPr>
        <w:t>calidad</w:t>
      </w:r>
      <w:r w:rsidRPr="000D30E9">
        <w:t>.</w:t>
      </w:r>
      <w:r w:rsidRPr="00717514">
        <w:rPr>
          <w:rStyle w:val="EndnoteReference"/>
        </w:rPr>
        <w:endnoteReference w:id="17"/>
      </w:r>
      <w:r w:rsidRPr="00597627">
        <w:t xml:space="preserve"> Estos elementos </w:t>
      </w:r>
      <w:r w:rsidR="00E0485A" w:rsidRPr="00597627">
        <w:t xml:space="preserve">bien establecidos </w:t>
      </w:r>
      <w:r w:rsidRPr="00597627">
        <w:t xml:space="preserve">del derecho a la salud se conocen colectivamente como el marco </w:t>
      </w:r>
      <w:r w:rsidRPr="00717514">
        <w:t xml:space="preserve">AAAQ </w:t>
      </w:r>
      <w:r w:rsidR="00360557" w:rsidRPr="00717514">
        <w:t>(por sus siglas en inglés)</w:t>
      </w:r>
      <w:r w:rsidR="00360557">
        <w:t xml:space="preserve"> </w:t>
      </w:r>
      <w:r>
        <w:t>y proporcionan un</w:t>
      </w:r>
      <w:r w:rsidR="00E0485A">
        <w:t>a mirada</w:t>
      </w:r>
      <w:r>
        <w:t xml:space="preserve"> útil para evaluar el grado en que un estado está cumpliendo sus obligaciones </w:t>
      </w:r>
      <w:r w:rsidR="00E0485A">
        <w:t xml:space="preserve">legales </w:t>
      </w:r>
      <w:r>
        <w:t>internacionales p</w:t>
      </w:r>
      <w:r w:rsidR="00717514">
        <w:t>ara respetar, proteger y cumplir</w:t>
      </w:r>
      <w:r>
        <w:t xml:space="preserve"> el derecho a la salud sexual y reproductiva.</w:t>
      </w:r>
    </w:p>
    <w:p w14:paraId="69358BB9" w14:textId="5DA45FFB" w:rsidR="0049019C" w:rsidRDefault="00CD0EAF" w:rsidP="000D30E9">
      <w:pPr>
        <w:pStyle w:val="NormalIndented"/>
      </w:pPr>
      <w:r>
        <w:t>Con el fin de garantizar la igualdad y no discriminación en el contexto de la salud sexual y reproductiva, las mujeres y las niñas con discapacidad deben ser capaces de tomar decisiones por sí mism</w:t>
      </w:r>
      <w:r w:rsidR="00E0485A">
        <w:t>a</w:t>
      </w:r>
      <w:r>
        <w:t xml:space="preserve">s acerca de su sexualidad y reproducción, con el apoyo cuando sea </w:t>
      </w:r>
      <w:r w:rsidR="00E0485A">
        <w:t>requerido</w:t>
      </w:r>
      <w:r>
        <w:t>.</w:t>
      </w:r>
      <w:r>
        <w:rPr>
          <w:rStyle w:val="EndnoteReference"/>
          <w:rFonts w:cs="Times New Roman"/>
        </w:rPr>
        <w:endnoteReference w:id="18"/>
      </w:r>
      <w:r w:rsidRPr="000D30E9">
        <w:t xml:space="preserve"> En ese sentido, deben tener la oportunidad de brindar consentimiento informado para cualquier procedimiento médico, en igualdad de condiciones con los demás. Si se realiza un procedimiento de salud reproductiva de una mujer o una </w:t>
      </w:r>
      <w:r w:rsidR="006B33D1" w:rsidRPr="000D30E9">
        <w:t xml:space="preserve">adolescente </w:t>
      </w:r>
      <w:r w:rsidRPr="000D30E9">
        <w:t>sin su consentimiento informado, independientemente de si un padre</w:t>
      </w:r>
      <w:r w:rsidR="006B33D1" w:rsidRPr="000D30E9">
        <w:t>/madre</w:t>
      </w:r>
      <w:r w:rsidRPr="000D30E9">
        <w:t xml:space="preserve">, cónyuge, tutor, </w:t>
      </w:r>
      <w:r w:rsidR="006B33D1" w:rsidRPr="000D30E9">
        <w:t xml:space="preserve">personal de </w:t>
      </w:r>
      <w:r w:rsidRPr="000D30E9">
        <w:t>sa</w:t>
      </w:r>
      <w:r w:rsidR="006B33D1" w:rsidRPr="000D30E9">
        <w:t>lud</w:t>
      </w:r>
      <w:r w:rsidRPr="000D30E9">
        <w:t>, juez</w:t>
      </w:r>
      <w:r w:rsidR="006B33D1" w:rsidRPr="000D30E9">
        <w:t>, jueza</w:t>
      </w:r>
      <w:r w:rsidRPr="000D30E9">
        <w:t xml:space="preserve"> u otra persona proporciona consentimiento — se debe considerar un procedimiento forzado o coaccionado en violación de los derechos fundamentales de la mujer.</w:t>
      </w:r>
      <w:r>
        <w:rPr>
          <w:rStyle w:val="EndnoteReference"/>
          <w:rFonts w:cs="Times New Roman"/>
        </w:rPr>
        <w:endnoteReference w:id="19"/>
      </w:r>
      <w:r>
        <w:t xml:space="preserve"> </w:t>
      </w:r>
    </w:p>
    <w:p w14:paraId="44E12AA5" w14:textId="727708D1" w:rsidR="0049019C" w:rsidRDefault="00CD0EAF" w:rsidP="000D30E9">
      <w:pPr>
        <w:pStyle w:val="NormalIndented"/>
      </w:pPr>
      <w:r>
        <w:t xml:space="preserve">Asegurar la </w:t>
      </w:r>
      <w:r w:rsidR="006B33D1">
        <w:t xml:space="preserve">toma de decisiones </w:t>
      </w:r>
      <w:r>
        <w:t>aut</w:t>
      </w:r>
      <w:r w:rsidR="006B33D1">
        <w:t>ónoma respecto a la salud</w:t>
      </w:r>
      <w:r>
        <w:t xml:space="preserve"> sexual y reproductiva también requiere </w:t>
      </w:r>
      <w:r w:rsidR="006B33D1">
        <w:t xml:space="preserve">que los </w:t>
      </w:r>
      <w:r>
        <w:t xml:space="preserve">servicios </w:t>
      </w:r>
      <w:r w:rsidR="006B33D1">
        <w:t>e</w:t>
      </w:r>
      <w:r>
        <w:t xml:space="preserve"> información de salud sexual y reproductiva sean accesibles a las personas con discapacidad, sensibles a las necesidades de las personas con discapacidad y se proporcion</w:t>
      </w:r>
      <w:r w:rsidR="006B33D1">
        <w:t>e</w:t>
      </w:r>
      <w:r>
        <w:t xml:space="preserve">n sobre la base de no discriminación, incluyendo </w:t>
      </w:r>
      <w:r w:rsidR="006B33D1">
        <w:t>ajustes</w:t>
      </w:r>
      <w:r>
        <w:t xml:space="preserve"> razonables cuando sea</w:t>
      </w:r>
      <w:r w:rsidR="006B33D1">
        <w:t>n</w:t>
      </w:r>
      <w:r>
        <w:t xml:space="preserve"> </w:t>
      </w:r>
      <w:r w:rsidR="006B33D1">
        <w:t>requeridos</w:t>
      </w:r>
      <w:r>
        <w:t>.</w:t>
      </w:r>
      <w:r>
        <w:rPr>
          <w:rStyle w:val="EndnoteReference"/>
          <w:rFonts w:cs="Times New Roman"/>
        </w:rPr>
        <w:endnoteReference w:id="20"/>
      </w:r>
      <w:r w:rsidRPr="000D30E9">
        <w:t xml:space="preserve"> Cursos de </w:t>
      </w:r>
      <w:r w:rsidR="006B33D1" w:rsidRPr="000D30E9">
        <w:t>e</w:t>
      </w:r>
      <w:r w:rsidRPr="000D30E9">
        <w:t xml:space="preserve">ducación </w:t>
      </w:r>
      <w:r w:rsidR="006B33D1" w:rsidRPr="000D30E9">
        <w:t xml:space="preserve">integral </w:t>
      </w:r>
      <w:r w:rsidRPr="000D30E9">
        <w:t>de la sexualidad y materiales, así como información sobre salud sexual y reproductiva y los derechos en general, debe</w:t>
      </w:r>
      <w:r w:rsidR="006B33D1" w:rsidRPr="000D30E9">
        <w:t>n</w:t>
      </w:r>
      <w:r w:rsidRPr="000D30E9">
        <w:t xml:space="preserve"> estar disponible</w:t>
      </w:r>
      <w:r w:rsidR="006B33D1" w:rsidRPr="000D30E9">
        <w:t>s</w:t>
      </w:r>
      <w:r w:rsidRPr="000D30E9">
        <w:t xml:space="preserve"> en formatos alternativos, incluyendo, por ejemplo, interpretación de lenguaje de señas, Braille, audio, </w:t>
      </w:r>
      <w:r w:rsidRPr="000D30E9">
        <w:lastRenderedPageBreak/>
        <w:t>formatos</w:t>
      </w:r>
      <w:r w:rsidR="006B33D1" w:rsidRPr="000D30E9">
        <w:t xml:space="preserve"> simples</w:t>
      </w:r>
      <w:r w:rsidRPr="000D30E9">
        <w:t>, guías ilustradas y a través de otras tecnologías para que las mujeres con discapacidad tengan la información que necesitan para tomar decisiones.</w:t>
      </w:r>
      <w:r>
        <w:rPr>
          <w:rStyle w:val="EndnoteReference"/>
          <w:rFonts w:cs="Times New Roman"/>
        </w:rPr>
        <w:endnoteReference w:id="21"/>
      </w:r>
      <w:r>
        <w:t xml:space="preserve"> Espacios físicos donde los servicios de salud son proporcionado</w:t>
      </w:r>
      <w:r w:rsidR="006B33D1">
        <w:t>s</w:t>
      </w:r>
      <w:r>
        <w:t xml:space="preserve"> y equipo médico (incluyendo, por ejemplo, mesas de examen, camas de parto y equipos de mamografía) deben ser accesibles a las mujeres con discapacidad y </w:t>
      </w:r>
      <w:r w:rsidR="00997CDB">
        <w:t>debe</w:t>
      </w:r>
      <w:r>
        <w:t xml:space="preserve"> </w:t>
      </w:r>
      <w:r w:rsidR="00997CDB">
        <w:t xml:space="preserve">haber transporte disponible y accesible </w:t>
      </w:r>
      <w:r>
        <w:t xml:space="preserve">a y desde esas instalaciones. </w:t>
      </w:r>
      <w:r w:rsidR="006B33D1">
        <w:t>Modelos de a</w:t>
      </w:r>
      <w:r>
        <w:t xml:space="preserve">poyo </w:t>
      </w:r>
      <w:r w:rsidR="006B33D1">
        <w:t xml:space="preserve">para la </w:t>
      </w:r>
      <w:r>
        <w:t xml:space="preserve">toma de decisiones pueden ayudar a empoderar a las personas con discapacidad que </w:t>
      </w:r>
      <w:r w:rsidR="006B33D1">
        <w:t>requieren asistencia</w:t>
      </w:r>
      <w:r>
        <w:t xml:space="preserve"> para tomar decisiones independientemente y mantener la autoridad legal para tomar decisiones. Por último, los Estados deben entrenar </w:t>
      </w:r>
      <w:r w:rsidR="006B33D1">
        <w:t xml:space="preserve">al </w:t>
      </w:r>
      <w:r>
        <w:t>personal de salud para trabajar con las personas con discapacidad y prestar servicios que se bas</w:t>
      </w:r>
      <w:r w:rsidR="006B33D1">
        <w:t>e</w:t>
      </w:r>
      <w:r>
        <w:t>n en la dignidad y que respete</w:t>
      </w:r>
      <w:r w:rsidR="006B33D1">
        <w:t>n</w:t>
      </w:r>
      <w:r>
        <w:t xml:space="preserve"> la autonomía de las personas con discapacidad.</w:t>
      </w:r>
    </w:p>
    <w:p w14:paraId="6C29F528" w14:textId="43FF27AE" w:rsidR="0049019C" w:rsidRPr="004B2C96" w:rsidRDefault="00360557" w:rsidP="00515135">
      <w:pPr>
        <w:pStyle w:val="Heading2"/>
        <w:rPr>
          <w:b w:val="0"/>
        </w:rPr>
      </w:pPr>
      <w:bookmarkStart w:id="11" w:name="_Toc498590672"/>
      <w:bookmarkStart w:id="12" w:name="_Toc531525007"/>
      <w:bookmarkStart w:id="13" w:name="_Toc5974905"/>
      <w:r w:rsidRPr="004B2C96">
        <w:rPr>
          <w:b w:val="0"/>
        </w:rPr>
        <w:t xml:space="preserve">Preguntas a </w:t>
      </w:r>
      <w:r w:rsidR="00BC7C85">
        <w:rPr>
          <w:b w:val="0"/>
        </w:rPr>
        <w:t>C</w:t>
      </w:r>
      <w:r w:rsidR="00CD0EAF" w:rsidRPr="004B2C96">
        <w:rPr>
          <w:b w:val="0"/>
        </w:rPr>
        <w:t>onsiderar</w:t>
      </w:r>
      <w:bookmarkEnd w:id="11"/>
      <w:bookmarkEnd w:id="12"/>
      <w:bookmarkEnd w:id="13"/>
    </w:p>
    <w:p w14:paraId="42D478C5" w14:textId="2070DC36" w:rsidR="0049019C" w:rsidRDefault="00CD0EAF" w:rsidP="000D30E9">
      <w:pPr>
        <w:pStyle w:val="NormalIndented"/>
      </w:pPr>
      <w:r>
        <w:t xml:space="preserve">Las siguientes </w:t>
      </w:r>
      <w:r w:rsidR="006B33D1">
        <w:t>preguntas</w:t>
      </w:r>
      <w:r>
        <w:t xml:space="preserve">, si bien no son exhaustivas, pueden ayudar a defensores </w:t>
      </w:r>
      <w:r w:rsidR="00597627">
        <w:t xml:space="preserve">y defensoras </w:t>
      </w:r>
      <w:r>
        <w:t xml:space="preserve">de derechos a identificar temas claves para </w:t>
      </w:r>
      <w:r w:rsidR="00597627">
        <w:t xml:space="preserve">abordar </w:t>
      </w:r>
      <w:r>
        <w:t>en un</w:t>
      </w:r>
      <w:r w:rsidR="00597627">
        <w:t>a</w:t>
      </w:r>
      <w:r>
        <w:t xml:space="preserve"> </w:t>
      </w:r>
      <w:r w:rsidR="00597627">
        <w:t xml:space="preserve">contribución/comunicación por escrito </w:t>
      </w:r>
      <w:r>
        <w:t>sobre derechos y salud sexual y reproductiva de mujeres y niñas con discapacidad en un país específico:</w:t>
      </w:r>
    </w:p>
    <w:p w14:paraId="314E8A19" w14:textId="76E5A418" w:rsidR="0049019C" w:rsidRDefault="00CD0EAF">
      <w:pPr>
        <w:pStyle w:val="ListParagraph"/>
        <w:ind w:left="634" w:right="504" w:hanging="274"/>
        <w:contextualSpacing w:val="0"/>
      </w:pPr>
      <w:r>
        <w:t xml:space="preserve">¿Cuáles son las principales leyes, políticas, programas y planes nacionales sobre derechos y salud sexual y reproductiva de las mujeres? ¿Estas leyes abordan específicamente los derechos </w:t>
      </w:r>
      <w:r w:rsidR="00A90700">
        <w:t>y la</w:t>
      </w:r>
      <w:r>
        <w:t xml:space="preserve"> salud sexual y reproductiva de las mujeres con discapacidad? ¿Existen leyes y políticas que abordan explícitamente la potestad </w:t>
      </w:r>
      <w:r w:rsidR="00A90700">
        <w:t>y/</w:t>
      </w:r>
      <w:r>
        <w:t xml:space="preserve">o custodia de padres con discapacidad? </w:t>
      </w:r>
    </w:p>
    <w:p w14:paraId="0C1506C9" w14:textId="47CB09FB" w:rsidR="0049019C" w:rsidRDefault="00CD0EAF">
      <w:pPr>
        <w:pStyle w:val="ListParagraph"/>
        <w:ind w:left="634" w:right="504" w:hanging="274"/>
        <w:contextualSpacing w:val="0"/>
      </w:pPr>
      <w:r>
        <w:t xml:space="preserve">¿Cuáles son las leyes, políticas, programas y planes nacionales relevantes destinados a abordar los derechos de las personas con discapacidad? ¿Estas leyes o políticas </w:t>
      </w:r>
      <w:r w:rsidR="00A90700">
        <w:t xml:space="preserve">tienen </w:t>
      </w:r>
      <w:r>
        <w:t xml:space="preserve">disposiciones </w:t>
      </w:r>
      <w:r w:rsidR="00A90700">
        <w:t xml:space="preserve">específicas sobre </w:t>
      </w:r>
      <w:r>
        <w:t xml:space="preserve">los derechos </w:t>
      </w:r>
      <w:r w:rsidR="00A90700">
        <w:t>y</w:t>
      </w:r>
      <w:r w:rsidR="00997CDB">
        <w:t xml:space="preserve"> la</w:t>
      </w:r>
      <w:r w:rsidR="00A90700">
        <w:t xml:space="preserve"> </w:t>
      </w:r>
      <w:r>
        <w:t>salud sexual y reproductiva de las mujeres con discapacidad? ¿En qué medida estas leyes us</w:t>
      </w:r>
      <w:r w:rsidR="00A90700">
        <w:t>an</w:t>
      </w:r>
      <w:r>
        <w:t xml:space="preserve"> sistemas de </w:t>
      </w:r>
      <w:r w:rsidR="00A90700">
        <w:t xml:space="preserve">sustitución en la </w:t>
      </w:r>
      <w:r>
        <w:t xml:space="preserve">toma de decisiones, como la tutela, en vez de </w:t>
      </w:r>
      <w:r w:rsidR="00A90700">
        <w:t xml:space="preserve">un </w:t>
      </w:r>
      <w:r>
        <w:t xml:space="preserve">sistema de </w:t>
      </w:r>
      <w:r w:rsidR="00A90700">
        <w:t xml:space="preserve">apoyos en la </w:t>
      </w:r>
      <w:r>
        <w:t xml:space="preserve">toma de decisiones para personas con discapacidad que </w:t>
      </w:r>
      <w:r w:rsidR="00A90700">
        <w:t>puedan requerir asistencia</w:t>
      </w:r>
      <w:r>
        <w:t xml:space="preserve"> para ejercer su derecho a la capacidad jurídica?</w:t>
      </w:r>
    </w:p>
    <w:p w14:paraId="2F31744D" w14:textId="607535BD" w:rsidR="0049019C" w:rsidRDefault="00CD0EAF">
      <w:pPr>
        <w:pStyle w:val="ListParagraph"/>
        <w:ind w:left="634" w:right="504" w:hanging="274"/>
        <w:contextualSpacing w:val="0"/>
      </w:pPr>
      <w:r>
        <w:t xml:space="preserve">¿Existen leyes que prohíban o permitan explícitamente procedimientos forzados o coercitivos de salud reproductiva para mujeres </w:t>
      </w:r>
      <w:r w:rsidR="00A90700">
        <w:t>y</w:t>
      </w:r>
      <w:r>
        <w:t xml:space="preserve"> niñas con discapacidad? ¿Existen políticas sobre la obligación de</w:t>
      </w:r>
      <w:r w:rsidR="00A90700">
        <w:t xml:space="preserve"> garantizar el</w:t>
      </w:r>
      <w:r>
        <w:t xml:space="preserve"> consentimiento informado para esos procedimientos y formación específica de</w:t>
      </w:r>
      <w:r w:rsidR="00A90700">
        <w:t xml:space="preserve">l personal de </w:t>
      </w:r>
      <w:r>
        <w:t xml:space="preserve">salud en ese sentido? ¿Las leyes o políticas </w:t>
      </w:r>
      <w:r w:rsidR="00A90700">
        <w:t>contienen mecanismos de rendición de cuentas para</w:t>
      </w:r>
      <w:r>
        <w:t xml:space="preserve"> quienes realizan procedimientos forzados o coercitivos de salud reproductiva </w:t>
      </w:r>
      <w:r w:rsidR="00A90700">
        <w:t>a</w:t>
      </w:r>
      <w:r>
        <w:t xml:space="preserve"> mujeres con discapacidad</w:t>
      </w:r>
      <w:r w:rsidR="00A90700">
        <w:t>,</w:t>
      </w:r>
      <w:r>
        <w:t xml:space="preserve"> y establecen formas de compensación u otras formas de reparar a las víctimas?</w:t>
      </w:r>
    </w:p>
    <w:p w14:paraId="50FAB79C" w14:textId="6DA1AD1D" w:rsidR="0049019C" w:rsidRDefault="00CD0EAF">
      <w:pPr>
        <w:pStyle w:val="ListParagraph"/>
        <w:ind w:left="634" w:right="504" w:hanging="274"/>
        <w:contextualSpacing w:val="0"/>
      </w:pPr>
      <w:r>
        <w:t>¿El estado recopila datos sobre el acceso a la salud sexual y reproductiva de las mujeres y las niñas con discapacidad? ¿El estado recoge datos sobre el número de mujeres y niñas que son obligadas a tomar anticonceptivos o someterse a los procedimientos de aborto o esterilización? ¿El estado incluye un módulo de discapacidad en su censo?</w:t>
      </w:r>
    </w:p>
    <w:p w14:paraId="0FC8C988" w14:textId="2CC00076" w:rsidR="0049019C" w:rsidRDefault="00CD0EAF">
      <w:pPr>
        <w:pStyle w:val="ListParagraph"/>
        <w:ind w:left="634" w:right="504" w:hanging="274"/>
        <w:contextualSpacing w:val="0"/>
      </w:pPr>
      <w:r>
        <w:t>¿Hay estudios regionales en salud sexual y reproductiva para las mujeres y las niñas con discapacidad que podrían arrojar luz sobre la situación de las mujeres y las niñas con discapacidad a nivel nacional?</w:t>
      </w:r>
    </w:p>
    <w:p w14:paraId="77A01FFC" w14:textId="5CDE8256" w:rsidR="0049019C" w:rsidRDefault="00CD0EAF">
      <w:pPr>
        <w:pStyle w:val="ListParagraph"/>
        <w:ind w:left="634" w:right="504" w:hanging="274"/>
        <w:contextualSpacing w:val="0"/>
      </w:pPr>
      <w:r>
        <w:t xml:space="preserve">¿En qué medida, si existe, hay información sobre los derechos sexuales y reproductivos de las mujeres y las niñas y los derechos de las personas con discapacidad en formatos accesibles? </w:t>
      </w:r>
    </w:p>
    <w:p w14:paraId="3B11CF67" w14:textId="0B9B82B5" w:rsidR="0049019C" w:rsidRDefault="00CD0EAF">
      <w:pPr>
        <w:pStyle w:val="ListParagraph"/>
        <w:ind w:left="634" w:right="504" w:hanging="274"/>
        <w:contextualSpacing w:val="0"/>
      </w:pPr>
      <w:r>
        <w:t xml:space="preserve">¿En qué medida existen instalaciones sanitarias y equipos accesibles para las mujeres y las niñas con discapacidad? ¿El Estado formula disposiciones expresas para garantizar dicha accesibilidad? ¿Cómo se distribuyen en el territorio de todo el país las instalaciones que están equipadas para proporcionar servicios a las mujeres con discapacidad? </w:t>
      </w:r>
    </w:p>
    <w:p w14:paraId="482E628D" w14:textId="7A931B34" w:rsidR="0049019C" w:rsidRDefault="00CD0EAF">
      <w:pPr>
        <w:pStyle w:val="ListParagraph"/>
        <w:ind w:left="634" w:right="504" w:hanging="274"/>
        <w:contextualSpacing w:val="0"/>
      </w:pPr>
      <w:r>
        <w:t xml:space="preserve">¿El Estado recoge datos sobre el número de instalaciones médicas equipadas para proporcionar servicios a las mujeres y niñas con discapacidad? ¿El Estado proporciona fondos para servicios de salud, y si es así, esa financiación </w:t>
      </w:r>
      <w:r w:rsidR="0026066E">
        <w:t>incluye</w:t>
      </w:r>
      <w:r>
        <w:t xml:space="preserve"> </w:t>
      </w:r>
      <w:r w:rsidR="0026066E">
        <w:t xml:space="preserve">equipos </w:t>
      </w:r>
      <w:r>
        <w:t>médicos y otras medidas de accesibilidad que sean inclusivos para l</w:t>
      </w:r>
      <w:r w:rsidR="0026066E">
        <w:t>a</w:t>
      </w:r>
      <w:r>
        <w:t xml:space="preserve">s </w:t>
      </w:r>
      <w:r w:rsidR="0026066E">
        <w:t xml:space="preserve">personas con </w:t>
      </w:r>
      <w:r>
        <w:t>discapaci</w:t>
      </w:r>
      <w:r w:rsidR="0026066E">
        <w:t>dad</w:t>
      </w:r>
      <w:r>
        <w:t xml:space="preserve">? </w:t>
      </w:r>
    </w:p>
    <w:p w14:paraId="0A7F97B6" w14:textId="1D9F4221" w:rsidR="0049019C" w:rsidRDefault="00CD0EAF">
      <w:pPr>
        <w:pStyle w:val="ListParagraph"/>
        <w:ind w:left="634" w:right="504" w:hanging="274"/>
        <w:contextualSpacing w:val="0"/>
      </w:pPr>
      <w:r>
        <w:lastRenderedPageBreak/>
        <w:t>¿</w:t>
      </w:r>
      <w:r w:rsidR="0026066E">
        <w:t xml:space="preserve">Los y las </w:t>
      </w:r>
      <w:r>
        <w:t xml:space="preserve">profesionales del cuidado de la salud, incluyendo </w:t>
      </w:r>
      <w:r w:rsidR="0026066E">
        <w:t xml:space="preserve">personal </w:t>
      </w:r>
      <w:r>
        <w:t xml:space="preserve">médico, </w:t>
      </w:r>
      <w:r w:rsidR="0026066E">
        <w:t xml:space="preserve">de </w:t>
      </w:r>
      <w:r>
        <w:t>enfermer</w:t>
      </w:r>
      <w:r w:rsidR="0026066E">
        <w:t>ía</w:t>
      </w:r>
      <w:r>
        <w:t xml:space="preserve">, parteras y demás personal médico, </w:t>
      </w:r>
      <w:r w:rsidR="0026066E">
        <w:t xml:space="preserve">reciben </w:t>
      </w:r>
      <w:r>
        <w:t>formación sobre el tratamiento de mujeres con discapacidad? ¿Se capacita sobre los derechos humanos de las mujeres y las personas con discapacidad? ¿Se capacita sobre cómo satisfacer las necesidades de accesibilidad de las personas con discapacidad?</w:t>
      </w:r>
    </w:p>
    <w:p w14:paraId="4B4D3A2F" w14:textId="01B8B952" w:rsidR="0049019C" w:rsidRDefault="00CD0EAF">
      <w:pPr>
        <w:pStyle w:val="ListParagraph"/>
        <w:ind w:left="634" w:right="504" w:hanging="274"/>
        <w:contextualSpacing w:val="0"/>
      </w:pPr>
      <w:r>
        <w:t>¿Se les realizan a las mujeres y las niñas con discapacidad los exámenes para cáncer de mama, VIH y otras ITS y otros estudios de salud preventiva en igualdad de condiciones que las niñas y mujeres sin discapacidad?</w:t>
      </w:r>
    </w:p>
    <w:p w14:paraId="4EF85DB4" w14:textId="1C75C2F8" w:rsidR="0049019C" w:rsidRDefault="00CD0EAF">
      <w:pPr>
        <w:pStyle w:val="ListParagraph"/>
        <w:ind w:left="634" w:right="504" w:hanging="274"/>
        <w:contextualSpacing w:val="0"/>
      </w:pPr>
      <w:r>
        <w:t>¿Reciben las mujeres y las niñas con discapacidad asesoramiento sobre una amplia gama de métodos anticonceptivos? ¿Disponen de información sobre estos métodos en formatos accesibles? ¿Las mujeres y las niñas con discapacidad tienen acceso a una gama de productos anticonceptivos y servicios sobre la base del consentimiento libre e informado?</w:t>
      </w:r>
    </w:p>
    <w:p w14:paraId="02EF05B3" w14:textId="007B3ACD" w:rsidR="0049019C" w:rsidRDefault="00CD0EAF">
      <w:pPr>
        <w:pStyle w:val="ListParagraph"/>
        <w:ind w:left="634" w:right="504" w:hanging="274"/>
        <w:contextualSpacing w:val="0"/>
      </w:pPr>
      <w:r>
        <w:t xml:space="preserve">¿En qué medida el Estado ha implementado programas de educación integral de la sexualidad, tanto en contextos escolares o a través de campañas en medios masivos? ¿Están disponibles en formatos accesibles los materiales de estos programas de educación de la sexualidad? ¿Estos programas están disponibles e incluyen a las mujeres y a las niñas con discapacidad? ¿Estos programas proporcionan a las mujeres y a las niñas con discapacidad información sobre sus derechos sexuales y reproductivos? </w:t>
      </w:r>
    </w:p>
    <w:p w14:paraId="36E6FD7D" w14:textId="3BB5FA5A" w:rsidR="0049019C" w:rsidRDefault="00CD0EAF">
      <w:pPr>
        <w:pStyle w:val="ListParagraph"/>
        <w:ind w:left="634" w:right="504" w:hanging="274"/>
        <w:contextualSpacing w:val="0"/>
      </w:pPr>
      <w:r>
        <w:t>¿El Estado ha realizado campaña</w:t>
      </w:r>
      <w:r w:rsidR="0026066E">
        <w:t>s</w:t>
      </w:r>
      <w:r>
        <w:t xml:space="preserve"> de sensibilización sobre los derechos de las personas con discapacidad en el contexto de los derechos a la crianza y a la salud sexual y reproductiva, con el objetivo de superar el estigma sobre la discapacidad y la lucha contra la discriminación?</w:t>
      </w:r>
    </w:p>
    <w:p w14:paraId="247F4143" w14:textId="00D89D0B" w:rsidR="0049019C" w:rsidRDefault="00CD0EAF">
      <w:pPr>
        <w:pStyle w:val="ListParagraph"/>
        <w:ind w:left="634" w:right="504" w:hanging="274"/>
        <w:contextualSpacing w:val="0"/>
      </w:pPr>
      <w:r>
        <w:t xml:space="preserve">¿Hay servicios y programas para proporcionar refugio, atención médica y otros servicios a las mujeres embarazadas con discapacidad? ¿En qué medida hay servicios prenatales disponibles y accesibles para las mujeres con discapacidad? </w:t>
      </w:r>
    </w:p>
    <w:p w14:paraId="19DA1966" w14:textId="67325096" w:rsidR="0049019C" w:rsidRDefault="00CD0EAF">
      <w:pPr>
        <w:pStyle w:val="ListParagraph"/>
        <w:ind w:left="634" w:right="504" w:hanging="274"/>
        <w:contextualSpacing w:val="0"/>
      </w:pPr>
      <w:r>
        <w:t xml:space="preserve">¿En qué medida se están </w:t>
      </w:r>
      <w:r w:rsidR="0026066E">
        <w:t>implement</w:t>
      </w:r>
      <w:r>
        <w:t xml:space="preserve">ando medidas para proporcionar un mayor acceso a la salud sexual y reproductiva para mujeres y niñas con discapacidad? </w:t>
      </w:r>
    </w:p>
    <w:p w14:paraId="3E7EC875" w14:textId="104A7DE3" w:rsidR="0049019C" w:rsidRDefault="00CD0EAF">
      <w:pPr>
        <w:pStyle w:val="ListParagraph"/>
        <w:ind w:left="634" w:right="504" w:hanging="274"/>
        <w:contextualSpacing w:val="0"/>
      </w:pPr>
      <w:r>
        <w:t xml:space="preserve">¿Hasta qué punto </w:t>
      </w:r>
      <w:r w:rsidR="00360557">
        <w:t xml:space="preserve">se están implementando medidas </w:t>
      </w:r>
      <w:r>
        <w:t>para proteger a las mujeres y niñas con discapacidad de las intervenciones médicas forzadas?</w:t>
      </w:r>
    </w:p>
    <w:p w14:paraId="5229A93F" w14:textId="0292B199" w:rsidR="0049019C" w:rsidRPr="004B2C96" w:rsidRDefault="00CD0EAF">
      <w:pPr>
        <w:rPr>
          <w:rFonts w:eastAsiaTheme="majorEastAsia" w:cstheme="majorBidi"/>
          <w:color w:val="345B8A"/>
        </w:rPr>
      </w:pPr>
      <w:r>
        <w:t xml:space="preserve">Como se </w:t>
      </w:r>
      <w:r w:rsidRPr="00287D85">
        <w:t>explica en</w:t>
      </w:r>
      <w:r w:rsidR="00CD0023" w:rsidRPr="00C04397">
        <w:t xml:space="preserve"> </w:t>
      </w:r>
      <w:hyperlink r:id="rId20" w:history="1">
        <w:r w:rsidR="00CD0023" w:rsidRPr="00C04397">
          <w:rPr>
            <w:rStyle w:val="Hyperlink"/>
            <w:i/>
          </w:rPr>
          <w:t>accountABILITY</w:t>
        </w:r>
        <w:r w:rsidR="00287D85" w:rsidRPr="00C04397">
          <w:rPr>
            <w:rStyle w:val="Hyperlink"/>
            <w:i/>
          </w:rPr>
          <w:t xml:space="preserve"> Toolkit</w:t>
        </w:r>
        <w:r w:rsidR="00CD0023" w:rsidRPr="00C04397">
          <w:rPr>
            <w:rStyle w:val="Hyperlink"/>
            <w:i/>
          </w:rPr>
          <w:t xml:space="preserve">: </w:t>
        </w:r>
        <w:r w:rsidR="00287D85" w:rsidRPr="00C04397">
          <w:rPr>
            <w:rStyle w:val="Hyperlink"/>
            <w:i/>
          </w:rPr>
          <w:t>Una Guía para el Uso de</w:t>
        </w:r>
        <w:r w:rsidR="00CD0023" w:rsidRPr="00C04397">
          <w:rPr>
            <w:rStyle w:val="Hyperlink"/>
            <w:i/>
          </w:rPr>
          <w:t xml:space="preserve"> los Mecanismos de Derechos Humanos de Naciones Unidas para </w:t>
        </w:r>
        <w:r w:rsidR="00287D85" w:rsidRPr="00C04397">
          <w:rPr>
            <w:rStyle w:val="Hyperlink"/>
            <w:i/>
          </w:rPr>
          <w:t>Avanza</w:t>
        </w:r>
        <w:r w:rsidR="00CD0023" w:rsidRPr="00C04397">
          <w:rPr>
            <w:rStyle w:val="Hyperlink"/>
            <w:i/>
          </w:rPr>
          <w:t>r los Derechos de las Mujeres y Niñas con Discapacidad</w:t>
        </w:r>
      </w:hyperlink>
      <w:r w:rsidR="00CD0023">
        <w:rPr>
          <w:i/>
        </w:rPr>
        <w:t xml:space="preserve">, es </w:t>
      </w:r>
      <w:r>
        <w:t xml:space="preserve">importante que la información objetiva proporcionada en una </w:t>
      </w:r>
      <w:r w:rsidR="0026066E">
        <w:t xml:space="preserve">contribución </w:t>
      </w:r>
      <w:r>
        <w:t xml:space="preserve">escrita incluya información detallada y bien fundamentada, con citas o documentación en anexos. Las </w:t>
      </w:r>
      <w:r w:rsidR="0026066E">
        <w:t xml:space="preserve">contribuciones </w:t>
      </w:r>
      <w:r>
        <w:t>más ef</w:t>
      </w:r>
      <w:r w:rsidR="0026066E">
        <w:t>ectivas</w:t>
      </w:r>
      <w:r>
        <w:t xml:space="preserve"> incluirán información del tipo descrito en las preguntas anteriores para establecer que un problema es de carácter sistemático o generalizado, así como algunos estudios de casos detallados para ilustrar el impacto del problema en </w:t>
      </w:r>
      <w:r w:rsidR="003A1BB1">
        <w:t>las personas</w:t>
      </w:r>
      <w:r>
        <w:t>.</w:t>
      </w:r>
      <w:r w:rsidR="0026066E" w:rsidRPr="0026066E">
        <w:t xml:space="preserve"> </w:t>
      </w:r>
    </w:p>
    <w:p w14:paraId="660224E7" w14:textId="1519752E" w:rsidR="0049019C" w:rsidRDefault="00CD0EAF" w:rsidP="0052428A">
      <w:pPr>
        <w:pStyle w:val="Heading1"/>
      </w:pPr>
      <w:bookmarkStart w:id="14" w:name="CCPR"/>
      <w:bookmarkStart w:id="15" w:name="_Toc5974906"/>
      <w:r>
        <w:lastRenderedPageBreak/>
        <w:t>Comité de Derechos Humanos</w:t>
      </w:r>
      <w:bookmarkEnd w:id="14"/>
      <w:bookmarkEnd w:id="15"/>
    </w:p>
    <w:p w14:paraId="5FBDEC8F" w14:textId="6B949B17" w:rsidR="0049019C" w:rsidRDefault="00CD0EAF" w:rsidP="000D30E9">
      <w:pPr>
        <w:pStyle w:val="NormalIndented"/>
      </w:pPr>
      <w:r w:rsidRPr="000D30E9">
        <w:t xml:space="preserve">El Comité de Derechos Humanos es el órgano de expertos que supervisa la </w:t>
      </w:r>
      <w:r w:rsidR="00BF2D46" w:rsidRPr="000D30E9">
        <w:t>implement</w:t>
      </w:r>
      <w:r w:rsidRPr="000D30E9">
        <w:t xml:space="preserve">ación del Pacto Internacional de Derechos Civiles y Políticos (PIDCP). A través de sus </w:t>
      </w:r>
      <w:r w:rsidR="00BF2D46" w:rsidRPr="000D30E9">
        <w:t>O</w:t>
      </w:r>
      <w:r w:rsidRPr="000D30E9">
        <w:t xml:space="preserve">bservaciones </w:t>
      </w:r>
      <w:r w:rsidR="00BF2D46" w:rsidRPr="000D30E9">
        <w:t>G</w:t>
      </w:r>
      <w:r w:rsidRPr="000D30E9">
        <w:t xml:space="preserve">enerales, </w:t>
      </w:r>
      <w:r w:rsidR="00BF2D46" w:rsidRPr="000D30E9">
        <w:t>O</w:t>
      </w:r>
      <w:r w:rsidRPr="000D30E9">
        <w:t>bservaciones</w:t>
      </w:r>
      <w:r w:rsidR="00BF2D46" w:rsidRPr="000D30E9">
        <w:t xml:space="preserve"> Finales</w:t>
      </w:r>
      <w:r w:rsidRPr="000D30E9">
        <w:t xml:space="preserve"> y </w:t>
      </w:r>
      <w:r w:rsidR="00BF2D46" w:rsidRPr="000D30E9">
        <w:t>D</w:t>
      </w:r>
      <w:r w:rsidRPr="000D30E9">
        <w:t xml:space="preserve">enuncias </w:t>
      </w:r>
      <w:r w:rsidR="00BF2D46" w:rsidRPr="000D30E9">
        <w:t>I</w:t>
      </w:r>
      <w:r w:rsidRPr="000D30E9">
        <w:t xml:space="preserve">ndividuales, el Comité de </w:t>
      </w:r>
      <w:r w:rsidR="00BF2D46" w:rsidRPr="000D30E9">
        <w:t>D</w:t>
      </w:r>
      <w:r w:rsidRPr="000D30E9">
        <w:t xml:space="preserve">erechos </w:t>
      </w:r>
      <w:r w:rsidR="00BF2D46" w:rsidRPr="000D30E9">
        <w:t>H</w:t>
      </w:r>
      <w:r w:rsidRPr="000D30E9">
        <w:t xml:space="preserve">umanos ha demostrado que los Estados tienen la obligación de garantizar el acceso a la gama completa de información sobre salud sexual y reproductiva, bienes y servicios, y que la negación y la imposición no consensual de servicios de salud sexual y reproductiva pueden </w:t>
      </w:r>
      <w:r w:rsidR="007761F5" w:rsidRPr="000D30E9">
        <w:t xml:space="preserve">considerarse </w:t>
      </w:r>
      <w:r w:rsidRPr="000D30E9">
        <w:t xml:space="preserve">una violación de derechos protegidos por el PIDCP. En particular, el Comité de </w:t>
      </w:r>
      <w:r w:rsidR="007761F5" w:rsidRPr="000D30E9">
        <w:t>D</w:t>
      </w:r>
      <w:r w:rsidRPr="000D30E9">
        <w:t xml:space="preserve">erechos </w:t>
      </w:r>
      <w:r w:rsidR="007761F5" w:rsidRPr="000D30E9">
        <w:t>H</w:t>
      </w:r>
      <w:r w:rsidRPr="000D30E9">
        <w:t xml:space="preserve">umanos ha encontrado que las violaciones en el contexto de salud sexual y reproductiva contravienen los derechos previstos en los artículos 2 (derecho a la no discriminación y </w:t>
      </w:r>
      <w:r w:rsidR="007761F5" w:rsidRPr="000D30E9">
        <w:t xml:space="preserve">recursos </w:t>
      </w:r>
      <w:r w:rsidRPr="000D30E9">
        <w:t>ef</w:t>
      </w:r>
      <w:r w:rsidR="007761F5" w:rsidRPr="000D30E9">
        <w:t>e</w:t>
      </w:r>
      <w:r w:rsidRPr="000D30E9">
        <w:t>c</w:t>
      </w:r>
      <w:r w:rsidR="007761F5" w:rsidRPr="000D30E9">
        <w:t>tivos</w:t>
      </w:r>
      <w:r w:rsidRPr="000D30E9">
        <w:t>), 3 (igualdad de hombres y mujeres), 6 (derecho a la vida), 7 (derech</w:t>
      </w:r>
      <w:r w:rsidR="007761F5" w:rsidRPr="000D30E9">
        <w:t>o</w:t>
      </w:r>
      <w:r w:rsidRPr="000D30E9">
        <w:t xml:space="preserve"> </w:t>
      </w:r>
      <w:r w:rsidR="007761F5" w:rsidRPr="000D30E9">
        <w:t xml:space="preserve">a </w:t>
      </w:r>
      <w:r w:rsidRPr="000D30E9">
        <w:t>estar libre de tortura o malos tratos), 9 (derecho a la libertad y la seguridad de la persona), 10 (derechos de las personas detenidas), 14 (derechos relativos a l</w:t>
      </w:r>
      <w:r w:rsidR="007761F5" w:rsidRPr="000D30E9">
        <w:t>a</w:t>
      </w:r>
      <w:r w:rsidRPr="000D30E9">
        <w:t xml:space="preserve">s </w:t>
      </w:r>
      <w:r w:rsidR="007761F5" w:rsidRPr="000D30E9">
        <w:t xml:space="preserve">cortes </w:t>
      </w:r>
      <w:r w:rsidRPr="000D30E9">
        <w:t>y tribunales), 17 (derecho a la privacidad), 19 (derecho a la libertad de expresión),</w:t>
      </w:r>
      <w:r>
        <w:rPr>
          <w:rStyle w:val="EndnoteReference"/>
          <w:rFonts w:cs="Times New Roman"/>
        </w:rPr>
        <w:t xml:space="preserve"> </w:t>
      </w:r>
      <w:r>
        <w:t xml:space="preserve">23 (derechos de la familia), 24 (protección </w:t>
      </w:r>
      <w:r w:rsidR="007761F5">
        <w:t xml:space="preserve">de </w:t>
      </w:r>
      <w:r>
        <w:t>niños</w:t>
      </w:r>
      <w:r w:rsidR="007761F5">
        <w:t xml:space="preserve"> y niñas</w:t>
      </w:r>
      <w:r>
        <w:t>) y 26 (a igual protección de las leyes).</w:t>
      </w:r>
    </w:p>
    <w:p w14:paraId="1F89463F" w14:textId="14AD12D4" w:rsidR="0049019C" w:rsidRPr="004B2C96" w:rsidRDefault="00431368" w:rsidP="00515135">
      <w:pPr>
        <w:pStyle w:val="Heading2"/>
        <w:rPr>
          <w:b w:val="0"/>
        </w:rPr>
      </w:pPr>
      <w:bookmarkStart w:id="16" w:name="_Toc5974907"/>
      <w:r w:rsidRPr="004B2C96">
        <w:rPr>
          <w:b w:val="0"/>
        </w:rPr>
        <w:t>Observacione</w:t>
      </w:r>
      <w:r w:rsidR="00CD0EAF" w:rsidRPr="004B2C96">
        <w:rPr>
          <w:b w:val="0"/>
        </w:rPr>
        <w:t xml:space="preserve">s </w:t>
      </w:r>
      <w:r w:rsidRPr="004B2C96">
        <w:rPr>
          <w:b w:val="0"/>
        </w:rPr>
        <w:t>G</w:t>
      </w:r>
      <w:r w:rsidR="00CD0EAF" w:rsidRPr="004B2C96">
        <w:rPr>
          <w:b w:val="0"/>
        </w:rPr>
        <w:t>enerales</w:t>
      </w:r>
      <w:bookmarkEnd w:id="16"/>
    </w:p>
    <w:p w14:paraId="72D5BB8B" w14:textId="3EAA03E0" w:rsidR="0049019C" w:rsidRPr="0061613E" w:rsidRDefault="00431368" w:rsidP="00753A59">
      <w:pPr>
        <w:pStyle w:val="Heading3GeneralComments"/>
      </w:pPr>
      <w:r w:rsidRPr="00F75D9A">
        <w:t>Observación</w:t>
      </w:r>
      <w:r w:rsidRPr="0061613E">
        <w:t xml:space="preserve"> </w:t>
      </w:r>
      <w:r w:rsidRPr="00515135">
        <w:t>G</w:t>
      </w:r>
      <w:r w:rsidR="00CD0EAF" w:rsidRPr="00515135">
        <w:t>eneral</w:t>
      </w:r>
      <w:r w:rsidR="00CD0EAF" w:rsidRPr="0061613E">
        <w:t xml:space="preserve"> </w:t>
      </w:r>
      <w:r w:rsidRPr="0061613E">
        <w:t>N</w:t>
      </w:r>
      <w:r w:rsidR="00CD0EAF" w:rsidRPr="0061613E">
        <w:t xml:space="preserve">o. 19: Protección de la </w:t>
      </w:r>
      <w:r w:rsidR="00D74833">
        <w:t>f</w:t>
      </w:r>
      <w:r w:rsidR="00CD0EAF" w:rsidRPr="0061613E">
        <w:t xml:space="preserve">amilia, el </w:t>
      </w:r>
      <w:r w:rsidR="00D74833">
        <w:t>d</w:t>
      </w:r>
      <w:r w:rsidR="00CD0EAF" w:rsidRPr="0061613E">
        <w:t xml:space="preserve">erecho al </w:t>
      </w:r>
      <w:r w:rsidR="00D74833">
        <w:t>m</w:t>
      </w:r>
      <w:r w:rsidR="00CD0EAF" w:rsidRPr="0061613E">
        <w:t xml:space="preserve">atrimonio y la </w:t>
      </w:r>
      <w:r w:rsidR="00D74833">
        <w:t>i</w:t>
      </w:r>
      <w:r w:rsidR="00CD0EAF" w:rsidRPr="0061613E">
        <w:t xml:space="preserve">gualdad de los </w:t>
      </w:r>
      <w:r w:rsidR="00D74833">
        <w:t>c</w:t>
      </w:r>
      <w:r w:rsidR="00CD0EAF" w:rsidRPr="0061613E">
        <w:t>ónyuges (</w:t>
      </w:r>
      <w:r w:rsidRPr="0061613E">
        <w:t>A</w:t>
      </w:r>
      <w:r w:rsidR="00CD0EAF" w:rsidRPr="0061613E">
        <w:t>rtículo 23) (1994)</w:t>
      </w:r>
    </w:p>
    <w:p w14:paraId="700FD78B" w14:textId="5607C8F3" w:rsidR="0049019C" w:rsidRDefault="00CD0EAF" w:rsidP="00515135">
      <w:pPr>
        <w:pStyle w:val="NormalIndented"/>
        <w:ind w:left="270"/>
      </w:pPr>
      <w:r>
        <w:t xml:space="preserve">En su </w:t>
      </w:r>
      <w:r w:rsidR="00431368">
        <w:t xml:space="preserve">Observación </w:t>
      </w:r>
      <w:r>
        <w:t xml:space="preserve">General </w:t>
      </w:r>
      <w:r w:rsidR="00431368">
        <w:t>N</w:t>
      </w:r>
      <w:r>
        <w:t xml:space="preserve">o. 19, el Comité de </w:t>
      </w:r>
      <w:r w:rsidR="00431368">
        <w:t>D</w:t>
      </w:r>
      <w:r>
        <w:t xml:space="preserve">erechos </w:t>
      </w:r>
      <w:r w:rsidR="00431368">
        <w:t>H</w:t>
      </w:r>
      <w:r>
        <w:t xml:space="preserve">umanos hace una referencia indirecta a los derechos sexuales y reproductivos, </w:t>
      </w:r>
      <w:r w:rsidRPr="00515135">
        <w:t>discriminación</w:t>
      </w:r>
      <w:r>
        <w:t xml:space="preserve"> y prácticas forzadas o bajo coacción en el contexto de las políticas de planificación familiar, recomendando que "</w:t>
      </w:r>
      <w:r w:rsidR="00431368">
        <w:t>cuando</w:t>
      </w:r>
      <w:r>
        <w:t xml:space="preserve"> los Estados </w:t>
      </w:r>
      <w:r w:rsidR="00431368">
        <w:t>p</w:t>
      </w:r>
      <w:r>
        <w:t>artes adopta</w:t>
      </w:r>
      <w:r w:rsidR="00431368">
        <w:t>n</w:t>
      </w:r>
      <w:r>
        <w:t xml:space="preserve"> políticas de planificación familiar, deben ser compatibles con las disposiciones del Pacto y, en particular, no debe</w:t>
      </w:r>
      <w:r w:rsidR="00431368">
        <w:t>n ser</w:t>
      </w:r>
      <w:r>
        <w:t xml:space="preserve"> discriminatorias u obligatori</w:t>
      </w:r>
      <w:r w:rsidR="00AF452B">
        <w:t>as</w:t>
      </w:r>
      <w:r>
        <w:t>."</w:t>
      </w:r>
      <w:r>
        <w:rPr>
          <w:rStyle w:val="EndnoteReference"/>
        </w:rPr>
        <w:endnoteReference w:id="22"/>
      </w:r>
      <w:r>
        <w:t xml:space="preserve"> </w:t>
      </w:r>
    </w:p>
    <w:p w14:paraId="196E3454" w14:textId="40F06BDF" w:rsidR="0049019C" w:rsidRPr="0061613E" w:rsidRDefault="00431368" w:rsidP="00753A59">
      <w:pPr>
        <w:pStyle w:val="Heading3GeneralComments"/>
      </w:pPr>
      <w:r w:rsidRPr="0061613E">
        <w:t>Observación</w:t>
      </w:r>
      <w:r w:rsidR="00CD0EAF" w:rsidRPr="0061613E">
        <w:t xml:space="preserve"> </w:t>
      </w:r>
      <w:r w:rsidRPr="0061613E">
        <w:t>G</w:t>
      </w:r>
      <w:r w:rsidR="00CD0EAF" w:rsidRPr="0061613E">
        <w:t xml:space="preserve">eneral </w:t>
      </w:r>
      <w:r w:rsidR="00AF452B" w:rsidRPr="0061613E">
        <w:t>N</w:t>
      </w:r>
      <w:r w:rsidR="00CD0EAF" w:rsidRPr="0061613E">
        <w:t xml:space="preserve">o. 20: Artículo 7, </w:t>
      </w:r>
      <w:r w:rsidR="00AF452B" w:rsidRPr="0061613E">
        <w:t>P</w:t>
      </w:r>
      <w:r w:rsidR="00CD0EAF" w:rsidRPr="0061613E">
        <w:t xml:space="preserve">rohibición de </w:t>
      </w:r>
      <w:r w:rsidR="0061613E">
        <w:t>tortura</w:t>
      </w:r>
      <w:r w:rsidR="00CD0EAF" w:rsidRPr="0061613E">
        <w:t xml:space="preserve"> </w:t>
      </w:r>
      <w:r w:rsidR="00AF452B" w:rsidRPr="0061613E">
        <w:t xml:space="preserve">u </w:t>
      </w:r>
      <w:r w:rsidR="00CD0EAF" w:rsidRPr="0061613E">
        <w:t>otros tratos o penas crueles, inhumanos o degradantes (1992)</w:t>
      </w:r>
    </w:p>
    <w:p w14:paraId="5BA90663" w14:textId="576DCECC" w:rsidR="0049019C" w:rsidRDefault="00CD0EAF" w:rsidP="00515135">
      <w:pPr>
        <w:pStyle w:val="NormalIndented"/>
        <w:ind w:left="270"/>
      </w:pPr>
      <w:r>
        <w:t xml:space="preserve">En su </w:t>
      </w:r>
      <w:r w:rsidR="00AF452B">
        <w:t>Observación</w:t>
      </w:r>
      <w:r>
        <w:t xml:space="preserve"> General </w:t>
      </w:r>
      <w:r w:rsidR="00AF452B">
        <w:t>N</w:t>
      </w:r>
      <w:r>
        <w:t xml:space="preserve">o. 20, el Comité de </w:t>
      </w:r>
      <w:r w:rsidR="00AF452B">
        <w:t>D</w:t>
      </w:r>
      <w:r>
        <w:t xml:space="preserve">erechos </w:t>
      </w:r>
      <w:r w:rsidR="00AF452B">
        <w:t>H</w:t>
      </w:r>
      <w:r>
        <w:t xml:space="preserve">umanos </w:t>
      </w:r>
      <w:r w:rsidR="00AF452B">
        <w:t>enfatiz</w:t>
      </w:r>
      <w:r>
        <w:t xml:space="preserve">a que la tortura y tratamiento cruel, inhumano y degradante puede resultar no sólo </w:t>
      </w:r>
      <w:r w:rsidR="00AF452B">
        <w:t xml:space="preserve">en </w:t>
      </w:r>
      <w:r>
        <w:t>dolor físico sino también sufrimiento mental.</w:t>
      </w:r>
      <w:r>
        <w:rPr>
          <w:rStyle w:val="EndnoteReference"/>
        </w:rPr>
        <w:endnoteReference w:id="23"/>
      </w:r>
      <w:r>
        <w:t xml:space="preserve"> En particular, </w:t>
      </w:r>
      <w:r w:rsidR="00AF452B">
        <w:t xml:space="preserve">el Comité </w:t>
      </w:r>
      <w:r>
        <w:t xml:space="preserve">reconoce la necesidad de garantizar </w:t>
      </w:r>
      <w:r w:rsidR="00AF452B">
        <w:t>que los</w:t>
      </w:r>
      <w:r>
        <w:t xml:space="preserve"> pacientes en instituciones de enseñanza médica </w:t>
      </w:r>
      <w:r w:rsidR="00AF452B">
        <w:t xml:space="preserve">sean protegidos </w:t>
      </w:r>
      <w:r>
        <w:t>de tortura o malos tratos,</w:t>
      </w:r>
      <w:r>
        <w:rPr>
          <w:rStyle w:val="EndnoteReference"/>
        </w:rPr>
        <w:endnoteReference w:id="24"/>
      </w:r>
      <w:r>
        <w:t xml:space="preserve"> y en ese sentido también recomienda que los Estados prohib</w:t>
      </w:r>
      <w:r w:rsidR="00AF452B">
        <w:t>a</w:t>
      </w:r>
      <w:r>
        <w:t xml:space="preserve">n los experimentos médicos sin consentimiento </w:t>
      </w:r>
      <w:r w:rsidR="00AF452B">
        <w:t xml:space="preserve">libre e </w:t>
      </w:r>
      <w:r>
        <w:t>informado.</w:t>
      </w:r>
      <w:r>
        <w:rPr>
          <w:rStyle w:val="EndnoteReference"/>
          <w:rFonts w:cs="Times New Roman"/>
        </w:rPr>
        <w:endnoteReference w:id="25"/>
      </w:r>
    </w:p>
    <w:p w14:paraId="159FA8CE" w14:textId="52E45917" w:rsidR="0049019C" w:rsidRPr="0061613E" w:rsidRDefault="00431368" w:rsidP="00753A59">
      <w:pPr>
        <w:pStyle w:val="Heading3GeneralComments"/>
      </w:pPr>
      <w:r w:rsidRPr="0061613E">
        <w:t>Observación</w:t>
      </w:r>
      <w:r w:rsidR="00CD0EAF" w:rsidRPr="0061613E">
        <w:t xml:space="preserve"> </w:t>
      </w:r>
      <w:r w:rsidRPr="0061613E">
        <w:t>G</w:t>
      </w:r>
      <w:r w:rsidR="00CD0EAF" w:rsidRPr="0061613E">
        <w:t xml:space="preserve">eneral </w:t>
      </w:r>
      <w:r w:rsidR="00AF452B" w:rsidRPr="0061613E">
        <w:t>N</w:t>
      </w:r>
      <w:r w:rsidR="00CD0EAF" w:rsidRPr="0061613E">
        <w:t xml:space="preserve">o. 28: Artículo 3, </w:t>
      </w:r>
      <w:r w:rsidR="00AF452B" w:rsidRPr="0061613E">
        <w:t>L</w:t>
      </w:r>
      <w:r w:rsidR="00CD0EAF" w:rsidRPr="0061613E">
        <w:t xml:space="preserve">a </w:t>
      </w:r>
      <w:r w:rsidR="00D74833">
        <w:t>i</w:t>
      </w:r>
      <w:r w:rsidR="00CD0EAF" w:rsidRPr="0061613E">
        <w:t xml:space="preserve">gualdad de </w:t>
      </w:r>
      <w:r w:rsidR="00D74833">
        <w:t>d</w:t>
      </w:r>
      <w:r w:rsidR="00CD0EAF" w:rsidRPr="0061613E">
        <w:t xml:space="preserve">erechos entre </w:t>
      </w:r>
      <w:r w:rsidR="00D74833">
        <w:t>h</w:t>
      </w:r>
      <w:r w:rsidR="00CD0EAF" w:rsidRPr="0061613E">
        <w:t xml:space="preserve">ombres y </w:t>
      </w:r>
      <w:r w:rsidR="00D74833">
        <w:t>m</w:t>
      </w:r>
      <w:r w:rsidR="00CD0EAF" w:rsidRPr="0061613E">
        <w:t>ujeres (2000)</w:t>
      </w:r>
    </w:p>
    <w:p w14:paraId="142900DE" w14:textId="2AA34459" w:rsidR="00491CAE" w:rsidRDefault="00CD0EAF" w:rsidP="00515135">
      <w:pPr>
        <w:pStyle w:val="NormalIndented"/>
        <w:ind w:left="270"/>
      </w:pPr>
      <w:r>
        <w:t xml:space="preserve">En su </w:t>
      </w:r>
      <w:r w:rsidR="00AF452B">
        <w:t>Observación</w:t>
      </w:r>
      <w:r>
        <w:t xml:space="preserve"> General </w:t>
      </w:r>
      <w:r w:rsidR="00AF452B">
        <w:t>N</w:t>
      </w:r>
      <w:r>
        <w:t xml:space="preserve">o. 28, el Comité de </w:t>
      </w:r>
      <w:r w:rsidR="00AF452B">
        <w:t>D</w:t>
      </w:r>
      <w:r>
        <w:t xml:space="preserve">erechos </w:t>
      </w:r>
      <w:r w:rsidR="00AF452B">
        <w:t>H</w:t>
      </w:r>
      <w:r>
        <w:t xml:space="preserve">umanos </w:t>
      </w:r>
      <w:r w:rsidR="00AF452B">
        <w:t>abord</w:t>
      </w:r>
      <w:r>
        <w:t>a las desigualdades entre hombres y mujeres, incluyendo en el contexto de los derechos sexuales y reproductivos</w:t>
      </w:r>
      <w:r w:rsidR="00AF452B">
        <w:t>.</w:t>
      </w:r>
      <w:r>
        <w:t xml:space="preserve"> </w:t>
      </w:r>
      <w:r w:rsidR="00AF452B">
        <w:t>i</w:t>
      </w:r>
      <w:r>
        <w:t>nvoca</w:t>
      </w:r>
      <w:r w:rsidR="00AF452B">
        <w:t>ndo</w:t>
      </w:r>
      <w:r>
        <w:t xml:space="preserve"> los derechos a la </w:t>
      </w:r>
      <w:r w:rsidR="00AF452B">
        <w:t>privaci</w:t>
      </w:r>
      <w:r>
        <w:t xml:space="preserve">dad y a estar libre de tortura o malos tratos, el Comité </w:t>
      </w:r>
      <w:r w:rsidR="00AF452B">
        <w:t xml:space="preserve">insta </w:t>
      </w:r>
      <w:r>
        <w:t>a los Estados a recopilar datos sobre la mortalidad materna, para evitar embarazos no deseados,</w:t>
      </w:r>
      <w:r>
        <w:rPr>
          <w:rStyle w:val="EndnoteReference"/>
        </w:rPr>
        <w:endnoteReference w:id="26"/>
      </w:r>
      <w:r>
        <w:t xml:space="preserve"> </w:t>
      </w:r>
      <w:r w:rsidR="00AF452B">
        <w:t>reportar</w:t>
      </w:r>
      <w:r>
        <w:t xml:space="preserve"> si proporcionan acceso a aborto seguro para las mujeres cuya embarazos son el resultado de violación y las medidas para prevenir el aborto forzado y la esterilización forzada,</w:t>
      </w:r>
      <w:r>
        <w:rPr>
          <w:rStyle w:val="EndnoteReference"/>
        </w:rPr>
        <w:endnoteReference w:id="27"/>
      </w:r>
      <w:r>
        <w:t xml:space="preserve"> y proporcionar servicios de salud </w:t>
      </w:r>
      <w:r w:rsidR="002A4691">
        <w:t xml:space="preserve">y </w:t>
      </w:r>
      <w:r>
        <w:t>respetar la dignidad inherente de las mujeres embarazadas que están privad</w:t>
      </w:r>
      <w:r w:rsidR="002A4691">
        <w:t>a</w:t>
      </w:r>
      <w:r>
        <w:t>s de libertad.</w:t>
      </w:r>
      <w:r>
        <w:rPr>
          <w:rStyle w:val="EndnoteReference"/>
        </w:rPr>
        <w:endnoteReference w:id="28"/>
      </w:r>
      <w:r>
        <w:t xml:space="preserve"> Asimismo, el Comité </w:t>
      </w:r>
      <w:r w:rsidR="002A4691">
        <w:t xml:space="preserve">insta </w:t>
      </w:r>
      <w:r>
        <w:t xml:space="preserve">a </w:t>
      </w:r>
      <w:r w:rsidR="002A4691">
        <w:t xml:space="preserve">los </w:t>
      </w:r>
      <w:r>
        <w:t xml:space="preserve">Estados </w:t>
      </w:r>
      <w:r w:rsidR="002A4691">
        <w:t xml:space="preserve">a </w:t>
      </w:r>
      <w:r>
        <w:t>permit</w:t>
      </w:r>
      <w:r w:rsidR="002A4691">
        <w:t>ir</w:t>
      </w:r>
      <w:r>
        <w:t xml:space="preserve"> </w:t>
      </w:r>
      <w:r w:rsidR="002A4691">
        <w:t>que</w:t>
      </w:r>
      <w:r>
        <w:t xml:space="preserve"> las mujeres tom</w:t>
      </w:r>
      <w:r w:rsidR="002A4691">
        <w:t>en</w:t>
      </w:r>
      <w:r>
        <w:t xml:space="preserve"> decisiones por sí mism</w:t>
      </w:r>
      <w:r w:rsidR="002A4691">
        <w:t>a</w:t>
      </w:r>
      <w:r>
        <w:t>s, sin la autorización de terceros, acerca de su reproducción, incluso acerca de la esterilización.</w:t>
      </w:r>
      <w:r>
        <w:rPr>
          <w:rStyle w:val="EndnoteReference"/>
        </w:rPr>
        <w:endnoteReference w:id="29"/>
      </w:r>
    </w:p>
    <w:p w14:paraId="05A2693F" w14:textId="77777777" w:rsidR="00491CAE" w:rsidRDefault="00491CAE">
      <w:pPr>
        <w:spacing w:after="0" w:line="240" w:lineRule="auto"/>
        <w:ind w:left="0" w:right="0"/>
        <w:jc w:val="left"/>
        <w:rPr>
          <w:szCs w:val="22"/>
        </w:rPr>
      </w:pPr>
      <w:r>
        <w:br w:type="page"/>
      </w:r>
    </w:p>
    <w:p w14:paraId="62EA83FC" w14:textId="0624540F" w:rsidR="0049019C" w:rsidRPr="004B2C96" w:rsidRDefault="00CD0EAF" w:rsidP="00515135">
      <w:pPr>
        <w:pStyle w:val="Heading2"/>
        <w:rPr>
          <w:b w:val="0"/>
        </w:rPr>
      </w:pPr>
      <w:bookmarkStart w:id="17" w:name="_Toc5974908"/>
      <w:r w:rsidRPr="004B2C96">
        <w:rPr>
          <w:b w:val="0"/>
        </w:rPr>
        <w:lastRenderedPageBreak/>
        <w:t xml:space="preserve">Observaciones </w:t>
      </w:r>
      <w:r w:rsidR="00431368" w:rsidRPr="004B2C96">
        <w:rPr>
          <w:b w:val="0"/>
        </w:rPr>
        <w:t>F</w:t>
      </w:r>
      <w:r w:rsidRPr="004B2C96">
        <w:rPr>
          <w:b w:val="0"/>
        </w:rPr>
        <w:t>inales</w:t>
      </w:r>
      <w:bookmarkEnd w:id="17"/>
    </w:p>
    <w:p w14:paraId="4D0221D3" w14:textId="65642E3F" w:rsidR="0049019C" w:rsidRPr="004B2C96" w:rsidRDefault="00CD0EAF">
      <w:pPr>
        <w:pStyle w:val="Heading3"/>
        <w:spacing w:before="240"/>
      </w:pPr>
      <w:bookmarkStart w:id="18" w:name="_Toc498590676"/>
      <w:r w:rsidRPr="004B2C96">
        <w:t>acceso a los servicios de salud reproductiva</w:t>
      </w:r>
      <w:bookmarkEnd w:id="18"/>
    </w:p>
    <w:p w14:paraId="32B3F6E2" w14:textId="71658DDD" w:rsidR="0049019C" w:rsidRDefault="00CD0EAF" w:rsidP="000D30E9">
      <w:pPr>
        <w:pStyle w:val="NormalIndented"/>
      </w:pPr>
      <w:r w:rsidRPr="000D30E9">
        <w:t xml:space="preserve">El Comité de </w:t>
      </w:r>
      <w:r w:rsidR="002A4691" w:rsidRPr="000D30E9">
        <w:t>D</w:t>
      </w:r>
      <w:r w:rsidRPr="000D30E9">
        <w:t xml:space="preserve">erechos </w:t>
      </w:r>
      <w:r w:rsidR="002A4691" w:rsidRPr="000D30E9">
        <w:t>H</w:t>
      </w:r>
      <w:r w:rsidRPr="000D30E9">
        <w:t xml:space="preserve">umanos ha explicado en numerosas ocasiones que los Estados tienen la obligación de </w:t>
      </w:r>
      <w:r w:rsidR="002A4691" w:rsidRPr="000D30E9">
        <w:t xml:space="preserve">garantizar </w:t>
      </w:r>
      <w:r w:rsidRPr="000D30E9">
        <w:t>que los servicios de salud reproductiva sean accesibles para todas las mujeres y adolescentes,</w:t>
      </w:r>
      <w:r>
        <w:rPr>
          <w:rStyle w:val="EndnoteReference"/>
          <w:rFonts w:cs="Times New Roman"/>
        </w:rPr>
        <w:endnoteReference w:id="30"/>
      </w:r>
      <w:r w:rsidRPr="000D30E9">
        <w:t xml:space="preserve">  y ha indicado que este tipo de servicios debe estar disponible en todas las partes del país, incluyendo en las zonas rurales.</w:t>
      </w:r>
      <w:r>
        <w:rPr>
          <w:rStyle w:val="EndnoteReference"/>
          <w:rFonts w:cs="Times New Roman"/>
        </w:rPr>
        <w:endnoteReference w:id="31"/>
      </w:r>
      <w:r w:rsidRPr="000D30E9">
        <w:t xml:space="preserve"> En al menos un caso, el Comité ha subrayado la necesidad de garantizar la accesibilidad de l</w:t>
      </w:r>
      <w:r w:rsidR="002A4691" w:rsidRPr="000D30E9">
        <w:t>a</w:t>
      </w:r>
      <w:r w:rsidRPr="000D30E9">
        <w:t xml:space="preserve">s </w:t>
      </w:r>
      <w:r w:rsidR="002A4691" w:rsidRPr="000D30E9">
        <w:t xml:space="preserve">instalaciones </w:t>
      </w:r>
      <w:r w:rsidRPr="000D30E9">
        <w:t>de salud reproductiva.</w:t>
      </w:r>
      <w:r>
        <w:rPr>
          <w:rStyle w:val="EndnoteReference"/>
          <w:rFonts w:cs="Times New Roman"/>
        </w:rPr>
        <w:endnoteReference w:id="32"/>
      </w:r>
      <w:r>
        <w:t xml:space="preserve"> </w:t>
      </w:r>
      <w:r w:rsidR="002A4691">
        <w:t xml:space="preserve">El Comité </w:t>
      </w:r>
      <w:r>
        <w:t xml:space="preserve">también ha </w:t>
      </w:r>
      <w:r w:rsidR="002A4691">
        <w:t>enfatizado</w:t>
      </w:r>
      <w:r>
        <w:t xml:space="preserve"> en al menos un </w:t>
      </w:r>
      <w:r w:rsidR="00765C97">
        <w:t xml:space="preserve">caso </w:t>
      </w:r>
      <w:r>
        <w:t>que los Estados deben garantizar el acceso a la información sobre los servicios de salud sexual y reproductiva.</w:t>
      </w:r>
      <w:r>
        <w:rPr>
          <w:rStyle w:val="EndnoteReference"/>
          <w:rFonts w:cs="Times New Roman"/>
        </w:rPr>
        <w:endnoteReference w:id="33"/>
      </w:r>
      <w:r>
        <w:t xml:space="preserve"> El Comité ha pedido además a</w:t>
      </w:r>
      <w:r w:rsidR="00384EAD">
        <w:t xml:space="preserve"> a</w:t>
      </w:r>
      <w:r>
        <w:t>l menos dos Estados asegurar mejor capacitación para el personal de salud.</w:t>
      </w:r>
      <w:r>
        <w:rPr>
          <w:rStyle w:val="EndnoteReference"/>
          <w:rFonts w:cs="Times New Roman"/>
        </w:rPr>
        <w:endnoteReference w:id="34"/>
      </w:r>
      <w:r w:rsidRPr="004B2C96">
        <w:rPr>
          <w:i/>
        </w:rPr>
        <w:t xml:space="preserve"> </w:t>
      </w:r>
    </w:p>
    <w:p w14:paraId="49603CDD" w14:textId="108FDE1F" w:rsidR="0049019C" w:rsidRDefault="00CD0EAF">
      <w:r>
        <w:t xml:space="preserve">El Comité de </w:t>
      </w:r>
      <w:r w:rsidR="00384EAD">
        <w:t>D</w:t>
      </w:r>
      <w:r>
        <w:t xml:space="preserve">erechos </w:t>
      </w:r>
      <w:r w:rsidR="00384EAD">
        <w:t>H</w:t>
      </w:r>
      <w:r>
        <w:t xml:space="preserve">umanos ha expresado preocupación en al menos un </w:t>
      </w:r>
      <w:r w:rsidR="00384EAD">
        <w:t xml:space="preserve">caso </w:t>
      </w:r>
      <w:r w:rsidR="00C03254">
        <w:t>pues</w:t>
      </w:r>
      <w:r>
        <w:t xml:space="preserve"> </w:t>
      </w:r>
      <w:r w:rsidR="00384EAD">
        <w:t xml:space="preserve">a </w:t>
      </w:r>
      <w:r>
        <w:t>muchas mujeres se les niega acceso a los servicios esenciales de salud reproductiva, incluyendo la asesoría anticonceptiva, prueba prenatal y aborto</w:t>
      </w:r>
      <w:r w:rsidR="00384EAD">
        <w:t>s</w:t>
      </w:r>
      <w:r>
        <w:t xml:space="preserve"> legal</w:t>
      </w:r>
      <w:r w:rsidR="00384EAD">
        <w:t>es</w:t>
      </w:r>
      <w:r>
        <w:t>.</w:t>
      </w:r>
      <w:r>
        <w:rPr>
          <w:rStyle w:val="EndnoteReference"/>
          <w:rFonts w:cs="Times New Roman"/>
        </w:rPr>
        <w:endnoteReference w:id="35"/>
      </w:r>
    </w:p>
    <w:p w14:paraId="7A2C4794" w14:textId="3DEAE794" w:rsidR="0049019C" w:rsidRDefault="00CD0EAF">
      <w:pPr>
        <w:pStyle w:val="Heading4"/>
      </w:pPr>
      <w:r>
        <w:t xml:space="preserve">Discriminación en el </w:t>
      </w:r>
      <w:r w:rsidR="00384EAD">
        <w:t>A</w:t>
      </w:r>
      <w:r>
        <w:t xml:space="preserve">cceso a la </w:t>
      </w:r>
      <w:r w:rsidR="00384EAD">
        <w:t>A</w:t>
      </w:r>
      <w:r>
        <w:t xml:space="preserve">tención </w:t>
      </w:r>
      <w:r w:rsidR="00287D85">
        <w:t>de la Salud</w:t>
      </w:r>
    </w:p>
    <w:p w14:paraId="0C0BC8FF" w14:textId="6D972F78" w:rsidR="0049019C" w:rsidRDefault="00CD0EAF" w:rsidP="000D30E9">
      <w:pPr>
        <w:pStyle w:val="NormalIndented"/>
      </w:pPr>
      <w:r>
        <w:t xml:space="preserve">En al menos un caso, el Comité de </w:t>
      </w:r>
      <w:r w:rsidR="00384EAD">
        <w:t>D</w:t>
      </w:r>
      <w:r>
        <w:t xml:space="preserve">erechos </w:t>
      </w:r>
      <w:r w:rsidR="00384EAD">
        <w:t>H</w:t>
      </w:r>
      <w:r>
        <w:t>umanos ha expresado preocupación por la discriminación que enfrentan las personas con discapacidad en el acceso a servicios de salud,</w:t>
      </w:r>
      <w:r>
        <w:rPr>
          <w:rStyle w:val="EndnoteReference"/>
          <w:rFonts w:cs="Times New Roman"/>
        </w:rPr>
        <w:endnoteReference w:id="36"/>
      </w:r>
      <w:r>
        <w:t xml:space="preserve">  y llama al </w:t>
      </w:r>
      <w:r w:rsidR="00384EAD">
        <w:t>E</w:t>
      </w:r>
      <w:r>
        <w:t>stado a fortalecer las medidas para proteger a las personas con discapacidad de discriminación en el acceso a servicios de salud.</w:t>
      </w:r>
      <w:r>
        <w:rPr>
          <w:rStyle w:val="EndnoteReference"/>
          <w:rFonts w:cs="Times New Roman"/>
        </w:rPr>
        <w:endnoteReference w:id="37"/>
      </w:r>
    </w:p>
    <w:p w14:paraId="63959F2B" w14:textId="3A518EDD" w:rsidR="0049019C" w:rsidRPr="004B2C96" w:rsidRDefault="00CD0EAF">
      <w:pPr>
        <w:pStyle w:val="Heading3"/>
      </w:pPr>
      <w:bookmarkStart w:id="19" w:name="_Toc498590678"/>
      <w:r w:rsidRPr="004B2C96">
        <w:t>El aborto</w:t>
      </w:r>
      <w:bookmarkEnd w:id="19"/>
    </w:p>
    <w:p w14:paraId="1AC568B4" w14:textId="78922699" w:rsidR="0049019C" w:rsidRDefault="00CD0EAF">
      <w:pPr>
        <w:pStyle w:val="Heading4"/>
      </w:pPr>
      <w:r>
        <w:t xml:space="preserve">Criminalización del </w:t>
      </w:r>
      <w:r w:rsidR="00C03254">
        <w:t>A</w:t>
      </w:r>
      <w:r>
        <w:t xml:space="preserve">borto y </w:t>
      </w:r>
      <w:r w:rsidR="00C03254">
        <w:t>L</w:t>
      </w:r>
      <w:r>
        <w:t xml:space="preserve">eyes </w:t>
      </w:r>
      <w:r w:rsidR="00C03254">
        <w:t>R</w:t>
      </w:r>
      <w:r>
        <w:t xml:space="preserve">estrictivas sobre el </w:t>
      </w:r>
      <w:r w:rsidR="00C03254">
        <w:t>A</w:t>
      </w:r>
      <w:r>
        <w:t>borto</w:t>
      </w:r>
    </w:p>
    <w:p w14:paraId="1ADCA278" w14:textId="5481D4CF" w:rsidR="0049019C" w:rsidRDefault="00CD0EAF" w:rsidP="00491CAE">
      <w:pPr>
        <w:ind w:left="90"/>
      </w:pPr>
      <w:r>
        <w:t xml:space="preserve">El Comité de </w:t>
      </w:r>
      <w:r w:rsidR="00C03254">
        <w:t>D</w:t>
      </w:r>
      <w:r>
        <w:t xml:space="preserve">erechos </w:t>
      </w:r>
      <w:r w:rsidR="00C03254">
        <w:t>H</w:t>
      </w:r>
      <w:r>
        <w:t xml:space="preserve">umanos sistemáticamente ha expresado preocupación por las leyes </w:t>
      </w:r>
      <w:r w:rsidR="00C03254">
        <w:t xml:space="preserve">restrictivas </w:t>
      </w:r>
      <w:r>
        <w:t>de aborto,</w:t>
      </w:r>
      <w:r>
        <w:rPr>
          <w:rStyle w:val="EndnoteReference"/>
          <w:rFonts w:cs="Times New Roman"/>
        </w:rPr>
        <w:endnoteReference w:id="38"/>
      </w:r>
      <w:r>
        <w:t xml:space="preserve"> observando en numerosas ocasiones que las leyes restrictivas obligan a las mujeres a buscar abortos inseguros </w:t>
      </w:r>
      <w:r w:rsidR="00C03254">
        <w:t>y/</w:t>
      </w:r>
      <w:r>
        <w:t>o clandestinos que ponen en peligro la vida y la salud de las mujeres</w:t>
      </w:r>
      <w:r>
        <w:rPr>
          <w:rStyle w:val="EndnoteReference"/>
          <w:rFonts w:cs="Times New Roman"/>
        </w:rPr>
        <w:endnoteReference w:id="39"/>
      </w:r>
      <w:r w:rsidR="0061613E">
        <w:t xml:space="preserve"> </w:t>
      </w:r>
      <w:r w:rsidR="00C03254">
        <w:t>u</w:t>
      </w:r>
      <w:r>
        <w:t xml:space="preserve"> obligan a las mujeres a viajar para obtener un aborto seguro.</w:t>
      </w:r>
      <w:r>
        <w:rPr>
          <w:rStyle w:val="EndnoteReference"/>
          <w:rFonts w:cs="Times New Roman"/>
        </w:rPr>
        <w:endnoteReference w:id="40"/>
      </w:r>
      <w:r>
        <w:t xml:space="preserve"> El Comité ha </w:t>
      </w:r>
      <w:r w:rsidR="00C03254">
        <w:t>mostrado particular</w:t>
      </w:r>
      <w:r>
        <w:t xml:space="preserve"> preocupación sobre el uso de las leyes penales y las sanciones para restringir el acceso.</w:t>
      </w:r>
      <w:r>
        <w:rPr>
          <w:rStyle w:val="EndnoteReference"/>
          <w:rFonts w:cs="Times New Roman"/>
        </w:rPr>
        <w:endnoteReference w:id="41"/>
      </w:r>
      <w:r>
        <w:t xml:space="preserve"> En algunos casos, el Comité ha expresado preocupación sobre existentes o pendientes leyes que no despenaliza</w:t>
      </w:r>
      <w:r w:rsidR="00C03254">
        <w:t>n</w:t>
      </w:r>
      <w:r>
        <w:t xml:space="preserve"> el aborto en casos de riesgo para la vida o salud de la mujer embarazada</w:t>
      </w:r>
      <w:r w:rsidR="00D659B5">
        <w:t>,</w:t>
      </w:r>
      <w:r>
        <w:rPr>
          <w:rStyle w:val="EndnoteReference"/>
          <w:rFonts w:cs="Times New Roman"/>
        </w:rPr>
        <w:endnoteReference w:id="42"/>
      </w:r>
      <w:r w:rsidR="0061613E">
        <w:t xml:space="preserve"> </w:t>
      </w:r>
      <w:r>
        <w:t>incesto</w:t>
      </w:r>
      <w:r>
        <w:rPr>
          <w:rStyle w:val="EndnoteReference"/>
          <w:rFonts w:cs="Times New Roman"/>
        </w:rPr>
        <w:endnoteReference w:id="43"/>
      </w:r>
      <w:r>
        <w:t xml:space="preserve"> o violación.</w:t>
      </w:r>
      <w:r>
        <w:rPr>
          <w:rStyle w:val="EndnoteReference"/>
          <w:rFonts w:cs="Times New Roman"/>
        </w:rPr>
        <w:endnoteReference w:id="44"/>
      </w:r>
      <w:r>
        <w:t xml:space="preserve"> En al menos dos ocasiones, el Comité ha expresado preocupaci</w:t>
      </w:r>
      <w:r w:rsidR="00C03254">
        <w:t>ón</w:t>
      </w:r>
      <w:r>
        <w:t xml:space="preserve"> sobre la falta de claridad legal o procesal sobre cu</w:t>
      </w:r>
      <w:r w:rsidR="00C03254">
        <w:t>á</w:t>
      </w:r>
      <w:r>
        <w:t xml:space="preserve">ndo </w:t>
      </w:r>
      <w:r w:rsidR="00C03254">
        <w:t xml:space="preserve">el </w:t>
      </w:r>
      <w:r>
        <w:t>aborto estaba legalmente permitido,</w:t>
      </w:r>
      <w:r>
        <w:rPr>
          <w:rStyle w:val="EndnoteReference"/>
          <w:rFonts w:cs="Times New Roman"/>
        </w:rPr>
        <w:endnoteReference w:id="45"/>
      </w:r>
      <w:r>
        <w:t xml:space="preserve"> que puede conducir a la aplicación inconsistente de la ley.</w:t>
      </w:r>
      <w:r>
        <w:rPr>
          <w:rStyle w:val="EndnoteReference"/>
          <w:rFonts w:cs="Times New Roman"/>
        </w:rPr>
        <w:endnoteReference w:id="46"/>
      </w:r>
      <w:r>
        <w:t xml:space="preserve"> El Comité expresó su preocupación por la acción de un </w:t>
      </w:r>
      <w:r w:rsidR="00C03254">
        <w:t>E</w:t>
      </w:r>
      <w:r>
        <w:t xml:space="preserve">stado </w:t>
      </w:r>
      <w:r w:rsidR="00342328">
        <w:t>de</w:t>
      </w:r>
      <w:r w:rsidR="00C03254">
        <w:t xml:space="preserve"> </w:t>
      </w:r>
      <w:r>
        <w:t xml:space="preserve">eliminar la excepción a una prohibición general del aborto con fines terapéuticos, teniendo en cuenta que el cambio en la ley se ha relacionado directamente con varias muertes de mujeres embarazadas </w:t>
      </w:r>
      <w:r w:rsidR="00C03254">
        <w:t xml:space="preserve">a </w:t>
      </w:r>
      <w:r>
        <w:t>qu</w:t>
      </w:r>
      <w:r w:rsidR="00C03254">
        <w:t xml:space="preserve">ienes se les </w:t>
      </w:r>
      <w:r>
        <w:t xml:space="preserve"> neg</w:t>
      </w:r>
      <w:r w:rsidR="00C03254">
        <w:t>ó</w:t>
      </w:r>
      <w:r>
        <w:t xml:space="preserve"> </w:t>
      </w:r>
      <w:r w:rsidR="00C03254">
        <w:t xml:space="preserve">intervenciones médicas </w:t>
      </w:r>
      <w:r>
        <w:t>oportuna</w:t>
      </w:r>
      <w:r w:rsidR="00C03254">
        <w:t>s</w:t>
      </w:r>
      <w:r>
        <w:t xml:space="preserve"> y </w:t>
      </w:r>
      <w:r w:rsidR="00C03254">
        <w:t xml:space="preserve">para </w:t>
      </w:r>
      <w:r>
        <w:t>salvar vidas.</w:t>
      </w:r>
      <w:r>
        <w:rPr>
          <w:rStyle w:val="EndnoteReference"/>
          <w:rFonts w:cs="Times New Roman"/>
        </w:rPr>
        <w:endnoteReference w:id="47"/>
      </w:r>
      <w:r>
        <w:t xml:space="preserve"> El Comité destacó en algún otro cas</w:t>
      </w:r>
      <w:r w:rsidRPr="00982B2F">
        <w:t xml:space="preserve">o que la criminalización del aborto </w:t>
      </w:r>
      <w:r w:rsidR="0061613E" w:rsidRPr="00982B2F">
        <w:t>donde el</w:t>
      </w:r>
      <w:r w:rsidR="00C03254" w:rsidRPr="00982B2F">
        <w:t xml:space="preserve"> </w:t>
      </w:r>
      <w:r w:rsidRPr="00982B2F">
        <w:t xml:space="preserve">embarazo fue el resultado de violación o incesto o en situaciones de </w:t>
      </w:r>
      <w:r w:rsidR="00342328" w:rsidRPr="00982B2F">
        <w:t xml:space="preserve">anomalía </w:t>
      </w:r>
      <w:r w:rsidRPr="00982B2F">
        <w:t xml:space="preserve">fetal </w:t>
      </w:r>
      <w:r w:rsidR="00982B2F" w:rsidRPr="00982B2F">
        <w:t>inviable</w:t>
      </w:r>
      <w:r w:rsidR="006F5BEF" w:rsidRPr="00982B2F">
        <w:rPr>
          <w:rStyle w:val="FootnoteReference"/>
        </w:rPr>
        <w:footnoteReference w:id="4"/>
      </w:r>
      <w:r w:rsidRPr="00982B2F">
        <w:t xml:space="preserve"> o </w:t>
      </w:r>
      <w:r w:rsidR="00742491" w:rsidRPr="00982B2F">
        <w:t xml:space="preserve">graves </w:t>
      </w:r>
      <w:r w:rsidRPr="00982B2F">
        <w:t>riesgos de salud para la mujer embarazada</w:t>
      </w:r>
      <w:r w:rsidR="00742491" w:rsidRPr="00982B2F">
        <w:t>,</w:t>
      </w:r>
      <w:r w:rsidRPr="00982B2F">
        <w:t xml:space="preserve"> provoca sufrimiento mental severo</w:t>
      </w:r>
      <w:r>
        <w:t>.</w:t>
      </w:r>
      <w:r>
        <w:rPr>
          <w:rStyle w:val="EndnoteReference"/>
          <w:rFonts w:cs="Times New Roman"/>
        </w:rPr>
        <w:endnoteReference w:id="48"/>
      </w:r>
      <w:r>
        <w:t xml:space="preserve"> En al menos un caso, el Comité observ</w:t>
      </w:r>
      <w:r w:rsidR="00742491">
        <w:t>ó</w:t>
      </w:r>
      <w:r>
        <w:t xml:space="preserve"> con preocupación que las leyes </w:t>
      </w:r>
      <w:r w:rsidR="00742491">
        <w:t xml:space="preserve">restrictivas </w:t>
      </w:r>
      <w:r>
        <w:t xml:space="preserve">de aborto tienen resultados discriminatorios, llevando a tasas más altas de abortos inseguros </w:t>
      </w:r>
      <w:r w:rsidR="00742491">
        <w:t xml:space="preserve">de </w:t>
      </w:r>
      <w:r>
        <w:t>mujeres pobres y rurales.</w:t>
      </w:r>
      <w:r>
        <w:rPr>
          <w:rStyle w:val="EndnoteReference"/>
          <w:rFonts w:cs="Times New Roman"/>
        </w:rPr>
        <w:endnoteReference w:id="49"/>
      </w:r>
    </w:p>
    <w:p w14:paraId="5C5CF08C" w14:textId="77777777" w:rsidR="00AC7FAD" w:rsidRDefault="00CD0EAF" w:rsidP="00491CAE">
      <w:pPr>
        <w:pStyle w:val="NormalIndented"/>
        <w:ind w:left="90"/>
      </w:pPr>
      <w:r>
        <w:t xml:space="preserve">El Comité de </w:t>
      </w:r>
      <w:r w:rsidR="00742491">
        <w:t>D</w:t>
      </w:r>
      <w:r>
        <w:t xml:space="preserve">erechos </w:t>
      </w:r>
      <w:r w:rsidR="00742491">
        <w:t>H</w:t>
      </w:r>
      <w:r>
        <w:t xml:space="preserve">umanos ha puesto de relieve los efectos nocivos de las </w:t>
      </w:r>
      <w:r w:rsidR="00742491">
        <w:t xml:space="preserve">sanciones </w:t>
      </w:r>
      <w:r>
        <w:t>pena</w:t>
      </w:r>
      <w:r w:rsidR="00742491">
        <w:t>le</w:t>
      </w:r>
      <w:r>
        <w:t>s por aborto ilegal,</w:t>
      </w:r>
      <w:r>
        <w:rPr>
          <w:rStyle w:val="EndnoteReference"/>
          <w:rFonts w:cs="Times New Roman"/>
        </w:rPr>
        <w:endnoteReference w:id="50"/>
      </w:r>
      <w:r>
        <w:t xml:space="preserve"> y ha expresado su preocupación en varios casos donde los Estados han llevado a cabo investigaciones criminales y castigado mujeres sospechosas de </w:t>
      </w:r>
      <w:r w:rsidR="00742491">
        <w:t xml:space="preserve">haberse </w:t>
      </w:r>
      <w:r>
        <w:t>sometido a un aborto ilegal,</w:t>
      </w:r>
      <w:r>
        <w:rPr>
          <w:rStyle w:val="EndnoteReference"/>
          <w:rFonts w:cs="Times New Roman"/>
        </w:rPr>
        <w:endnoteReference w:id="51"/>
      </w:r>
      <w:r>
        <w:t xml:space="preserve"> así como la preocupación por el riesgo de la investigación penal </w:t>
      </w:r>
      <w:r w:rsidR="00742491">
        <w:t>y/</w:t>
      </w:r>
      <w:r>
        <w:t xml:space="preserve">o enjuiciamiento de los miembros de la familia, profesionales de la salud, </w:t>
      </w:r>
    </w:p>
    <w:p w14:paraId="49289CB5" w14:textId="03FEADC4" w:rsidR="0049019C" w:rsidRDefault="00CD0EAF" w:rsidP="00491CAE">
      <w:pPr>
        <w:pStyle w:val="NormalIndented"/>
        <w:ind w:left="90"/>
      </w:pPr>
      <w:r>
        <w:lastRenderedPageBreak/>
        <w:t>y defensores</w:t>
      </w:r>
      <w:r w:rsidR="00742491">
        <w:t xml:space="preserve"> y defensoras</w:t>
      </w:r>
      <w:r>
        <w:t xml:space="preserve"> de derechos reproductivos.</w:t>
      </w:r>
      <w:r>
        <w:rPr>
          <w:rStyle w:val="EndnoteReference"/>
          <w:rFonts w:cs="Times New Roman"/>
        </w:rPr>
        <w:endnoteReference w:id="52"/>
      </w:r>
      <w:r>
        <w:t xml:space="preserve"> En al menos un caso, el Comité observa con preocupación el escalofriante efecto que pueden tener las sanciones penales, disuadi</w:t>
      </w:r>
      <w:r w:rsidR="00742491">
        <w:t>endo</w:t>
      </w:r>
      <w:r>
        <w:t xml:space="preserve"> a profesionales médicos de proporcionar abortos </w:t>
      </w:r>
      <w:r w:rsidR="00742491">
        <w:t xml:space="preserve">aún </w:t>
      </w:r>
      <w:r>
        <w:t>donde lo permita la ley.</w:t>
      </w:r>
      <w:r>
        <w:rPr>
          <w:rStyle w:val="EndnoteReference"/>
          <w:rFonts w:cs="Times New Roman"/>
        </w:rPr>
        <w:endnoteReference w:id="53"/>
      </w:r>
      <w:r>
        <w:t xml:space="preserve"> El Comité ha pedido al menos </w:t>
      </w:r>
      <w:r w:rsidR="00742491">
        <w:t xml:space="preserve">a </w:t>
      </w:r>
      <w:r>
        <w:t xml:space="preserve">dos Estados tomar medidas para proteger la información médica confidencial y evitar que las mujeres que fueron tratadas en hospitales públicos </w:t>
      </w:r>
      <w:r w:rsidR="00742491">
        <w:t>sean denunciadas</w:t>
      </w:r>
      <w:r>
        <w:t xml:space="preserve"> por personal médico o administrativo por el delito de aborto.</w:t>
      </w:r>
      <w:r>
        <w:rPr>
          <w:rStyle w:val="EndnoteReference"/>
          <w:rFonts w:cs="Times New Roman"/>
        </w:rPr>
        <w:endnoteReference w:id="54"/>
      </w:r>
      <w:r>
        <w:t xml:space="preserve"> El Comité ha pedido a varios Estados que se abstengan de procesar a las mujeres que han tenido abortos.</w:t>
      </w:r>
      <w:r>
        <w:rPr>
          <w:rStyle w:val="EndnoteReference"/>
          <w:rFonts w:cs="Times New Roman"/>
        </w:rPr>
        <w:endnoteReference w:id="55"/>
      </w:r>
      <w:r>
        <w:t xml:space="preserve"> En al menos un caso, el Comité pidió a</w:t>
      </w:r>
      <w:r w:rsidR="00742491">
        <w:t>l E</w:t>
      </w:r>
      <w:r>
        <w:t>stado libera</w:t>
      </w:r>
      <w:r w:rsidR="00742491">
        <w:t>r</w:t>
      </w:r>
      <w:r>
        <w:t xml:space="preserve"> </w:t>
      </w:r>
      <w:r w:rsidR="00742491">
        <w:t>a cualquier</w:t>
      </w:r>
      <w:r>
        <w:t xml:space="preserve"> mujer actualmente cumpliendo condenas por asesinato o infanticidio como consecuencia de haber</w:t>
      </w:r>
      <w:r w:rsidR="00742491">
        <w:t xml:space="preserve">se sometido a </w:t>
      </w:r>
      <w:r>
        <w:t>un aborto.</w:t>
      </w:r>
      <w:r>
        <w:rPr>
          <w:rStyle w:val="EndnoteReference"/>
          <w:rFonts w:cs="Times New Roman"/>
        </w:rPr>
        <w:endnoteReference w:id="56"/>
      </w:r>
      <w:r>
        <w:t xml:space="preserve"> El Comité también ha pedido al menos </w:t>
      </w:r>
      <w:r w:rsidR="00742491">
        <w:t xml:space="preserve">a </w:t>
      </w:r>
      <w:r>
        <w:t xml:space="preserve">un </w:t>
      </w:r>
      <w:r w:rsidR="00742491">
        <w:t>E</w:t>
      </w:r>
      <w:r>
        <w:t xml:space="preserve">stado evitar penalizar a profesionales médicos en el desempeño de sus </w:t>
      </w:r>
      <w:r w:rsidR="004A169B">
        <w:t xml:space="preserve">obligaciones </w:t>
      </w:r>
      <w:r>
        <w:t>profesionales.</w:t>
      </w:r>
      <w:r>
        <w:rPr>
          <w:rStyle w:val="EndnoteReference"/>
          <w:rFonts w:cs="Times New Roman"/>
        </w:rPr>
        <w:endnoteReference w:id="57"/>
      </w:r>
      <w:r w:rsidRPr="004B2C96">
        <w:rPr>
          <w:i/>
        </w:rPr>
        <w:t xml:space="preserve"> </w:t>
      </w:r>
    </w:p>
    <w:p w14:paraId="023EF0AE" w14:textId="15AAAFA8" w:rsidR="0049019C" w:rsidRDefault="00CD0EAF" w:rsidP="00491CAE">
      <w:pPr>
        <w:pStyle w:val="NormalIndented"/>
        <w:ind w:left="90"/>
      </w:pPr>
      <w:r>
        <w:t xml:space="preserve">Regularmente, el Comité de </w:t>
      </w:r>
      <w:r w:rsidR="004A169B">
        <w:t>D</w:t>
      </w:r>
      <w:r>
        <w:t xml:space="preserve">erechos </w:t>
      </w:r>
      <w:r w:rsidR="004A169B">
        <w:t>H</w:t>
      </w:r>
      <w:r>
        <w:t>umanos recomienda que los Estados modifi</w:t>
      </w:r>
      <w:r w:rsidR="004A169B">
        <w:t>quen</w:t>
      </w:r>
      <w:r>
        <w:t xml:space="preserve"> sus leyes sobre el aborto para permitir explícitamente el aborto legal en ciertas circunstancias para cumplir con el P</w:t>
      </w:r>
      <w:r w:rsidR="004A169B">
        <w:t>IDCP</w:t>
      </w:r>
      <w:r>
        <w:t>,</w:t>
      </w:r>
      <w:r>
        <w:rPr>
          <w:rStyle w:val="EndnoteReference"/>
          <w:rFonts w:cs="Times New Roman"/>
        </w:rPr>
        <w:endnoteReference w:id="58"/>
      </w:r>
      <w:r>
        <w:t xml:space="preserve">  </w:t>
      </w:r>
      <w:r w:rsidRPr="00982B2F">
        <w:t>incluyendo, como mínimo, por razones de "terapéutic</w:t>
      </w:r>
      <w:r w:rsidR="004A169B" w:rsidRPr="00982B2F">
        <w:t>a</w:t>
      </w:r>
      <w:r w:rsidRPr="00982B2F">
        <w:t>s",</w:t>
      </w:r>
      <w:r w:rsidRPr="00982B2F">
        <w:rPr>
          <w:rStyle w:val="EndnoteReference"/>
          <w:rFonts w:cs="Times New Roman"/>
        </w:rPr>
        <w:endnoteReference w:id="59"/>
      </w:r>
      <w:r w:rsidRPr="00982B2F">
        <w:t xml:space="preserve"> en situaciones donde existe un riesgo para la vida o la salud de la mujer embarazada,</w:t>
      </w:r>
      <w:r w:rsidRPr="00982B2F">
        <w:rPr>
          <w:rStyle w:val="EndnoteReference"/>
          <w:rFonts w:cs="Times New Roman"/>
        </w:rPr>
        <w:endnoteReference w:id="60"/>
      </w:r>
      <w:r w:rsidRPr="00982B2F">
        <w:t xml:space="preserve">  en los casos de embarazo resultante de violación o incesto,</w:t>
      </w:r>
      <w:r w:rsidRPr="00982B2F">
        <w:rPr>
          <w:rStyle w:val="EndnoteReference"/>
          <w:rFonts w:cs="Times New Roman"/>
        </w:rPr>
        <w:endnoteReference w:id="61"/>
      </w:r>
      <w:r w:rsidR="0061613E" w:rsidRPr="00982B2F">
        <w:t xml:space="preserve"> </w:t>
      </w:r>
      <w:r w:rsidRPr="00982B2F">
        <w:t xml:space="preserve">y en casos de anomalías fetales </w:t>
      </w:r>
      <w:r w:rsidR="00982B2F" w:rsidRPr="00982B2F">
        <w:t>inviable</w:t>
      </w:r>
      <w:r w:rsidRPr="00982B2F">
        <w:t>s.</w:t>
      </w:r>
      <w:r w:rsidRPr="00982B2F">
        <w:rPr>
          <w:rStyle w:val="EndnoteReference"/>
          <w:rFonts w:cs="Times New Roman"/>
        </w:rPr>
        <w:endnoteReference w:id="62"/>
      </w:r>
      <w:r w:rsidRPr="00982B2F">
        <w:t xml:space="preserve"> El Comité ha pedido al menos </w:t>
      </w:r>
      <w:r w:rsidR="004A169B" w:rsidRPr="00982B2F">
        <w:t xml:space="preserve">a </w:t>
      </w:r>
      <w:r w:rsidRPr="00982B2F">
        <w:t xml:space="preserve">un </w:t>
      </w:r>
      <w:r w:rsidR="004A169B" w:rsidRPr="00982B2F">
        <w:t>E</w:t>
      </w:r>
      <w:r w:rsidRPr="00982B2F">
        <w:t>stado derogar disposiciones legales que penalizan el aborto en general</w:t>
      </w:r>
      <w:r>
        <w:t>.</w:t>
      </w:r>
      <w:r>
        <w:rPr>
          <w:rStyle w:val="EndnoteReference"/>
          <w:rFonts w:cs="Times New Roman"/>
        </w:rPr>
        <w:endnoteReference w:id="63"/>
      </w:r>
      <w:r>
        <w:t xml:space="preserve"> En al menos un caso, </w:t>
      </w:r>
      <w:r w:rsidR="004A169B">
        <w:t>el Comité</w:t>
      </w:r>
      <w:r w:rsidR="004A169B" w:rsidDel="004A169B">
        <w:t xml:space="preserve"> </w:t>
      </w:r>
      <w:r>
        <w:t xml:space="preserve">ha </w:t>
      </w:r>
      <w:r w:rsidR="004A169B">
        <w:t xml:space="preserve">saludado </w:t>
      </w:r>
      <w:r>
        <w:t xml:space="preserve">novedades legislativas de liberalización de la ley de aborto de un </w:t>
      </w:r>
      <w:r w:rsidR="004A169B">
        <w:t>E</w:t>
      </w:r>
      <w:r>
        <w:t>stado.</w:t>
      </w:r>
      <w:r>
        <w:rPr>
          <w:rStyle w:val="EndnoteReference"/>
          <w:rFonts w:cs="Times New Roman"/>
        </w:rPr>
        <w:endnoteReference w:id="64"/>
      </w:r>
      <w:r>
        <w:t xml:space="preserve"> </w:t>
      </w:r>
    </w:p>
    <w:p w14:paraId="55B00D68" w14:textId="5911C548" w:rsidR="0049019C" w:rsidRDefault="00CD0EAF">
      <w:pPr>
        <w:pStyle w:val="Heading4"/>
      </w:pPr>
      <w:r>
        <w:t xml:space="preserve">Barreras </w:t>
      </w:r>
      <w:r w:rsidR="004A169B">
        <w:t>P</w:t>
      </w:r>
      <w:r>
        <w:t xml:space="preserve">rácticas y </w:t>
      </w:r>
      <w:r w:rsidR="004A169B">
        <w:t>P</w:t>
      </w:r>
      <w:r>
        <w:t>rocedim</w:t>
      </w:r>
      <w:r w:rsidR="004A169B">
        <w:t>entales</w:t>
      </w:r>
      <w:r>
        <w:t xml:space="preserve"> para el </w:t>
      </w:r>
      <w:r w:rsidR="004A169B">
        <w:t>A</w:t>
      </w:r>
      <w:r>
        <w:t xml:space="preserve">borto </w:t>
      </w:r>
    </w:p>
    <w:p w14:paraId="79AA3B1A" w14:textId="60E174E0" w:rsidR="0049019C" w:rsidRDefault="00CD0EAF">
      <w:pPr>
        <w:pStyle w:val="NormalIndented"/>
      </w:pPr>
      <w:r>
        <w:t xml:space="preserve">El Comité de </w:t>
      </w:r>
      <w:r w:rsidR="004A169B">
        <w:t>D</w:t>
      </w:r>
      <w:r>
        <w:t xml:space="preserve">erechos </w:t>
      </w:r>
      <w:r w:rsidR="004A169B">
        <w:t>H</w:t>
      </w:r>
      <w:r>
        <w:t>umanos también ha expresado preocupación por las barreras procediment</w:t>
      </w:r>
      <w:r w:rsidR="004A169B">
        <w:t>ale</w:t>
      </w:r>
      <w:r>
        <w:t>s y práctica</w:t>
      </w:r>
      <w:r w:rsidR="004A169B">
        <w:t>s</w:t>
      </w:r>
      <w:r>
        <w:t xml:space="preserve"> </w:t>
      </w:r>
      <w:r w:rsidR="004A169B">
        <w:t>p</w:t>
      </w:r>
      <w:r>
        <w:t>a</w:t>
      </w:r>
      <w:r w:rsidR="004A169B">
        <w:t>ra</w:t>
      </w:r>
      <w:r>
        <w:t xml:space="preserve"> la obtención de un aborto cuando lo permita la legislación.</w:t>
      </w:r>
      <w:r>
        <w:rPr>
          <w:rStyle w:val="EndnoteReference"/>
          <w:rFonts w:cs="Times New Roman"/>
        </w:rPr>
        <w:endnoteReference w:id="65"/>
      </w:r>
      <w:r>
        <w:t xml:space="preserve"> En particular, el Comité ha expresado preocupación acerca de las leyes que requieren autorización judicial,</w:t>
      </w:r>
      <w:r>
        <w:rPr>
          <w:rStyle w:val="EndnoteReference"/>
          <w:rFonts w:cs="Times New Roman"/>
        </w:rPr>
        <w:endnoteReference w:id="66"/>
      </w:r>
      <w:r>
        <w:t xml:space="preserve"> las leyes de autorización médica que imponen cargas onerosas o causan retrasos indebidos,</w:t>
      </w:r>
      <w:r>
        <w:rPr>
          <w:rStyle w:val="EndnoteReference"/>
          <w:rFonts w:cs="Times New Roman"/>
        </w:rPr>
        <w:endnoteReference w:id="67"/>
      </w:r>
      <w:r>
        <w:t xml:space="preserve">  y negativas de profesionales </w:t>
      </w:r>
      <w:r w:rsidR="0090639B">
        <w:t xml:space="preserve">de la </w:t>
      </w:r>
      <w:r>
        <w:t>sa</w:t>
      </w:r>
      <w:r w:rsidR="0090639B">
        <w:t>lud</w:t>
      </w:r>
      <w:r>
        <w:t xml:space="preserve"> para llevar a cabo abortos</w:t>
      </w:r>
      <w:r w:rsidR="0090639B">
        <w:t xml:space="preserve"> legales</w:t>
      </w:r>
      <w:r>
        <w:t>.</w:t>
      </w:r>
      <w:r>
        <w:rPr>
          <w:rStyle w:val="EndnoteReference"/>
          <w:rFonts w:cs="Times New Roman"/>
        </w:rPr>
        <w:endnoteReference w:id="68"/>
      </w:r>
      <w:r>
        <w:t xml:space="preserve"> En al menos un caso, </w:t>
      </w:r>
      <w:r w:rsidR="0090639B">
        <w:t>el Comité</w:t>
      </w:r>
      <w:r>
        <w:t xml:space="preserve"> también ha expresado preocupación por la falta de un protocolo nacional para regularizar el acceso a abortos legales.</w:t>
      </w:r>
      <w:r>
        <w:rPr>
          <w:rStyle w:val="EndnoteReference"/>
          <w:rFonts w:cs="Times New Roman"/>
        </w:rPr>
        <w:endnoteReference w:id="69"/>
      </w:r>
      <w:r w:rsidRPr="004B2C96">
        <w:rPr>
          <w:i/>
        </w:rPr>
        <w:t xml:space="preserve"> </w:t>
      </w:r>
      <w:r>
        <w:t xml:space="preserve">Además, el Comité expresó preocupación con al menos un </w:t>
      </w:r>
      <w:r w:rsidR="0090639B">
        <w:t>E</w:t>
      </w:r>
      <w:r>
        <w:t xml:space="preserve">stado sobre un requisito legal que </w:t>
      </w:r>
      <w:r w:rsidR="0090639B">
        <w:t xml:space="preserve">demanda que el aborto para las víctimas de violación </w:t>
      </w:r>
      <w:r>
        <w:t>debe realizarse dentro de los dos primeros meses del embarazo.</w:t>
      </w:r>
      <w:r>
        <w:rPr>
          <w:rStyle w:val="EndnoteReference"/>
          <w:rFonts w:cs="Times New Roman"/>
        </w:rPr>
        <w:endnoteReference w:id="70"/>
      </w:r>
      <w:r w:rsidRPr="004B2C96">
        <w:rPr>
          <w:i/>
        </w:rPr>
        <w:t xml:space="preserve"> </w:t>
      </w:r>
    </w:p>
    <w:p w14:paraId="268AABF2" w14:textId="3D9C9F6A" w:rsidR="0049019C" w:rsidRDefault="00CD0EAF">
      <w:pPr>
        <w:pStyle w:val="NormalIndented"/>
      </w:pPr>
      <w:r>
        <w:t xml:space="preserve">El Comité de </w:t>
      </w:r>
      <w:r w:rsidR="0090639B">
        <w:t>D</w:t>
      </w:r>
      <w:r>
        <w:t xml:space="preserve">erechos </w:t>
      </w:r>
      <w:r w:rsidR="0090639B">
        <w:t>H</w:t>
      </w:r>
      <w:r>
        <w:t xml:space="preserve">umanos ha </w:t>
      </w:r>
      <w:r w:rsidR="00920DEC">
        <w:t>insta</w:t>
      </w:r>
      <w:r>
        <w:t xml:space="preserve">do </w:t>
      </w:r>
      <w:r w:rsidR="00920DEC">
        <w:t xml:space="preserve">a </w:t>
      </w:r>
      <w:r>
        <w:t xml:space="preserve">al menos un </w:t>
      </w:r>
      <w:r w:rsidR="00920DEC">
        <w:t>E</w:t>
      </w:r>
      <w:r>
        <w:t xml:space="preserve">stado </w:t>
      </w:r>
      <w:r w:rsidR="00920DEC">
        <w:t xml:space="preserve">a </w:t>
      </w:r>
      <w:r>
        <w:t>eliminar todos los obstáculos para obtener un aborto legal.</w:t>
      </w:r>
      <w:r>
        <w:rPr>
          <w:rStyle w:val="EndnoteReference"/>
          <w:rFonts w:cs="Times New Roman"/>
        </w:rPr>
        <w:endnoteReference w:id="71"/>
      </w:r>
      <w:r>
        <w:t xml:space="preserve"> En al menos un caso, el Comité ha pedido a un </w:t>
      </w:r>
      <w:r w:rsidR="00920DEC">
        <w:t>E</w:t>
      </w:r>
      <w:r>
        <w:t>stado levantar la exigencia de autorización judicial con el fin de garantizar efectivamente el acceso a abortos seguros y legales.</w:t>
      </w:r>
      <w:r>
        <w:rPr>
          <w:rStyle w:val="EndnoteReference"/>
          <w:rFonts w:cs="Times New Roman"/>
        </w:rPr>
        <w:endnoteReference w:id="72"/>
      </w:r>
      <w:r w:rsidR="0061613E">
        <w:t xml:space="preserve"> </w:t>
      </w:r>
      <w:r>
        <w:t xml:space="preserve">En varias recomendaciones, </w:t>
      </w:r>
      <w:r w:rsidR="00920DEC">
        <w:t xml:space="preserve">el Comité </w:t>
      </w:r>
      <w:r>
        <w:t>también ha llamado a la adopción de la guía de procedimientos o protocolos nacionales para aclarar las leyes</w:t>
      </w:r>
      <w:r w:rsidR="00920DEC">
        <w:t xml:space="preserve"> sobre</w:t>
      </w:r>
      <w:r>
        <w:t xml:space="preserve"> acceso </w:t>
      </w:r>
      <w:r w:rsidR="00920DEC">
        <w:t>al</w:t>
      </w:r>
      <w:r>
        <w:t xml:space="preserve"> aborto, incluyendo las circunstancias bajo las cuales se permite legalmente aborto</w:t>
      </w:r>
      <w:r>
        <w:rPr>
          <w:rStyle w:val="EndnoteReference"/>
          <w:rFonts w:cs="Times New Roman"/>
        </w:rPr>
        <w:endnoteReference w:id="73"/>
      </w:r>
      <w:r>
        <w:t xml:space="preserve"> y mejor regulación </w:t>
      </w:r>
      <w:r w:rsidR="00920DEC">
        <w:t xml:space="preserve">de la </w:t>
      </w:r>
      <w:r>
        <w:t>negativa de profesionales médicos a realizar abortos legales.</w:t>
      </w:r>
      <w:r>
        <w:rPr>
          <w:rStyle w:val="EndnoteReference"/>
          <w:rFonts w:cs="Times New Roman"/>
        </w:rPr>
        <w:endnoteReference w:id="74"/>
      </w:r>
      <w:r>
        <w:t xml:space="preserve"> El Comité ha pedido </w:t>
      </w:r>
      <w:r w:rsidR="00442108">
        <w:t>a</w:t>
      </w:r>
      <w:r>
        <w:t xml:space="preserve">l menos </w:t>
      </w:r>
      <w:r w:rsidR="00442108">
        <w:t xml:space="preserve">a </w:t>
      </w:r>
      <w:r>
        <w:t xml:space="preserve">un </w:t>
      </w:r>
      <w:r w:rsidR="00442108">
        <w:t>E</w:t>
      </w:r>
      <w:r>
        <w:t xml:space="preserve">stado reducir el plazo de respuesta de una </w:t>
      </w:r>
      <w:r w:rsidR="00442108">
        <w:t>c</w:t>
      </w:r>
      <w:r>
        <w:t xml:space="preserve">omisión médica </w:t>
      </w:r>
      <w:r w:rsidR="00442108">
        <w:t>p</w:t>
      </w:r>
      <w:r>
        <w:t>a</w:t>
      </w:r>
      <w:r w:rsidR="00442108">
        <w:t>ra</w:t>
      </w:r>
      <w:r>
        <w:t xml:space="preserve"> </w:t>
      </w:r>
      <w:r w:rsidR="00442108">
        <w:t>tomar</w:t>
      </w:r>
      <w:r>
        <w:t xml:space="preserve"> decisiones en casos </w:t>
      </w:r>
      <w:r w:rsidR="00442108">
        <w:t>de</w:t>
      </w:r>
      <w:r>
        <w:t xml:space="preserve"> aborto, para evitar excesivas demoras.</w:t>
      </w:r>
      <w:r>
        <w:rPr>
          <w:rStyle w:val="EndnoteReference"/>
          <w:rFonts w:cs="Times New Roman"/>
        </w:rPr>
        <w:endnoteReference w:id="75"/>
      </w:r>
    </w:p>
    <w:p w14:paraId="7AF86E7B" w14:textId="56E76334" w:rsidR="0049019C" w:rsidRDefault="00CD0EAF">
      <w:pPr>
        <w:pStyle w:val="Heading4"/>
      </w:pPr>
      <w:r>
        <w:t xml:space="preserve">Atención </w:t>
      </w:r>
      <w:r w:rsidR="00442108">
        <w:t>P</w:t>
      </w:r>
      <w:r>
        <w:t xml:space="preserve">osterior al </w:t>
      </w:r>
      <w:r w:rsidR="00442108">
        <w:t>A</w:t>
      </w:r>
      <w:r>
        <w:t>borto</w:t>
      </w:r>
    </w:p>
    <w:p w14:paraId="52DB804B" w14:textId="71EB04A5" w:rsidR="0049019C" w:rsidRDefault="00CD0EAF">
      <w:pPr>
        <w:pStyle w:val="NormalIndented"/>
      </w:pPr>
      <w:r>
        <w:t xml:space="preserve">En al menos un caso, </w:t>
      </w:r>
      <w:r w:rsidR="00442108">
        <w:t xml:space="preserve">el </w:t>
      </w:r>
      <w:r>
        <w:t xml:space="preserve">Comité de </w:t>
      </w:r>
      <w:r w:rsidR="00442108">
        <w:t>D</w:t>
      </w:r>
      <w:r>
        <w:t xml:space="preserve">erechos </w:t>
      </w:r>
      <w:r w:rsidR="00442108">
        <w:t>H</w:t>
      </w:r>
      <w:r>
        <w:t xml:space="preserve">umanos ha observado que una obligación legal impuesta a los trabajadores de </w:t>
      </w:r>
      <w:r w:rsidR="00442108">
        <w:t xml:space="preserve">la </w:t>
      </w:r>
      <w:r>
        <w:t xml:space="preserve">salud </w:t>
      </w:r>
      <w:r w:rsidR="00442108">
        <w:t xml:space="preserve">para </w:t>
      </w:r>
      <w:r>
        <w:t>report</w:t>
      </w:r>
      <w:r w:rsidR="00442108">
        <w:t>ar</w:t>
      </w:r>
      <w:r>
        <w:t xml:space="preserve"> los casos donde las mujeres </w:t>
      </w:r>
      <w:r w:rsidR="00442108">
        <w:t xml:space="preserve">se </w:t>
      </w:r>
      <w:r>
        <w:t xml:space="preserve">han </w:t>
      </w:r>
      <w:r w:rsidR="00442108">
        <w:t xml:space="preserve">sometido a </w:t>
      </w:r>
      <w:r>
        <w:t xml:space="preserve">abortos puede disuadir a las mujeres de tratar de </w:t>
      </w:r>
      <w:r w:rsidR="00442108">
        <w:t xml:space="preserve">buscar </w:t>
      </w:r>
      <w:r>
        <w:t>la atención post-aborto</w:t>
      </w:r>
      <w:r w:rsidR="00442108">
        <w:t xml:space="preserve"> que puede salvarle la vida</w:t>
      </w:r>
      <w:r>
        <w:t>.</w:t>
      </w:r>
      <w:r>
        <w:rPr>
          <w:rStyle w:val="EndnoteReference"/>
          <w:rFonts w:cs="Times New Roman"/>
        </w:rPr>
        <w:endnoteReference w:id="76"/>
      </w:r>
      <w:r>
        <w:t xml:space="preserve"> El Comité ha expresado preocupación de que por lo menos un Estado no ha podido proporcionar atención post-aborto a las mujeres en prisión que han experimentado abortos y llamó al </w:t>
      </w:r>
      <w:r w:rsidR="00442108">
        <w:t>E</w:t>
      </w:r>
      <w:r>
        <w:t>stado a proporcionar atención de salud adecuada a las mujeres en centros penitenciarios que han sido sometid</w:t>
      </w:r>
      <w:r w:rsidR="00442108">
        <w:t>a</w:t>
      </w:r>
      <w:r>
        <w:t>s a abortos.</w:t>
      </w:r>
      <w:r>
        <w:rPr>
          <w:rStyle w:val="EndnoteReference"/>
          <w:rFonts w:cs="Times New Roman"/>
        </w:rPr>
        <w:endnoteReference w:id="77"/>
      </w:r>
      <w:r>
        <w:rPr>
          <w:rFonts w:cs="Times New Roman"/>
        </w:rPr>
        <w:t xml:space="preserve"> </w:t>
      </w:r>
    </w:p>
    <w:p w14:paraId="6C0F768A" w14:textId="5083A22B" w:rsidR="0049019C" w:rsidRDefault="00CD0EAF">
      <w:pPr>
        <w:pStyle w:val="Heading4"/>
      </w:pPr>
      <w:r>
        <w:t xml:space="preserve">Acceso a la </w:t>
      </w:r>
      <w:r w:rsidR="00442108">
        <w:t>I</w:t>
      </w:r>
      <w:r>
        <w:t xml:space="preserve">nformación sobre el </w:t>
      </w:r>
      <w:r w:rsidR="00442108">
        <w:t>A</w:t>
      </w:r>
      <w:r>
        <w:t>borto</w:t>
      </w:r>
    </w:p>
    <w:p w14:paraId="7E45EB92" w14:textId="4B9A689B" w:rsidR="0049019C" w:rsidRDefault="00CD0EAF">
      <w:pPr>
        <w:pStyle w:val="NormalIndented"/>
      </w:pPr>
      <w:r>
        <w:t xml:space="preserve">El Comité de </w:t>
      </w:r>
      <w:r w:rsidR="00442108">
        <w:t>D</w:t>
      </w:r>
      <w:r>
        <w:t xml:space="preserve">erechos </w:t>
      </w:r>
      <w:r w:rsidR="00442108">
        <w:t>H</w:t>
      </w:r>
      <w:r>
        <w:t xml:space="preserve">umanos ha expresado </w:t>
      </w:r>
      <w:r w:rsidR="00442108">
        <w:t xml:space="preserve">ocasionalmente </w:t>
      </w:r>
      <w:r>
        <w:t xml:space="preserve">preocupación por la falta de acceso a la información sobre aborto legal, incluyendo </w:t>
      </w:r>
      <w:r w:rsidR="00442108">
        <w:t>en un caso</w:t>
      </w:r>
      <w:r>
        <w:t xml:space="preserve"> la falta de información pública sobre acceso al aborto legal</w:t>
      </w:r>
      <w:r>
        <w:rPr>
          <w:rStyle w:val="EndnoteReference"/>
          <w:rFonts w:cs="Times New Roman"/>
        </w:rPr>
        <w:endnoteReference w:id="78"/>
      </w:r>
      <w:r>
        <w:t xml:space="preserve"> y otra instancia donde los </w:t>
      </w:r>
      <w:r w:rsidR="00442108">
        <w:t xml:space="preserve">y las </w:t>
      </w:r>
      <w:r>
        <w:t>profesionales pueden enfrentar sanciones penales por proporcionar información sobre cómo acce</w:t>
      </w:r>
      <w:r w:rsidR="00442108">
        <w:t>der</w:t>
      </w:r>
      <w:r>
        <w:t xml:space="preserve"> a un aborto legal fuera del </w:t>
      </w:r>
      <w:r w:rsidR="00442108">
        <w:t>E</w:t>
      </w:r>
      <w:r>
        <w:t>stado.</w:t>
      </w:r>
      <w:r>
        <w:rPr>
          <w:rStyle w:val="EndnoteReference"/>
          <w:rFonts w:cs="Times New Roman"/>
        </w:rPr>
        <w:endnoteReference w:id="79"/>
      </w:r>
      <w:r>
        <w:t xml:space="preserve"> </w:t>
      </w:r>
    </w:p>
    <w:p w14:paraId="34E688CA" w14:textId="429E0606" w:rsidR="0049019C" w:rsidRDefault="00CD0EAF">
      <w:pPr>
        <w:pStyle w:val="Heading4"/>
      </w:pPr>
      <w:r>
        <w:lastRenderedPageBreak/>
        <w:t xml:space="preserve">Capacitación y </w:t>
      </w:r>
      <w:r w:rsidR="00442108">
        <w:t>O</w:t>
      </w:r>
      <w:r>
        <w:t>rientación</w:t>
      </w:r>
    </w:p>
    <w:p w14:paraId="5544AAB8" w14:textId="21E4A30B" w:rsidR="0049019C" w:rsidRDefault="00CD0EAF">
      <w:pPr>
        <w:pStyle w:val="NormalIndented"/>
      </w:pPr>
      <w:r>
        <w:t xml:space="preserve">En al menos un caso, el Comité de </w:t>
      </w:r>
      <w:r w:rsidR="00442108">
        <w:t>D</w:t>
      </w:r>
      <w:r>
        <w:t xml:space="preserve">erechos </w:t>
      </w:r>
      <w:r w:rsidR="00442108">
        <w:t>H</w:t>
      </w:r>
      <w:r>
        <w:t xml:space="preserve">umanos ha pedido a un </w:t>
      </w:r>
      <w:r w:rsidR="00442108">
        <w:t>E</w:t>
      </w:r>
      <w:r>
        <w:t>stado que adopte medidas para educar a jueces</w:t>
      </w:r>
      <w:r w:rsidR="00442108">
        <w:t>, juezas</w:t>
      </w:r>
      <w:r>
        <w:t xml:space="preserve"> y </w:t>
      </w:r>
      <w:r w:rsidR="00442108">
        <w:t>personal</w:t>
      </w:r>
      <w:r>
        <w:t xml:space="preserve"> de la salud acerca de las leyes de aborto para proporcionar una mayor claridad sobre cu</w:t>
      </w:r>
      <w:r w:rsidR="003B5ED3">
        <w:t>á</w:t>
      </w:r>
      <w:r>
        <w:t>ndo el aborto se permite legalmente.</w:t>
      </w:r>
      <w:r>
        <w:rPr>
          <w:rStyle w:val="EndnoteReference"/>
          <w:rFonts w:cs="Times New Roman"/>
        </w:rPr>
        <w:endnoteReference w:id="80"/>
      </w:r>
      <w:r w:rsidRPr="004B2C96">
        <w:rPr>
          <w:rFonts w:cs="Times New Roman"/>
          <w:i/>
        </w:rPr>
        <w:t xml:space="preserve"> </w:t>
      </w:r>
    </w:p>
    <w:p w14:paraId="6872F3FE" w14:textId="4137FE32" w:rsidR="0049019C" w:rsidRDefault="00CD0EAF">
      <w:pPr>
        <w:pStyle w:val="Heading4"/>
      </w:pPr>
      <w:r>
        <w:t xml:space="preserve">Aborto </w:t>
      </w:r>
      <w:r w:rsidR="003B5ED3">
        <w:t>S</w:t>
      </w:r>
      <w:r>
        <w:t>electivo</w:t>
      </w:r>
    </w:p>
    <w:p w14:paraId="1D0744F9" w14:textId="4FAEF02D" w:rsidR="0049019C" w:rsidRDefault="00CD0EAF">
      <w:pPr>
        <w:pStyle w:val="NormalIndented"/>
      </w:pPr>
      <w:r>
        <w:t xml:space="preserve">El Comité de </w:t>
      </w:r>
      <w:r w:rsidR="003B5ED3">
        <w:t>D</w:t>
      </w:r>
      <w:r>
        <w:t xml:space="preserve">erechos </w:t>
      </w:r>
      <w:r w:rsidR="003B5ED3">
        <w:t>H</w:t>
      </w:r>
      <w:r>
        <w:t xml:space="preserve">umanos ha expresado preocupación al </w:t>
      </w:r>
      <w:r w:rsidR="003B5ED3">
        <w:t>menos en un E</w:t>
      </w:r>
      <w:r>
        <w:t xml:space="preserve">stado por una práctica creciente del aborto sexo-selectivo, que refleja una cultura de la desigualdad de género, y llamó al </w:t>
      </w:r>
      <w:r w:rsidR="003B5ED3">
        <w:t>E</w:t>
      </w:r>
      <w:r>
        <w:t>stado a adoptar legislación para prohibir la selección del sexo.</w:t>
      </w:r>
      <w:r>
        <w:rPr>
          <w:rStyle w:val="EndnoteReference"/>
          <w:rFonts w:cs="Times New Roman"/>
        </w:rPr>
        <w:endnoteReference w:id="81"/>
      </w:r>
      <w:r>
        <w:t xml:space="preserve"> El Comité </w:t>
      </w:r>
      <w:r w:rsidR="003B5ED3">
        <w:t>ade</w:t>
      </w:r>
      <w:r>
        <w:t>más llam</w:t>
      </w:r>
      <w:r w:rsidR="003B5ED3">
        <w:t>ó</w:t>
      </w:r>
      <w:r>
        <w:t xml:space="preserve"> al </w:t>
      </w:r>
      <w:r w:rsidR="003B5ED3">
        <w:t>E</w:t>
      </w:r>
      <w:r>
        <w:t xml:space="preserve">stado a </w:t>
      </w:r>
      <w:r w:rsidR="003B5ED3">
        <w:t>abordar</w:t>
      </w:r>
      <w:r>
        <w:t xml:space="preserve"> las causas de aborto sexo-selectivo mediante la recopilación de datos fiables sobre el fenómeno, introduc</w:t>
      </w:r>
      <w:r w:rsidR="003B5ED3">
        <w:t>iendo</w:t>
      </w:r>
      <w:r>
        <w:t xml:space="preserve"> </w:t>
      </w:r>
      <w:r w:rsidR="003B5ED3">
        <w:t>capacitación</w:t>
      </w:r>
      <w:r>
        <w:t xml:space="preserve"> obligatori</w:t>
      </w:r>
      <w:r w:rsidR="003B5ED3">
        <w:t>a en</w:t>
      </w:r>
      <w:r>
        <w:t xml:space="preserve"> género para funcionarios</w:t>
      </w:r>
      <w:r w:rsidR="003B5ED3">
        <w:t xml:space="preserve"> y funcionarias</w:t>
      </w:r>
      <w:r>
        <w:t xml:space="preserve"> de planificación familiar</w:t>
      </w:r>
      <w:r w:rsidR="003B5ED3">
        <w:t>,</w:t>
      </w:r>
      <w:r>
        <w:t xml:space="preserve"> y desarroll</w:t>
      </w:r>
      <w:r w:rsidR="003B5ED3">
        <w:t>ando</w:t>
      </w:r>
      <w:r>
        <w:t xml:space="preserve"> campañas de sensibilización entre el público en general.</w:t>
      </w:r>
      <w:r>
        <w:rPr>
          <w:rStyle w:val="EndnoteReference"/>
          <w:rFonts w:cs="Times New Roman"/>
        </w:rPr>
        <w:endnoteReference w:id="82"/>
      </w:r>
    </w:p>
    <w:p w14:paraId="3F5F1F19" w14:textId="454A9B07" w:rsidR="0049019C" w:rsidRDefault="00CD0EAF">
      <w:pPr>
        <w:pStyle w:val="Heading4"/>
      </w:pPr>
      <w:r>
        <w:t xml:space="preserve">Recolección de </w:t>
      </w:r>
      <w:r w:rsidR="003B5ED3">
        <w:t>D</w:t>
      </w:r>
      <w:r>
        <w:t xml:space="preserve">atos y </w:t>
      </w:r>
      <w:r w:rsidR="003B5ED3">
        <w:t>E</w:t>
      </w:r>
      <w:r>
        <w:t>stadísticas</w:t>
      </w:r>
    </w:p>
    <w:p w14:paraId="301128AF" w14:textId="5EF57CC7" w:rsidR="0049019C" w:rsidRDefault="00CD0EAF">
      <w:pPr>
        <w:pStyle w:val="NormalIndented"/>
      </w:pPr>
      <w:r>
        <w:t xml:space="preserve">En al menos un caso, el Comité de </w:t>
      </w:r>
      <w:r w:rsidR="003B5ED3">
        <w:t>D</w:t>
      </w:r>
      <w:r>
        <w:t xml:space="preserve">erechos </w:t>
      </w:r>
      <w:r w:rsidR="003B5ED3">
        <w:t>H</w:t>
      </w:r>
      <w:r>
        <w:t xml:space="preserve">umanos lamentó la falta de información sobre el </w:t>
      </w:r>
      <w:r w:rsidR="003B5ED3">
        <w:t xml:space="preserve">número </w:t>
      </w:r>
      <w:r>
        <w:t>de abortos ilegales y sus consecuencias para las mujeres afectadas.</w:t>
      </w:r>
      <w:r>
        <w:rPr>
          <w:rStyle w:val="EndnoteReference"/>
          <w:rFonts w:cs="Times New Roman"/>
        </w:rPr>
        <w:endnoteReference w:id="83"/>
      </w:r>
      <w:r>
        <w:t xml:space="preserve"> El Comité ha pedido al menos </w:t>
      </w:r>
      <w:r w:rsidR="003B5ED3">
        <w:t xml:space="preserve">a </w:t>
      </w:r>
      <w:r>
        <w:t xml:space="preserve">un </w:t>
      </w:r>
      <w:r w:rsidR="003B5ED3">
        <w:t>E</w:t>
      </w:r>
      <w:r>
        <w:t xml:space="preserve">stado llevar a cabo investigación y recopilar estadísticas sobre el uso de abortos ilegales y el impacto de </w:t>
      </w:r>
      <w:r w:rsidR="003B5ED3">
        <w:t>legislación</w:t>
      </w:r>
      <w:r>
        <w:t xml:space="preserve"> </w:t>
      </w:r>
      <w:r w:rsidR="003B5ED3">
        <w:t>restrictiva de</w:t>
      </w:r>
      <w:r>
        <w:t xml:space="preserve"> aborto.</w:t>
      </w:r>
      <w:r>
        <w:rPr>
          <w:rStyle w:val="EndnoteReference"/>
          <w:rFonts w:cs="Times New Roman"/>
        </w:rPr>
        <w:endnoteReference w:id="84"/>
      </w:r>
      <w:r w:rsidRPr="004B2C96">
        <w:rPr>
          <w:rFonts w:cs="Times New Roman"/>
          <w:i/>
        </w:rPr>
        <w:t xml:space="preserve"> </w:t>
      </w:r>
    </w:p>
    <w:p w14:paraId="59C69003" w14:textId="46661DB8" w:rsidR="0049019C" w:rsidRPr="004B2C96" w:rsidRDefault="00CD0EAF" w:rsidP="00855BF7">
      <w:pPr>
        <w:pStyle w:val="Heading3"/>
        <w:spacing w:before="400"/>
      </w:pPr>
      <w:bookmarkStart w:id="20" w:name="_Toc498590679"/>
      <w:r w:rsidRPr="004B2C96">
        <w:t xml:space="preserve">Acceso a la información, bienes y servicios sobre </w:t>
      </w:r>
      <w:bookmarkEnd w:id="20"/>
      <w:r w:rsidR="0059245F" w:rsidRPr="004B2C96">
        <w:t>ANTICONCEPTIVOS</w:t>
      </w:r>
    </w:p>
    <w:p w14:paraId="6D226C87" w14:textId="4B3ECC06" w:rsidR="0049019C" w:rsidRDefault="00CD0EAF">
      <w:r>
        <w:t xml:space="preserve">El Comité de </w:t>
      </w:r>
      <w:r w:rsidR="0059245F">
        <w:t>D</w:t>
      </w:r>
      <w:r>
        <w:t xml:space="preserve">erechos </w:t>
      </w:r>
      <w:r w:rsidR="0059245F">
        <w:t>H</w:t>
      </w:r>
      <w:r>
        <w:t>umanos ha enfatizado reiteradamente que los Estados deben ayudar a las mujeres a evitar embarazos no deseados,</w:t>
      </w:r>
      <w:r>
        <w:rPr>
          <w:rStyle w:val="EndnoteReference"/>
          <w:rFonts w:cs="Times New Roman"/>
        </w:rPr>
        <w:endnoteReference w:id="85"/>
      </w:r>
      <w:r>
        <w:t xml:space="preserve"> y ha indicado que los Estados deben garantizar el acceso a anticonceptivos y otros servicios de planificación familiar</w:t>
      </w:r>
      <w:r>
        <w:rPr>
          <w:rStyle w:val="EndnoteReference"/>
          <w:rFonts w:cs="Times New Roman"/>
        </w:rPr>
        <w:endnoteReference w:id="86"/>
      </w:r>
      <w:r>
        <w:t xml:space="preserve"> para ello. Por lo menos dos veces, </w:t>
      </w:r>
      <w:r w:rsidR="0059245F">
        <w:t>el Comité</w:t>
      </w:r>
      <w:r>
        <w:t xml:space="preserve"> ha expresado preocupación por las políticas y prácticas que efectivamente n</w:t>
      </w:r>
      <w:r w:rsidR="0059245F">
        <w:t>iegan</w:t>
      </w:r>
      <w:r>
        <w:t xml:space="preserve"> el acceso a información sobre métodos anticonceptivo</w:t>
      </w:r>
      <w:r w:rsidR="0059245F">
        <w:t>s</w:t>
      </w:r>
      <w:r>
        <w:t>, bienes y servicios,</w:t>
      </w:r>
      <w:r>
        <w:rPr>
          <w:rStyle w:val="EndnoteReference"/>
          <w:rFonts w:cs="Times New Roman"/>
        </w:rPr>
        <w:endnoteReference w:id="87"/>
      </w:r>
      <w:r>
        <w:t xml:space="preserve"> incluyendo un</w:t>
      </w:r>
      <w:r w:rsidR="0059245F">
        <w:t xml:space="preserve"> Estado</w:t>
      </w:r>
      <w:r>
        <w:t xml:space="preserve"> que prohíbe fondos para una gama de métodos anticonceptivos, </w:t>
      </w:r>
      <w:r w:rsidR="0059245F">
        <w:t xml:space="preserve">instando </w:t>
      </w:r>
      <w:r>
        <w:t xml:space="preserve">a ese </w:t>
      </w:r>
      <w:r w:rsidR="0059245F">
        <w:t>E</w:t>
      </w:r>
      <w:r>
        <w:t>stado a levantar la prohibición sobre la financiación de anticonceptivos.</w:t>
      </w:r>
      <w:r>
        <w:rPr>
          <w:rStyle w:val="EndnoteReference"/>
          <w:rFonts w:cs="Times New Roman"/>
        </w:rPr>
        <w:endnoteReference w:id="88"/>
      </w:r>
      <w:r>
        <w:t xml:space="preserve"> El Comité pidió a otro Estado facilitar el acceso a servicios de planificación familiar y métodos grat</w:t>
      </w:r>
      <w:r w:rsidR="0059245F">
        <w:t>uito</w:t>
      </w:r>
      <w:r>
        <w:t>s,</w:t>
      </w:r>
      <w:r>
        <w:rPr>
          <w:rStyle w:val="EndnoteReference"/>
          <w:rFonts w:cs="Times New Roman"/>
        </w:rPr>
        <w:endnoteReference w:id="89"/>
      </w:r>
      <w:r w:rsidR="00F5730B">
        <w:t xml:space="preserve"> </w:t>
      </w:r>
      <w:r>
        <w:t xml:space="preserve">reconociendo el alto costo de los anticonceptivos como una barrera al acceso. En por lo menos un conjunto de recomendaciones, el Comité pidió hacer </w:t>
      </w:r>
      <w:r w:rsidR="000961D6">
        <w:t xml:space="preserve">disponible </w:t>
      </w:r>
      <w:r>
        <w:t xml:space="preserve">una amplia gama de anticonceptivos a un precio asequible </w:t>
      </w:r>
      <w:r w:rsidR="000961D6">
        <w:t xml:space="preserve">e incluyendo </w:t>
      </w:r>
      <w:r>
        <w:t>anticonceptivos en la lista de medicamentos subvencionados.</w:t>
      </w:r>
      <w:r>
        <w:rPr>
          <w:rStyle w:val="EndnoteReference"/>
          <w:rFonts w:cs="Times New Roman"/>
        </w:rPr>
        <w:endnoteReference w:id="90"/>
      </w:r>
      <w:r>
        <w:t xml:space="preserve"> El Comité expresó su preocupación por la falta de servicios de planificación familiar en algunas partes de un </w:t>
      </w:r>
      <w:r w:rsidR="000961D6">
        <w:t>E</w:t>
      </w:r>
      <w:r>
        <w:t>stado,</w:t>
      </w:r>
      <w:r>
        <w:rPr>
          <w:rStyle w:val="EndnoteReference"/>
          <w:rFonts w:cs="Times New Roman"/>
        </w:rPr>
        <w:endnoteReference w:id="91"/>
      </w:r>
      <w:r w:rsidR="00F5730B">
        <w:t xml:space="preserve"> </w:t>
      </w:r>
      <w:r w:rsidR="000961D6">
        <w:t>e instó</w:t>
      </w:r>
      <w:r>
        <w:t xml:space="preserve"> </w:t>
      </w:r>
      <w:r w:rsidR="000961D6">
        <w:t>a</w:t>
      </w:r>
      <w:r>
        <w:t xml:space="preserve">l menos </w:t>
      </w:r>
      <w:r w:rsidR="000961D6">
        <w:t xml:space="preserve">a </w:t>
      </w:r>
      <w:r>
        <w:t>un Estado asegurar que los anticonceptivos están disponibles en las zonas rurales.</w:t>
      </w:r>
      <w:r>
        <w:rPr>
          <w:rStyle w:val="EndnoteReference"/>
          <w:rFonts w:cs="Times New Roman"/>
        </w:rPr>
        <w:endnoteReference w:id="92"/>
      </w:r>
    </w:p>
    <w:p w14:paraId="109C956F" w14:textId="645AF3D0" w:rsidR="0049019C" w:rsidRDefault="00CD0EAF">
      <w:pPr>
        <w:pStyle w:val="Heading4"/>
      </w:pPr>
      <w:r>
        <w:t xml:space="preserve">Información sobre </w:t>
      </w:r>
      <w:r w:rsidR="000961D6">
        <w:t>A</w:t>
      </w:r>
      <w:r>
        <w:t>nticonceptivos</w:t>
      </w:r>
    </w:p>
    <w:p w14:paraId="1F048C6A" w14:textId="6927170F" w:rsidR="0049019C" w:rsidRDefault="00CD0EAF">
      <w:pPr>
        <w:pStyle w:val="NormalIndented"/>
      </w:pPr>
      <w:r>
        <w:t xml:space="preserve">El Comité de </w:t>
      </w:r>
      <w:r w:rsidR="000961D6">
        <w:t>D</w:t>
      </w:r>
      <w:r>
        <w:t xml:space="preserve">erechos </w:t>
      </w:r>
      <w:r w:rsidR="000961D6">
        <w:t>H</w:t>
      </w:r>
      <w:r>
        <w:t xml:space="preserve">umanos ha señalado repetidamente que los Estados tienen la obligación de destacar la importancia del uso de anticonceptivos cuando </w:t>
      </w:r>
      <w:r w:rsidR="000961D6">
        <w:t xml:space="preserve">se desarrollan </w:t>
      </w:r>
      <w:r>
        <w:t>programas de educación y sensibilización en salud reproductiva.</w:t>
      </w:r>
      <w:r>
        <w:rPr>
          <w:rStyle w:val="EndnoteReference"/>
          <w:rFonts w:cs="Times New Roman"/>
        </w:rPr>
        <w:endnoteReference w:id="93"/>
      </w:r>
      <w:r>
        <w:t xml:space="preserve"> En al menos dos instancias, el Comité ha subrayado que los Estados deben garantizar el acceso a la información sobre anticoncepción.</w:t>
      </w:r>
      <w:r>
        <w:rPr>
          <w:rStyle w:val="EndnoteReference"/>
          <w:rFonts w:cs="Times New Roman"/>
        </w:rPr>
        <w:endnoteReference w:id="94"/>
      </w:r>
    </w:p>
    <w:p w14:paraId="5FB15EE9" w14:textId="79361883" w:rsidR="0049019C" w:rsidRDefault="00CD0EAF">
      <w:pPr>
        <w:pStyle w:val="Heading4"/>
      </w:pPr>
      <w:r>
        <w:t xml:space="preserve">Anticonceptivos de </w:t>
      </w:r>
      <w:r w:rsidR="008A49AB">
        <w:t>E</w:t>
      </w:r>
      <w:r>
        <w:t>mergencia</w:t>
      </w:r>
    </w:p>
    <w:p w14:paraId="680E6D2A" w14:textId="67AE363E" w:rsidR="0049019C" w:rsidRDefault="00CD0EAF">
      <w:pPr>
        <w:pStyle w:val="NormalIndented"/>
      </w:pPr>
      <w:r>
        <w:t xml:space="preserve">El Comité de </w:t>
      </w:r>
      <w:r w:rsidR="008A49AB">
        <w:t>D</w:t>
      </w:r>
      <w:r>
        <w:t xml:space="preserve">erechos </w:t>
      </w:r>
      <w:r w:rsidR="008A49AB">
        <w:t>H</w:t>
      </w:r>
      <w:r>
        <w:t xml:space="preserve">umanos ha hecho hincapié en las recomendaciones </w:t>
      </w:r>
      <w:r w:rsidR="006F6DA9">
        <w:t xml:space="preserve">a </w:t>
      </w:r>
      <w:r>
        <w:t xml:space="preserve">al menos un </w:t>
      </w:r>
      <w:r w:rsidR="008A49AB">
        <w:t>E</w:t>
      </w:r>
      <w:r>
        <w:t xml:space="preserve">stado que </w:t>
      </w:r>
      <w:r w:rsidR="006F6DA9">
        <w:t xml:space="preserve">el </w:t>
      </w:r>
      <w:r>
        <w:t>acceso a anticonceptivos de emergencia es un componente esencial de los servicios de salud sexual y reproductiva adecuad</w:t>
      </w:r>
      <w:r w:rsidR="006F6DA9">
        <w:t>os</w:t>
      </w:r>
      <w:r>
        <w:t>, y que los anticonceptivos de emergencia deben ser accesibles en todo el país.</w:t>
      </w:r>
      <w:r>
        <w:rPr>
          <w:rStyle w:val="EndnoteReference"/>
          <w:rFonts w:cs="Times New Roman"/>
        </w:rPr>
        <w:endnoteReference w:id="95"/>
      </w:r>
      <w:r>
        <w:t xml:space="preserve"> El Comité lamentó </w:t>
      </w:r>
      <w:r w:rsidR="006F6DA9">
        <w:t>ade</w:t>
      </w:r>
      <w:r>
        <w:t xml:space="preserve">más una decisión de la </w:t>
      </w:r>
      <w:r w:rsidR="006F6DA9">
        <w:t>C</w:t>
      </w:r>
      <w:r>
        <w:t xml:space="preserve">orte </w:t>
      </w:r>
      <w:r w:rsidR="006F6DA9">
        <w:t>C</w:t>
      </w:r>
      <w:r>
        <w:t xml:space="preserve">onstitucional de un </w:t>
      </w:r>
      <w:r w:rsidR="006F6DA9">
        <w:t>E</w:t>
      </w:r>
      <w:r>
        <w:t xml:space="preserve">stado </w:t>
      </w:r>
      <w:r w:rsidR="006F6DA9">
        <w:t>de</w:t>
      </w:r>
      <w:r>
        <w:t xml:space="preserve"> prohibir la distribución gratuita de anticonceptivos orales de emergencia.</w:t>
      </w:r>
      <w:r>
        <w:rPr>
          <w:rStyle w:val="EndnoteReference"/>
          <w:rFonts w:cs="Times New Roman"/>
        </w:rPr>
        <w:endnoteReference w:id="96"/>
      </w:r>
      <w:r>
        <w:t xml:space="preserve"> </w:t>
      </w:r>
    </w:p>
    <w:p w14:paraId="0C7EE4C3" w14:textId="3F36B3A5" w:rsidR="0049019C" w:rsidRDefault="00CD0EAF">
      <w:pPr>
        <w:pStyle w:val="Heading4"/>
      </w:pPr>
      <w:r>
        <w:t xml:space="preserve">El </w:t>
      </w:r>
      <w:r w:rsidR="006F6DA9">
        <w:t>A</w:t>
      </w:r>
      <w:r>
        <w:t xml:space="preserve">borto como </w:t>
      </w:r>
      <w:r w:rsidR="006F6DA9">
        <w:t>M</w:t>
      </w:r>
      <w:r>
        <w:t xml:space="preserve">étodo </w:t>
      </w:r>
      <w:r w:rsidR="006F6DA9">
        <w:t>A</w:t>
      </w:r>
      <w:r>
        <w:t>nticonceptivo</w:t>
      </w:r>
    </w:p>
    <w:p w14:paraId="05E39C6E" w14:textId="130A3ECC" w:rsidR="0049019C" w:rsidRDefault="00CD0EAF" w:rsidP="00855BF7">
      <w:pPr>
        <w:pStyle w:val="NormalIndented"/>
        <w:widowControl w:val="0"/>
      </w:pPr>
      <w:r>
        <w:t xml:space="preserve">En al menos dos instancias, el Comité de </w:t>
      </w:r>
      <w:r w:rsidR="006F6DA9">
        <w:t>D</w:t>
      </w:r>
      <w:r>
        <w:t xml:space="preserve">erechos </w:t>
      </w:r>
      <w:r w:rsidR="006F6DA9">
        <w:t>H</w:t>
      </w:r>
      <w:r>
        <w:t xml:space="preserve">umanos ha expresado preocupación por el incumplimiento </w:t>
      </w:r>
      <w:r>
        <w:lastRenderedPageBreak/>
        <w:t xml:space="preserve">de las leyes incluyendo la cobertura de anticonceptivos en un paquete de beneficios </w:t>
      </w:r>
      <w:r w:rsidR="006F6DA9">
        <w:t xml:space="preserve">básicos </w:t>
      </w:r>
      <w:r>
        <w:t>del seguro médico,</w:t>
      </w:r>
      <w:r>
        <w:rPr>
          <w:rStyle w:val="EndnoteReference"/>
          <w:rFonts w:cs="Times New Roman"/>
        </w:rPr>
        <w:endnoteReference w:id="97"/>
      </w:r>
      <w:r>
        <w:t xml:space="preserve">  </w:t>
      </w:r>
      <w:r w:rsidR="006F6DA9">
        <w:t>vinculando</w:t>
      </w:r>
      <w:r>
        <w:t xml:space="preserve"> la falta de asegurar el acceso a la anticoncepción con una dependencia </w:t>
      </w:r>
      <w:r w:rsidR="006F6DA9">
        <w:t>d</w:t>
      </w:r>
      <w:r>
        <w:t>el aborto como un método de anticoncepción.</w:t>
      </w:r>
      <w:r>
        <w:rPr>
          <w:rStyle w:val="EndnoteReference"/>
          <w:rFonts w:cs="Times New Roman"/>
        </w:rPr>
        <w:endnoteReference w:id="98"/>
      </w:r>
      <w:r>
        <w:t xml:space="preserve"> El Comité exhortó a</w:t>
      </w:r>
      <w:r w:rsidR="006F6DA9">
        <w:t xml:space="preserve"> a</w:t>
      </w:r>
      <w:r>
        <w:t>l menos un</w:t>
      </w:r>
      <w:r w:rsidR="006F6DA9">
        <w:t xml:space="preserve"> Estado</w:t>
      </w:r>
      <w:r>
        <w:t xml:space="preserve"> eliminar el uso del aborto como un método de anticoncepción asegura</w:t>
      </w:r>
      <w:r w:rsidR="006F6DA9">
        <w:t>ndo</w:t>
      </w:r>
      <w:r>
        <w:t xml:space="preserve"> la provisión de métodos anticonceptivos asequibles </w:t>
      </w:r>
      <w:r w:rsidR="006F6DA9">
        <w:t>e</w:t>
      </w:r>
      <w:r>
        <w:t xml:space="preserve"> introduc</w:t>
      </w:r>
      <w:r w:rsidR="006F6DA9">
        <w:t>iendo</w:t>
      </w:r>
      <w:r>
        <w:t xml:space="preserve"> educación para la salud sexual y reproductiva en </w:t>
      </w:r>
      <w:r w:rsidR="006F6DA9">
        <w:t>la currícula</w:t>
      </w:r>
      <w:r>
        <w:t xml:space="preserve"> escolar y para el público </w:t>
      </w:r>
      <w:r w:rsidR="002278AC">
        <w:t>en general</w:t>
      </w:r>
      <w:r>
        <w:t>.</w:t>
      </w:r>
      <w:r>
        <w:rPr>
          <w:rStyle w:val="EndnoteReference"/>
          <w:rFonts w:cs="Times New Roman"/>
        </w:rPr>
        <w:endnoteReference w:id="99"/>
      </w:r>
    </w:p>
    <w:p w14:paraId="6EEA5123" w14:textId="306DB8EB" w:rsidR="0049019C" w:rsidRPr="004B2C96" w:rsidRDefault="00CD0EAF">
      <w:pPr>
        <w:pStyle w:val="Heading3"/>
      </w:pPr>
      <w:bookmarkStart w:id="21" w:name="_Toc498590680"/>
      <w:r w:rsidRPr="004B2C96">
        <w:t>Salud materna</w:t>
      </w:r>
      <w:bookmarkEnd w:id="21"/>
      <w:r w:rsidRPr="004B2C96">
        <w:t xml:space="preserve"> </w:t>
      </w:r>
    </w:p>
    <w:p w14:paraId="4C4322AB" w14:textId="263D4441" w:rsidR="0049019C" w:rsidRDefault="00CD0EAF">
      <w:pPr>
        <w:pStyle w:val="Heading4"/>
      </w:pPr>
      <w:r>
        <w:t xml:space="preserve">Mortalidad </w:t>
      </w:r>
      <w:r w:rsidR="003B251F">
        <w:t>M</w:t>
      </w:r>
      <w:r>
        <w:t>aterna</w:t>
      </w:r>
    </w:p>
    <w:p w14:paraId="7596366C" w14:textId="7320D6E4" w:rsidR="0049019C" w:rsidRDefault="00CD0EAF">
      <w:pPr>
        <w:pStyle w:val="NormalIndented"/>
      </w:pPr>
      <w:r>
        <w:t xml:space="preserve">El Comité de </w:t>
      </w:r>
      <w:r w:rsidR="003B251F">
        <w:t>D</w:t>
      </w:r>
      <w:r>
        <w:t xml:space="preserve">erechos </w:t>
      </w:r>
      <w:r w:rsidR="003B251F">
        <w:t>H</w:t>
      </w:r>
      <w:r>
        <w:t>umanos regularmente ha expresado preocupación por las altas tasas de mortalidad materna.</w:t>
      </w:r>
      <w:r>
        <w:rPr>
          <w:rStyle w:val="EndnoteReference"/>
          <w:rFonts w:cs="Times New Roman"/>
        </w:rPr>
        <w:endnoteReference w:id="100"/>
      </w:r>
      <w:r>
        <w:t xml:space="preserve"> El Comité rutinariamente señaló con preocupación que el aborto inseguro debido a leyes restrictivas de aborto contribuye a las altas tasas de muertes maternas</w:t>
      </w:r>
      <w:r>
        <w:rPr>
          <w:rStyle w:val="EndnoteReference"/>
          <w:rFonts w:cs="Times New Roman"/>
        </w:rPr>
        <w:endnoteReference w:id="101"/>
      </w:r>
      <w:r>
        <w:t xml:space="preserve"> y repetidamente hace hincapié en que los Estados deben ayudar a las mujeres y las niñas </w:t>
      </w:r>
      <w:r w:rsidR="003B251F">
        <w:t xml:space="preserve">para </w:t>
      </w:r>
      <w:r>
        <w:t xml:space="preserve">evitar embarazos no deseados </w:t>
      </w:r>
      <w:r w:rsidR="003B251F">
        <w:t>para que</w:t>
      </w:r>
      <w:r>
        <w:t xml:space="preserve"> no t</w:t>
      </w:r>
      <w:r w:rsidR="003B251F">
        <w:t>enga</w:t>
      </w:r>
      <w:r>
        <w:t>n que recurrir a abortos ilegales que podrían poner sus vidas en peligro.</w:t>
      </w:r>
      <w:r>
        <w:rPr>
          <w:rStyle w:val="EndnoteReference"/>
          <w:rFonts w:cs="Times New Roman"/>
        </w:rPr>
        <w:endnoteReference w:id="102"/>
      </w:r>
      <w:r>
        <w:t xml:space="preserve"> En varios casos, el Comité ha vinculado </w:t>
      </w:r>
      <w:r w:rsidR="003B251F">
        <w:t xml:space="preserve">altas </w:t>
      </w:r>
      <w:r>
        <w:t>tasas de mortalidad materna con dificultades en el acceso a servicios de salud apropiado,</w:t>
      </w:r>
      <w:r>
        <w:rPr>
          <w:rStyle w:val="EndnoteReference"/>
          <w:rFonts w:cs="Times New Roman"/>
        </w:rPr>
        <w:endnoteReference w:id="103"/>
      </w:r>
      <w:r>
        <w:t xml:space="preserve"> incluyendo la falta de servicios de salud para embarazos de alto riesgo,</w:t>
      </w:r>
      <w:r>
        <w:rPr>
          <w:rStyle w:val="EndnoteReference"/>
          <w:rFonts w:cs="Times New Roman"/>
        </w:rPr>
        <w:endnoteReference w:id="104"/>
      </w:r>
      <w:r>
        <w:t xml:space="preserve"> </w:t>
      </w:r>
      <w:r w:rsidR="003B251F">
        <w:t xml:space="preserve">servicios e instalaciones de </w:t>
      </w:r>
      <w:r>
        <w:t xml:space="preserve">salud y </w:t>
      </w:r>
      <w:r w:rsidR="003B251F">
        <w:t>p</w:t>
      </w:r>
      <w:r>
        <w:t xml:space="preserve">lanificación </w:t>
      </w:r>
      <w:r w:rsidR="003B251F">
        <w:t>familiar inaccesibles,</w:t>
      </w:r>
      <w:r>
        <w:rPr>
          <w:rStyle w:val="EndnoteReference"/>
          <w:rFonts w:cs="Times New Roman"/>
        </w:rPr>
        <w:endnoteReference w:id="105"/>
      </w:r>
      <w:r>
        <w:t xml:space="preserve"> y la mala calidad de la atención </w:t>
      </w:r>
      <w:r w:rsidR="00F41B18">
        <w:t>de la salud</w:t>
      </w:r>
      <w:r>
        <w:t xml:space="preserve"> proporcionada.</w:t>
      </w:r>
      <w:r>
        <w:rPr>
          <w:rStyle w:val="EndnoteReference"/>
          <w:rFonts w:cs="Times New Roman"/>
        </w:rPr>
        <w:endnoteReference w:id="106"/>
      </w:r>
    </w:p>
    <w:p w14:paraId="4CCF8944" w14:textId="30185C58" w:rsidR="0049019C" w:rsidRDefault="00CD0EAF">
      <w:pPr>
        <w:pStyle w:val="NormalIndented"/>
      </w:pPr>
      <w:r>
        <w:t xml:space="preserve">El Comité de </w:t>
      </w:r>
      <w:r w:rsidR="00F41B18">
        <w:t>D</w:t>
      </w:r>
      <w:r>
        <w:t xml:space="preserve">erechos </w:t>
      </w:r>
      <w:r w:rsidR="00F41B18">
        <w:t>H</w:t>
      </w:r>
      <w:r>
        <w:t>umanos ha pedido a los Estados a tomar medidas y fortalecer los esfuerzos para reducir la mortalidad materna.</w:t>
      </w:r>
      <w:r>
        <w:rPr>
          <w:rStyle w:val="EndnoteReference"/>
          <w:rFonts w:cs="Times New Roman"/>
        </w:rPr>
        <w:endnoteReference w:id="107"/>
      </w:r>
      <w:r>
        <w:t xml:space="preserve"> Con este fin, </w:t>
      </w:r>
      <w:r w:rsidR="00F41B18">
        <w:t>el Comité</w:t>
      </w:r>
      <w:r w:rsidR="00F41B18" w:rsidDel="00F41B18">
        <w:t xml:space="preserve"> </w:t>
      </w:r>
      <w:r>
        <w:t>ha instado a los Estados a proporcionar servicios de salud sexual y reproductiva adecuad</w:t>
      </w:r>
      <w:r w:rsidR="00F41B18">
        <w:t>os</w:t>
      </w:r>
      <w:r>
        <w:t xml:space="preserve"> y accesible</w:t>
      </w:r>
      <w:r w:rsidR="00F41B18">
        <w:t>s</w:t>
      </w:r>
      <w:r>
        <w:t>;</w:t>
      </w:r>
      <w:r>
        <w:rPr>
          <w:rStyle w:val="EndnoteReference"/>
          <w:rFonts w:cs="Times New Roman"/>
        </w:rPr>
        <w:endnoteReference w:id="108"/>
      </w:r>
      <w:r>
        <w:t xml:space="preserve"> modificar las leyes </w:t>
      </w:r>
      <w:r w:rsidR="00F41B18">
        <w:t xml:space="preserve">restrictivas </w:t>
      </w:r>
      <w:r>
        <w:t>de aborto;</w:t>
      </w:r>
      <w:r>
        <w:rPr>
          <w:rStyle w:val="EndnoteReference"/>
          <w:rFonts w:cs="Times New Roman"/>
        </w:rPr>
        <w:endnoteReference w:id="109"/>
      </w:r>
      <w:r>
        <w:t xml:space="preserve"> garantizar el acceso a atención obstétrica de emergencia y servicios de salud para embarazos de alto riesgo;</w:t>
      </w:r>
      <w:r>
        <w:rPr>
          <w:rStyle w:val="EndnoteReference"/>
          <w:rFonts w:cs="Times New Roman"/>
        </w:rPr>
        <w:endnoteReference w:id="110"/>
      </w:r>
      <w:r>
        <w:t xml:space="preserve"> proporcionar una formación adecuada para los trabajadores de la salud;</w:t>
      </w:r>
      <w:r>
        <w:rPr>
          <w:rStyle w:val="EndnoteReference"/>
          <w:rFonts w:cs="Times New Roman"/>
        </w:rPr>
        <w:endnoteReference w:id="111"/>
      </w:r>
      <w:r>
        <w:t xml:space="preserve"> garantizar el acceso a los anticonceptivos, incluidos anticonceptivos de emergencia;</w:t>
      </w:r>
      <w:r>
        <w:rPr>
          <w:rStyle w:val="EndnoteReference"/>
          <w:rFonts w:cs="Times New Roman"/>
        </w:rPr>
        <w:endnoteReference w:id="112"/>
      </w:r>
      <w:r>
        <w:t xml:space="preserve"> implementar una red nacional de servicios de ambulancia;</w:t>
      </w:r>
      <w:r>
        <w:rPr>
          <w:rStyle w:val="EndnoteReference"/>
          <w:rFonts w:cs="Times New Roman"/>
        </w:rPr>
        <w:endnoteReference w:id="113"/>
      </w:r>
      <w:r>
        <w:t xml:space="preserve"> y abrir clínicas en zonas rurales.</w:t>
      </w:r>
      <w:r>
        <w:rPr>
          <w:rStyle w:val="EndnoteReference"/>
          <w:rFonts w:cs="Times New Roman"/>
        </w:rPr>
        <w:endnoteReference w:id="114"/>
      </w:r>
    </w:p>
    <w:p w14:paraId="213A9599" w14:textId="1B503820" w:rsidR="0049019C" w:rsidRDefault="00CD0EAF">
      <w:pPr>
        <w:pStyle w:val="NormalIndented"/>
      </w:pPr>
      <w:r>
        <w:t xml:space="preserve">En al menos un caso, el Comité de </w:t>
      </w:r>
      <w:r w:rsidR="00F41B18">
        <w:t>D</w:t>
      </w:r>
      <w:r>
        <w:t xml:space="preserve">erechos </w:t>
      </w:r>
      <w:r w:rsidR="00F41B18">
        <w:t>H</w:t>
      </w:r>
      <w:r>
        <w:t>umanos pidió a un</w:t>
      </w:r>
      <w:r w:rsidR="00F41B18">
        <w:t xml:space="preserve"> E</w:t>
      </w:r>
      <w:r>
        <w:t>stado realizar una evaluación cuidadosa de la cuestión del aborto y mortalidad materna, debido a la falta de información en la medida en que las altas tasas de aborto fueron la causa de altos niveles de mortalidad</w:t>
      </w:r>
      <w:r w:rsidR="00F41B18" w:rsidRPr="00F41B18">
        <w:t xml:space="preserve"> </w:t>
      </w:r>
      <w:r w:rsidR="00F41B18">
        <w:t>materna</w:t>
      </w:r>
      <w:r>
        <w:t>.</w:t>
      </w:r>
      <w:r>
        <w:rPr>
          <w:rStyle w:val="EndnoteReference"/>
          <w:rFonts w:cs="Times New Roman"/>
        </w:rPr>
        <w:endnoteReference w:id="115"/>
      </w:r>
    </w:p>
    <w:p w14:paraId="35A6FB0F" w14:textId="6F85E51C" w:rsidR="0049019C" w:rsidRDefault="00CD0EAF">
      <w:pPr>
        <w:pStyle w:val="Heading4"/>
      </w:pPr>
      <w:r>
        <w:t xml:space="preserve">Embarazos </w:t>
      </w:r>
      <w:r w:rsidR="00F41B18">
        <w:t>P</w:t>
      </w:r>
      <w:r>
        <w:t>recoces</w:t>
      </w:r>
    </w:p>
    <w:p w14:paraId="29962182" w14:textId="4DE0D3FA" w:rsidR="0049019C" w:rsidRDefault="00CD0EAF">
      <w:pPr>
        <w:pStyle w:val="NormalIndented"/>
      </w:pPr>
      <w:r>
        <w:t xml:space="preserve">El Comité de </w:t>
      </w:r>
      <w:r w:rsidR="00F41B18">
        <w:t>D</w:t>
      </w:r>
      <w:r>
        <w:t xml:space="preserve">erechos </w:t>
      </w:r>
      <w:r w:rsidR="00F41B18">
        <w:t>H</w:t>
      </w:r>
      <w:r>
        <w:t>umanos también ha expresado preocupación regular</w:t>
      </w:r>
      <w:r w:rsidR="00F41B18">
        <w:t>mente</w:t>
      </w:r>
      <w:r>
        <w:t xml:space="preserve"> por las altas tasas de embarazo adolescen</w:t>
      </w:r>
      <w:r w:rsidR="00F41B18">
        <w:t>te</w:t>
      </w:r>
      <w:r>
        <w:rPr>
          <w:rStyle w:val="EndnoteReference"/>
          <w:rFonts w:cs="Times New Roman"/>
        </w:rPr>
        <w:endnoteReference w:id="116"/>
      </w:r>
      <w:r>
        <w:t xml:space="preserve"> y en al menos </w:t>
      </w:r>
      <w:r w:rsidR="00F41B18">
        <w:t>en un caso</w:t>
      </w:r>
      <w:r>
        <w:t xml:space="preserve"> ha lamentado la falta de programas orientados a la prevención del embarazo adolescente.</w:t>
      </w:r>
      <w:r>
        <w:rPr>
          <w:rStyle w:val="EndnoteReference"/>
          <w:rFonts w:cs="Times New Roman"/>
        </w:rPr>
        <w:endnoteReference w:id="117"/>
      </w:r>
      <w:r>
        <w:t xml:space="preserve"> El Comité ha pedido </w:t>
      </w:r>
      <w:r w:rsidR="00F41B18">
        <w:t xml:space="preserve">a </w:t>
      </w:r>
      <w:r>
        <w:t>al menos dos Estados a</w:t>
      </w:r>
      <w:r w:rsidR="00F41B18">
        <w:t>bordar el</w:t>
      </w:r>
      <w:r>
        <w:t xml:space="preserve"> embarazo adolescen</w:t>
      </w:r>
      <w:r w:rsidR="00F41B18">
        <w:t>te</w:t>
      </w:r>
      <w:r>
        <w:t xml:space="preserve"> proporcionando servicios adecuados de salud sexual y reproductiva.</w:t>
      </w:r>
      <w:r>
        <w:rPr>
          <w:rStyle w:val="EndnoteReference"/>
          <w:rFonts w:cs="Times New Roman"/>
        </w:rPr>
        <w:endnoteReference w:id="118"/>
      </w:r>
    </w:p>
    <w:p w14:paraId="28450940" w14:textId="36B22AFA" w:rsidR="0049019C" w:rsidRPr="004B2C96" w:rsidRDefault="00CD0EAF">
      <w:pPr>
        <w:pStyle w:val="Heading3"/>
      </w:pPr>
      <w:bookmarkStart w:id="22" w:name="_Toc498590681"/>
      <w:r w:rsidRPr="004B2C96">
        <w:t xml:space="preserve">educación </w:t>
      </w:r>
      <w:r w:rsidR="00342328" w:rsidRPr="004B2C96">
        <w:t xml:space="preserve">Sexual </w:t>
      </w:r>
      <w:r w:rsidRPr="004B2C96">
        <w:t xml:space="preserve">y </w:t>
      </w:r>
      <w:r w:rsidR="00342328" w:rsidRPr="004B2C96">
        <w:t xml:space="preserve">TOMA DE </w:t>
      </w:r>
      <w:r w:rsidRPr="004B2C96">
        <w:t>concien</w:t>
      </w:r>
      <w:r w:rsidR="00342328" w:rsidRPr="004B2C96">
        <w:t>CIA</w:t>
      </w:r>
      <w:bookmarkEnd w:id="22"/>
    </w:p>
    <w:p w14:paraId="7341D4A8" w14:textId="48A966BC" w:rsidR="0049019C" w:rsidRDefault="00CD0EAF" w:rsidP="000D30E9">
      <w:pPr>
        <w:pStyle w:val="NormalIndented"/>
      </w:pPr>
      <w:r w:rsidRPr="000D30E9">
        <w:t xml:space="preserve">El Comité de </w:t>
      </w:r>
      <w:r w:rsidR="00F41B18" w:rsidRPr="000D30E9">
        <w:t>D</w:t>
      </w:r>
      <w:r w:rsidRPr="000D30E9">
        <w:t xml:space="preserve">erechos </w:t>
      </w:r>
      <w:r w:rsidR="00F41B18" w:rsidRPr="000D30E9">
        <w:t>H</w:t>
      </w:r>
      <w:r w:rsidRPr="000D30E9">
        <w:t xml:space="preserve">umanos ha puesto de relieve repetidamente las obligaciones de los Estados </w:t>
      </w:r>
      <w:r w:rsidR="00F41B18" w:rsidRPr="000D30E9">
        <w:t xml:space="preserve">de </w:t>
      </w:r>
      <w:r w:rsidRPr="000D30E9">
        <w:t xml:space="preserve">aumentar el número y garantizar la </w:t>
      </w:r>
      <w:r w:rsidR="00F41B18" w:rsidRPr="000D30E9">
        <w:t xml:space="preserve">implementación </w:t>
      </w:r>
      <w:r w:rsidRPr="000D30E9">
        <w:t xml:space="preserve">de </w:t>
      </w:r>
      <w:r w:rsidR="00F41B18" w:rsidRPr="000D30E9">
        <w:t>programas de</w:t>
      </w:r>
      <w:r w:rsidR="00F41B18" w:rsidRPr="000D30E9" w:rsidDel="00F41B18">
        <w:t xml:space="preserve"> </w:t>
      </w:r>
      <w:r w:rsidR="00F41B18" w:rsidRPr="000D30E9">
        <w:t xml:space="preserve">educación y sensibilización en </w:t>
      </w:r>
      <w:r w:rsidRPr="000D30E9">
        <w:t>salud sexual y reproductiva</w:t>
      </w:r>
      <w:r>
        <w:rPr>
          <w:rStyle w:val="EndnoteReference"/>
          <w:rFonts w:cs="Times New Roman"/>
        </w:rPr>
        <w:endnoteReference w:id="119"/>
      </w:r>
      <w:r w:rsidRPr="000D30E9">
        <w:t>— tanto formalmente</w:t>
      </w:r>
      <w:r w:rsidR="0014341E" w:rsidRPr="000D30E9">
        <w:t>,</w:t>
      </w:r>
      <w:r>
        <w:rPr>
          <w:rStyle w:val="EndnoteReference"/>
          <w:rFonts w:cs="Times New Roman"/>
        </w:rPr>
        <w:endnoteReference w:id="120"/>
      </w:r>
      <w:r w:rsidR="0014341E" w:rsidRPr="000D30E9">
        <w:t xml:space="preserve"> </w:t>
      </w:r>
      <w:r w:rsidRPr="000D30E9">
        <w:t xml:space="preserve">en las escuelas y </w:t>
      </w:r>
      <w:r w:rsidR="00BC4F8D" w:rsidRPr="000D30E9">
        <w:t>universidades</w:t>
      </w:r>
      <w:r w:rsidR="0014341E" w:rsidRPr="000D30E9">
        <w:t>,</w:t>
      </w:r>
      <w:r w:rsidR="00BC4F8D" w:rsidRPr="000D30E9">
        <w:t xml:space="preserve"> </w:t>
      </w:r>
      <w:r w:rsidR="0014341E" w:rsidRPr="000D30E9">
        <w:t>como</w:t>
      </w:r>
      <w:r w:rsidRPr="000D30E9">
        <w:t xml:space="preserve"> informal</w:t>
      </w:r>
      <w:r w:rsidR="00BC4F8D" w:rsidRPr="000D30E9">
        <w:t>mente</w:t>
      </w:r>
      <w:r w:rsidR="0014341E" w:rsidRPr="000D30E9">
        <w:t>,</w:t>
      </w:r>
      <w:r>
        <w:rPr>
          <w:rStyle w:val="EndnoteReference"/>
          <w:rFonts w:cs="Times New Roman"/>
        </w:rPr>
        <w:endnoteReference w:id="121"/>
      </w:r>
      <w:r w:rsidR="0014341E" w:rsidRPr="000D30E9">
        <w:t xml:space="preserve"> </w:t>
      </w:r>
      <w:r w:rsidRPr="000D30E9">
        <w:t>a través de los medios de comunicación y otros m</w:t>
      </w:r>
      <w:r w:rsidR="00BC4F8D" w:rsidRPr="000D30E9">
        <w:t>edi</w:t>
      </w:r>
      <w:r w:rsidRPr="000D30E9">
        <w:t>os de comunicación. El Comité ha subrayado que tales programas deben abordar los derechos sexual</w:t>
      </w:r>
      <w:r w:rsidR="00BC4F8D" w:rsidRPr="000D30E9">
        <w:t>es</w:t>
      </w:r>
      <w:r w:rsidRPr="000D30E9">
        <w:t xml:space="preserve"> y reproductiv</w:t>
      </w:r>
      <w:r w:rsidR="00BC4F8D" w:rsidRPr="000D30E9">
        <w:t>os</w:t>
      </w:r>
      <w:r>
        <w:rPr>
          <w:rStyle w:val="EndnoteReference"/>
          <w:rFonts w:cs="Times New Roman"/>
        </w:rPr>
        <w:endnoteReference w:id="122"/>
      </w:r>
      <w:r w:rsidRPr="000D30E9">
        <w:t xml:space="preserve"> y los métodos anticonceptivos y uso.</w:t>
      </w:r>
      <w:r>
        <w:rPr>
          <w:rStyle w:val="EndnoteReference"/>
          <w:rFonts w:cs="Times New Roman"/>
        </w:rPr>
        <w:endnoteReference w:id="123"/>
      </w:r>
      <w:r w:rsidRPr="000D30E9">
        <w:t xml:space="preserve"> En al menos un caso, el Comité ha subrayado que tales programas debe</w:t>
      </w:r>
      <w:r w:rsidR="00BC4F8D" w:rsidRPr="000D30E9">
        <w:t>rían</w:t>
      </w:r>
      <w:r w:rsidRPr="000D30E9">
        <w:t xml:space="preserve"> dirigir a adolescentes en particular.</w:t>
      </w:r>
      <w:r>
        <w:rPr>
          <w:rStyle w:val="EndnoteReference"/>
          <w:rFonts w:cs="Times New Roman"/>
        </w:rPr>
        <w:endnoteReference w:id="124"/>
      </w:r>
      <w:r>
        <w:t xml:space="preserve"> </w:t>
      </w:r>
    </w:p>
    <w:p w14:paraId="30F33B57" w14:textId="0BD91A1C" w:rsidR="0049019C" w:rsidRDefault="00CD0EAF" w:rsidP="000D30E9">
      <w:pPr>
        <w:pStyle w:val="NormalIndented"/>
      </w:pPr>
      <w:r>
        <w:t xml:space="preserve">En al menos un caso, el Comité ha expresado preocupación de que la educación sexual insuficiente en </w:t>
      </w:r>
      <w:r w:rsidR="00BC4F8D">
        <w:t>la currícula</w:t>
      </w:r>
      <w:r>
        <w:t xml:space="preserve"> es</w:t>
      </w:r>
      <w:r w:rsidR="00BC4F8D">
        <w:t>colar</w:t>
      </w:r>
      <w:r>
        <w:t xml:space="preserve"> contribuye a altas tasas de aborto inseguro y la </w:t>
      </w:r>
      <w:r w:rsidR="00BC4F8D">
        <w:t>consecuente</w:t>
      </w:r>
      <w:r>
        <w:t xml:space="preserve"> </w:t>
      </w:r>
      <w:r w:rsidR="00BC4F8D">
        <w:t xml:space="preserve">pérdida </w:t>
      </w:r>
      <w:r>
        <w:t>de la vida.</w:t>
      </w:r>
      <w:r>
        <w:rPr>
          <w:rStyle w:val="EndnoteReference"/>
          <w:rFonts w:cs="Times New Roman"/>
        </w:rPr>
        <w:endnoteReference w:id="125"/>
      </w:r>
      <w:r w:rsidRPr="004B2C96">
        <w:rPr>
          <w:i/>
        </w:rPr>
        <w:t xml:space="preserve"> </w:t>
      </w:r>
      <w:r w:rsidRPr="000D30E9">
        <w:t xml:space="preserve">El Comité ha expresado preocupación por lo menos </w:t>
      </w:r>
      <w:r w:rsidR="00BC4F8D" w:rsidRPr="000D30E9">
        <w:t xml:space="preserve">respecto de </w:t>
      </w:r>
      <w:r w:rsidRPr="000D30E9">
        <w:t xml:space="preserve">otro Estado sobre la naturaleza de la educación sexual, señalando que el </w:t>
      </w:r>
      <w:r w:rsidR="00BC4F8D" w:rsidRPr="000D30E9">
        <w:t>E</w:t>
      </w:r>
      <w:r w:rsidRPr="000D30E9">
        <w:t>stado debe</w:t>
      </w:r>
      <w:r w:rsidR="00BC4F8D" w:rsidRPr="000D30E9">
        <w:t>ría</w:t>
      </w:r>
      <w:r w:rsidRPr="000D30E9">
        <w:t xml:space="preserve"> </w:t>
      </w:r>
      <w:r w:rsidR="00BC4F8D" w:rsidRPr="000D30E9">
        <w:t>garantizar</w:t>
      </w:r>
      <w:r w:rsidRPr="000D30E9">
        <w:t xml:space="preserve"> que las escuelas incluy</w:t>
      </w:r>
      <w:r w:rsidR="00BC4F8D" w:rsidRPr="000D30E9">
        <w:t>a</w:t>
      </w:r>
      <w:r w:rsidRPr="000D30E9">
        <w:t>n educación sexual precisa y objetiva en su</w:t>
      </w:r>
      <w:r w:rsidR="00BC4F8D" w:rsidRPr="000D30E9">
        <w:t xml:space="preserve"> currícula</w:t>
      </w:r>
      <w:r w:rsidRPr="000D30E9">
        <w:t>.</w:t>
      </w:r>
      <w:r>
        <w:rPr>
          <w:rStyle w:val="EndnoteReference"/>
          <w:rFonts w:cs="Times New Roman"/>
        </w:rPr>
        <w:endnoteReference w:id="126"/>
      </w:r>
    </w:p>
    <w:p w14:paraId="1DE4EDE3" w14:textId="1E92BBF5" w:rsidR="0049019C" w:rsidRPr="004B2C96" w:rsidRDefault="00CD0EAF">
      <w:pPr>
        <w:pStyle w:val="Heading3"/>
      </w:pPr>
      <w:bookmarkStart w:id="23" w:name="_Toc498590682"/>
      <w:r w:rsidRPr="004B2C96">
        <w:lastRenderedPageBreak/>
        <w:t>Esterilización forzada y aborto forzado</w:t>
      </w:r>
      <w:bookmarkEnd w:id="23"/>
    </w:p>
    <w:p w14:paraId="5E526A16" w14:textId="77550D57" w:rsidR="0049019C" w:rsidRDefault="00CD0EAF" w:rsidP="000D30E9">
      <w:pPr>
        <w:pStyle w:val="NormalIndented"/>
      </w:pPr>
      <w:r w:rsidRPr="000D30E9">
        <w:t xml:space="preserve">El Comité de </w:t>
      </w:r>
      <w:r w:rsidR="00BC4F8D" w:rsidRPr="000D30E9">
        <w:t>D</w:t>
      </w:r>
      <w:r w:rsidRPr="000D30E9">
        <w:t xml:space="preserve">erechos </w:t>
      </w:r>
      <w:r w:rsidR="00BC4F8D" w:rsidRPr="000D30E9">
        <w:t>H</w:t>
      </w:r>
      <w:r w:rsidRPr="000D30E9">
        <w:t xml:space="preserve">umanos ha expresado preocupación por las mujeres </w:t>
      </w:r>
      <w:r w:rsidR="000A3981" w:rsidRPr="000D30E9">
        <w:t>sujetas</w:t>
      </w:r>
      <w:r w:rsidRPr="000D30E9">
        <w:t xml:space="preserve"> a esterilización sin su consentimiento.</w:t>
      </w:r>
      <w:r>
        <w:rPr>
          <w:rStyle w:val="EndnoteReference"/>
          <w:rFonts w:cs="Times New Roman"/>
        </w:rPr>
        <w:endnoteReference w:id="127"/>
      </w:r>
      <w:r w:rsidRPr="004B2C96">
        <w:rPr>
          <w:i/>
        </w:rPr>
        <w:t xml:space="preserve"> </w:t>
      </w:r>
      <w:r w:rsidRPr="000D30E9">
        <w:t>El Comité ha acogido con satisfacción el desarrollo de leyes de varios Estados encaminadas a que requieran consentimiento previo</w:t>
      </w:r>
      <w:r w:rsidR="000A3981" w:rsidRPr="000D30E9">
        <w:t>,</w:t>
      </w:r>
      <w:r w:rsidRPr="000D30E9">
        <w:t xml:space="preserve"> libre e informado para esterilización quirúrgica pero observó con preocupación que la evolución legislativa no cumple toda la gama de las obligaciones </w:t>
      </w:r>
      <w:r w:rsidR="000A3981" w:rsidRPr="000D30E9">
        <w:t>que los Estados</w:t>
      </w:r>
      <w:r w:rsidRPr="000D30E9">
        <w:t xml:space="preserve"> </w:t>
      </w:r>
      <w:r w:rsidR="000A3981" w:rsidRPr="000D30E9">
        <w:t xml:space="preserve">deben cumplir respecto a </w:t>
      </w:r>
      <w:r w:rsidRPr="000D30E9">
        <w:t>esterilizaciones</w:t>
      </w:r>
      <w:r w:rsidR="000A3981" w:rsidRPr="000D30E9">
        <w:t xml:space="preserve"> forzadas y coaccionadas</w:t>
      </w:r>
      <w:r w:rsidRPr="000D30E9">
        <w:t xml:space="preserve">, incluida la obligación de </w:t>
      </w:r>
      <w:r w:rsidR="000A3981" w:rsidRPr="000D30E9">
        <w:t>r</w:t>
      </w:r>
      <w:r w:rsidRPr="000D30E9">
        <w:t>epara</w:t>
      </w:r>
      <w:r w:rsidR="000A3981" w:rsidRPr="000D30E9">
        <w:t>r</w:t>
      </w:r>
      <w:r w:rsidRPr="000D30E9">
        <w:t xml:space="preserve"> a víctimas de esterilización forzada.</w:t>
      </w:r>
      <w:r>
        <w:rPr>
          <w:rStyle w:val="EndnoteReference"/>
          <w:rFonts w:cs="Times New Roman"/>
        </w:rPr>
        <w:endnoteReference w:id="128"/>
      </w:r>
      <w:r w:rsidRPr="000D30E9">
        <w:t xml:space="preserve"> El Comité ha pedido a varios Estados garantizar que las mujeres que desean la esterilización </w:t>
      </w:r>
      <w:r w:rsidR="000A3981" w:rsidRPr="000D30E9">
        <w:t>brinden</w:t>
      </w:r>
      <w:r w:rsidRPr="000D30E9">
        <w:t xml:space="preserve"> su consentimiento completo e informado para el procedimiento.</w:t>
      </w:r>
      <w:r>
        <w:rPr>
          <w:rStyle w:val="EndnoteReference"/>
          <w:rFonts w:cs="Times New Roman"/>
        </w:rPr>
        <w:endnoteReference w:id="129"/>
      </w:r>
      <w:r w:rsidRPr="000D30E9">
        <w:t xml:space="preserve"> En al menos dos instancias, el Comité ha pedido las medidas necesarias para evitar la esterilización involuntaria o coactiva en el futuro,</w:t>
      </w:r>
      <w:r>
        <w:rPr>
          <w:rStyle w:val="EndnoteReference"/>
          <w:rFonts w:cs="Times New Roman"/>
        </w:rPr>
        <w:endnoteReference w:id="130"/>
      </w:r>
      <w:r w:rsidRPr="000D30E9">
        <w:t xml:space="preserve">  incluyendo formularios de consentimiento escrito</w:t>
      </w:r>
      <w:r w:rsidR="000A3981" w:rsidRPr="000D30E9">
        <w:t>s</w:t>
      </w:r>
      <w:r w:rsidRPr="000D30E9">
        <w:t xml:space="preserve"> </w:t>
      </w:r>
      <w:r w:rsidR="000A3981" w:rsidRPr="000D30E9">
        <w:t xml:space="preserve">e </w:t>
      </w:r>
      <w:r w:rsidRPr="000D30E9">
        <w:t>impreso</w:t>
      </w:r>
      <w:r w:rsidR="000A3981" w:rsidRPr="000D30E9">
        <w:t>s</w:t>
      </w:r>
      <w:r w:rsidRPr="000D30E9">
        <w:t xml:space="preserve"> en idiomas alternos y una explicación de</w:t>
      </w:r>
      <w:r w:rsidR="000A3981" w:rsidRPr="000D30E9">
        <w:t>l</w:t>
      </w:r>
      <w:r w:rsidRPr="000D30E9">
        <w:t xml:space="preserve">  </w:t>
      </w:r>
      <w:r w:rsidR="000A3981" w:rsidRPr="000D30E9">
        <w:t xml:space="preserve">procedimiento de </w:t>
      </w:r>
      <w:r w:rsidRPr="000D30E9">
        <w:t>esterilización por una persona competente en la lengua del paciente.</w:t>
      </w:r>
      <w:r>
        <w:rPr>
          <w:rStyle w:val="EndnoteReference"/>
          <w:rFonts w:cs="Times New Roman"/>
        </w:rPr>
        <w:endnoteReference w:id="131"/>
      </w:r>
    </w:p>
    <w:p w14:paraId="1E34AD39" w14:textId="223975F7" w:rsidR="0049019C" w:rsidRDefault="00CD0EAF" w:rsidP="000D30E9">
      <w:pPr>
        <w:pStyle w:val="NormalIndented"/>
      </w:pPr>
      <w:r>
        <w:t xml:space="preserve">En al menos un caso, el Comité de </w:t>
      </w:r>
      <w:r w:rsidR="000A3981">
        <w:t>D</w:t>
      </w:r>
      <w:r>
        <w:t xml:space="preserve">erechos </w:t>
      </w:r>
      <w:r w:rsidR="000A3981">
        <w:t>H</w:t>
      </w:r>
      <w:r>
        <w:t>umanos también expresó su preocupación por los empleadores que requieren certificados de esterilización como un componente de empleo de mujer</w:t>
      </w:r>
      <w:r w:rsidR="000A3981">
        <w:t>es</w:t>
      </w:r>
      <w:r>
        <w:t xml:space="preserve"> y llama al </w:t>
      </w:r>
      <w:r w:rsidR="000A3981">
        <w:t>E</w:t>
      </w:r>
      <w:r>
        <w:t>stado a imponer sanciones adecuadas para frenar esta práctica ilegal.</w:t>
      </w:r>
      <w:r>
        <w:rPr>
          <w:rStyle w:val="EndnoteReference"/>
          <w:rFonts w:cs="Times New Roman"/>
        </w:rPr>
        <w:endnoteReference w:id="132"/>
      </w:r>
    </w:p>
    <w:p w14:paraId="4E526974" w14:textId="1DD39A80" w:rsidR="0049019C" w:rsidRPr="00491CAE" w:rsidRDefault="00CD0EAF" w:rsidP="00855BF7">
      <w:pPr>
        <w:pStyle w:val="Heading4"/>
        <w:adjustRightInd w:val="0"/>
        <w:snapToGrid w:val="0"/>
        <w:spacing w:before="260"/>
      </w:pPr>
      <w:r w:rsidRPr="00491CAE">
        <w:t xml:space="preserve">Capacidad </w:t>
      </w:r>
      <w:r w:rsidR="000A3981" w:rsidRPr="00491CAE">
        <w:t>J</w:t>
      </w:r>
      <w:r w:rsidRPr="00491CAE">
        <w:t xml:space="preserve">urídica y </w:t>
      </w:r>
      <w:r w:rsidR="000A3981" w:rsidRPr="00491CAE">
        <w:t>C</w:t>
      </w:r>
      <w:r w:rsidRPr="00491CAE">
        <w:t xml:space="preserve">onsentimiento </w:t>
      </w:r>
      <w:r w:rsidR="000A3981" w:rsidRPr="00491CAE">
        <w:t>I</w:t>
      </w:r>
      <w:r w:rsidRPr="00491CAE">
        <w:t>nformado</w:t>
      </w:r>
    </w:p>
    <w:p w14:paraId="3F86C532" w14:textId="52530D8D" w:rsidR="0049019C" w:rsidRDefault="000A3981">
      <w:pPr>
        <w:pStyle w:val="NormalIndented"/>
      </w:pPr>
      <w:r>
        <w:t xml:space="preserve">El </w:t>
      </w:r>
      <w:r w:rsidR="00CD0EAF">
        <w:t xml:space="preserve">Comité de </w:t>
      </w:r>
      <w:r>
        <w:t>D</w:t>
      </w:r>
      <w:r w:rsidR="00CD0EAF">
        <w:t xml:space="preserve">erechos </w:t>
      </w:r>
      <w:r>
        <w:t>H</w:t>
      </w:r>
      <w:r w:rsidR="00CD0EAF">
        <w:t xml:space="preserve">umanos ha expresado preocupación </w:t>
      </w:r>
      <w:r w:rsidR="004F7B00">
        <w:t>e</w:t>
      </w:r>
      <w:r w:rsidR="00CD0EAF">
        <w:t xml:space="preserve">n al menos un </w:t>
      </w:r>
      <w:r w:rsidR="004F7B00">
        <w:t>E</w:t>
      </w:r>
      <w:r w:rsidR="00CD0EAF">
        <w:t xml:space="preserve">stado por la falta de representación legal para individuos que han sido privados de su capacidad jurídica en la toma de decisiones en procedimientos médicos, así como la falta de un derecho </w:t>
      </w:r>
      <w:r w:rsidR="004F7B00">
        <w:t xml:space="preserve">reconocido legalmente </w:t>
      </w:r>
      <w:r w:rsidR="00CD0EAF">
        <w:t>para las personas que han sido declaradas legalmente incapacitadas para iniciar procedimientos judiciales para revisar su capacidad jurídica.</w:t>
      </w:r>
      <w:r w:rsidR="00CD0EAF">
        <w:rPr>
          <w:rStyle w:val="EndnoteReference"/>
          <w:rFonts w:cs="Times New Roman"/>
        </w:rPr>
        <w:endnoteReference w:id="133"/>
      </w:r>
      <w:r w:rsidR="00CD0EAF">
        <w:t xml:space="preserve"> El Comité de </w:t>
      </w:r>
      <w:r w:rsidR="004F7B00">
        <w:t>D</w:t>
      </w:r>
      <w:r w:rsidR="00CD0EAF">
        <w:t xml:space="preserve">erechos </w:t>
      </w:r>
      <w:r w:rsidR="004F7B00">
        <w:t>H</w:t>
      </w:r>
      <w:r w:rsidR="00CD0EAF">
        <w:t xml:space="preserve">umanos hizo hincapié que </w:t>
      </w:r>
      <w:r w:rsidR="005F62F4">
        <w:t>est</w:t>
      </w:r>
      <w:r w:rsidR="00CD0EAF">
        <w:t xml:space="preserve">a falta de representación legal adecuada puede </w:t>
      </w:r>
      <w:r w:rsidR="005F62F4">
        <w:t xml:space="preserve">generar </w:t>
      </w:r>
      <w:r w:rsidR="00CD0EAF">
        <w:t xml:space="preserve">consecuencias negativas para las mujeres con discapacidad privadas de su capacidad jurídica, </w:t>
      </w:r>
      <w:r w:rsidR="005F62F4">
        <w:t xml:space="preserve">pues </w:t>
      </w:r>
      <w:r w:rsidR="00CD0EAF">
        <w:t xml:space="preserve">puede llevar a esterilizaciones y abortos autorizados por </w:t>
      </w:r>
      <w:r w:rsidR="005F62F4">
        <w:t>las cortes</w:t>
      </w:r>
      <w:r w:rsidR="00CD0EAF">
        <w:t>.</w:t>
      </w:r>
      <w:r w:rsidR="00CD0EAF">
        <w:rPr>
          <w:rStyle w:val="EndnoteReference"/>
          <w:rFonts w:cs="Times New Roman"/>
        </w:rPr>
        <w:endnoteReference w:id="134"/>
      </w:r>
      <w:r w:rsidR="00CD0EAF">
        <w:t xml:space="preserve"> El Comité hizo hincapié en que el </w:t>
      </w:r>
      <w:r w:rsidR="005F62F4">
        <w:t>E</w:t>
      </w:r>
      <w:r w:rsidR="00CD0EAF">
        <w:t>stado debe</w:t>
      </w:r>
      <w:r w:rsidR="005F62F4">
        <w:t>ría</w:t>
      </w:r>
      <w:r w:rsidR="00CD0EAF">
        <w:t xml:space="preserve"> garantizar la libre y efectiva representación legal para individuos en todos los procedimientos respecto a su capacidad jurídica, inclu</w:t>
      </w:r>
      <w:r w:rsidR="005F62F4">
        <w:t>yendo</w:t>
      </w:r>
      <w:r w:rsidR="00CD0EAF">
        <w:t xml:space="preserve"> acciones para que su capacidad jurídica </w:t>
      </w:r>
      <w:r w:rsidR="005F62F4">
        <w:t xml:space="preserve">sea revisada </w:t>
      </w:r>
      <w:r w:rsidR="00CD0EAF">
        <w:t>y en todos los asuntos que afectan a su</w:t>
      </w:r>
      <w:r w:rsidR="005F62F4" w:rsidRPr="005F62F4">
        <w:t xml:space="preserve"> </w:t>
      </w:r>
      <w:r w:rsidR="005F62F4">
        <w:t>salud</w:t>
      </w:r>
      <w:r w:rsidR="00CD0EAF">
        <w:t xml:space="preserve"> físic</w:t>
      </w:r>
      <w:r w:rsidR="005F62F4">
        <w:t>a</w:t>
      </w:r>
      <w:r w:rsidR="00CD0EAF">
        <w:t xml:space="preserve"> y mental.</w:t>
      </w:r>
      <w:r w:rsidR="00CD0EAF">
        <w:rPr>
          <w:rStyle w:val="EndnoteReference"/>
          <w:rFonts w:cs="Times New Roman"/>
        </w:rPr>
        <w:endnoteReference w:id="135"/>
      </w:r>
      <w:r w:rsidR="00CD0EAF">
        <w:t xml:space="preserve"> </w:t>
      </w:r>
    </w:p>
    <w:p w14:paraId="11BEB6DA" w14:textId="75A83796" w:rsidR="0049019C" w:rsidRDefault="00CD0EAF" w:rsidP="00491CAE">
      <w:pPr>
        <w:pStyle w:val="Heading4"/>
        <w:adjustRightInd w:val="0"/>
        <w:snapToGrid w:val="0"/>
        <w:spacing w:before="300"/>
      </w:pPr>
      <w:r>
        <w:t xml:space="preserve">Obligaciones de </w:t>
      </w:r>
      <w:r w:rsidR="005F62F4">
        <w:t>Debida D</w:t>
      </w:r>
      <w:r>
        <w:t xml:space="preserve">iligencia </w:t>
      </w:r>
    </w:p>
    <w:p w14:paraId="57ADC900" w14:textId="1073F646" w:rsidR="0049019C" w:rsidRDefault="00CD0EAF">
      <w:pPr>
        <w:pStyle w:val="NormalIndented"/>
      </w:pPr>
      <w:r>
        <w:t xml:space="preserve">El Comité de </w:t>
      </w:r>
      <w:r w:rsidR="005F62F4">
        <w:t>D</w:t>
      </w:r>
      <w:r>
        <w:t xml:space="preserve">erechos </w:t>
      </w:r>
      <w:r w:rsidR="005F62F4">
        <w:t>H</w:t>
      </w:r>
      <w:r>
        <w:t xml:space="preserve">umanos ha expresado preocupación </w:t>
      </w:r>
      <w:r w:rsidR="005F62F4">
        <w:t>respecto a</w:t>
      </w:r>
      <w:r>
        <w:t xml:space="preserve"> por lo menos dos Estados por la falta de proceso penal contra</w:t>
      </w:r>
      <w:r w:rsidR="005F62F4">
        <w:t>,</w:t>
      </w:r>
      <w:r>
        <w:t xml:space="preserve"> y </w:t>
      </w:r>
      <w:r w:rsidR="005F62F4">
        <w:t xml:space="preserve">la sanción </w:t>
      </w:r>
      <w:r>
        <w:t>de los responsables de la esterilización involuntaria.</w:t>
      </w:r>
      <w:r>
        <w:rPr>
          <w:rStyle w:val="EndnoteReference"/>
          <w:rFonts w:cs="Times New Roman"/>
        </w:rPr>
        <w:endnoteReference w:id="136"/>
      </w:r>
      <w:r>
        <w:t xml:space="preserve"> El Comité ha </w:t>
      </w:r>
      <w:r w:rsidR="005F62F4">
        <w:t>resaltado</w:t>
      </w:r>
      <w:r>
        <w:t xml:space="preserve"> que los Estados tienen la obligación de investigar,</w:t>
      </w:r>
      <w:r>
        <w:rPr>
          <w:rStyle w:val="EndnoteReference"/>
          <w:rFonts w:cs="Times New Roman"/>
        </w:rPr>
        <w:endnoteReference w:id="137"/>
      </w:r>
      <w:r>
        <w:t xml:space="preserve"> </w:t>
      </w:r>
      <w:r w:rsidR="005F62F4">
        <w:t>enjuiciar</w:t>
      </w:r>
      <w:r>
        <w:t>,</w:t>
      </w:r>
      <w:r>
        <w:rPr>
          <w:rStyle w:val="EndnoteReference"/>
          <w:rFonts w:cs="Times New Roman"/>
        </w:rPr>
        <w:endnoteReference w:id="138"/>
      </w:r>
      <w:r>
        <w:t xml:space="preserve"> y </w:t>
      </w:r>
      <w:r w:rsidR="005F62F4">
        <w:t>sancionar</w:t>
      </w:r>
      <w:r>
        <w:rPr>
          <w:rStyle w:val="EndnoteReference"/>
          <w:rFonts w:cs="Times New Roman"/>
        </w:rPr>
        <w:endnoteReference w:id="139"/>
      </w:r>
      <w:r>
        <w:t xml:space="preserve"> </w:t>
      </w:r>
      <w:r w:rsidR="005F62F4">
        <w:t xml:space="preserve">a los responsables </w:t>
      </w:r>
      <w:r>
        <w:t>de esterilización forz</w:t>
      </w:r>
      <w:r w:rsidR="005F62F4">
        <w:t>ad</w:t>
      </w:r>
      <w:r>
        <w:t xml:space="preserve">a y </w:t>
      </w:r>
      <w:r w:rsidR="005F62F4">
        <w:t xml:space="preserve">bajo coerción, </w:t>
      </w:r>
      <w:r>
        <w:t>y proporcionar recursos adecuados, incluyendo la asistencia jurídica gratuita</w:t>
      </w:r>
      <w:r>
        <w:rPr>
          <w:rStyle w:val="EndnoteReference"/>
          <w:rFonts w:cs="Times New Roman"/>
        </w:rPr>
        <w:endnoteReference w:id="140"/>
      </w:r>
      <w:r>
        <w:t>— a víctimas de la esterilización involuntaria.</w:t>
      </w:r>
      <w:r>
        <w:rPr>
          <w:rStyle w:val="EndnoteReference"/>
          <w:rFonts w:cs="Times New Roman"/>
        </w:rPr>
        <w:endnoteReference w:id="141"/>
      </w:r>
      <w:r>
        <w:t xml:space="preserve"> En al menos un caso, el Comité también ha pedido </w:t>
      </w:r>
      <w:r w:rsidR="005F62F4">
        <w:t xml:space="preserve">a </w:t>
      </w:r>
      <w:r>
        <w:t xml:space="preserve">un </w:t>
      </w:r>
      <w:r w:rsidR="005F62F4">
        <w:t>E</w:t>
      </w:r>
      <w:r>
        <w:t xml:space="preserve">stado </w:t>
      </w:r>
      <w:r w:rsidR="005F62F4">
        <w:t>difundir</w:t>
      </w:r>
      <w:r>
        <w:t xml:space="preserve"> los resultados de una investigación sobre esterilizaciones forz</w:t>
      </w:r>
      <w:r w:rsidR="005F62F4">
        <w:t>ad</w:t>
      </w:r>
      <w:r>
        <w:t xml:space="preserve">as y </w:t>
      </w:r>
      <w:r w:rsidR="005F62F4">
        <w:t>bajo coerción</w:t>
      </w:r>
      <w:r>
        <w:t>.</w:t>
      </w:r>
      <w:r>
        <w:rPr>
          <w:rStyle w:val="EndnoteReference"/>
          <w:rFonts w:cs="Times New Roman"/>
        </w:rPr>
        <w:endnoteReference w:id="142"/>
      </w:r>
    </w:p>
    <w:p w14:paraId="14D11CFE" w14:textId="1C102672" w:rsidR="0049019C" w:rsidRDefault="00CD0EAF" w:rsidP="00491CAE">
      <w:pPr>
        <w:pStyle w:val="Heading4"/>
        <w:adjustRightInd w:val="0"/>
        <w:snapToGrid w:val="0"/>
        <w:spacing w:before="300"/>
      </w:pPr>
      <w:r>
        <w:t xml:space="preserve">Capacitación y </w:t>
      </w:r>
      <w:r w:rsidR="005F62F4">
        <w:t>O</w:t>
      </w:r>
      <w:r>
        <w:t>rientación</w:t>
      </w:r>
    </w:p>
    <w:p w14:paraId="43BE52E9" w14:textId="0129F0A0" w:rsidR="0049019C" w:rsidRDefault="00CD0EAF">
      <w:pPr>
        <w:pStyle w:val="NormalIndented"/>
      </w:pPr>
      <w:r>
        <w:t xml:space="preserve">El Comité de </w:t>
      </w:r>
      <w:r w:rsidR="005F62F4">
        <w:t>D</w:t>
      </w:r>
      <w:r>
        <w:t xml:space="preserve">erechos </w:t>
      </w:r>
      <w:r w:rsidR="005F62F4">
        <w:t>H</w:t>
      </w:r>
      <w:r>
        <w:t>umanos ha pedido a</w:t>
      </w:r>
      <w:r w:rsidR="005F62F4">
        <w:t>l menos a d</w:t>
      </w:r>
      <w:r>
        <w:t>os Estados introducir una formación especial para profesionales de la salud</w:t>
      </w:r>
      <w:r>
        <w:rPr>
          <w:rStyle w:val="EndnoteReference"/>
          <w:rFonts w:cs="Times New Roman"/>
        </w:rPr>
        <w:endnoteReference w:id="143"/>
      </w:r>
      <w:r>
        <w:t xml:space="preserve"> para concien</w:t>
      </w:r>
      <w:r w:rsidR="005F62F4">
        <w:t>t</w:t>
      </w:r>
      <w:r>
        <w:t>i</w:t>
      </w:r>
      <w:r w:rsidR="005F62F4">
        <w:t>z</w:t>
      </w:r>
      <w:r>
        <w:t>ar sobre los efectos nocivos de la esterilización forzada</w:t>
      </w:r>
      <w:r>
        <w:rPr>
          <w:rStyle w:val="EndnoteReference"/>
          <w:rFonts w:cs="Times New Roman"/>
        </w:rPr>
        <w:endnoteReference w:id="144"/>
      </w:r>
      <w:r>
        <w:t xml:space="preserve"> y sobre los derechos humanos de los pacientes.</w:t>
      </w:r>
      <w:r>
        <w:rPr>
          <w:rStyle w:val="EndnoteReference"/>
          <w:rFonts w:cs="Times New Roman"/>
        </w:rPr>
        <w:endnoteReference w:id="145"/>
      </w:r>
    </w:p>
    <w:p w14:paraId="4104F9BD" w14:textId="56065532" w:rsidR="0049019C" w:rsidRDefault="00CD0EAF" w:rsidP="00491CAE">
      <w:pPr>
        <w:pStyle w:val="Heading4"/>
        <w:adjustRightInd w:val="0"/>
        <w:snapToGrid w:val="0"/>
        <w:spacing w:before="300"/>
      </w:pPr>
      <w:r>
        <w:t>Re</w:t>
      </w:r>
      <w:r w:rsidR="005F62F4">
        <w:t>curs</w:t>
      </w:r>
      <w:r>
        <w:t xml:space="preserve">os y </w:t>
      </w:r>
      <w:r w:rsidR="005F62F4">
        <w:t>Reparación</w:t>
      </w:r>
    </w:p>
    <w:p w14:paraId="7510B870" w14:textId="62D96BBF" w:rsidR="00491CAE" w:rsidRDefault="00CD0EAF" w:rsidP="00855BF7">
      <w:pPr>
        <w:pStyle w:val="NormalIndented"/>
        <w:widowControl w:val="0"/>
      </w:pPr>
      <w:r>
        <w:t xml:space="preserve">En al menos dos instancias, el Comité de </w:t>
      </w:r>
      <w:r w:rsidR="00F02BC5">
        <w:t>D</w:t>
      </w:r>
      <w:r>
        <w:t xml:space="preserve">erechos </w:t>
      </w:r>
      <w:r w:rsidR="00F02BC5">
        <w:t>H</w:t>
      </w:r>
      <w:r>
        <w:t>umanos ha expresado preocupación por la fal</w:t>
      </w:r>
      <w:r w:rsidR="00F02BC5">
        <w:t>l</w:t>
      </w:r>
      <w:r>
        <w:t xml:space="preserve">a de un </w:t>
      </w:r>
      <w:r w:rsidR="00F02BC5">
        <w:t>E</w:t>
      </w:r>
      <w:r>
        <w:t xml:space="preserve">stado </w:t>
      </w:r>
      <w:r w:rsidR="00F02BC5">
        <w:t>en</w:t>
      </w:r>
      <w:r>
        <w:t xml:space="preserve"> compensar a las víctimas que fueron esterilizadas </w:t>
      </w:r>
      <w:r w:rsidR="00F02BC5">
        <w:t>de manera forzada</w:t>
      </w:r>
      <w:r>
        <w:t>.</w:t>
      </w:r>
      <w:r>
        <w:rPr>
          <w:rStyle w:val="EndnoteReference"/>
          <w:rFonts w:cs="Times New Roman"/>
        </w:rPr>
        <w:endnoteReference w:id="146"/>
      </w:r>
      <w:r>
        <w:t xml:space="preserve"> El Comité ha pedido al menos </w:t>
      </w:r>
      <w:r w:rsidR="00F02BC5">
        <w:t xml:space="preserve">a </w:t>
      </w:r>
      <w:r>
        <w:t xml:space="preserve">un </w:t>
      </w:r>
      <w:r w:rsidR="00F02BC5">
        <w:t>E</w:t>
      </w:r>
      <w:r>
        <w:t>stado establecer un mecanismo de compensación para las víctimas que experimentaron esterilización forzada en el pasado, incluso cuando es</w:t>
      </w:r>
      <w:r w:rsidR="00F02BC5">
        <w:t>o</w:t>
      </w:r>
      <w:r>
        <w:t xml:space="preserve">s </w:t>
      </w:r>
      <w:r w:rsidR="00F02BC5">
        <w:t xml:space="preserve">reclamos </w:t>
      </w:r>
      <w:r>
        <w:t>pueden haber caducado.</w:t>
      </w:r>
      <w:r>
        <w:rPr>
          <w:rStyle w:val="EndnoteReference"/>
          <w:rFonts w:cs="Times New Roman"/>
        </w:rPr>
        <w:endnoteReference w:id="147"/>
      </w:r>
      <w:r>
        <w:t xml:space="preserve"> En al menos un caso, el Comité ha subrayado que un Estado debe </w:t>
      </w:r>
      <w:r w:rsidR="00F02BC5">
        <w:t>r</w:t>
      </w:r>
      <w:r>
        <w:t>epara</w:t>
      </w:r>
      <w:r w:rsidR="00F02BC5">
        <w:t>r</w:t>
      </w:r>
      <w:r>
        <w:t xml:space="preserve"> por esterilizaciones pasad</w:t>
      </w:r>
      <w:r w:rsidR="00F02BC5">
        <w:t>a</w:t>
      </w:r>
      <w:r>
        <w:t xml:space="preserve">s, incluyendo </w:t>
      </w:r>
      <w:r w:rsidR="00F02BC5">
        <w:t>reparaciones</w:t>
      </w:r>
      <w:r>
        <w:t xml:space="preserve"> no </w:t>
      </w:r>
      <w:r w:rsidR="00F02BC5">
        <w:t xml:space="preserve">económicas </w:t>
      </w:r>
      <w:r>
        <w:t>como una disculpa pública.</w:t>
      </w:r>
      <w:r>
        <w:rPr>
          <w:rStyle w:val="EndnoteReference"/>
          <w:rFonts w:cs="Times New Roman"/>
        </w:rPr>
        <w:endnoteReference w:id="148"/>
      </w:r>
    </w:p>
    <w:p w14:paraId="1C169732" w14:textId="306103FD" w:rsidR="0049019C" w:rsidRPr="004B2C96" w:rsidRDefault="00CD0EAF" w:rsidP="00515135">
      <w:pPr>
        <w:pStyle w:val="Heading2"/>
        <w:rPr>
          <w:b w:val="0"/>
        </w:rPr>
      </w:pPr>
      <w:bookmarkStart w:id="24" w:name="_Toc5974909"/>
      <w:r w:rsidRPr="004B2C96">
        <w:rPr>
          <w:b w:val="0"/>
        </w:rPr>
        <w:lastRenderedPageBreak/>
        <w:t>Denuncias Individuales</w:t>
      </w:r>
      <w:bookmarkEnd w:id="24"/>
    </w:p>
    <w:p w14:paraId="2CE6F417" w14:textId="1B8CC27F" w:rsidR="0049019C" w:rsidRPr="0014341E" w:rsidRDefault="00CD0EAF" w:rsidP="00753A59">
      <w:pPr>
        <w:pStyle w:val="Heading3GeneralComments"/>
      </w:pPr>
      <w:r w:rsidRPr="00753A59">
        <w:t>Amanda</w:t>
      </w:r>
      <w:r w:rsidRPr="0014341E">
        <w:t xml:space="preserve"> Mellet v. Irlanda (2016)</w:t>
      </w:r>
    </w:p>
    <w:p w14:paraId="30080701" w14:textId="57C0FFF2" w:rsidR="0049019C" w:rsidRDefault="00CD0EAF" w:rsidP="00491CAE">
      <w:pPr>
        <w:pStyle w:val="indentedafterbulletp"/>
      </w:pPr>
      <w:r w:rsidRPr="00982B2F">
        <w:t>Amanda Jane Mellet e</w:t>
      </w:r>
      <w:r w:rsidR="00B457A5" w:rsidRPr="00982B2F">
        <w:t>ra</w:t>
      </w:r>
      <w:r w:rsidRPr="00982B2F">
        <w:t xml:space="preserve"> una mujer embarazada que quería terminar su embarazo debido a una anomalía fetal </w:t>
      </w:r>
      <w:r w:rsidR="00982B2F" w:rsidRPr="00982B2F">
        <w:t>inviable</w:t>
      </w:r>
      <w:r w:rsidRPr="00982B2F">
        <w:t xml:space="preserve">, que significa que el feto </w:t>
      </w:r>
      <w:r w:rsidR="00B457A5" w:rsidRPr="00982B2F">
        <w:t xml:space="preserve">moriría </w:t>
      </w:r>
      <w:r w:rsidRPr="00982B2F">
        <w:t>en el útero o poco después del nacimiento.</w:t>
      </w:r>
      <w:r w:rsidRPr="00982B2F">
        <w:rPr>
          <w:rStyle w:val="EndnoteReference"/>
        </w:rPr>
        <w:endnoteReference w:id="149"/>
      </w:r>
      <w:r w:rsidRPr="00982B2F">
        <w:t xml:space="preserve"> La Constitución irlandesa establece un derecho a la vida del feto, y bajo la ley irlandesa, terminar un embarazo es ilegal a menos que la continuación del embarazo constituy</w:t>
      </w:r>
      <w:r w:rsidR="00B457A5" w:rsidRPr="00982B2F">
        <w:t>a</w:t>
      </w:r>
      <w:r w:rsidRPr="00982B2F">
        <w:t xml:space="preserve"> un riesgo importante para la vida de la mujer.</w:t>
      </w:r>
      <w:r w:rsidRPr="00982B2F">
        <w:rPr>
          <w:rStyle w:val="EndnoteReference"/>
        </w:rPr>
        <w:endnoteReference w:id="150"/>
      </w:r>
      <w:r w:rsidRPr="00982B2F">
        <w:t xml:space="preserve"> Como resultado, Mellet se vio obligad</w:t>
      </w:r>
      <w:r w:rsidR="00B457A5" w:rsidRPr="00982B2F">
        <w:t>a</w:t>
      </w:r>
      <w:r w:rsidRPr="00982B2F">
        <w:t xml:space="preserve"> a obtener un aborto en el Reino Unido y sufrió graves consecuencias mentales </w:t>
      </w:r>
      <w:r w:rsidR="00B457A5" w:rsidRPr="00982B2F">
        <w:t xml:space="preserve">por </w:t>
      </w:r>
      <w:r w:rsidRPr="00982B2F">
        <w:t xml:space="preserve">la prueba. El Comité de </w:t>
      </w:r>
      <w:r w:rsidR="00B457A5" w:rsidRPr="00982B2F">
        <w:t>D</w:t>
      </w:r>
      <w:r w:rsidRPr="00982B2F">
        <w:t xml:space="preserve">erechos </w:t>
      </w:r>
      <w:r w:rsidR="00B457A5" w:rsidRPr="00982B2F">
        <w:t>H</w:t>
      </w:r>
      <w:r w:rsidRPr="00982B2F">
        <w:t xml:space="preserve">umanos </w:t>
      </w:r>
      <w:r w:rsidR="00B457A5" w:rsidRPr="00982B2F">
        <w:t xml:space="preserve">encontró que la </w:t>
      </w:r>
      <w:r w:rsidRPr="00982B2F">
        <w:t xml:space="preserve">prohibición de Irlanda </w:t>
      </w:r>
      <w:r w:rsidR="00B457A5" w:rsidRPr="00982B2F">
        <w:t xml:space="preserve">al </w:t>
      </w:r>
      <w:r w:rsidRPr="00982B2F">
        <w:t xml:space="preserve">aborto en casos de </w:t>
      </w:r>
      <w:r w:rsidR="00342328" w:rsidRPr="00982B2F">
        <w:t>anomalía</w:t>
      </w:r>
      <w:r w:rsidRPr="00982B2F">
        <w:t xml:space="preserve"> fetal </w:t>
      </w:r>
      <w:r w:rsidR="00982B2F" w:rsidRPr="00982B2F">
        <w:t>inviable</w:t>
      </w:r>
      <w:r w:rsidR="00B457A5" w:rsidRPr="00982B2F">
        <w:t xml:space="preserve"> </w:t>
      </w:r>
      <w:r w:rsidRPr="00982B2F">
        <w:t xml:space="preserve">y </w:t>
      </w:r>
      <w:r w:rsidR="00B457A5" w:rsidRPr="00982B2F">
        <w:t xml:space="preserve">el </w:t>
      </w:r>
      <w:r w:rsidRPr="00982B2F">
        <w:t>tratamiento específico de Mellet en este caso, había violado su derecho a estar libre de tortura</w:t>
      </w:r>
      <w:r>
        <w:t xml:space="preserve"> o malos tratos,</w:t>
      </w:r>
      <w:r>
        <w:rPr>
          <w:rStyle w:val="EndnoteReference"/>
        </w:rPr>
        <w:endnoteReference w:id="151"/>
      </w:r>
      <w:r>
        <w:t xml:space="preserve"> a la privacidad,</w:t>
      </w:r>
      <w:r>
        <w:rPr>
          <w:rStyle w:val="EndnoteReference"/>
        </w:rPr>
        <w:endnoteReference w:id="152"/>
      </w:r>
      <w:r>
        <w:t xml:space="preserve"> y a la igualdad y no discriminación por motivos de sexo o género.</w:t>
      </w:r>
      <w:r>
        <w:rPr>
          <w:rStyle w:val="EndnoteReference"/>
        </w:rPr>
        <w:endnoteReference w:id="153"/>
      </w:r>
      <w:r>
        <w:t xml:space="preserve"> En particular, el Comité encontró que, debido a </w:t>
      </w:r>
      <w:r w:rsidR="00B457A5">
        <w:t xml:space="preserve">que </w:t>
      </w:r>
      <w:r>
        <w:t>su embarazo no era viable y las opciones limitada</w:t>
      </w:r>
      <w:r w:rsidR="00F756BF">
        <w:t>s</w:t>
      </w:r>
      <w:r>
        <w:t xml:space="preserve"> y la fuente de sufrimiento intenso, "la interferencia en la decisión de Mellet en cuanto a la mejor </w:t>
      </w:r>
      <w:r w:rsidR="00F756BF">
        <w:t xml:space="preserve">manera de hacer frente </w:t>
      </w:r>
      <w:r>
        <w:t>su embarazo</w:t>
      </w:r>
      <w:r w:rsidR="00F756BF">
        <w:t>,</w:t>
      </w:r>
      <w:r>
        <w:t xml:space="preserve"> </w:t>
      </w:r>
      <w:r w:rsidR="00F756BF">
        <w:t>era irrazonable</w:t>
      </w:r>
      <w:r>
        <w:t xml:space="preserve"> y arbitraria."</w:t>
      </w:r>
      <w:r>
        <w:rPr>
          <w:rStyle w:val="EndnoteReference"/>
        </w:rPr>
        <w:endnoteReference w:id="154"/>
      </w:r>
      <w:r>
        <w:t xml:space="preserve"> Para asegurarse de que Mellet recibió un recurso efectivo, </w:t>
      </w:r>
      <w:r w:rsidR="00F756BF">
        <w:t xml:space="preserve">el Comité </w:t>
      </w:r>
      <w:r>
        <w:t xml:space="preserve">específicamente encontró que, además de ofrecer compensación y </w:t>
      </w:r>
      <w:r w:rsidR="00F756BF">
        <w:t xml:space="preserve">atención </w:t>
      </w:r>
      <w:r>
        <w:t xml:space="preserve">psicológica a Mellet, </w:t>
      </w:r>
      <w:r w:rsidR="00F756BF">
        <w:t xml:space="preserve">Irlanda </w:t>
      </w:r>
      <w:r>
        <w:t>también debe modificar sus leyes para garantizar "</w:t>
      </w:r>
      <w:r w:rsidR="00F756BF">
        <w:t xml:space="preserve">procedimientos </w:t>
      </w:r>
      <w:r>
        <w:t>ef</w:t>
      </w:r>
      <w:r w:rsidR="00F756BF">
        <w:t>ectivos</w:t>
      </w:r>
      <w:r>
        <w:t>, oportun</w:t>
      </w:r>
      <w:r w:rsidR="00F756BF">
        <w:t>os</w:t>
      </w:r>
      <w:r>
        <w:t xml:space="preserve"> y accesible</w:t>
      </w:r>
      <w:r w:rsidR="00F756BF">
        <w:t>s</w:t>
      </w:r>
      <w:r>
        <w:t xml:space="preserve"> para la interrupción del embarazo en </w:t>
      </w:r>
      <w:r w:rsidR="00F756BF">
        <w:t>Irlanda</w:t>
      </w:r>
      <w:r>
        <w:t xml:space="preserve"> y tomar medidas para garantizar que los prestadores de salud est</w:t>
      </w:r>
      <w:r w:rsidR="00F756BF">
        <w:t>é</w:t>
      </w:r>
      <w:r>
        <w:t xml:space="preserve">n en una posición </w:t>
      </w:r>
      <w:r w:rsidR="00F756BF">
        <w:t xml:space="preserve">de [brindar] </w:t>
      </w:r>
      <w:r>
        <w:t>información complet</w:t>
      </w:r>
      <w:r w:rsidR="00F756BF">
        <w:t xml:space="preserve">a </w:t>
      </w:r>
      <w:r>
        <w:t>en servicios de aborto seguro sin temor a ser objeto de sanción penal."</w:t>
      </w:r>
      <w:r>
        <w:rPr>
          <w:rStyle w:val="EndnoteReference"/>
        </w:rPr>
        <w:endnoteReference w:id="155"/>
      </w:r>
    </w:p>
    <w:p w14:paraId="4128DE73" w14:textId="0D2DC5C0" w:rsidR="0049019C" w:rsidRPr="0014341E" w:rsidRDefault="00CD0EAF" w:rsidP="00753A59">
      <w:pPr>
        <w:pStyle w:val="Heading3GeneralComments"/>
      </w:pPr>
      <w:r w:rsidRPr="0014341E">
        <w:t>L.M.R. v. Argentina (2011)</w:t>
      </w:r>
    </w:p>
    <w:p w14:paraId="46565332" w14:textId="2227DAE8" w:rsidR="0049019C" w:rsidRDefault="00CD0EAF" w:rsidP="00491CAE">
      <w:pPr>
        <w:pStyle w:val="indentedafterbulletp"/>
      </w:pPr>
      <w:r>
        <w:t xml:space="preserve">L.M.R. era una mujer de 20 años de edad con discapacidad </w:t>
      </w:r>
      <w:r w:rsidRPr="00342328">
        <w:t>mental</w:t>
      </w:r>
      <w:r>
        <w:t xml:space="preserve"> </w:t>
      </w:r>
      <w:r w:rsidR="00864AF1">
        <w:t xml:space="preserve">que </w:t>
      </w:r>
      <w:r>
        <w:t>viv</w:t>
      </w:r>
      <w:r w:rsidR="00342328">
        <w:t>í</w:t>
      </w:r>
      <w:r w:rsidR="00864AF1">
        <w:t>a</w:t>
      </w:r>
      <w:r>
        <w:t xml:space="preserve"> con su madre cuando quedó embarazada como resultado de </w:t>
      </w:r>
      <w:r w:rsidR="00864AF1">
        <w:t>un</w:t>
      </w:r>
      <w:r>
        <w:t xml:space="preserve">a </w:t>
      </w:r>
      <w:r w:rsidRPr="00491CAE">
        <w:t>violación</w:t>
      </w:r>
      <w:r>
        <w:t>.</w:t>
      </w:r>
      <w:r>
        <w:rPr>
          <w:rStyle w:val="EndnoteReference"/>
        </w:rPr>
        <w:endnoteReference w:id="156"/>
      </w:r>
      <w:r>
        <w:t xml:space="preserve"> Su madre la llevó al hospital y pidió un aborto legal en su nombre.</w:t>
      </w:r>
      <w:r>
        <w:rPr>
          <w:rStyle w:val="EndnoteReference"/>
        </w:rPr>
        <w:endnoteReference w:id="157"/>
      </w:r>
      <w:r>
        <w:t xml:space="preserve"> Bajo las leyes de Argentina, un aborto podría realizarse legalmente a las víctimas de violaciones con discapacidad mental, sin necesidad de autorización </w:t>
      </w:r>
      <w:r w:rsidR="00864AF1">
        <w:t>judicial</w:t>
      </w:r>
      <w:r>
        <w:t xml:space="preserve"> y </w:t>
      </w:r>
      <w:r w:rsidR="00864AF1">
        <w:t xml:space="preserve">con </w:t>
      </w:r>
      <w:r>
        <w:t>sólo la necesidad del consentimiento del representante legal de la víctima,</w:t>
      </w:r>
      <w:r>
        <w:rPr>
          <w:rStyle w:val="EndnoteReference"/>
        </w:rPr>
        <w:endnoteReference w:id="158"/>
      </w:r>
      <w:r>
        <w:t xml:space="preserve"> pero un juez </w:t>
      </w:r>
      <w:r w:rsidR="00864AF1">
        <w:t>emiti</w:t>
      </w:r>
      <w:r>
        <w:t>ó una orden judicial que detuvo el aborto.</w:t>
      </w:r>
      <w:r>
        <w:rPr>
          <w:rStyle w:val="EndnoteReference"/>
        </w:rPr>
        <w:endnoteReference w:id="159"/>
      </w:r>
      <w:r>
        <w:t xml:space="preserve"> La familia finalmente </w:t>
      </w:r>
      <w:r w:rsidR="00864AF1">
        <w:t xml:space="preserve">recurrló a </w:t>
      </w:r>
      <w:r>
        <w:t xml:space="preserve">un aborto ilegal unas semanas más tarde, cuando L.M.R. </w:t>
      </w:r>
      <w:r w:rsidR="00864AF1">
        <w:t>t</w:t>
      </w:r>
      <w:r>
        <w:t>e</w:t>
      </w:r>
      <w:r w:rsidR="00864AF1">
        <w:t>n</w:t>
      </w:r>
      <w:r w:rsidR="00864AF1">
        <w:rPr>
          <w:lang w:val="es-ES_tradnl"/>
        </w:rPr>
        <w:t>ía</w:t>
      </w:r>
      <w:r>
        <w:t xml:space="preserve"> aproximadamente 23 semanas de embarazo.</w:t>
      </w:r>
      <w:r>
        <w:rPr>
          <w:rStyle w:val="EndnoteReference"/>
        </w:rPr>
        <w:endnoteReference w:id="160"/>
      </w:r>
      <w:r>
        <w:t xml:space="preserve"> El Comité de </w:t>
      </w:r>
      <w:r w:rsidR="00864AF1">
        <w:t>D</w:t>
      </w:r>
      <w:r>
        <w:t xml:space="preserve">erechos </w:t>
      </w:r>
      <w:r w:rsidR="00864AF1">
        <w:t>H</w:t>
      </w:r>
      <w:r>
        <w:t xml:space="preserve">umanos encontró que Argentina había violado el derecho de L.M.R. </w:t>
      </w:r>
      <w:r w:rsidR="00864AF1">
        <w:t xml:space="preserve">a </w:t>
      </w:r>
      <w:r>
        <w:t>estar libre de tortura o malos tratos por negar el acceso a un aborto legal, dando lugar a dolor físico y mental y sufrimiento que se agravó por su condición de "chica joven" con una discapacidad.</w:t>
      </w:r>
      <w:r>
        <w:rPr>
          <w:rStyle w:val="EndnoteReference"/>
        </w:rPr>
        <w:endnoteReference w:id="161"/>
      </w:r>
      <w:r>
        <w:t xml:space="preserve"> El Comité también determinó que Argentina había violado </w:t>
      </w:r>
      <w:r w:rsidR="000B061D">
        <w:t xml:space="preserve">el </w:t>
      </w:r>
      <w:r>
        <w:t xml:space="preserve">derecho a la privacidad de L.M.R. al permitir que jueces </w:t>
      </w:r>
      <w:r w:rsidR="000B061D">
        <w:t xml:space="preserve">o juezas </w:t>
      </w:r>
      <w:r>
        <w:t>interf</w:t>
      </w:r>
      <w:r w:rsidR="000B061D">
        <w:t>ieran</w:t>
      </w:r>
      <w:r>
        <w:t xml:space="preserve"> arbitrariamente "en</w:t>
      </w:r>
      <w:r w:rsidR="000B061D">
        <w:t xml:space="preserve"> </w:t>
      </w:r>
      <w:r>
        <w:t>un tema que debería haber sido resuelto entre el paciente y su médico.</w:t>
      </w:r>
      <w:r>
        <w:rPr>
          <w:rStyle w:val="EndnoteReference"/>
        </w:rPr>
        <w:endnoteReference w:id="162"/>
      </w:r>
      <w:r>
        <w:t xml:space="preserve"> </w:t>
      </w:r>
    </w:p>
    <w:p w14:paraId="27A82388" w14:textId="0CAA67DD" w:rsidR="0049019C" w:rsidRPr="0014341E" w:rsidRDefault="00CD0EAF" w:rsidP="00753A59">
      <w:pPr>
        <w:pStyle w:val="Heading3GeneralComments"/>
      </w:pPr>
      <w:r w:rsidRPr="0014341E">
        <w:t>K.L. v. Perú (2005)</w:t>
      </w:r>
    </w:p>
    <w:p w14:paraId="64792F2A" w14:textId="6E05B0A6" w:rsidR="0049019C" w:rsidRDefault="00CD0EAF" w:rsidP="00491CAE">
      <w:pPr>
        <w:pStyle w:val="indentedafterbulletp"/>
      </w:pPr>
      <w:r>
        <w:t>K.L. era una chica de 17 años de edad que estaba embarazada con un feto anencefálico, una condición que es fatal en todos los casos y significa que, si el feto no murió antes de nacer, el bebé morir</w:t>
      </w:r>
      <w:r w:rsidR="000B061D">
        <w:t>ía a los</w:t>
      </w:r>
      <w:r>
        <w:t xml:space="preserve"> </w:t>
      </w:r>
      <w:r w:rsidR="000B061D">
        <w:t xml:space="preserve">pocos </w:t>
      </w:r>
      <w:r>
        <w:t>días de</w:t>
      </w:r>
      <w:r w:rsidR="000B061D">
        <w:t>l</w:t>
      </w:r>
      <w:r>
        <w:t xml:space="preserve"> nacimiento.</w:t>
      </w:r>
      <w:r>
        <w:rPr>
          <w:rStyle w:val="EndnoteReference"/>
        </w:rPr>
        <w:endnoteReference w:id="163"/>
      </w:r>
      <w:r>
        <w:t xml:space="preserve"> </w:t>
      </w:r>
      <w:r w:rsidR="000B061D">
        <w:t>En el marco de l</w:t>
      </w:r>
      <w:r>
        <w:t>as leyes de Perú en e</w:t>
      </w:r>
      <w:r w:rsidR="000B061D">
        <w:t>se</w:t>
      </w:r>
      <w:r>
        <w:t xml:space="preserve"> tiempo, las mujeres p</w:t>
      </w:r>
      <w:r w:rsidR="000B061D">
        <w:t>odía</w:t>
      </w:r>
      <w:r>
        <w:t>n acceder a</w:t>
      </w:r>
      <w:r w:rsidR="000B061D">
        <w:t>l</w:t>
      </w:r>
      <w:r>
        <w:t xml:space="preserve"> aborto cuando su vida o su salud </w:t>
      </w:r>
      <w:r w:rsidR="000B061D">
        <w:t xml:space="preserve">estén </w:t>
      </w:r>
      <w:r>
        <w:t xml:space="preserve">en riesgo, pero no cuando </w:t>
      </w:r>
      <w:r w:rsidRPr="00982B2F">
        <w:t xml:space="preserve">hay un </w:t>
      </w:r>
      <w:r w:rsidR="00342328" w:rsidRPr="00982B2F">
        <w:t>anomalía</w:t>
      </w:r>
      <w:r w:rsidRPr="00982B2F">
        <w:t xml:space="preserve"> fetal;</w:t>
      </w:r>
      <w:r w:rsidRPr="00982B2F">
        <w:rPr>
          <w:rStyle w:val="EndnoteReference"/>
        </w:rPr>
        <w:endnoteReference w:id="164"/>
      </w:r>
      <w:r>
        <w:t xml:space="preserve"> sin embargo, el médico de K.L. </w:t>
      </w:r>
      <w:r w:rsidR="000B061D">
        <w:t>advirtió</w:t>
      </w:r>
      <w:r>
        <w:t xml:space="preserve"> que era un riesgo para su vida si continuaba el embarazo.</w:t>
      </w:r>
      <w:r>
        <w:rPr>
          <w:rStyle w:val="EndnoteReference"/>
        </w:rPr>
        <w:endnoteReference w:id="165"/>
      </w:r>
      <w:r>
        <w:t xml:space="preserve"> El director del hospital, sin embargo, </w:t>
      </w:r>
      <w:r w:rsidR="000B061D">
        <w:t xml:space="preserve">le </w:t>
      </w:r>
      <w:r>
        <w:t xml:space="preserve">negó un aborto. K.L. fue </w:t>
      </w:r>
      <w:r w:rsidR="000B061D">
        <w:t xml:space="preserve">forzada </w:t>
      </w:r>
      <w:r>
        <w:t xml:space="preserve">a llevar el feto </w:t>
      </w:r>
      <w:r w:rsidR="000B061D">
        <w:t>h</w:t>
      </w:r>
      <w:r>
        <w:t>a</w:t>
      </w:r>
      <w:r w:rsidR="000B061D">
        <w:t>sta</w:t>
      </w:r>
      <w:r>
        <w:t xml:space="preserve"> </w:t>
      </w:r>
      <w:r w:rsidR="000B061D">
        <w:t xml:space="preserve">el </w:t>
      </w:r>
      <w:r>
        <w:t xml:space="preserve">término </w:t>
      </w:r>
      <w:r w:rsidR="000B061D">
        <w:t xml:space="preserve">del embarazo, </w:t>
      </w:r>
      <w:r>
        <w:t>y el bebé murió cuatro días después del nacimiento.</w:t>
      </w:r>
      <w:r>
        <w:rPr>
          <w:rStyle w:val="EndnoteReference"/>
        </w:rPr>
        <w:endnoteReference w:id="166"/>
      </w:r>
      <w:r>
        <w:t xml:space="preserve"> El Comité de </w:t>
      </w:r>
      <w:r w:rsidR="000B061D">
        <w:t>D</w:t>
      </w:r>
      <w:r>
        <w:t xml:space="preserve">erechos </w:t>
      </w:r>
      <w:r w:rsidR="000B061D">
        <w:t>H</w:t>
      </w:r>
      <w:r>
        <w:t xml:space="preserve">umanos encontró que Perú había violado los derechos de K.L. bajo el PIDCP por negar su acceso a un aborto legal, </w:t>
      </w:r>
      <w:r w:rsidR="00132DC5">
        <w:t>fallando al no</w:t>
      </w:r>
      <w:r w:rsidR="000B061D">
        <w:t xml:space="preserve"> </w:t>
      </w:r>
      <w:r w:rsidR="00132DC5">
        <w:t>brindarle</w:t>
      </w:r>
      <w:r>
        <w:t xml:space="preserve"> protección especial como menor de edad y </w:t>
      </w:r>
      <w:r w:rsidR="00132DC5">
        <w:t xml:space="preserve">al </w:t>
      </w:r>
      <w:r>
        <w:t>no proporcionar una reparación adecuada.</w:t>
      </w:r>
      <w:r>
        <w:rPr>
          <w:rStyle w:val="EndnoteReference"/>
        </w:rPr>
        <w:endnoteReference w:id="167"/>
      </w:r>
      <w:r>
        <w:t xml:space="preserve"> Específicamente, el Comité consideró que Perú había violado los derechos de K.L. </w:t>
      </w:r>
      <w:r w:rsidR="000B061D">
        <w:t xml:space="preserve">a </w:t>
      </w:r>
      <w:r>
        <w:t xml:space="preserve">estar libre de tortura o malos tratos, a la </w:t>
      </w:r>
      <w:r w:rsidR="000B061D">
        <w:t>privac</w:t>
      </w:r>
      <w:r>
        <w:t>idad y a la protección especial de los derechos de los menores de edad.</w:t>
      </w:r>
      <w:r>
        <w:rPr>
          <w:rStyle w:val="EndnoteReference"/>
        </w:rPr>
        <w:endnoteReference w:id="168"/>
      </w:r>
      <w:r>
        <w:t xml:space="preserve"> En particular, </w:t>
      </w:r>
      <w:r w:rsidR="00132DC5">
        <w:t xml:space="preserve">el Comité </w:t>
      </w:r>
      <w:r>
        <w:t xml:space="preserve">tomó nota </w:t>
      </w:r>
      <w:r w:rsidR="00132DC5">
        <w:t xml:space="preserve">de la </w:t>
      </w:r>
      <w:r>
        <w:t>"</w:t>
      </w:r>
      <w:r w:rsidR="00132DC5">
        <w:t>especial v</w:t>
      </w:r>
      <w:r>
        <w:t xml:space="preserve">ulnerabilidad... como una </w:t>
      </w:r>
      <w:r w:rsidR="00132DC5">
        <w:t xml:space="preserve">adolescente </w:t>
      </w:r>
      <w:r>
        <w:t>menor de edad." de K.L.</w:t>
      </w:r>
      <w:r>
        <w:rPr>
          <w:rStyle w:val="EndnoteReference"/>
        </w:rPr>
        <w:endnoteReference w:id="169"/>
      </w:r>
      <w:r>
        <w:t xml:space="preserve"> </w:t>
      </w:r>
      <w:r w:rsidR="00132DC5">
        <w:t>Además, o</w:t>
      </w:r>
      <w:r>
        <w:t>bservó</w:t>
      </w:r>
      <w:r w:rsidR="00132DC5">
        <w:t xml:space="preserve"> que</w:t>
      </w:r>
      <w:r>
        <w:t xml:space="preserve"> debido a </w:t>
      </w:r>
      <w:r w:rsidR="00132DC5">
        <w:t xml:space="preserve">que el </w:t>
      </w:r>
      <w:r>
        <w:t xml:space="preserve">aborto parece ser legal en el Perú en </w:t>
      </w:r>
      <w:r w:rsidR="00132DC5">
        <w:t xml:space="preserve">relación a las circunstancias </w:t>
      </w:r>
      <w:r>
        <w:t>de K.L., "no estaba justificada la negativa a actuar de acuerdo con la decisión de K.L para terminar su embarazo</w:t>
      </w:r>
      <w:r w:rsidR="00C42EC0">
        <w:t>.</w:t>
      </w:r>
      <w:r>
        <w:t>"</w:t>
      </w:r>
      <w:r>
        <w:rPr>
          <w:rStyle w:val="EndnoteReference"/>
        </w:rPr>
        <w:endnoteReference w:id="170"/>
      </w:r>
      <w:r>
        <w:t xml:space="preserve"> </w:t>
      </w:r>
    </w:p>
    <w:p w14:paraId="05ADA487" w14:textId="6B56BD40" w:rsidR="0049019C" w:rsidRPr="004B2C96" w:rsidRDefault="00132DC5" w:rsidP="00515135">
      <w:pPr>
        <w:pStyle w:val="Heading2"/>
        <w:rPr>
          <w:b w:val="0"/>
        </w:rPr>
      </w:pPr>
      <w:bookmarkStart w:id="25" w:name="_Toc5974910"/>
      <w:r w:rsidRPr="004B2C96">
        <w:rPr>
          <w:b w:val="0"/>
        </w:rPr>
        <w:lastRenderedPageBreak/>
        <w:t xml:space="preserve">Vacíos </w:t>
      </w:r>
      <w:r w:rsidR="00CD0EAF" w:rsidRPr="004B2C96">
        <w:rPr>
          <w:b w:val="0"/>
        </w:rPr>
        <w:t>en l</w:t>
      </w:r>
      <w:r w:rsidRPr="004B2C96">
        <w:rPr>
          <w:b w:val="0"/>
        </w:rPr>
        <w:t>o</w:t>
      </w:r>
      <w:r w:rsidR="00CD0EAF" w:rsidRPr="004B2C96">
        <w:rPr>
          <w:b w:val="0"/>
        </w:rPr>
        <w:t xml:space="preserve">s </w:t>
      </w:r>
      <w:r w:rsidR="00BC7C85">
        <w:rPr>
          <w:b w:val="0"/>
        </w:rPr>
        <w:t>E</w:t>
      </w:r>
      <w:r w:rsidRPr="004B2C96">
        <w:rPr>
          <w:b w:val="0"/>
        </w:rPr>
        <w:t>stándare</w:t>
      </w:r>
      <w:r w:rsidR="00CD0EAF" w:rsidRPr="004B2C96">
        <w:rPr>
          <w:b w:val="0"/>
        </w:rPr>
        <w:t>s</w:t>
      </w:r>
      <w:bookmarkEnd w:id="25"/>
    </w:p>
    <w:p w14:paraId="63F4916C" w14:textId="432B700B" w:rsidR="0049019C" w:rsidRDefault="00CD0EAF">
      <w:r>
        <w:t xml:space="preserve">El Comité de </w:t>
      </w:r>
      <w:r w:rsidR="00497DDD">
        <w:t>D</w:t>
      </w:r>
      <w:r>
        <w:t xml:space="preserve">erechos </w:t>
      </w:r>
      <w:r w:rsidR="00497DDD">
        <w:t>H</w:t>
      </w:r>
      <w:r>
        <w:t xml:space="preserve">umanos ha cubierto muchos de los aspectos de los derechos sexuales y reproductivos que están dentro de su mandato bajo el PIDCP. Sin embargo, hay algunas áreas donde </w:t>
      </w:r>
      <w:r w:rsidR="00497DDD">
        <w:t xml:space="preserve">podría </w:t>
      </w:r>
      <w:r>
        <w:t>más cons</w:t>
      </w:r>
      <w:r w:rsidR="00497DDD">
        <w:t>is</w:t>
      </w:r>
      <w:r>
        <w:t>te</w:t>
      </w:r>
      <w:r w:rsidR="00497DDD">
        <w:t>nte</w:t>
      </w:r>
      <w:r>
        <w:t>mente comenta</w:t>
      </w:r>
      <w:r w:rsidR="00497DDD">
        <w:t>r</w:t>
      </w:r>
      <w:r>
        <w:t xml:space="preserve"> sobre estos derechos y proporciona</w:t>
      </w:r>
      <w:r w:rsidR="00497DDD">
        <w:t>r</w:t>
      </w:r>
      <w:r>
        <w:t xml:space="preserve"> orientación más completa a los Estados, incluyendo lo relativo a los derechos de las mujeres con discapacidad.</w:t>
      </w:r>
    </w:p>
    <w:p w14:paraId="7A3A2758" w14:textId="70488D4F" w:rsidR="0049019C" w:rsidRDefault="00CD0EAF">
      <w:r>
        <w:t xml:space="preserve">En particular, el Comité de </w:t>
      </w:r>
      <w:r w:rsidR="00497DDD">
        <w:t>D</w:t>
      </w:r>
      <w:r>
        <w:t xml:space="preserve">erechos </w:t>
      </w:r>
      <w:r w:rsidR="00497DDD">
        <w:t>H</w:t>
      </w:r>
      <w:r>
        <w:t>umanos debe</w:t>
      </w:r>
      <w:r w:rsidR="00497DDD">
        <w:t>ría</w:t>
      </w:r>
      <w:r>
        <w:t xml:space="preserve"> abordar más </w:t>
      </w:r>
      <w:r w:rsidR="00497DDD">
        <w:t xml:space="preserve">consistentemente las </w:t>
      </w:r>
      <w:r>
        <w:t xml:space="preserve">violaciones a los derechos sexuales y reproductivos que afectan desproporcionadamente a los diversos grupos de mujeres. Por ejemplo, hasta la fecha, </w:t>
      </w:r>
      <w:r w:rsidR="00497DDD">
        <w:t xml:space="preserve">el Comité </w:t>
      </w:r>
      <w:r>
        <w:t xml:space="preserve">no ha completamente examinado violaciones de derechos contra las personas con discapacidad en el contexto de los derechos sexuales y reproductivos. </w:t>
      </w:r>
      <w:r w:rsidR="00497DDD">
        <w:t xml:space="preserve">El Comité </w:t>
      </w:r>
      <w:r>
        <w:t>debe</w:t>
      </w:r>
      <w:r w:rsidR="00FA731C">
        <w:t>ría bordar mejor los derechos de las mujeres y las niñas con discapacidad al recomendar que los Estados prohíban las intervenciones médicas forzadas y requieran que las mujeres mismas proporcionan consentimiento informado para intervenciones sobre su salud reproductiva, protegiendo su derecho a estar libre de tortura o malos tratos. El Comité debería también</w:t>
      </w:r>
      <w:r>
        <w:t xml:space="preserve"> </w:t>
      </w:r>
      <w:r w:rsidR="00497DDD">
        <w:t xml:space="preserve">reforzar </w:t>
      </w:r>
      <w:r>
        <w:t>la</w:t>
      </w:r>
      <w:r w:rsidR="00497DDD">
        <w:t>s</w:t>
      </w:r>
      <w:r>
        <w:t xml:space="preserve"> </w:t>
      </w:r>
      <w:r w:rsidR="00497DDD">
        <w:t xml:space="preserve">recomendaciones de otros órganos de tratados sobre la obligación de los Estados </w:t>
      </w:r>
      <w:r>
        <w:t xml:space="preserve">de </w:t>
      </w:r>
      <w:r w:rsidR="00497DDD">
        <w:t>garantizar sistemas de apoyo en la toma de decisiones e información accesible para las personas con discapacidad en el contexto de salud sexual y reproductiva, como una forma de proteger sus derechos a la privacidad, la infor</w:t>
      </w:r>
      <w:r w:rsidR="00FA731C">
        <w:t xml:space="preserve">mación y la integridad corporal. </w:t>
      </w:r>
      <w:r>
        <w:t xml:space="preserve">En particular, donde el Comité aborda la necesidad de </w:t>
      </w:r>
      <w:r w:rsidR="00FA731C">
        <w:t xml:space="preserve">que los </w:t>
      </w:r>
      <w:r>
        <w:t>servicios de salud sexual y reproductiva sean accesibles, puede especificar preocupaciones especiales de acceso para las mujeres con discapacidad. Además, el Comité pod</w:t>
      </w:r>
      <w:r w:rsidR="00FA731C">
        <w:t>r</w:t>
      </w:r>
      <w:r>
        <w:t xml:space="preserve">ía </w:t>
      </w:r>
      <w:r w:rsidR="00FA731C">
        <w:t>referir mejor</w:t>
      </w:r>
      <w:r>
        <w:t xml:space="preserve"> las necesidades de los adolescentes en el contexto de salud sexual y reproductiva con el fin de garantizar su derecho a la </w:t>
      </w:r>
      <w:r w:rsidR="00FA731C">
        <w:t>privacidad</w:t>
      </w:r>
      <w:r>
        <w:t>, recomendando que los Estados asegur</w:t>
      </w:r>
      <w:r w:rsidR="00FA731C">
        <w:t>e</w:t>
      </w:r>
      <w:r>
        <w:t xml:space="preserve">n </w:t>
      </w:r>
      <w:r w:rsidR="00FA731C">
        <w:t xml:space="preserve">que los servicios de </w:t>
      </w:r>
      <w:r>
        <w:t>salud sexual y reproductiva se prestan en ambientes</w:t>
      </w:r>
      <w:r w:rsidR="00FA731C">
        <w:t xml:space="preserve"> con confidencialidad y acogedores para la jueventud</w:t>
      </w:r>
      <w:r>
        <w:t>, sin necesidad de</w:t>
      </w:r>
      <w:r w:rsidR="00FA731C">
        <w:t>l</w:t>
      </w:r>
      <w:r>
        <w:t xml:space="preserve"> consentimiento </w:t>
      </w:r>
      <w:r w:rsidR="00FA731C">
        <w:t>o autorización parental</w:t>
      </w:r>
      <w:r>
        <w:t>.</w:t>
      </w:r>
    </w:p>
    <w:p w14:paraId="55FF0250" w14:textId="77DB94D0" w:rsidR="0049019C" w:rsidRDefault="00CD0EAF">
      <w:r>
        <w:t xml:space="preserve">Finalmente, en línea con </w:t>
      </w:r>
      <w:r w:rsidR="00FA731C">
        <w:t xml:space="preserve">los </w:t>
      </w:r>
      <w:r>
        <w:t>comentarios especialmente de</w:t>
      </w:r>
      <w:r w:rsidR="00FA731C">
        <w:t>l</w:t>
      </w:r>
      <w:r>
        <w:t xml:space="preserve"> </w:t>
      </w:r>
      <w:r w:rsidR="00FA731C">
        <w:t>Comité</w:t>
      </w:r>
      <w:r>
        <w:t xml:space="preserve"> </w:t>
      </w:r>
      <w:hyperlink w:anchor="CEDAW" w:history="1">
        <w:r w:rsidRPr="00E60338">
          <w:rPr>
            <w:rStyle w:val="Hyperlink"/>
          </w:rPr>
          <w:t>CEDAW</w:t>
        </w:r>
      </w:hyperlink>
      <w:r w:rsidRPr="00E60338">
        <w:t xml:space="preserve">, </w:t>
      </w:r>
      <w:r w:rsidR="00FA731C" w:rsidRPr="00E60338">
        <w:t xml:space="preserve">el Comité </w:t>
      </w:r>
      <w:hyperlink w:anchor="_Comité_de_Derechos" w:history="1">
        <w:r w:rsidRPr="00E60338">
          <w:rPr>
            <w:rStyle w:val="Hyperlink"/>
          </w:rPr>
          <w:t>DESC</w:t>
        </w:r>
      </w:hyperlink>
      <w:r w:rsidR="00FA731C" w:rsidRPr="00AC7FAD">
        <w:rPr>
          <w:rStyle w:val="Hyperlink"/>
          <w:color w:val="auto"/>
          <w:u w:val="none"/>
        </w:rPr>
        <w:t xml:space="preserve"> y el Comité </w:t>
      </w:r>
      <w:hyperlink w:anchor="_Comité_de_los" w:history="1">
        <w:r w:rsidR="00FA731C" w:rsidRPr="00E60338">
          <w:rPr>
            <w:rStyle w:val="Hyperlink"/>
          </w:rPr>
          <w:t>CDPD</w:t>
        </w:r>
      </w:hyperlink>
      <w:r w:rsidR="00FA731C" w:rsidRPr="00AC7FAD">
        <w:rPr>
          <w:rStyle w:val="Hyperlink"/>
          <w:color w:val="auto"/>
          <w:u w:val="none"/>
        </w:rPr>
        <w:t>, el</w:t>
      </w:r>
      <w:r w:rsidRPr="00AC7FAD">
        <w:rPr>
          <w:color w:val="auto"/>
        </w:rPr>
        <w:t xml:space="preserve"> </w:t>
      </w:r>
      <w:r w:rsidR="00FA731C">
        <w:t>C</w:t>
      </w:r>
      <w:r>
        <w:t xml:space="preserve">omité de </w:t>
      </w:r>
      <w:r w:rsidR="00FA731C">
        <w:t xml:space="preserve">Derechos Humanos </w:t>
      </w:r>
      <w:r>
        <w:t xml:space="preserve">debería proporcionar mejor contexto </w:t>
      </w:r>
      <w:r w:rsidR="00FA731C">
        <w:t xml:space="preserve">sobre </w:t>
      </w:r>
      <w:r>
        <w:t xml:space="preserve">cómo las violaciones de los derechos sexuales y reproductivos se basan con frecuencia en discriminación y los estereotipos dañinos sobre las mujeres y las niñas, incluyendo diversos grupos de mujeres como las mujeres con discapacidad. El Comité podría </w:t>
      </w:r>
      <w:r w:rsidR="00301444">
        <w:t xml:space="preserve">emitir </w:t>
      </w:r>
      <w:r>
        <w:t xml:space="preserve">comentarios sobre este tema </w:t>
      </w:r>
      <w:r w:rsidR="00301444">
        <w:t xml:space="preserve">respecto de </w:t>
      </w:r>
      <w:r>
        <w:t xml:space="preserve">las obligaciones del </w:t>
      </w:r>
      <w:r w:rsidR="00301444">
        <w:t>E</w:t>
      </w:r>
      <w:r>
        <w:t xml:space="preserve">stado en el </w:t>
      </w:r>
      <w:r w:rsidR="00301444">
        <w:t>marco del A</w:t>
      </w:r>
      <w:r>
        <w:t>rtículo 3 del P</w:t>
      </w:r>
      <w:r w:rsidR="00301444">
        <w:t>IDCP</w:t>
      </w:r>
      <w:r>
        <w:t xml:space="preserve">, garantizando la igualdad de derechos de hombres y mujeres al disfrute de </w:t>
      </w:r>
      <w:r w:rsidR="00301444">
        <w:t xml:space="preserve">todos </w:t>
      </w:r>
      <w:r>
        <w:t>los derechos civiles y políticos.</w:t>
      </w:r>
    </w:p>
    <w:p w14:paraId="1BD63298" w14:textId="77777777" w:rsidR="0049019C" w:rsidRPr="004B2C96" w:rsidRDefault="00CD0EAF">
      <w:pPr>
        <w:jc w:val="left"/>
        <w:rPr>
          <w:rFonts w:eastAsiaTheme="majorEastAsia" w:cstheme="majorBidi"/>
          <w:color w:val="345B8A"/>
        </w:rPr>
      </w:pPr>
      <w:r>
        <w:br w:type="page"/>
      </w:r>
    </w:p>
    <w:p w14:paraId="7AE6BBBD" w14:textId="3C6F6A73" w:rsidR="0049019C" w:rsidRDefault="00C709D6" w:rsidP="0052428A">
      <w:pPr>
        <w:pStyle w:val="Heading1"/>
      </w:pPr>
      <w:bookmarkStart w:id="26" w:name="_Comité_de_Derechos"/>
      <w:bookmarkStart w:id="27" w:name="_Toc5974911"/>
      <w:bookmarkStart w:id="28" w:name="CESCR"/>
      <w:bookmarkEnd w:id="26"/>
      <w:r>
        <w:lastRenderedPageBreak/>
        <w:t>Comité de Derechos Económicos, Sociales y Culturales</w:t>
      </w:r>
      <w:bookmarkEnd w:id="27"/>
      <w:r w:rsidR="00CD0EAF">
        <w:t xml:space="preserve"> </w:t>
      </w:r>
      <w:bookmarkEnd w:id="28"/>
    </w:p>
    <w:p w14:paraId="486229D8" w14:textId="77C6971C" w:rsidR="0049019C" w:rsidRDefault="00CD0EAF">
      <w:r>
        <w:t xml:space="preserve">El Comité de </w:t>
      </w:r>
      <w:r w:rsidR="00FB7F08">
        <w:t>D</w:t>
      </w:r>
      <w:r>
        <w:t xml:space="preserve">erechos </w:t>
      </w:r>
      <w:r w:rsidR="00FB7F08">
        <w:t>E</w:t>
      </w:r>
      <w:r>
        <w:t xml:space="preserve">conómicos, </w:t>
      </w:r>
      <w:r w:rsidR="00FB7F08">
        <w:t>S</w:t>
      </w:r>
      <w:r>
        <w:t xml:space="preserve">ociales y </w:t>
      </w:r>
      <w:r w:rsidR="00FB7F08">
        <w:t>C</w:t>
      </w:r>
      <w:r>
        <w:t xml:space="preserve">ulturales (Comité DESC) </w:t>
      </w:r>
      <w:r w:rsidR="00FB7F08">
        <w:t>supervisa la implement</w:t>
      </w:r>
      <w:r>
        <w:t xml:space="preserve">ación del Pacto Internacional de </w:t>
      </w:r>
      <w:r w:rsidR="00FB7F08">
        <w:t>D</w:t>
      </w:r>
      <w:r>
        <w:t xml:space="preserve">erechos </w:t>
      </w:r>
      <w:r w:rsidR="00FB7F08">
        <w:t>Económicos, Sociales y C</w:t>
      </w:r>
      <w:r>
        <w:t xml:space="preserve">ulturales (PIDESC). A través de sus </w:t>
      </w:r>
      <w:r w:rsidR="00FB7F08">
        <w:t>Observaciones G</w:t>
      </w:r>
      <w:r>
        <w:t xml:space="preserve">enerales y </w:t>
      </w:r>
      <w:r w:rsidR="00FB7F08">
        <w:t>O</w:t>
      </w:r>
      <w:r>
        <w:t xml:space="preserve">bservaciones </w:t>
      </w:r>
      <w:r w:rsidR="00FB7F08">
        <w:t>F</w:t>
      </w:r>
      <w:r>
        <w:t xml:space="preserve">inales, el </w:t>
      </w:r>
      <w:r w:rsidR="00FB7F08">
        <w:t>Comité DESC</w:t>
      </w:r>
      <w:r>
        <w:t xml:space="preserve"> ha demostrado que los Estados tienen la obligación de garantizar el acceso a servicios, bienes e información para la salud sexual y reproductiva, incluye</w:t>
      </w:r>
      <w:r w:rsidR="00FB7F08">
        <w:t>ndo</w:t>
      </w:r>
      <w:r>
        <w:t xml:space="preserve"> educación sobre sexualidad. El </w:t>
      </w:r>
      <w:r w:rsidR="00FB7F08">
        <w:t>Comité DESC</w:t>
      </w:r>
      <w:r>
        <w:t xml:space="preserve"> con frecuencia aborda los derechos sexuales y reproductivos en el marco del </w:t>
      </w:r>
      <w:r w:rsidR="00FB7F08">
        <w:t>A</w:t>
      </w:r>
      <w:r>
        <w:t>rtículo 12 (derecho a la salud). El Comité también ha emitido recomendaciones con respecto a los derechos sexuales y reproductivos en el contexto del Artículo 13 (derecho a la educación) y el Artículo 7 (derecho a las condiciones de trabajo justas y favorables).</w:t>
      </w:r>
    </w:p>
    <w:p w14:paraId="0E83F1D9" w14:textId="408DFEA1" w:rsidR="0049019C" w:rsidRPr="004B2C96" w:rsidRDefault="00FB7F08" w:rsidP="00515135">
      <w:pPr>
        <w:pStyle w:val="Heading2"/>
        <w:rPr>
          <w:b w:val="0"/>
        </w:rPr>
      </w:pPr>
      <w:bookmarkStart w:id="29" w:name="_Toc5974912"/>
      <w:r w:rsidRPr="004B2C96">
        <w:rPr>
          <w:b w:val="0"/>
        </w:rPr>
        <w:t>Observacione</w:t>
      </w:r>
      <w:r w:rsidR="00CD0EAF" w:rsidRPr="004B2C96">
        <w:rPr>
          <w:b w:val="0"/>
        </w:rPr>
        <w:t xml:space="preserve">s </w:t>
      </w:r>
      <w:r w:rsidRPr="004B2C96">
        <w:rPr>
          <w:b w:val="0"/>
        </w:rPr>
        <w:t>G</w:t>
      </w:r>
      <w:r w:rsidR="00CD0EAF" w:rsidRPr="004B2C96">
        <w:rPr>
          <w:b w:val="0"/>
        </w:rPr>
        <w:t>enerales</w:t>
      </w:r>
      <w:bookmarkEnd w:id="29"/>
    </w:p>
    <w:p w14:paraId="4D4465EA" w14:textId="7F3D0F27" w:rsidR="0049019C" w:rsidRPr="0014341E" w:rsidRDefault="00CD0EAF" w:rsidP="00753A59">
      <w:pPr>
        <w:pStyle w:val="Heading3GeneralComments"/>
      </w:pPr>
      <w:r w:rsidRPr="0014341E">
        <w:t xml:space="preserve">Observación </w:t>
      </w:r>
      <w:r w:rsidR="00FB7F08" w:rsidRPr="0014341E">
        <w:t>G</w:t>
      </w:r>
      <w:r w:rsidRPr="0014341E">
        <w:t xml:space="preserve">eneral </w:t>
      </w:r>
      <w:r w:rsidR="00FB7F08" w:rsidRPr="0014341E">
        <w:t>N</w:t>
      </w:r>
      <w:r w:rsidRPr="0014341E">
        <w:t xml:space="preserve">o. 5: Personas con </w:t>
      </w:r>
      <w:r w:rsidR="00D74833">
        <w:t>d</w:t>
      </w:r>
      <w:r w:rsidRPr="0014341E">
        <w:t>iscapacidad (1994)</w:t>
      </w:r>
    </w:p>
    <w:p w14:paraId="363C898B" w14:textId="3C745B6D" w:rsidR="0049019C" w:rsidRDefault="00CD0EAF" w:rsidP="00491CAE">
      <w:pPr>
        <w:pStyle w:val="indentedafterbulletp"/>
      </w:pPr>
      <w:r>
        <w:t>En su Observación General N</w:t>
      </w:r>
      <w:r w:rsidR="009149EC">
        <w:t>o.</w:t>
      </w:r>
      <w:r>
        <w:t xml:space="preserve"> 5, el </w:t>
      </w:r>
      <w:r w:rsidR="00FB7F08">
        <w:t>Comité DESC</w:t>
      </w:r>
      <w:r>
        <w:t xml:space="preserve"> cita las Normas Uniformes de 1993 sobre la </w:t>
      </w:r>
      <w:r w:rsidR="00FB7F08">
        <w:t>I</w:t>
      </w:r>
      <w:r>
        <w:t xml:space="preserve">gualdad de </w:t>
      </w:r>
      <w:r w:rsidR="00FB7F08">
        <w:t>O</w:t>
      </w:r>
      <w:r>
        <w:t xml:space="preserve">portunidades para las </w:t>
      </w:r>
      <w:r w:rsidR="00FB7F08">
        <w:t>P</w:t>
      </w:r>
      <w:r>
        <w:t xml:space="preserve">ersonas con </w:t>
      </w:r>
      <w:r w:rsidR="00FB7F08">
        <w:t>D</w:t>
      </w:r>
      <w:r>
        <w:t xml:space="preserve">iscapacidad para establecer que las mujeres con discapacidad </w:t>
      </w:r>
      <w:r w:rsidR="00440206">
        <w:br/>
      </w:r>
      <w:r>
        <w:t xml:space="preserve">tienen derecho a protección y apoyo en la maternidad y el embarazo y </w:t>
      </w:r>
      <w:r w:rsidR="00FB7F08">
        <w:t xml:space="preserve">que </w:t>
      </w:r>
      <w:r>
        <w:t>no se les debe negar la oportunidad de experimentar su sexualidad y tener relaciones sexuales.</w:t>
      </w:r>
      <w:r>
        <w:rPr>
          <w:rStyle w:val="EndnoteReference"/>
        </w:rPr>
        <w:endnoteReference w:id="171"/>
      </w:r>
      <w:r>
        <w:t xml:space="preserve"> El Comité considera también que la esterilización y el aborto practicados en las mujeres con discapacidad sin su consentimiento informado constituye una violación grave del derecho a la protección especial para las madres, consagrado en el </w:t>
      </w:r>
      <w:r w:rsidR="00FB7F08">
        <w:t>A</w:t>
      </w:r>
      <w:r>
        <w:t>rtículo 10(2) del PIDESC.</w:t>
      </w:r>
      <w:r>
        <w:rPr>
          <w:rStyle w:val="EndnoteReference"/>
        </w:rPr>
        <w:endnoteReference w:id="172"/>
      </w:r>
    </w:p>
    <w:p w14:paraId="2B629FA1" w14:textId="7FF36F9B" w:rsidR="0049019C" w:rsidRPr="0014341E" w:rsidRDefault="00CD0EAF" w:rsidP="00753A59">
      <w:pPr>
        <w:pStyle w:val="Heading3GeneralComments"/>
      </w:pPr>
      <w:r w:rsidRPr="0014341E">
        <w:t xml:space="preserve">Observación General </w:t>
      </w:r>
      <w:r w:rsidR="00FB7F08" w:rsidRPr="0014341E">
        <w:t>N</w:t>
      </w:r>
      <w:r w:rsidRPr="0014341E">
        <w:t>o. 14: El derecho al más alto nivel posible de salud (2000)</w:t>
      </w:r>
    </w:p>
    <w:p w14:paraId="2B77B797" w14:textId="56E4373E" w:rsidR="0049019C" w:rsidRDefault="00CD0EAF" w:rsidP="00491CAE">
      <w:pPr>
        <w:pStyle w:val="indentedafterbulletp"/>
      </w:pPr>
      <w:r>
        <w:t>En su Observación General N</w:t>
      </w:r>
      <w:r w:rsidR="009149EC">
        <w:t>o.</w:t>
      </w:r>
      <w:r>
        <w:t xml:space="preserve"> 14, el C</w:t>
      </w:r>
      <w:r w:rsidR="00FB7F08">
        <w:t xml:space="preserve">omité </w:t>
      </w:r>
      <w:r>
        <w:t xml:space="preserve">DESC considera que el derecho </w:t>
      </w:r>
      <w:r w:rsidR="00FB7F08">
        <w:t>a</w:t>
      </w:r>
      <w:r>
        <w:t>l más alto nivel posible de salud física y mental abarca un conjunto de libertades y derechos, entre ellos el derecho a la libertad sexual y reproductiva y el derecho a no sufrir tratamientos médicos sin consentimiento.</w:t>
      </w:r>
      <w:r>
        <w:rPr>
          <w:rStyle w:val="EndnoteReference"/>
        </w:rPr>
        <w:endnoteReference w:id="173"/>
      </w:r>
      <w:r>
        <w:t xml:space="preserve"> El derecho a la salud también incluye el derecho a participar en la toma de decisiones sobre la salud a nivel local, nacional e internacional.</w:t>
      </w:r>
      <w:r>
        <w:rPr>
          <w:rStyle w:val="EndnoteReference"/>
        </w:rPr>
        <w:endnoteReference w:id="174"/>
      </w:r>
      <w:r>
        <w:t xml:space="preserve"> El C</w:t>
      </w:r>
      <w:r w:rsidR="00FB7F08">
        <w:t xml:space="preserve">omité </w:t>
      </w:r>
      <w:r>
        <w:t xml:space="preserve">DESC reconoce que el derecho a la salud en el PIDESC </w:t>
      </w:r>
      <w:r w:rsidR="00FB7F08">
        <w:t xml:space="preserve">contiene </w:t>
      </w:r>
      <w:r>
        <w:t xml:space="preserve">el derecho específico a la salud sexual y reproductiva, </w:t>
      </w:r>
      <w:r w:rsidR="00FB7F08">
        <w:t xml:space="preserve">incluyendo </w:t>
      </w:r>
      <w:r>
        <w:t>los servicios de planificación familiar, la atención pre y postnatal, los servicios obstétricos de emergencia, el acceso a la información y los medios para actuar conforme a esa información.</w:t>
      </w:r>
      <w:r>
        <w:rPr>
          <w:rStyle w:val="EndnoteReference"/>
        </w:rPr>
        <w:endnoteReference w:id="175"/>
      </w:r>
      <w:r>
        <w:t xml:space="preserve"> Conforme al derecho a la salud, los </w:t>
      </w:r>
      <w:r w:rsidR="000C6A19">
        <w:t>E</w:t>
      </w:r>
      <w:r>
        <w:t>stados deben garantizar que la información, los bienes, las instituciones y los servicios vinculados a la atención médica estén disponibles</w:t>
      </w:r>
      <w:r w:rsidR="000C6A19">
        <w:t>,</w:t>
      </w:r>
      <w:r>
        <w:t xml:space="preserve"> accesibles, aceptable</w:t>
      </w:r>
      <w:r w:rsidR="000C6A19">
        <w:t>s</w:t>
      </w:r>
      <w:r>
        <w:t xml:space="preserve"> y de buena calidad para todas las personas.</w:t>
      </w:r>
      <w:r>
        <w:rPr>
          <w:rStyle w:val="EndnoteReference"/>
        </w:rPr>
        <w:endnoteReference w:id="176"/>
      </w:r>
      <w:r>
        <w:t xml:space="preserve"> Aunque el derecho a la salud es un derecho de realización progresiva, </w:t>
      </w:r>
      <w:r w:rsidR="000C6A19">
        <w:t xml:space="preserve">aún </w:t>
      </w:r>
      <w:r>
        <w:t>en épocas de restricción de recursos, el C</w:t>
      </w:r>
      <w:r w:rsidR="000C6A19">
        <w:t xml:space="preserve">omité </w:t>
      </w:r>
      <w:r>
        <w:t xml:space="preserve">DESC considera que los </w:t>
      </w:r>
      <w:r w:rsidR="000C6A19">
        <w:t>E</w:t>
      </w:r>
      <w:r>
        <w:t>stados deben dar prioridad incluso en estos casos a garantizar la no discriminación en el derecho a la salud y garantizar un paquete mínimo de salud, incluyendo bienes y servicios de salud sexual y reproductiva.</w:t>
      </w:r>
      <w:r>
        <w:rPr>
          <w:rStyle w:val="EndnoteReference"/>
        </w:rPr>
        <w:endnoteReference w:id="177"/>
      </w:r>
    </w:p>
    <w:p w14:paraId="57DA77E5" w14:textId="40220632" w:rsidR="0049019C" w:rsidRPr="0014341E" w:rsidRDefault="00CD0EAF" w:rsidP="00753A59">
      <w:pPr>
        <w:pStyle w:val="Heading3GeneralComments"/>
      </w:pPr>
      <w:r w:rsidRPr="0014341E">
        <w:t xml:space="preserve">Observación General </w:t>
      </w:r>
      <w:r w:rsidR="000C6A19" w:rsidRPr="0014341E">
        <w:t>N</w:t>
      </w:r>
      <w:r w:rsidRPr="0014341E">
        <w:t>o. 16: Igualdad de derechos de hombres y mujeres al disfrute de los derechos económicos, sociales y culturales (2005)</w:t>
      </w:r>
    </w:p>
    <w:p w14:paraId="03A96EDF" w14:textId="3E618F4E" w:rsidR="0049019C" w:rsidRDefault="00CD0EAF" w:rsidP="00491CAE">
      <w:pPr>
        <w:pStyle w:val="indentedafterbulletp"/>
      </w:pPr>
      <w:r>
        <w:t xml:space="preserve">En su Observación </w:t>
      </w:r>
      <w:r w:rsidR="000C6A19">
        <w:t>General N</w:t>
      </w:r>
      <w:r>
        <w:t>o. 16, el C</w:t>
      </w:r>
      <w:r w:rsidR="000C6A19">
        <w:t xml:space="preserve">omité </w:t>
      </w:r>
      <w:r>
        <w:t>DESC considera que, en cuanto a</w:t>
      </w:r>
      <w:r w:rsidR="000C6A19">
        <w:t>l</w:t>
      </w:r>
      <w:r>
        <w:t xml:space="preserve"> derecho a la salud, el igual disfrute de los derechos para hombres y mujeres implica que los </w:t>
      </w:r>
      <w:r w:rsidR="000C6A19">
        <w:t>E</w:t>
      </w:r>
      <w:r>
        <w:t>stados deben, como mínimo, eliminar los obstáculos legales que evitan que hombres y mujeres tengan acceso a la salud en igualdad de condiciones.</w:t>
      </w:r>
      <w:r>
        <w:rPr>
          <w:rStyle w:val="EndnoteReference"/>
        </w:rPr>
        <w:endnoteReference w:id="178"/>
      </w:r>
      <w:r>
        <w:t xml:space="preserve"> Como parte de esta obligación, los </w:t>
      </w:r>
      <w:r w:rsidR="000C6A19">
        <w:t>E</w:t>
      </w:r>
      <w:r>
        <w:t xml:space="preserve">stados deben abordar cómo los roles de género afectan </w:t>
      </w:r>
      <w:r w:rsidR="000C6A19">
        <w:t>los</w:t>
      </w:r>
      <w:r>
        <w:t xml:space="preserve"> determinantes sociales de la salud y también eliminar las restricciones sobre el acceso a los servicios de salud reproductiva</w:t>
      </w:r>
      <w:r>
        <w:rPr>
          <w:rStyle w:val="EndnoteReference"/>
        </w:rPr>
        <w:endnoteReference w:id="179"/>
      </w:r>
      <w:r>
        <w:t xml:space="preserve">  eliminando al mismo tiempo la discriminación contra las mujeres sobre la base de su salud sexual y reproductiva, inclu</w:t>
      </w:r>
      <w:r w:rsidR="000C6A19">
        <w:t>yendo</w:t>
      </w:r>
      <w:r>
        <w:t xml:space="preserve"> su condición de embaraz</w:t>
      </w:r>
      <w:r w:rsidR="000C6A19">
        <w:t>o</w:t>
      </w:r>
      <w:r>
        <w:t>.</w:t>
      </w:r>
      <w:r>
        <w:rPr>
          <w:rStyle w:val="EndnoteReference"/>
        </w:rPr>
        <w:endnoteReference w:id="180"/>
      </w:r>
    </w:p>
    <w:p w14:paraId="28D8BFD0" w14:textId="6EA48D31" w:rsidR="0049019C" w:rsidRPr="0014341E" w:rsidRDefault="00CD0EAF" w:rsidP="00753A59">
      <w:pPr>
        <w:pStyle w:val="Heading3GeneralComments"/>
      </w:pPr>
      <w:r w:rsidRPr="0014341E">
        <w:lastRenderedPageBreak/>
        <w:t xml:space="preserve">Observación General </w:t>
      </w:r>
      <w:r w:rsidR="000C6A19" w:rsidRPr="0014341E">
        <w:t>N</w:t>
      </w:r>
      <w:r w:rsidRPr="0014341E">
        <w:t xml:space="preserve">o. 20: La no discriminación </w:t>
      </w:r>
      <w:r w:rsidR="000C6A19" w:rsidRPr="0014341E">
        <w:t>en</w:t>
      </w:r>
      <w:r w:rsidRPr="0014341E">
        <w:t xml:space="preserve"> los derechos económicos y sociales (2009)</w:t>
      </w:r>
    </w:p>
    <w:p w14:paraId="39239D1D" w14:textId="2CEC9C65" w:rsidR="0049019C" w:rsidRDefault="00CD0EAF" w:rsidP="00491CAE">
      <w:pPr>
        <w:pStyle w:val="indentedafterbulletp"/>
      </w:pPr>
      <w:r>
        <w:t xml:space="preserve">En su Observación General </w:t>
      </w:r>
      <w:r w:rsidR="000C6A19">
        <w:t>N</w:t>
      </w:r>
      <w:r>
        <w:t>o. 20, el C</w:t>
      </w:r>
      <w:r w:rsidR="000C6A19">
        <w:t xml:space="preserve">omité </w:t>
      </w:r>
      <w:r>
        <w:t>DESC considera que discriminación por edad incluye la negación de la igualdad de acceso de los adolescentes a la información y los servicios sobre salud sexual y reproductiva.</w:t>
      </w:r>
      <w:r>
        <w:rPr>
          <w:rStyle w:val="EndnoteReference"/>
          <w:rFonts w:cs="Times New Roman"/>
        </w:rPr>
        <w:endnoteReference w:id="181"/>
      </w:r>
      <w:r>
        <w:t xml:space="preserve"> También </w:t>
      </w:r>
      <w:r w:rsidR="000C6A19">
        <w:t xml:space="preserve">se </w:t>
      </w:r>
      <w:r>
        <w:t xml:space="preserve">determina que negarse a proporcionar </w:t>
      </w:r>
      <w:r w:rsidR="000C6A19">
        <w:t xml:space="preserve">ajustes </w:t>
      </w:r>
      <w:r>
        <w:t xml:space="preserve">razonables para las personas con discapacidad </w:t>
      </w:r>
      <w:r w:rsidR="000D6B82">
        <w:t>—</w:t>
      </w:r>
      <w:r w:rsidR="002A223E">
        <w:t xml:space="preserve"> </w:t>
      </w:r>
      <w:r>
        <w:t>inclu</w:t>
      </w:r>
      <w:r w:rsidR="000C6A19">
        <w:t>yendo</w:t>
      </w:r>
      <w:r>
        <w:t xml:space="preserve"> en el acceso a las </w:t>
      </w:r>
      <w:r w:rsidRPr="00491CAE">
        <w:t>instalaciones</w:t>
      </w:r>
      <w:r>
        <w:t xml:space="preserve"> de salud pública</w:t>
      </w:r>
      <w:r w:rsidR="002A223E">
        <w:t xml:space="preserve"> </w:t>
      </w:r>
      <w:r w:rsidR="000D6B82">
        <w:t>—</w:t>
      </w:r>
      <w:r>
        <w:t xml:space="preserve"> es una forma de discriminación en violación del PIDESC.</w:t>
      </w:r>
      <w:r>
        <w:rPr>
          <w:rStyle w:val="EndnoteReference"/>
          <w:rFonts w:cs="Times New Roman"/>
        </w:rPr>
        <w:endnoteReference w:id="182"/>
      </w:r>
      <w:r>
        <w:t xml:space="preserve"> </w:t>
      </w:r>
    </w:p>
    <w:p w14:paraId="18DE420D" w14:textId="5D1D8D73" w:rsidR="0049019C" w:rsidRPr="0014341E" w:rsidRDefault="00CD0EAF" w:rsidP="00753A59">
      <w:pPr>
        <w:pStyle w:val="Heading3GeneralComments"/>
      </w:pPr>
      <w:r w:rsidRPr="0014341E">
        <w:t xml:space="preserve">Observación General </w:t>
      </w:r>
      <w:r w:rsidR="00342328">
        <w:t>N</w:t>
      </w:r>
      <w:r w:rsidRPr="0014341E">
        <w:t>o. 22: Derecho a la salud sexual y reproductiva (2016)</w:t>
      </w:r>
    </w:p>
    <w:p w14:paraId="59338057" w14:textId="2656591D" w:rsidR="0049019C" w:rsidRDefault="00CD0EAF" w:rsidP="00491CAE">
      <w:pPr>
        <w:pStyle w:val="indentedafterbulletp"/>
      </w:pPr>
      <w:r>
        <w:t xml:space="preserve">En su Observación General </w:t>
      </w:r>
      <w:r w:rsidR="00D65EEE">
        <w:t>N</w:t>
      </w:r>
      <w:r>
        <w:t>o. 22, el C</w:t>
      </w:r>
      <w:r w:rsidR="00D65EEE">
        <w:t xml:space="preserve">omité </w:t>
      </w:r>
      <w:r>
        <w:t>DESC explora los muchos aspectos del derecho a la salud sexual y reproductiva para todas las personas como una parte esencial del derecho a la salud.</w:t>
      </w:r>
      <w:r>
        <w:rPr>
          <w:rStyle w:val="EndnoteReference"/>
        </w:rPr>
        <w:endnoteReference w:id="183"/>
      </w:r>
      <w:r>
        <w:t xml:space="preserve"> </w:t>
      </w:r>
      <w:r w:rsidR="00D65EEE">
        <w:t>Se e</w:t>
      </w:r>
      <w:r>
        <w:t xml:space="preserve">stablece que el derecho a la salud sexual y reproductiva abarca la libertad de </w:t>
      </w:r>
      <w:r w:rsidRPr="00491CAE">
        <w:t>tomar</w:t>
      </w:r>
      <w:r>
        <w:t xml:space="preserve"> decisiones sobre la salud y sobre el cuerpo </w:t>
      </w:r>
      <w:r w:rsidR="00D65EEE">
        <w:t>libre de</w:t>
      </w:r>
      <w:r>
        <w:t xml:space="preserve"> violencia, coerción o discriminación.</w:t>
      </w:r>
      <w:r>
        <w:rPr>
          <w:rStyle w:val="EndnoteReference"/>
        </w:rPr>
        <w:endnoteReference w:id="184"/>
      </w:r>
      <w:r>
        <w:t xml:space="preserve"> </w:t>
      </w:r>
      <w:r w:rsidR="001A67C6">
        <w:t>E</w:t>
      </w:r>
      <w:r>
        <w:t xml:space="preserve">l derecho </w:t>
      </w:r>
      <w:r w:rsidR="001A67C6">
        <w:t>a la salud sexual y reproductiva también incluye el derecho al</w:t>
      </w:r>
      <w:r>
        <w:t xml:space="preserve"> acceso sin restricciones a toda la gama de información, servicios, bienes e instalaciones </w:t>
      </w:r>
      <w:r w:rsidR="001A67C6">
        <w:t xml:space="preserve">en </w:t>
      </w:r>
      <w:r>
        <w:t>salud sexual y reproductiva.</w:t>
      </w:r>
      <w:r>
        <w:rPr>
          <w:rStyle w:val="EndnoteReference"/>
        </w:rPr>
        <w:endnoteReference w:id="185"/>
      </w:r>
      <w:r>
        <w:t xml:space="preserve"> </w:t>
      </w:r>
    </w:p>
    <w:p w14:paraId="72575935" w14:textId="0C38A90F" w:rsidR="0049019C" w:rsidRDefault="00CD0EAF" w:rsidP="00491CAE">
      <w:pPr>
        <w:pStyle w:val="indentedafterbulletp"/>
      </w:pPr>
      <w:r>
        <w:t>El C</w:t>
      </w:r>
      <w:r w:rsidR="00E26AAD">
        <w:t xml:space="preserve">omité </w:t>
      </w:r>
      <w:r>
        <w:t xml:space="preserve">DESC reconoce que las mujeres y las niñas enfrentan barreras particulares para ejercer su pleno derecho a la salud sexual y reproductiva, al igual que las personas que experimentan formas de </w:t>
      </w:r>
      <w:r w:rsidR="00440206">
        <w:br/>
      </w:r>
      <w:r>
        <w:t xml:space="preserve">discriminación múltiples y transversales, entre ellas, las personas con discapacidad, </w:t>
      </w:r>
      <w:r w:rsidR="00E26AAD">
        <w:t xml:space="preserve">quienes </w:t>
      </w:r>
      <w:r>
        <w:t>pueden enfrentar barreras adicionales en la le</w:t>
      </w:r>
      <w:r w:rsidR="00E26AAD">
        <w:t>gislación</w:t>
      </w:r>
      <w:r>
        <w:t xml:space="preserve"> y en la práctica.</w:t>
      </w:r>
      <w:r>
        <w:rPr>
          <w:rStyle w:val="EndnoteReference"/>
        </w:rPr>
        <w:endnoteReference w:id="186"/>
      </w:r>
      <w:r>
        <w:t xml:space="preserve"> El Comité considera que los </w:t>
      </w:r>
      <w:r w:rsidR="00C91A05">
        <w:t>E</w:t>
      </w:r>
      <w:r>
        <w:t>stados deben adaptar la salud sexual y reproductiva a las necesidades específicas de grupos individuales, inclu</w:t>
      </w:r>
      <w:r w:rsidR="00C91A05">
        <w:t>yendo</w:t>
      </w:r>
      <w:r>
        <w:t xml:space="preserve"> la garantía de que las personas con discapacidad tengan acceso igualitario no solo a la misma variedad y calidad de la atención que tienen los demás, sino también a servicios, información y bienes para satisfacer sus necesidades particulares, proporcionadas a través de a</w:t>
      </w:r>
      <w:r w:rsidR="00C91A05">
        <w:t>just</w:t>
      </w:r>
      <w:r>
        <w:t>es razonables de una manera accesible y digna que no profundice su marginación.</w:t>
      </w:r>
      <w:r>
        <w:rPr>
          <w:rStyle w:val="EndnoteReference"/>
        </w:rPr>
        <w:endnoteReference w:id="187"/>
      </w:r>
      <w:r>
        <w:t xml:space="preserve"> En particular, el Comité recomienda que los </w:t>
      </w:r>
      <w:r w:rsidR="00C91A05">
        <w:t>E</w:t>
      </w:r>
      <w:r>
        <w:t xml:space="preserve">stados proporcionen a las personas con discapacidad instalaciones físicamente accesibles, información en formatos accesibles, apoyo para la toma de decisiones y servicios </w:t>
      </w:r>
      <w:r w:rsidR="00C91A05">
        <w:t xml:space="preserve">requeridos </w:t>
      </w:r>
      <w:r>
        <w:t xml:space="preserve">específicamente </w:t>
      </w:r>
      <w:r w:rsidR="00C91A05">
        <w:t>por su discapacidad</w:t>
      </w:r>
      <w:r>
        <w:t>.</w:t>
      </w:r>
      <w:r>
        <w:rPr>
          <w:rStyle w:val="EndnoteReference"/>
        </w:rPr>
        <w:endnoteReference w:id="188"/>
      </w:r>
      <w:r>
        <w:t xml:space="preserve"> El Comité también explica que los Estados tienen la obligación de desmantelar las barreras prácticas y sociales, incluyendo, por ejemplo, barreras físicas y sociales </w:t>
      </w:r>
      <w:r w:rsidR="00C2339B">
        <w:t xml:space="preserve">asociadas con </w:t>
      </w:r>
      <w:r>
        <w:t>falsas ideas o prejuicios,</w:t>
      </w:r>
      <w:r>
        <w:rPr>
          <w:rFonts w:ascii="Helvetica" w:hAnsi="Helvetica" w:cs="Times New Roman"/>
        </w:rPr>
        <w:t xml:space="preserve"> </w:t>
      </w:r>
      <w:r>
        <w:t>para el disfrute del derecho a la salud sexual y reproductiva.</w:t>
      </w:r>
      <w:r w:rsidRPr="00804323">
        <w:rPr>
          <w:vertAlign w:val="superscript"/>
        </w:rPr>
        <w:endnoteReference w:id="189"/>
      </w:r>
    </w:p>
    <w:p w14:paraId="1EF14A59" w14:textId="5A56FA55" w:rsidR="0049019C" w:rsidRPr="004B2C96" w:rsidRDefault="00CD0EAF" w:rsidP="00515135">
      <w:pPr>
        <w:pStyle w:val="Heading2"/>
        <w:rPr>
          <w:b w:val="0"/>
        </w:rPr>
      </w:pPr>
      <w:bookmarkStart w:id="30" w:name="_Toc5974913"/>
      <w:r w:rsidRPr="004B2C96">
        <w:rPr>
          <w:b w:val="0"/>
        </w:rPr>
        <w:t xml:space="preserve">Observaciones </w:t>
      </w:r>
      <w:r w:rsidR="00C2339B" w:rsidRPr="004B2C96">
        <w:rPr>
          <w:b w:val="0"/>
        </w:rPr>
        <w:t>F</w:t>
      </w:r>
      <w:r w:rsidRPr="004B2C96">
        <w:rPr>
          <w:b w:val="0"/>
        </w:rPr>
        <w:t>inales</w:t>
      </w:r>
      <w:bookmarkEnd w:id="30"/>
    </w:p>
    <w:p w14:paraId="130D6567" w14:textId="547D762E" w:rsidR="0049019C" w:rsidRPr="004B2C96" w:rsidRDefault="00CD0EAF">
      <w:pPr>
        <w:pStyle w:val="HEADING3firstinstance"/>
      </w:pPr>
      <w:bookmarkStart w:id="31" w:name="_Toc498590688"/>
      <w:r w:rsidRPr="004B2C96">
        <w:t>Acceso a la información y los servicios de salud reproductiva</w:t>
      </w:r>
      <w:bookmarkEnd w:id="31"/>
    </w:p>
    <w:p w14:paraId="7C870A49" w14:textId="5936F1B5" w:rsidR="0049019C" w:rsidRDefault="00CD0EAF">
      <w:r>
        <w:t>El C</w:t>
      </w:r>
      <w:r w:rsidR="00F62AD4">
        <w:t xml:space="preserve">omité </w:t>
      </w:r>
      <w:r>
        <w:t xml:space="preserve">DESC ha expresado su preocupación ante los </w:t>
      </w:r>
      <w:r w:rsidR="009E7528">
        <w:t>E</w:t>
      </w:r>
      <w:r>
        <w:t xml:space="preserve">stados </w:t>
      </w:r>
      <w:r w:rsidR="009E7528">
        <w:t>cuando</w:t>
      </w:r>
      <w:r>
        <w:t xml:space="preserve"> el conocimiento de </w:t>
      </w:r>
      <w:r w:rsidR="009E7528">
        <w:t>su</w:t>
      </w:r>
      <w:r w:rsidR="0014341E">
        <w:t xml:space="preserve"> </w:t>
      </w:r>
      <w:r>
        <w:t>población sobre temas de salud sexual y reproductiva es deficiente</w:t>
      </w:r>
      <w:r>
        <w:rPr>
          <w:rStyle w:val="EndnoteReference"/>
        </w:rPr>
        <w:endnoteReference w:id="190"/>
      </w:r>
      <w:r>
        <w:t xml:space="preserve">  y </w:t>
      </w:r>
      <w:r w:rsidR="009E7528">
        <w:t>donde</w:t>
      </w:r>
      <w:r>
        <w:t xml:space="preserve"> existe acceso </w:t>
      </w:r>
      <w:r w:rsidR="009E7528">
        <w:t xml:space="preserve">inadecuado </w:t>
      </w:r>
      <w:r>
        <w:t>a la información de salud sexual y reproductiva,</w:t>
      </w:r>
      <w:r>
        <w:rPr>
          <w:rStyle w:val="EndnoteReference"/>
        </w:rPr>
        <w:endnoteReference w:id="191"/>
      </w:r>
      <w:r>
        <w:t xml:space="preserve"> entre otras cosas debido a los costos.</w:t>
      </w:r>
      <w:r>
        <w:rPr>
          <w:rStyle w:val="EndnoteReference"/>
        </w:rPr>
        <w:endnoteReference w:id="192"/>
      </w:r>
      <w:r>
        <w:t xml:space="preserve"> </w:t>
      </w:r>
      <w:r w:rsidR="009E7528">
        <w:t>El Comité e</w:t>
      </w:r>
      <w:r>
        <w:t>n particular ha expresado su preocupación cuando el acceso a la información y los servicios de salud sexual y reproductiva, en particular en zonas rurales</w:t>
      </w:r>
      <w:r>
        <w:rPr>
          <w:rStyle w:val="EndnoteReference"/>
        </w:rPr>
        <w:endnoteReference w:id="193"/>
      </w:r>
      <w:r>
        <w:t xml:space="preserve"> y zonas urbanas desfavorecidas,</w:t>
      </w:r>
      <w:r>
        <w:rPr>
          <w:rStyle w:val="EndnoteReference"/>
        </w:rPr>
        <w:endnoteReference w:id="194"/>
      </w:r>
      <w:r>
        <w:t xml:space="preserve"> resulta inadecuado,</w:t>
      </w:r>
      <w:r>
        <w:rPr>
          <w:rStyle w:val="EndnoteReference"/>
        </w:rPr>
        <w:endnoteReference w:id="195"/>
      </w:r>
      <w:r>
        <w:t xml:space="preserve"> y donde hay escasez de </w:t>
      </w:r>
      <w:r w:rsidR="009E7528">
        <w:t xml:space="preserve">personal </w:t>
      </w:r>
      <w:r>
        <w:t>médico y suministros de salud en ciertas áreas del país.</w:t>
      </w:r>
      <w:r>
        <w:rPr>
          <w:rStyle w:val="EndnoteReference"/>
        </w:rPr>
        <w:endnoteReference w:id="196"/>
      </w:r>
      <w:r>
        <w:t xml:space="preserve"> El Comité además ha expresado su preocupación </w:t>
      </w:r>
      <w:r w:rsidR="009E7528">
        <w:t>donde los</w:t>
      </w:r>
      <w:r>
        <w:t xml:space="preserve"> </w:t>
      </w:r>
      <w:r w:rsidR="009E7528">
        <w:t>E</w:t>
      </w:r>
      <w:r>
        <w:t>stados no tienen implementados programas o políticas integrales de salud sexual y reproductiva</w:t>
      </w:r>
      <w:r>
        <w:rPr>
          <w:rStyle w:val="EndnoteReference"/>
        </w:rPr>
        <w:endnoteReference w:id="197"/>
      </w:r>
      <w:r>
        <w:t xml:space="preserve"> o </w:t>
      </w:r>
      <w:r w:rsidR="009E7528">
        <w:t>en al</w:t>
      </w:r>
      <w:r>
        <w:t xml:space="preserve"> menos un </w:t>
      </w:r>
      <w:r w:rsidR="009E7528">
        <w:t>E</w:t>
      </w:r>
      <w:r>
        <w:t xml:space="preserve">stado donde falta acceso a los servicios de salud sexual y reproductiva </w:t>
      </w:r>
      <w:r w:rsidR="009E7528">
        <w:t xml:space="preserve">básico </w:t>
      </w:r>
      <w:r>
        <w:t>para la población.</w:t>
      </w:r>
      <w:r>
        <w:rPr>
          <w:rStyle w:val="EndnoteReference"/>
        </w:rPr>
        <w:endnoteReference w:id="198"/>
      </w:r>
      <w:r>
        <w:t xml:space="preserve"> En por lo menos un caso, el Comité ha observado que pueden producirse casos de prolapso uterino cuando las mujeres carecen de acceso suficiente a información y servicios de salud sexual y reproductiva.</w:t>
      </w:r>
      <w:r>
        <w:rPr>
          <w:rStyle w:val="EndnoteReference"/>
        </w:rPr>
        <w:endnoteReference w:id="199"/>
      </w:r>
    </w:p>
    <w:p w14:paraId="2621459C" w14:textId="7C4A8D4E" w:rsidR="0049019C" w:rsidRDefault="00CD0EAF">
      <w:r>
        <w:t>El C</w:t>
      </w:r>
      <w:r w:rsidR="009E7528">
        <w:t xml:space="preserve">omité </w:t>
      </w:r>
      <w:r>
        <w:t xml:space="preserve">DESC ha recomendado a varios </w:t>
      </w:r>
      <w:r w:rsidR="009E7528">
        <w:t>E</w:t>
      </w:r>
      <w:r>
        <w:t>stados que tomen medidas para crear conciencia sobre temas de salud sexual y reproductiva</w:t>
      </w:r>
      <w:r>
        <w:rPr>
          <w:rStyle w:val="EndnoteReference"/>
        </w:rPr>
        <w:endnoteReference w:id="200"/>
      </w:r>
      <w:r>
        <w:t xml:space="preserve"> y aumenten el acceso y la disponibilidad de la información y los servicios sobre salud sexual y reproductiva,</w:t>
      </w:r>
      <w:r>
        <w:rPr>
          <w:rStyle w:val="EndnoteReference"/>
        </w:rPr>
        <w:endnoteReference w:id="201"/>
      </w:r>
      <w:r>
        <w:t xml:space="preserve">  lo que incluye garantizar su a</w:t>
      </w:r>
      <w:r w:rsidR="009E7528">
        <w:t>s</w:t>
      </w:r>
      <w:r>
        <w:t>e</w:t>
      </w:r>
      <w:r w:rsidR="009E7528">
        <w:t>qu</w:t>
      </w:r>
      <w:r>
        <w:t>ibilidad,</w:t>
      </w:r>
      <w:r>
        <w:rPr>
          <w:rStyle w:val="EndnoteReference"/>
        </w:rPr>
        <w:endnoteReference w:id="202"/>
      </w:r>
      <w:r>
        <w:t xml:space="preserve"> ofreciéndolos a través de su sistema </w:t>
      </w:r>
      <w:r>
        <w:lastRenderedPageBreak/>
        <w:t>de atención médica primaria,</w:t>
      </w:r>
      <w:r>
        <w:rPr>
          <w:rStyle w:val="EndnoteReference"/>
        </w:rPr>
        <w:endnoteReference w:id="203"/>
      </w:r>
      <w:r>
        <w:t xml:space="preserve"> y mediante el desarrollo de programas, leyes o políticas de salud sexual y reproductiva.</w:t>
      </w:r>
      <w:r>
        <w:rPr>
          <w:rStyle w:val="EndnoteReference"/>
        </w:rPr>
        <w:endnoteReference w:id="204"/>
      </w:r>
      <w:r>
        <w:t xml:space="preserve"> También se la recomiendado que al menos un </w:t>
      </w:r>
      <w:r w:rsidR="006877AC">
        <w:t>E</w:t>
      </w:r>
      <w:r>
        <w:t xml:space="preserve">stado garantice el acceso a la salud sexual y reproductiva como un medio </w:t>
      </w:r>
      <w:r w:rsidR="006877AC">
        <w:t>para</w:t>
      </w:r>
      <w:r>
        <w:t xml:space="preserve"> reducir el número de casos de prolapso uterino.</w:t>
      </w:r>
      <w:r>
        <w:rPr>
          <w:rStyle w:val="EndnoteReference"/>
        </w:rPr>
        <w:endnoteReference w:id="205"/>
      </w:r>
      <w:r>
        <w:t xml:space="preserve"> El Comité también ha recomendado que por lo menos un </w:t>
      </w:r>
      <w:r w:rsidR="006877AC">
        <w:t>E</w:t>
      </w:r>
      <w:r>
        <w:t>stado procure obtener el asesoramiento y la asistencia de las organizaciones internacionales para garantizar la salud y los derechos sexuales y reproductivos.</w:t>
      </w:r>
      <w:r>
        <w:rPr>
          <w:rStyle w:val="EndnoteReference"/>
        </w:rPr>
        <w:endnoteReference w:id="206"/>
      </w:r>
    </w:p>
    <w:p w14:paraId="54EBEE92" w14:textId="6266BEBB" w:rsidR="0049019C" w:rsidRDefault="00CD0EAF">
      <w:pPr>
        <w:pStyle w:val="Heading4"/>
      </w:pPr>
      <w:r>
        <w:t xml:space="preserve">Discriminación en el </w:t>
      </w:r>
      <w:r w:rsidR="006877AC">
        <w:t>A</w:t>
      </w:r>
      <w:r>
        <w:t xml:space="preserve">cceso a la </w:t>
      </w:r>
      <w:r w:rsidR="006877AC">
        <w:t>A</w:t>
      </w:r>
      <w:r>
        <w:t xml:space="preserve">tención </w:t>
      </w:r>
      <w:r w:rsidR="00342328">
        <w:t>de la Salud</w:t>
      </w:r>
    </w:p>
    <w:p w14:paraId="678E242F" w14:textId="279F4435" w:rsidR="0049019C" w:rsidRDefault="00CD0EAF" w:rsidP="00491CAE">
      <w:r>
        <w:t>El C</w:t>
      </w:r>
      <w:r w:rsidR="00122EBF">
        <w:t xml:space="preserve">omité </w:t>
      </w:r>
      <w:r>
        <w:t>DESC con frecuencia ha expresado preocupación sobre los casos en que las comunidades carecen de información y servicios sobre salud sexual y reproductiva. Estas comunidades incluyen adolescentes,</w:t>
      </w:r>
      <w:r>
        <w:rPr>
          <w:rStyle w:val="EndnoteReference"/>
        </w:rPr>
        <w:endnoteReference w:id="207"/>
      </w:r>
      <w:r>
        <w:t xml:space="preserve"> mujeres pertenecientes a las minorías,</w:t>
      </w:r>
      <w:r>
        <w:rPr>
          <w:rStyle w:val="EndnoteReference"/>
        </w:rPr>
        <w:endnoteReference w:id="208"/>
      </w:r>
      <w:r>
        <w:t xml:space="preserve"> mujeres de castas inferiores,</w:t>
      </w:r>
      <w:r>
        <w:rPr>
          <w:rStyle w:val="EndnoteReference"/>
        </w:rPr>
        <w:endnoteReference w:id="209"/>
      </w:r>
      <w:r>
        <w:t xml:space="preserve"> mujeres indígenas,</w:t>
      </w:r>
      <w:r>
        <w:rPr>
          <w:rStyle w:val="EndnoteReference"/>
        </w:rPr>
        <w:endnoteReference w:id="210"/>
      </w:r>
      <w:r>
        <w:t xml:space="preserve"> refugiados,</w:t>
      </w:r>
      <w:r>
        <w:rPr>
          <w:rStyle w:val="EndnoteReference"/>
        </w:rPr>
        <w:endnoteReference w:id="211"/>
      </w:r>
      <w:r>
        <w:t xml:space="preserve"> personas desplazadas,</w:t>
      </w:r>
      <w:r>
        <w:rPr>
          <w:rStyle w:val="EndnoteReference"/>
        </w:rPr>
        <w:endnoteReference w:id="212"/>
      </w:r>
      <w:r>
        <w:t xml:space="preserve"> personas con discapacidad,</w:t>
      </w:r>
      <w:r>
        <w:rPr>
          <w:rStyle w:val="EndnoteReference"/>
        </w:rPr>
        <w:endnoteReference w:id="213"/>
      </w:r>
      <w:r>
        <w:t xml:space="preserve"> y personas LGBT.</w:t>
      </w:r>
      <w:r>
        <w:rPr>
          <w:rStyle w:val="EndnoteReference"/>
        </w:rPr>
        <w:endnoteReference w:id="214"/>
      </w:r>
      <w:r>
        <w:t xml:space="preserve"> En particular, el Comité ha expresado su preocupación </w:t>
      </w:r>
      <w:r w:rsidR="00122EBF">
        <w:t xml:space="preserve">a </w:t>
      </w:r>
      <w:r>
        <w:t xml:space="preserve">por lo menos un </w:t>
      </w:r>
      <w:r w:rsidR="00122EBF">
        <w:t>E</w:t>
      </w:r>
      <w:r>
        <w:t>stado donde las instituciones religiosas o las creencias culturales han impedido el acceso a la salud sexual y reproductiva.</w:t>
      </w:r>
      <w:r>
        <w:rPr>
          <w:rStyle w:val="EndnoteReference"/>
        </w:rPr>
        <w:endnoteReference w:id="215"/>
      </w:r>
    </w:p>
    <w:p w14:paraId="2A2A906D" w14:textId="7F18E130" w:rsidR="0049019C" w:rsidRDefault="00CD0EAF" w:rsidP="00491CAE">
      <w:r>
        <w:t xml:space="preserve">El Comité ha recomendado que los </w:t>
      </w:r>
      <w:r w:rsidR="00AC50ED">
        <w:t>E</w:t>
      </w:r>
      <w:r>
        <w:t>stados tomen medidas para garantizar y mejorar el acceso a la información, la educación y los servicios de salud sexual y reproductiva para distintos grupos de mujeres.</w:t>
      </w:r>
      <w:r>
        <w:rPr>
          <w:rStyle w:val="EndnoteReference"/>
        </w:rPr>
        <w:endnoteReference w:id="216"/>
      </w:r>
      <w:r>
        <w:t xml:space="preserve"> También ha solicitado </w:t>
      </w:r>
      <w:r w:rsidR="00AC50ED">
        <w:t>a al</w:t>
      </w:r>
      <w:r>
        <w:t xml:space="preserve"> menos un </w:t>
      </w:r>
      <w:r w:rsidR="00AC50ED">
        <w:t>E</w:t>
      </w:r>
      <w:r>
        <w:t>stado garanti</w:t>
      </w:r>
      <w:r w:rsidR="00AC50ED">
        <w:t>zar</w:t>
      </w:r>
      <w:r>
        <w:t xml:space="preserve"> la asignación </w:t>
      </w:r>
      <w:r w:rsidR="00AC50ED">
        <w:t xml:space="preserve">adecuada </w:t>
      </w:r>
      <w:r>
        <w:t xml:space="preserve">de recursos </w:t>
      </w:r>
      <w:r w:rsidR="00AC50ED">
        <w:t>para</w:t>
      </w:r>
      <w:r>
        <w:t xml:space="preserve"> este fin.</w:t>
      </w:r>
      <w:r>
        <w:rPr>
          <w:rStyle w:val="EndnoteReference"/>
        </w:rPr>
        <w:endnoteReference w:id="217"/>
      </w:r>
      <w:r>
        <w:t xml:space="preserve"> El Comité ha recomendado además </w:t>
      </w:r>
      <w:r w:rsidR="00AC50ED">
        <w:t>a al</w:t>
      </w:r>
      <w:r>
        <w:t xml:space="preserve"> menos un </w:t>
      </w:r>
      <w:r w:rsidR="00AC50ED">
        <w:t>E</w:t>
      </w:r>
      <w:r>
        <w:t>stado proporcion</w:t>
      </w:r>
      <w:r w:rsidR="00AC50ED">
        <w:t>ar</w:t>
      </w:r>
      <w:r>
        <w:t xml:space="preserve"> apoyo psicológico y reali</w:t>
      </w:r>
      <w:r w:rsidR="00AC50ED">
        <w:t>zar</w:t>
      </w:r>
      <w:r>
        <w:t xml:space="preserve"> campañas de información para superar los prejuicios contra las madres solteras.</w:t>
      </w:r>
      <w:r>
        <w:rPr>
          <w:rStyle w:val="EndnoteReference"/>
        </w:rPr>
        <w:endnoteReference w:id="218"/>
      </w:r>
    </w:p>
    <w:p w14:paraId="27709D43" w14:textId="77777777" w:rsidR="0049019C" w:rsidRPr="004B2C96" w:rsidRDefault="00CD0EAF">
      <w:pPr>
        <w:pStyle w:val="Heading3"/>
      </w:pPr>
      <w:bookmarkStart w:id="32" w:name="_Toc498590690"/>
      <w:r w:rsidRPr="004B2C96">
        <w:t>El aborto</w:t>
      </w:r>
      <w:bookmarkEnd w:id="32"/>
    </w:p>
    <w:p w14:paraId="130A37FF" w14:textId="512496C9" w:rsidR="0049019C" w:rsidRDefault="00CD0EAF">
      <w:pPr>
        <w:pStyle w:val="Heading4"/>
      </w:pPr>
      <w:r>
        <w:t xml:space="preserve">Criminalización del </w:t>
      </w:r>
      <w:r w:rsidR="00AC50ED">
        <w:t>A</w:t>
      </w:r>
      <w:r>
        <w:t xml:space="preserve">borto y </w:t>
      </w:r>
      <w:r w:rsidR="00AC50ED">
        <w:t>L</w:t>
      </w:r>
      <w:r>
        <w:t xml:space="preserve">eyes </w:t>
      </w:r>
      <w:r w:rsidR="00AC50ED">
        <w:t>R</w:t>
      </w:r>
      <w:r>
        <w:t xml:space="preserve">estrictivas sobre el </w:t>
      </w:r>
      <w:r w:rsidR="00AC50ED">
        <w:t>A</w:t>
      </w:r>
      <w:r>
        <w:t>borto</w:t>
      </w:r>
    </w:p>
    <w:p w14:paraId="5AF194C2" w14:textId="3B376DB3" w:rsidR="0049019C" w:rsidRDefault="00CD0EAF">
      <w:pPr>
        <w:pStyle w:val="NormalIndented"/>
      </w:pPr>
      <w:r>
        <w:t>El C</w:t>
      </w:r>
      <w:r w:rsidR="00AC50ED">
        <w:t xml:space="preserve">omité </w:t>
      </w:r>
      <w:r>
        <w:t>DESC ha expresado permanentemente su preocupación por la salud de las mujeres en el contexto de las leyes que penalizan o restringen el acceso al aborto,</w:t>
      </w:r>
      <w:r>
        <w:rPr>
          <w:rStyle w:val="EndnoteReference"/>
        </w:rPr>
        <w:endnoteReference w:id="219"/>
      </w:r>
      <w:r w:rsidR="0014341E">
        <w:t xml:space="preserve"> </w:t>
      </w:r>
      <w:r>
        <w:t>incluyendo las leyes que no permiten que las mujeres accedan al aborto bajo ninguna circunstancia,</w:t>
      </w:r>
      <w:r>
        <w:rPr>
          <w:rStyle w:val="EndnoteReference"/>
        </w:rPr>
        <w:endnoteReference w:id="220"/>
      </w:r>
      <w:r w:rsidR="0014341E">
        <w:t xml:space="preserve"> </w:t>
      </w:r>
      <w:r w:rsidR="00AC50ED">
        <w:t xml:space="preserve">que </w:t>
      </w:r>
      <w:r>
        <w:t>no tienen excepciones explícitas a las prohibiciones sobre el aborto,</w:t>
      </w:r>
      <w:r>
        <w:rPr>
          <w:rStyle w:val="EndnoteReference"/>
        </w:rPr>
        <w:endnoteReference w:id="221"/>
      </w:r>
      <w:r>
        <w:t xml:space="preserve"> o sólo tienen excepciones cuando la vida</w:t>
      </w:r>
      <w:r>
        <w:rPr>
          <w:rStyle w:val="EndnoteReference"/>
        </w:rPr>
        <w:endnoteReference w:id="222"/>
      </w:r>
      <w:r w:rsidR="0014341E">
        <w:t xml:space="preserve"> </w:t>
      </w:r>
      <w:r>
        <w:t>o la salud</w:t>
      </w:r>
      <w:r>
        <w:rPr>
          <w:rStyle w:val="EndnoteReference"/>
        </w:rPr>
        <w:endnoteReference w:id="223"/>
      </w:r>
      <w:r>
        <w:t xml:space="preserve"> de la</w:t>
      </w:r>
      <w:r w:rsidR="00AC50ED">
        <w:t>s</w:t>
      </w:r>
      <w:r>
        <w:t xml:space="preserve"> mujer</w:t>
      </w:r>
      <w:r w:rsidR="00AC50ED">
        <w:t>es</w:t>
      </w:r>
      <w:r>
        <w:t xml:space="preserve"> está en riesgo. El Comité ha expresado su preocupación </w:t>
      </w:r>
      <w:r w:rsidR="00AC50ED">
        <w:t>a al</w:t>
      </w:r>
      <w:r>
        <w:t xml:space="preserve"> menos un </w:t>
      </w:r>
      <w:r w:rsidR="00AC50ED">
        <w:t>E</w:t>
      </w:r>
      <w:r>
        <w:t xml:space="preserve">stado donde </w:t>
      </w:r>
      <w:r w:rsidR="00AC50ED">
        <w:t xml:space="preserve">la </w:t>
      </w:r>
      <w:r>
        <w:t>le</w:t>
      </w:r>
      <w:r w:rsidR="00AC50ED">
        <w:t>gislación</w:t>
      </w:r>
      <w:r>
        <w:t xml:space="preserve"> restrictiva sobre el aborto llevó a proveedores de </w:t>
      </w:r>
      <w:r w:rsidR="00AC50ED">
        <w:t>la salud</w:t>
      </w:r>
      <w:r>
        <w:t xml:space="preserve"> a negarse a </w:t>
      </w:r>
      <w:r w:rsidR="00AC50ED">
        <w:t xml:space="preserve">brindar </w:t>
      </w:r>
      <w:r>
        <w:t>aten</w:t>
      </w:r>
      <w:r w:rsidR="00AC50ED">
        <w:t>ción</w:t>
      </w:r>
      <w:r>
        <w:t xml:space="preserve"> </w:t>
      </w:r>
      <w:r w:rsidR="00AC50ED">
        <w:t xml:space="preserve">médica necesaria </w:t>
      </w:r>
      <w:r>
        <w:t>a una mujer, provocando su muerte.</w:t>
      </w:r>
      <w:r>
        <w:rPr>
          <w:rStyle w:val="EndnoteReference"/>
        </w:rPr>
        <w:endnoteReference w:id="224"/>
      </w:r>
      <w:r>
        <w:t xml:space="preserve"> También ha expresado su preocupación a por lo menos </w:t>
      </w:r>
      <w:r w:rsidR="006B6C2D">
        <w:t xml:space="preserve">a </w:t>
      </w:r>
      <w:r>
        <w:t xml:space="preserve">un </w:t>
      </w:r>
      <w:r w:rsidR="006B6C2D">
        <w:t>E</w:t>
      </w:r>
      <w:r>
        <w:t xml:space="preserve">stado sobre la legislación que sólo permite aborto en casos de violación, cuando la violación se cometió contra una persona con discapacidad intelectual o psicosocial, pidiendo al </w:t>
      </w:r>
      <w:r w:rsidR="006B6C2D">
        <w:t>E</w:t>
      </w:r>
      <w:r>
        <w:t>stado permitir el aborto por violación independientemente de si o no la mujer en cuestión tiene una discapacidad.</w:t>
      </w:r>
      <w:r>
        <w:rPr>
          <w:rStyle w:val="EndnoteReference"/>
        </w:rPr>
        <w:endnoteReference w:id="225"/>
      </w:r>
      <w:r>
        <w:t xml:space="preserve"> El Comité recomendó además que </w:t>
      </w:r>
      <w:r w:rsidR="006B6C2D">
        <w:t xml:space="preserve">eliminar </w:t>
      </w:r>
      <w:r>
        <w:t xml:space="preserve">las referencias degradantes </w:t>
      </w:r>
      <w:r w:rsidR="006B6C2D">
        <w:t>h</w:t>
      </w:r>
      <w:r>
        <w:t>a</w:t>
      </w:r>
      <w:r w:rsidR="006B6C2D">
        <w:t>cia</w:t>
      </w:r>
      <w:r>
        <w:t xml:space="preserve"> las mujeres con discapacidad intelectual o psicosocial en el contexto de esta ley.</w:t>
      </w:r>
      <w:r>
        <w:rPr>
          <w:rStyle w:val="EndnoteReference"/>
        </w:rPr>
        <w:endnoteReference w:id="226"/>
      </w:r>
    </w:p>
    <w:p w14:paraId="69ECDC4E" w14:textId="18B537DB" w:rsidR="0049019C" w:rsidRDefault="00CD0EAF">
      <w:pPr>
        <w:pStyle w:val="NormalIndented"/>
      </w:pPr>
      <w:r>
        <w:t xml:space="preserve">El Comité señaló que estas leyes restrictivas pueden obligar a las mujeres a </w:t>
      </w:r>
      <w:r w:rsidR="006B6C2D">
        <w:t xml:space="preserve">buscar </w:t>
      </w:r>
      <w:r>
        <w:t>abortos clandestinos e inseguros,</w:t>
      </w:r>
      <w:r>
        <w:rPr>
          <w:rStyle w:val="EndnoteReference"/>
        </w:rPr>
        <w:endnoteReference w:id="227"/>
      </w:r>
      <w:r w:rsidR="0014341E">
        <w:t xml:space="preserve"> </w:t>
      </w:r>
      <w:r>
        <w:t>lo que conduce a mayores tasas de mortalidad materna,</w:t>
      </w:r>
      <w:r>
        <w:rPr>
          <w:rStyle w:val="EndnoteReference"/>
        </w:rPr>
        <w:endnoteReference w:id="228"/>
      </w:r>
      <w:r>
        <w:t xml:space="preserve"> y que las leyes de aborto restrictivas afectan en particular </w:t>
      </w:r>
      <w:r w:rsidRPr="00982B2F">
        <w:t>a las mujeres pobres y con menos educación.</w:t>
      </w:r>
      <w:r w:rsidRPr="00982B2F">
        <w:rPr>
          <w:rStyle w:val="EndnoteReference"/>
        </w:rPr>
        <w:endnoteReference w:id="229"/>
      </w:r>
      <w:r w:rsidRPr="00982B2F">
        <w:t xml:space="preserve"> De hecho, el Comité ha expresado preocupación sobre por lo menos un </w:t>
      </w:r>
      <w:r w:rsidR="006B6C2D" w:rsidRPr="00982B2F">
        <w:t>E</w:t>
      </w:r>
      <w:r w:rsidRPr="00982B2F">
        <w:t xml:space="preserve">stado donde una ley permite que las mujeres aborten en caso de riesgo para su vida, anomalía fetal </w:t>
      </w:r>
      <w:r w:rsidR="00982B2F" w:rsidRPr="00982B2F">
        <w:t>inviable</w:t>
      </w:r>
      <w:r w:rsidRPr="00982B2F">
        <w:t>, y cuando el embarazo es el resultado de un delito cometido contra ellas, observando que dichos motivos pueden seguir</w:t>
      </w:r>
      <w:r>
        <w:t xml:space="preserve"> siendo demasiado restrictivos y </w:t>
      </w:r>
      <w:r w:rsidR="006B6C2D">
        <w:t>llevando</w:t>
      </w:r>
      <w:r>
        <w:t xml:space="preserve"> a las mujeres a recurrir a abortos clandestinos y arriesgados.</w:t>
      </w:r>
      <w:r>
        <w:rPr>
          <w:rStyle w:val="EndnoteReference"/>
        </w:rPr>
        <w:endnoteReference w:id="230"/>
      </w:r>
      <w:r>
        <w:t xml:space="preserve"> </w:t>
      </w:r>
      <w:r w:rsidR="006B6C2D">
        <w:t>El Comité t</w:t>
      </w:r>
      <w:r>
        <w:t xml:space="preserve">ambién ha expresado su preocupación ante por lo menos un </w:t>
      </w:r>
      <w:r w:rsidR="006B6C2D">
        <w:t>E</w:t>
      </w:r>
      <w:r>
        <w:t>stado donde las mujeres que buscan atención p</w:t>
      </w:r>
      <w:r w:rsidR="006B6C2D">
        <w:t>o</w:t>
      </w:r>
      <w:r>
        <w:t>r complicaciones del embarazo son denunciadas como sospechosas de haber abortado,</w:t>
      </w:r>
      <w:r>
        <w:rPr>
          <w:rStyle w:val="EndnoteReference"/>
        </w:rPr>
        <w:endnoteReference w:id="231"/>
      </w:r>
      <w:r w:rsidR="0014341E">
        <w:t xml:space="preserve"> </w:t>
      </w:r>
      <w:r>
        <w:t>y otros donde se imponen severas sanciones penales a las mujeres que se hayan practicado un aborto o que sean sospechosas de haberlo hecho,</w:t>
      </w:r>
      <w:r>
        <w:rPr>
          <w:rStyle w:val="EndnoteReference"/>
        </w:rPr>
        <w:endnoteReference w:id="232"/>
      </w:r>
      <w:r w:rsidR="0014341E">
        <w:t xml:space="preserve"> </w:t>
      </w:r>
      <w:r>
        <w:t>incluso sin el debido proceso legal.</w:t>
      </w:r>
      <w:r>
        <w:rPr>
          <w:rStyle w:val="EndnoteReference"/>
        </w:rPr>
        <w:endnoteReference w:id="233"/>
      </w:r>
      <w:r>
        <w:t xml:space="preserve"> Además, el Comité ha expresado preocupación cuando una ley impone penas severas contra los médicos que realizan abortos de emergencia si posteriormente se determina que el aborto era ilegal, creando un posible efecto paralizante sobre la provisión de los abortos incluso cuando estos sean legales.</w:t>
      </w:r>
      <w:r>
        <w:rPr>
          <w:rStyle w:val="EndnoteReference"/>
        </w:rPr>
        <w:endnoteReference w:id="234"/>
      </w:r>
    </w:p>
    <w:p w14:paraId="4F80A280" w14:textId="66A87020" w:rsidR="0049019C" w:rsidRDefault="00CD0EAF">
      <w:pPr>
        <w:pStyle w:val="NormalIndented"/>
      </w:pPr>
      <w:r>
        <w:lastRenderedPageBreak/>
        <w:t>El C</w:t>
      </w:r>
      <w:r w:rsidR="006B6C2D">
        <w:t xml:space="preserve">omité </w:t>
      </w:r>
      <w:r>
        <w:t xml:space="preserve">DESC ha recomendado que los </w:t>
      </w:r>
      <w:r w:rsidR="006B6C2D">
        <w:t>E</w:t>
      </w:r>
      <w:r>
        <w:t xml:space="preserve">stados consideren la despenalización del aborto o la revisión de la legislación para permitir el aborto cuando la salud o la vida de una mujer están en riesgo y cuando el embarazo es </w:t>
      </w:r>
      <w:r w:rsidRPr="00982B2F">
        <w:t>el resultado de violación o incesto.</w:t>
      </w:r>
      <w:r w:rsidRPr="00982B2F">
        <w:rPr>
          <w:rStyle w:val="EndnoteReference"/>
        </w:rPr>
        <w:endnoteReference w:id="235"/>
      </w:r>
      <w:r w:rsidRPr="00982B2F">
        <w:t xml:space="preserve"> También se recomienda que los </w:t>
      </w:r>
      <w:r w:rsidR="006B6C2D" w:rsidRPr="00982B2F">
        <w:t>E</w:t>
      </w:r>
      <w:r w:rsidRPr="00982B2F">
        <w:t>stados despenalicen el aborto en casos de anomalía fetal,</w:t>
      </w:r>
      <w:r w:rsidRPr="00982B2F">
        <w:rPr>
          <w:rStyle w:val="EndnoteReference"/>
        </w:rPr>
        <w:endnoteReference w:id="236"/>
      </w:r>
      <w:r w:rsidRPr="00982B2F">
        <w:t xml:space="preserve"> revisen la legislación para reducir el alcance y la gravedad de las penas para el aborto,</w:t>
      </w:r>
      <w:r w:rsidRPr="00982B2F">
        <w:rPr>
          <w:rStyle w:val="EndnoteReference"/>
        </w:rPr>
        <w:endnoteReference w:id="237"/>
      </w:r>
      <w:r w:rsidRPr="00982B2F">
        <w:t xml:space="preserve">  y se abstengan de sancionar</w:t>
      </w:r>
      <w:r>
        <w:t xml:space="preserve"> a los proveedores de </w:t>
      </w:r>
      <w:r w:rsidR="006B6C2D">
        <w:t>la salud</w:t>
      </w:r>
      <w:r>
        <w:t xml:space="preserve"> por el ejercicio de sus responsabilidades profesionales en el contexto del aborto.</w:t>
      </w:r>
      <w:r>
        <w:rPr>
          <w:rStyle w:val="EndnoteReference"/>
        </w:rPr>
        <w:endnoteReference w:id="238"/>
      </w:r>
      <w:r>
        <w:t xml:space="preserve"> Además, el Comité ha recomendado que los Estados faciliten el acceso a servicios profesionales con miras a eliminar la práctica del aborto inseguro</w:t>
      </w:r>
      <w:r>
        <w:rPr>
          <w:rStyle w:val="EndnoteReference"/>
        </w:rPr>
        <w:endnoteReference w:id="239"/>
      </w:r>
      <w:r w:rsidR="0014341E">
        <w:t xml:space="preserve"> </w:t>
      </w:r>
      <w:r>
        <w:t xml:space="preserve">y </w:t>
      </w:r>
      <w:r w:rsidR="00DB780E">
        <w:t xml:space="preserve">a </w:t>
      </w:r>
      <w:r>
        <w:t xml:space="preserve">por lo menos un </w:t>
      </w:r>
      <w:r w:rsidR="00DB780E">
        <w:t>E</w:t>
      </w:r>
      <w:r>
        <w:t xml:space="preserve">stado </w:t>
      </w:r>
      <w:r w:rsidR="00DB780E">
        <w:t xml:space="preserve">que </w:t>
      </w:r>
      <w:r>
        <w:t>se abstenga de adoptar leyes que impongan limitaciones adicionales al acceso al aborto.</w:t>
      </w:r>
      <w:r>
        <w:rPr>
          <w:rStyle w:val="EndnoteReference"/>
        </w:rPr>
        <w:endnoteReference w:id="240"/>
      </w:r>
      <w:r>
        <w:t xml:space="preserve"> También ha recomendado </w:t>
      </w:r>
      <w:r w:rsidR="00DB780E">
        <w:t xml:space="preserve">a por </w:t>
      </w:r>
      <w:r>
        <w:t xml:space="preserve">lo menos un </w:t>
      </w:r>
      <w:r w:rsidR="00DB780E">
        <w:t>E</w:t>
      </w:r>
      <w:r>
        <w:t>stado que realice un referéndum sobre el aborto.</w:t>
      </w:r>
      <w:r>
        <w:rPr>
          <w:rStyle w:val="EndnoteReference"/>
        </w:rPr>
        <w:endnoteReference w:id="241"/>
      </w:r>
      <w:r>
        <w:t xml:space="preserve"> </w:t>
      </w:r>
    </w:p>
    <w:p w14:paraId="619CD657" w14:textId="0EE52E98" w:rsidR="0049019C" w:rsidRDefault="00CD0EAF" w:rsidP="00830960">
      <w:pPr>
        <w:pStyle w:val="NormalIndented"/>
        <w:rPr>
          <w:rFonts w:ascii="Franklin Gothic Demi" w:hAnsi="Franklin Gothic Demi"/>
          <w:color w:val="7E599A"/>
          <w:u w:val="single"/>
          <w14:numForm w14:val="default"/>
          <w14:numSpacing w14:val="default"/>
        </w:rPr>
      </w:pPr>
      <w:r>
        <w:t>En sus recientes observaciones finales, el C</w:t>
      </w:r>
      <w:r w:rsidR="00DB780E">
        <w:t xml:space="preserve">omité </w:t>
      </w:r>
      <w:r>
        <w:t>DESC ha recomendado que los Estados "liberalicen" sus leyes sobre el aborto,</w:t>
      </w:r>
      <w:r>
        <w:rPr>
          <w:rStyle w:val="EndnoteReference"/>
        </w:rPr>
        <w:endnoteReference w:id="242"/>
      </w:r>
      <w:r>
        <w:t xml:space="preserve"> como una manera de reducir el aborto inseguro y la mortalidad materna,</w:t>
      </w:r>
      <w:r>
        <w:rPr>
          <w:rStyle w:val="EndnoteReference"/>
        </w:rPr>
        <w:endnoteReference w:id="243"/>
      </w:r>
      <w:r>
        <w:t xml:space="preserve"> o que modifiquen de otra manera sus leyes sobre el aborto para hacerlas más compatibles con los derechos de las mujeres a la salud, la vida y la dignidad, sin recomendaciones específicas sobre los casos en que debe despenalizarse el aborto.</w:t>
      </w:r>
      <w:r>
        <w:rPr>
          <w:rStyle w:val="EndnoteReference"/>
        </w:rPr>
        <w:endnoteReference w:id="244"/>
      </w:r>
      <w:r>
        <w:t xml:space="preserve"> En algunos de estos contextos, sin embargo, los </w:t>
      </w:r>
      <w:r w:rsidR="00DB780E" w:rsidRPr="00982B2F">
        <w:t>E</w:t>
      </w:r>
      <w:r w:rsidRPr="00982B2F">
        <w:t>stados ya permitían el aborto en casos de riesgo para la vida</w:t>
      </w:r>
      <w:r w:rsidRPr="00982B2F">
        <w:rPr>
          <w:rStyle w:val="EndnoteReference"/>
        </w:rPr>
        <w:endnoteReference w:id="245"/>
      </w:r>
      <w:r w:rsidRPr="00982B2F">
        <w:t xml:space="preserve"> o la salud de la mujer embarazada,</w:t>
      </w:r>
      <w:r w:rsidRPr="00982B2F">
        <w:rPr>
          <w:rStyle w:val="EndnoteReference"/>
        </w:rPr>
        <w:endnoteReference w:id="246"/>
      </w:r>
      <w:r w:rsidRPr="00982B2F">
        <w:t xml:space="preserve"> anomalía fetal,</w:t>
      </w:r>
      <w:r w:rsidRPr="00982B2F">
        <w:rPr>
          <w:rStyle w:val="EndnoteReference"/>
        </w:rPr>
        <w:endnoteReference w:id="247"/>
      </w:r>
      <w:r w:rsidRPr="00982B2F">
        <w:t xml:space="preserve"> y</w:t>
      </w:r>
      <w:r>
        <w:t xml:space="preserve"> violación o incesto,</w:t>
      </w:r>
      <w:r>
        <w:rPr>
          <w:rStyle w:val="EndnoteReference"/>
        </w:rPr>
        <w:endnoteReference w:id="248"/>
      </w:r>
      <w:r>
        <w:t xml:space="preserve"> lo que indica que el C</w:t>
      </w:r>
      <w:r w:rsidR="00DB780E">
        <w:t xml:space="preserve">omité </w:t>
      </w:r>
      <w:r>
        <w:t>DESC propone una liberalización adicional de las leyes para garantizar el acceso al aborto en una amplia variedad de circunstancias.</w:t>
      </w:r>
    </w:p>
    <w:p w14:paraId="104E6DD5" w14:textId="6E944BEF" w:rsidR="0049019C" w:rsidRDefault="00CD0EAF">
      <w:pPr>
        <w:pStyle w:val="Heading4"/>
      </w:pPr>
      <w:r>
        <w:t xml:space="preserve">Barreras </w:t>
      </w:r>
      <w:r w:rsidR="00DB780E">
        <w:t>P</w:t>
      </w:r>
      <w:r>
        <w:t xml:space="preserve">rácticas y </w:t>
      </w:r>
      <w:r w:rsidR="0014341E">
        <w:t xml:space="preserve">Procedimentales </w:t>
      </w:r>
      <w:r>
        <w:t xml:space="preserve">para el </w:t>
      </w:r>
      <w:r w:rsidR="00DB780E">
        <w:t>A</w:t>
      </w:r>
      <w:r>
        <w:t xml:space="preserve">borto </w:t>
      </w:r>
    </w:p>
    <w:p w14:paraId="4090E145" w14:textId="019DDDD0" w:rsidR="0049019C" w:rsidRDefault="00CD0EAF">
      <w:pPr>
        <w:pStyle w:val="NormalIndented"/>
        <w:spacing w:after="160" w:line="250" w:lineRule="atLeast"/>
      </w:pPr>
      <w:r>
        <w:t>El C</w:t>
      </w:r>
      <w:r w:rsidR="003C29DC">
        <w:t xml:space="preserve">omité </w:t>
      </w:r>
      <w:r>
        <w:t xml:space="preserve">DESC ha expresado su preocupación ante por lo menos un </w:t>
      </w:r>
      <w:r w:rsidR="003C29DC">
        <w:t>E</w:t>
      </w:r>
      <w:r>
        <w:t>stado donde el acceso al aborto legal no está lo suficientemente regulado</w:t>
      </w:r>
      <w:r>
        <w:rPr>
          <w:rStyle w:val="EndnoteReference"/>
        </w:rPr>
        <w:endnoteReference w:id="249"/>
      </w:r>
      <w:r>
        <w:t xml:space="preserve"> y </w:t>
      </w:r>
      <w:r w:rsidR="003C29DC">
        <w:t xml:space="preserve">ante </w:t>
      </w:r>
      <w:r>
        <w:t>otro donde hay demasiados obstáculos para tener acceso al aborto legal,</w:t>
      </w:r>
      <w:r>
        <w:rPr>
          <w:rStyle w:val="EndnoteReference"/>
        </w:rPr>
        <w:endnoteReference w:id="250"/>
      </w:r>
      <w:r w:rsidR="0014341E">
        <w:t xml:space="preserve"> </w:t>
      </w:r>
      <w:r w:rsidR="003C29DC">
        <w:t xml:space="preserve">incluyendo </w:t>
      </w:r>
      <w:r>
        <w:t xml:space="preserve">la falta de claridad legal y </w:t>
      </w:r>
      <w:r w:rsidR="0014341E">
        <w:t>procedimental</w:t>
      </w:r>
      <w:r>
        <w:t xml:space="preserve"> sobre cuándo y cómo debe realizarse el aborto.</w:t>
      </w:r>
      <w:r>
        <w:rPr>
          <w:rStyle w:val="EndnoteReference"/>
        </w:rPr>
        <w:endnoteReference w:id="251"/>
      </w:r>
      <w:r>
        <w:t xml:space="preserve"> Se ha observado por lo menos un </w:t>
      </w:r>
      <w:r w:rsidR="003C29DC">
        <w:t>E</w:t>
      </w:r>
      <w:r>
        <w:t>stado donde la falta de acceso al aborto legal puede obligar a las mujeres a recurrir al aborto ilegal e inseguro.</w:t>
      </w:r>
      <w:r>
        <w:rPr>
          <w:rStyle w:val="EndnoteReference"/>
        </w:rPr>
        <w:endnoteReference w:id="252"/>
      </w:r>
      <w:r>
        <w:t xml:space="preserve"> En particular, el Comité ha expresado su preocupación ante los </w:t>
      </w:r>
      <w:r w:rsidR="003C29DC">
        <w:t>E</w:t>
      </w:r>
      <w:r>
        <w:t>stados donde los médicos invocan cada vez más la objeción de conciencia, dificultando así el acceso al aborto legal,</w:t>
      </w:r>
      <w:r>
        <w:rPr>
          <w:rStyle w:val="EndnoteReference"/>
        </w:rPr>
        <w:endnoteReference w:id="253"/>
      </w:r>
      <w:r>
        <w:t xml:space="preserve"> y al menos un </w:t>
      </w:r>
      <w:r w:rsidR="003C29DC">
        <w:t>E</w:t>
      </w:r>
      <w:r>
        <w:t>stado donde el uso de la objeción de conciencia por parte de los médicos no está suficientemente regulado, de manera tal que los médicos no están obligados a derivar a las mujeres a los proveedores de abortos seguros.</w:t>
      </w:r>
      <w:r>
        <w:rPr>
          <w:rStyle w:val="EndnoteReference"/>
        </w:rPr>
        <w:endnoteReference w:id="254"/>
      </w:r>
      <w:r>
        <w:t xml:space="preserve"> Además, el Comité ha expresado su preocupación </w:t>
      </w:r>
      <w:r w:rsidR="003C29DC">
        <w:t xml:space="preserve">a </w:t>
      </w:r>
      <w:r>
        <w:t xml:space="preserve">al menos un </w:t>
      </w:r>
      <w:r w:rsidR="003C29DC">
        <w:t>E</w:t>
      </w:r>
      <w:r>
        <w:t>stado en el que los proveedores de salud y los fiscales manifiestan conductas abusivas con respecto a las víctimas de violación, limitando de esta forma su acceso al aborto.</w:t>
      </w:r>
      <w:r>
        <w:rPr>
          <w:rStyle w:val="EndnoteReference"/>
        </w:rPr>
        <w:endnoteReference w:id="255"/>
      </w:r>
      <w:r>
        <w:t xml:space="preserve"> </w:t>
      </w:r>
    </w:p>
    <w:p w14:paraId="68498998" w14:textId="093935B8" w:rsidR="0049019C" w:rsidRDefault="00CD0EAF">
      <w:pPr>
        <w:pStyle w:val="NormalIndented"/>
        <w:spacing w:after="160" w:line="250" w:lineRule="atLeast"/>
      </w:pPr>
      <w:r>
        <w:t>El C</w:t>
      </w:r>
      <w:r w:rsidR="003C29DC">
        <w:t xml:space="preserve">omité </w:t>
      </w:r>
      <w:r>
        <w:t xml:space="preserve">DESC ha recomendado </w:t>
      </w:r>
      <w:r w:rsidR="003C29DC">
        <w:t xml:space="preserve">a </w:t>
      </w:r>
      <w:r>
        <w:t>los Estados estable</w:t>
      </w:r>
      <w:r w:rsidR="003C29DC">
        <w:t>cer</w:t>
      </w:r>
      <w:r>
        <w:t xml:space="preserve"> protocolos o pautas para proporcionar servicios legales de aborto</w:t>
      </w:r>
      <w:r>
        <w:rPr>
          <w:rStyle w:val="EndnoteReference"/>
        </w:rPr>
        <w:endnoteReference w:id="256"/>
      </w:r>
      <w:r>
        <w:t xml:space="preserve"> y garantizar que la información y los servicios sobre abortos legales estén disponibles, accesibles y asequibles para todas las mujeres, incluidas los adolescentes.</w:t>
      </w:r>
      <w:r>
        <w:rPr>
          <w:rStyle w:val="EndnoteReference"/>
        </w:rPr>
        <w:endnoteReference w:id="257"/>
      </w:r>
      <w:r>
        <w:t xml:space="preserve"> También ha recomendado que los Estados aseguren que la objeción de conciencia no supon</w:t>
      </w:r>
      <w:r w:rsidR="00E81B1B">
        <w:t>ga</w:t>
      </w:r>
      <w:r>
        <w:t xml:space="preserve"> un obstáculo de acceso al aborto legal para las mujeres que desean poner fin a un embarazo</w:t>
      </w:r>
      <w:r>
        <w:rPr>
          <w:rStyle w:val="EndnoteReference"/>
        </w:rPr>
        <w:endnoteReference w:id="258"/>
      </w:r>
      <w:r>
        <w:t xml:space="preserve"> y que, por lo menos, un Estado establezca un mecanismo de re</w:t>
      </w:r>
      <w:r w:rsidR="00E81B1B">
        <w:t>ferencia</w:t>
      </w:r>
      <w:r>
        <w:t xml:space="preserve"> efectiva de casos cuando los proveedores de servicios de salud ejerzan su derecho a objeción de conciencia.</w:t>
      </w:r>
      <w:r>
        <w:rPr>
          <w:rStyle w:val="EndnoteReference"/>
        </w:rPr>
        <w:endnoteReference w:id="259"/>
      </w:r>
      <w:r>
        <w:t xml:space="preserve"> Además, ha recomendado </w:t>
      </w:r>
      <w:r w:rsidR="00E81B1B">
        <w:t>a</w:t>
      </w:r>
      <w:r>
        <w:t>, al menos un Estado asegur</w:t>
      </w:r>
      <w:r w:rsidR="00E81B1B">
        <w:t>ar</w:t>
      </w:r>
      <w:r>
        <w:t xml:space="preserve"> y supervis</w:t>
      </w:r>
      <w:r w:rsidR="00E81B1B">
        <w:t>ar</w:t>
      </w:r>
      <w:r>
        <w:t xml:space="preserve"> el acceso al aborto legal en casos de violación, en particular.</w:t>
      </w:r>
      <w:r>
        <w:rPr>
          <w:rStyle w:val="EndnoteReference"/>
        </w:rPr>
        <w:endnoteReference w:id="260"/>
      </w:r>
      <w:r>
        <w:t xml:space="preserve"> </w:t>
      </w:r>
    </w:p>
    <w:p w14:paraId="2474975D" w14:textId="61166598" w:rsidR="0049019C" w:rsidRDefault="00CD0EAF">
      <w:pPr>
        <w:pStyle w:val="Heading4"/>
      </w:pPr>
      <w:r>
        <w:t xml:space="preserve">Atención </w:t>
      </w:r>
      <w:r w:rsidR="00E81B1B">
        <w:t>P</w:t>
      </w:r>
      <w:r>
        <w:t xml:space="preserve">osterior al </w:t>
      </w:r>
      <w:r w:rsidR="00E81B1B">
        <w:t>A</w:t>
      </w:r>
      <w:r>
        <w:t>borto</w:t>
      </w:r>
    </w:p>
    <w:p w14:paraId="471ABE0F" w14:textId="77EAE94E" w:rsidR="00830960" w:rsidRDefault="00CD0EAF">
      <w:pPr>
        <w:pStyle w:val="NormalIndented"/>
      </w:pPr>
      <w:r>
        <w:t>El Comité DESC ha recomendado que los Estados aseguren el acceso a los establecimientos, suministros y servicios de salud para reducir los riesgos antes y después de un aborto,</w:t>
      </w:r>
      <w:r>
        <w:rPr>
          <w:rStyle w:val="EndnoteReference"/>
        </w:rPr>
        <w:endnoteReference w:id="261"/>
      </w:r>
      <w:r>
        <w:t xml:space="preserve"> como la atención y el asesoramiento posteriores al aborto,</w:t>
      </w:r>
      <w:r>
        <w:rPr>
          <w:rStyle w:val="EndnoteReference"/>
        </w:rPr>
        <w:endnoteReference w:id="262"/>
      </w:r>
      <w:r>
        <w:t xml:space="preserve"> como un medio para luchar contra el predominio de abortos ilegales e inseguros.</w:t>
      </w:r>
      <w:r>
        <w:rPr>
          <w:rStyle w:val="EndnoteReference"/>
        </w:rPr>
        <w:endnoteReference w:id="263"/>
      </w:r>
      <w:r>
        <w:t xml:space="preserve"> En particular, </w:t>
      </w:r>
      <w:r w:rsidR="00E81B1B">
        <w:t xml:space="preserve">el Comité ha </w:t>
      </w:r>
      <w:r>
        <w:t>recom</w:t>
      </w:r>
      <w:r w:rsidR="00E81B1B">
        <w:t>endado</w:t>
      </w:r>
      <w:r>
        <w:t xml:space="preserve"> </w:t>
      </w:r>
      <w:r w:rsidR="00E81B1B">
        <w:t xml:space="preserve">a </w:t>
      </w:r>
      <w:r>
        <w:t xml:space="preserve">al menos un Estado </w:t>
      </w:r>
      <w:r w:rsidR="00E81B1B">
        <w:t xml:space="preserve">que </w:t>
      </w:r>
      <w:r>
        <w:t>se centre en ofrecer tratamientos de calidad para las complicaciones derivadas de abortos realizados en condiciones inseguras, en lugar de procesar penalmente los abortos ilegales.</w:t>
      </w:r>
      <w:r>
        <w:rPr>
          <w:rStyle w:val="EndnoteReference"/>
        </w:rPr>
        <w:endnoteReference w:id="264"/>
      </w:r>
    </w:p>
    <w:p w14:paraId="08DCA301" w14:textId="77777777" w:rsidR="00830960" w:rsidRDefault="00830960">
      <w:pPr>
        <w:spacing w:after="0" w:line="240" w:lineRule="auto"/>
        <w:ind w:left="0" w:right="0"/>
        <w:jc w:val="left"/>
        <w:rPr>
          <w:szCs w:val="22"/>
        </w:rPr>
      </w:pPr>
      <w:r>
        <w:br w:type="page"/>
      </w:r>
    </w:p>
    <w:p w14:paraId="02472348" w14:textId="67EFCAD9" w:rsidR="0049019C" w:rsidRDefault="00CD0EAF">
      <w:pPr>
        <w:pStyle w:val="Heading4"/>
      </w:pPr>
      <w:r>
        <w:lastRenderedPageBreak/>
        <w:t xml:space="preserve">Acceso a la </w:t>
      </w:r>
      <w:r w:rsidR="00E81B1B">
        <w:t>I</w:t>
      </w:r>
      <w:r>
        <w:t xml:space="preserve">nformación sobre el </w:t>
      </w:r>
      <w:r w:rsidR="00E81B1B">
        <w:t>A</w:t>
      </w:r>
      <w:r>
        <w:t>borto</w:t>
      </w:r>
    </w:p>
    <w:p w14:paraId="5B93B506" w14:textId="485C022B" w:rsidR="0049019C" w:rsidRDefault="00CD0EAF">
      <w:pPr>
        <w:pStyle w:val="NormalIndented"/>
      </w:pPr>
      <w:r>
        <w:t>El Comité DESC ha expresado su preocupación al menos a un Estado sobre la falta de acceso a la información acerca del aborto en ese Estado, en especial para las mujeres pobres.</w:t>
      </w:r>
      <w:r>
        <w:rPr>
          <w:rStyle w:val="EndnoteReference"/>
        </w:rPr>
        <w:endnoteReference w:id="265"/>
      </w:r>
      <w:r>
        <w:t xml:space="preserve"> Asimismo, ha expresado preocupación al menos a un Estado sobre la desinformación acerca del aborto, que obstaculiza el acceso al aborto legal para las víctimas de violación.</w:t>
      </w:r>
      <w:r>
        <w:rPr>
          <w:rStyle w:val="EndnoteReference"/>
        </w:rPr>
        <w:endnoteReference w:id="266"/>
      </w:r>
      <w:r>
        <w:t xml:space="preserve"> El Comité recomiend</w:t>
      </w:r>
      <w:r w:rsidR="00E81B1B">
        <w:t>ó</w:t>
      </w:r>
      <w:r>
        <w:t xml:space="preserve"> que el Estado haga pública la información sobre las opciones en caso de embarazo de crisis a mujeres a través de canales ef</w:t>
      </w:r>
      <w:r w:rsidR="00E81B1B">
        <w:t>ectivo</w:t>
      </w:r>
      <w:r>
        <w:t>s de comunicación.</w:t>
      </w:r>
      <w:r>
        <w:rPr>
          <w:rStyle w:val="EndnoteReference"/>
        </w:rPr>
        <w:endnoteReference w:id="267"/>
      </w:r>
      <w:r>
        <w:t xml:space="preserve"> El Comité ha determinado más que el asesoramiento obligatorio antes del aborto únicamente </w:t>
      </w:r>
      <w:r w:rsidR="00E81B1B">
        <w:t xml:space="preserve">es </w:t>
      </w:r>
      <w:r>
        <w:t>aceptable si es neutral y si apoya la elección informada de las mujeres.</w:t>
      </w:r>
      <w:r>
        <w:rPr>
          <w:rStyle w:val="EndnoteReference"/>
        </w:rPr>
        <w:endnoteReference w:id="268"/>
      </w:r>
    </w:p>
    <w:p w14:paraId="7A3756B0" w14:textId="095E803F" w:rsidR="0049019C" w:rsidRDefault="00CD0EAF">
      <w:pPr>
        <w:pStyle w:val="Heading4"/>
      </w:pPr>
      <w:r>
        <w:t xml:space="preserve">Capacitación y </w:t>
      </w:r>
      <w:r w:rsidR="00E81B1B">
        <w:t>O</w:t>
      </w:r>
      <w:r>
        <w:t>rientación</w:t>
      </w:r>
    </w:p>
    <w:p w14:paraId="4BD84E15" w14:textId="7913C9BA" w:rsidR="0049019C" w:rsidRDefault="00CD0EAF">
      <w:pPr>
        <w:pStyle w:val="NormalIndented"/>
      </w:pPr>
      <w:r>
        <w:t xml:space="preserve">El Comité DESC ha recomendado </w:t>
      </w:r>
      <w:r w:rsidR="00E81B1B">
        <w:t xml:space="preserve">a </w:t>
      </w:r>
      <w:r>
        <w:t xml:space="preserve">al menos un Estado </w:t>
      </w:r>
      <w:r w:rsidR="00E81B1B">
        <w:t xml:space="preserve">que </w:t>
      </w:r>
      <w:r>
        <w:t>se ocupe de concien</w:t>
      </w:r>
      <w:r w:rsidR="00E81B1B">
        <w:t>t</w:t>
      </w:r>
      <w:r>
        <w:t>i</w:t>
      </w:r>
      <w:r w:rsidR="00E81B1B">
        <w:t>z</w:t>
      </w:r>
      <w:r>
        <w:t>ar a los prestadores de servicios de salud y a las mujeres sobre cuándo el aborto es legal, con el fin de evitar abortos inseguros y mortalidad materna.</w:t>
      </w:r>
      <w:r>
        <w:rPr>
          <w:rStyle w:val="EndnoteReference"/>
        </w:rPr>
        <w:endnoteReference w:id="269"/>
      </w:r>
      <w:r>
        <w:t xml:space="preserve"> También ha recomendado </w:t>
      </w:r>
      <w:r w:rsidR="00E81B1B">
        <w:t xml:space="preserve">a </w:t>
      </w:r>
      <w:r>
        <w:t xml:space="preserve">un </w:t>
      </w:r>
      <w:r w:rsidR="00E81B1B">
        <w:t>E</w:t>
      </w:r>
      <w:r>
        <w:t xml:space="preserve">stado </w:t>
      </w:r>
      <w:r w:rsidR="00C06DFD">
        <w:t xml:space="preserve">mejorar la </w:t>
      </w:r>
      <w:r>
        <w:t xml:space="preserve">capacitación y </w:t>
      </w:r>
      <w:r w:rsidR="00C06DFD">
        <w:t>provisió</w:t>
      </w:r>
      <w:r w:rsidR="00E81B1B">
        <w:t xml:space="preserve">n del </w:t>
      </w:r>
      <w:r>
        <w:t xml:space="preserve">servicio para asegurar la plena </w:t>
      </w:r>
      <w:r w:rsidR="00E81B1B">
        <w:t>implement</w:t>
      </w:r>
      <w:r>
        <w:t>ación de la ley del aborto.</w:t>
      </w:r>
      <w:r>
        <w:rPr>
          <w:rStyle w:val="EndnoteReference"/>
        </w:rPr>
        <w:endnoteReference w:id="270"/>
      </w:r>
    </w:p>
    <w:p w14:paraId="3FC3934F" w14:textId="1409389F" w:rsidR="0049019C" w:rsidRDefault="00CD0EAF">
      <w:pPr>
        <w:pStyle w:val="Heading4"/>
      </w:pPr>
      <w:r>
        <w:t xml:space="preserve">Aborto </w:t>
      </w:r>
      <w:r w:rsidR="00C06DFD">
        <w:t>S</w:t>
      </w:r>
      <w:r>
        <w:t>electivo</w:t>
      </w:r>
    </w:p>
    <w:p w14:paraId="3F546F09" w14:textId="3729BE70" w:rsidR="0049019C" w:rsidRDefault="00CD0EAF">
      <w:pPr>
        <w:pStyle w:val="NormalIndented"/>
      </w:pPr>
      <w:r>
        <w:t xml:space="preserve">El Comité DESC a menudo ha criticado a Estados con proporciones </w:t>
      </w:r>
      <w:r w:rsidR="00ED2ADB">
        <w:t xml:space="preserve">de </w:t>
      </w:r>
      <w:r>
        <w:t>sex</w:t>
      </w:r>
      <w:r w:rsidR="00ED2ADB">
        <w:t>os</w:t>
      </w:r>
      <w:r>
        <w:t xml:space="preserve"> distorsionadas, </w:t>
      </w:r>
      <w:r w:rsidR="00ED2ADB">
        <w:t xml:space="preserve">lo </w:t>
      </w:r>
      <w:r>
        <w:t>que el Comité por lo general ha vinculado a abortos selectivos en razón del sexo,</w:t>
      </w:r>
      <w:r>
        <w:rPr>
          <w:rStyle w:val="EndnoteReference"/>
        </w:rPr>
        <w:endnoteReference w:id="271"/>
      </w:r>
      <w:r>
        <w:t xml:space="preserve"> y </w:t>
      </w:r>
      <w:r w:rsidR="006E6E90">
        <w:t xml:space="preserve">a </w:t>
      </w:r>
      <w:r>
        <w:t xml:space="preserve">una alta tasa de abortos especialmente de fetos </w:t>
      </w:r>
      <w:r w:rsidR="0014341E">
        <w:t>hembras</w:t>
      </w:r>
      <w:r>
        <w:t>.</w:t>
      </w:r>
      <w:r>
        <w:rPr>
          <w:rStyle w:val="EndnoteReference"/>
        </w:rPr>
        <w:endnoteReference w:id="272"/>
      </w:r>
      <w:r>
        <w:t xml:space="preserve"> El Comité atribuye el aborto selectivo en razón del sexo a la discriminación contra las mujeres y a la preferencia por los hijos varones.</w:t>
      </w:r>
      <w:r>
        <w:rPr>
          <w:rStyle w:val="EndnoteReference"/>
        </w:rPr>
        <w:endnoteReference w:id="273"/>
      </w:r>
    </w:p>
    <w:p w14:paraId="6C4303BF" w14:textId="79D79F3A" w:rsidR="0049019C" w:rsidRDefault="00CD0EAF">
      <w:pPr>
        <w:pStyle w:val="NormalIndented"/>
      </w:pPr>
      <w:r>
        <w:t xml:space="preserve">El Comité DESC ha recomendado </w:t>
      </w:r>
      <w:r w:rsidR="00C06DFD">
        <w:t>a</w:t>
      </w:r>
      <w:r>
        <w:t>, al menos un Estado imp</w:t>
      </w:r>
      <w:r w:rsidR="00C06DFD">
        <w:t>e</w:t>
      </w:r>
      <w:r>
        <w:t>d</w:t>
      </w:r>
      <w:r w:rsidR="00C06DFD">
        <w:t>ir</w:t>
      </w:r>
      <w:r>
        <w:t xml:space="preserve"> el aborto selectivo en razón del sexo garantizando el acceso a los servicios de planificación familiar y minimizando los abortos inseguros.</w:t>
      </w:r>
      <w:r>
        <w:rPr>
          <w:rStyle w:val="EndnoteReference"/>
        </w:rPr>
        <w:endnoteReference w:id="274"/>
      </w:r>
      <w:r>
        <w:t xml:space="preserve"> El Comité también ha recomendado que los Estados examinen y aborden las causas profundas del aborto selectivo en razón del sexo,</w:t>
      </w:r>
      <w:r>
        <w:rPr>
          <w:rStyle w:val="EndnoteReference"/>
        </w:rPr>
        <w:endnoteReference w:id="275"/>
      </w:r>
      <w:r w:rsidR="0064249C">
        <w:t xml:space="preserve"> </w:t>
      </w:r>
      <w:r>
        <w:t>incluso mediante la realización de estudios sobre la práctica,</w:t>
      </w:r>
      <w:r>
        <w:rPr>
          <w:rStyle w:val="EndnoteReference"/>
        </w:rPr>
        <w:endnoteReference w:id="276"/>
      </w:r>
      <w:r>
        <w:t xml:space="preserve"> adoptando medidas para eliminar la discriminación contra la</w:t>
      </w:r>
      <w:r w:rsidR="00C06DFD">
        <w:t>s</w:t>
      </w:r>
      <w:r>
        <w:t xml:space="preserve"> mujer</w:t>
      </w:r>
      <w:r w:rsidR="00C06DFD">
        <w:t>es</w:t>
      </w:r>
      <w:r>
        <w:t>, incluidas las actitudes patriarcales y los estereotipos,</w:t>
      </w:r>
      <w:r>
        <w:rPr>
          <w:rStyle w:val="EndnoteReference"/>
        </w:rPr>
        <w:endnoteReference w:id="277"/>
      </w:r>
      <w:r>
        <w:t xml:space="preserve"> y contribuyendo a la concienciación acerca de la igualdad de género.</w:t>
      </w:r>
      <w:r>
        <w:rPr>
          <w:rStyle w:val="EndnoteReference"/>
        </w:rPr>
        <w:endnoteReference w:id="278"/>
      </w:r>
      <w:r>
        <w:t xml:space="preserve"> </w:t>
      </w:r>
    </w:p>
    <w:p w14:paraId="598BE066" w14:textId="7C81A21D" w:rsidR="0049019C" w:rsidRPr="004B2C96" w:rsidRDefault="00CD0EAF">
      <w:pPr>
        <w:pStyle w:val="Heading3"/>
      </w:pPr>
      <w:bookmarkStart w:id="33" w:name="_Toc498590691"/>
      <w:r w:rsidRPr="004B2C96">
        <w:t xml:space="preserve">Acceso a la información, bienes y servicios sobre </w:t>
      </w:r>
      <w:bookmarkEnd w:id="33"/>
      <w:r w:rsidR="004C0209" w:rsidRPr="004B2C96">
        <w:t>ANTICONCEPTIVOS</w:t>
      </w:r>
    </w:p>
    <w:p w14:paraId="5497FD82" w14:textId="4983F85B" w:rsidR="0049019C" w:rsidRDefault="00CD0EAF">
      <w:r>
        <w:t>El C</w:t>
      </w:r>
      <w:r w:rsidR="004C0209">
        <w:t xml:space="preserve">omité </w:t>
      </w:r>
      <w:r>
        <w:t xml:space="preserve">DESC ha expresado su preocupación a los </w:t>
      </w:r>
      <w:r w:rsidR="004C0209">
        <w:t>E</w:t>
      </w:r>
      <w:r>
        <w:t>stados sobre los casos de falta de acceso a la información y los servicios sobre métodos anticonceptivos</w:t>
      </w:r>
      <w:r w:rsidR="004C0209">
        <w:t xml:space="preserve"> modernos</w:t>
      </w:r>
      <w:r>
        <w:rPr>
          <w:rStyle w:val="EndnoteReference"/>
        </w:rPr>
        <w:endnoteReference w:id="279"/>
      </w:r>
      <w:r>
        <w:t xml:space="preserve"> </w:t>
      </w:r>
      <w:r w:rsidR="004C0209">
        <w:t>o</w:t>
      </w:r>
      <w:r>
        <w:t xml:space="preserve"> las bajas tasas de uso de </w:t>
      </w:r>
      <w:r w:rsidR="004C0209">
        <w:t>anticonceptivos</w:t>
      </w:r>
      <w:r>
        <w:t>.</w:t>
      </w:r>
      <w:r>
        <w:rPr>
          <w:rStyle w:val="EndnoteReference"/>
        </w:rPr>
        <w:endnoteReference w:id="280"/>
      </w:r>
      <w:r>
        <w:t xml:space="preserve"> También ha expresado su preocupación ante por lo menos un </w:t>
      </w:r>
      <w:r w:rsidR="004C0209">
        <w:t>E</w:t>
      </w:r>
      <w:r>
        <w:t>stado donde los anticonceptivos no son gratuitos.</w:t>
      </w:r>
      <w:r>
        <w:rPr>
          <w:rStyle w:val="EndnoteReference"/>
        </w:rPr>
        <w:endnoteReference w:id="281"/>
      </w:r>
      <w:r>
        <w:t xml:space="preserve"> El Comité ha recomendado </w:t>
      </w:r>
      <w:r w:rsidR="004C0209">
        <w:t>a</w:t>
      </w:r>
      <w:r>
        <w:t xml:space="preserve"> los </w:t>
      </w:r>
      <w:r w:rsidR="004C0209">
        <w:t>E</w:t>
      </w:r>
      <w:r>
        <w:t>stados garanti</w:t>
      </w:r>
      <w:r w:rsidR="004C0209">
        <w:t>zar</w:t>
      </w:r>
      <w:r>
        <w:t xml:space="preserve"> que la información y los servicios sobre </w:t>
      </w:r>
      <w:r w:rsidR="004C0209">
        <w:t>anticonceptivos</w:t>
      </w:r>
      <w:r>
        <w:t xml:space="preserve"> estén disponibles, sean accesibles y asequibles para todas las mujeres, incluso las adolescentes</w:t>
      </w:r>
      <w:r>
        <w:rPr>
          <w:rStyle w:val="EndnoteReference"/>
        </w:rPr>
        <w:endnoteReference w:id="282"/>
      </w:r>
      <w:r>
        <w:t xml:space="preserve"> e incluso en las zonas rurales.</w:t>
      </w:r>
      <w:r>
        <w:rPr>
          <w:rStyle w:val="EndnoteReference"/>
        </w:rPr>
        <w:endnoteReference w:id="283"/>
      </w:r>
      <w:r>
        <w:t xml:space="preserve"> Se recomendó además que los Estados financien adecuadamente la distribución gratuita de anticonceptivos que eliminen los </w:t>
      </w:r>
      <w:r w:rsidR="004C0209">
        <w:t>costos que</w:t>
      </w:r>
      <w:r>
        <w:t xml:space="preserve"> l</w:t>
      </w:r>
      <w:r w:rsidR="004C0209">
        <w:t>a</w:t>
      </w:r>
      <w:r>
        <w:t xml:space="preserve">s </w:t>
      </w:r>
      <w:r w:rsidR="004C0209">
        <w:t xml:space="preserve">personas </w:t>
      </w:r>
      <w:r>
        <w:t>usuari</w:t>
      </w:r>
      <w:r w:rsidR="004C0209">
        <w:t>a</w:t>
      </w:r>
      <w:r>
        <w:t>s deben pagar por servicios públicos y privados de planificación familiar.</w:t>
      </w:r>
      <w:r>
        <w:rPr>
          <w:rStyle w:val="EndnoteReference"/>
        </w:rPr>
        <w:endnoteReference w:id="284"/>
      </w:r>
      <w:r>
        <w:t xml:space="preserve"> El Comité también ha recomendado con frecuencia que los </w:t>
      </w:r>
      <w:r w:rsidR="004C0209">
        <w:t>E</w:t>
      </w:r>
      <w:r>
        <w:t xml:space="preserve">stados </w:t>
      </w:r>
      <w:r w:rsidR="004C0209">
        <w:t xml:space="preserve">creen </w:t>
      </w:r>
      <w:r>
        <w:t>con</w:t>
      </w:r>
      <w:r w:rsidR="004C0209">
        <w:t>ciencia</w:t>
      </w:r>
      <w:r>
        <w:t xml:space="preserve"> sobre los métodos </w:t>
      </w:r>
      <w:r w:rsidR="004C0209">
        <w:t xml:space="preserve">anticonceptivos </w:t>
      </w:r>
      <w:r>
        <w:t>modernos y seguros.</w:t>
      </w:r>
      <w:r>
        <w:rPr>
          <w:rStyle w:val="EndnoteReference"/>
        </w:rPr>
        <w:endnoteReference w:id="285"/>
      </w:r>
    </w:p>
    <w:p w14:paraId="29902110" w14:textId="5B289F7A" w:rsidR="0049019C" w:rsidRDefault="00CD0EAF">
      <w:pPr>
        <w:pStyle w:val="Heading4"/>
      </w:pPr>
      <w:r>
        <w:t>Anticoncep</w:t>
      </w:r>
      <w:r w:rsidR="004C0209">
        <w:t>ción</w:t>
      </w:r>
      <w:r>
        <w:t xml:space="preserve"> de </w:t>
      </w:r>
      <w:r w:rsidR="004C0209">
        <w:t>E</w:t>
      </w:r>
      <w:r>
        <w:t>mergencia</w:t>
      </w:r>
    </w:p>
    <w:p w14:paraId="5758007A" w14:textId="24D32466" w:rsidR="0049019C" w:rsidRDefault="00CD0EAF">
      <w:pPr>
        <w:pStyle w:val="NormalIndented"/>
      </w:pPr>
      <w:r>
        <w:t>El C</w:t>
      </w:r>
      <w:r w:rsidR="004C0209">
        <w:t xml:space="preserve">omité </w:t>
      </w:r>
      <w:r>
        <w:t xml:space="preserve">DESC ha expresado su preocupación ante los </w:t>
      </w:r>
      <w:r w:rsidR="004C0209">
        <w:t>E</w:t>
      </w:r>
      <w:r>
        <w:t>stados sobre las restricciones en el acceso a la anticoncepción de emergencia,</w:t>
      </w:r>
      <w:r>
        <w:rPr>
          <w:rStyle w:val="EndnoteReference"/>
        </w:rPr>
        <w:endnoteReference w:id="286"/>
      </w:r>
      <w:r>
        <w:t xml:space="preserve"> incluyendo las prohibiciones de su uso y distribución</w:t>
      </w:r>
      <w:r>
        <w:rPr>
          <w:rStyle w:val="EndnoteReference"/>
        </w:rPr>
        <w:endnoteReference w:id="287"/>
      </w:r>
      <w:r>
        <w:t xml:space="preserve"> y la </w:t>
      </w:r>
      <w:r w:rsidR="00E641F2">
        <w:t xml:space="preserve">eliminación </w:t>
      </w:r>
      <w:r>
        <w:t xml:space="preserve">de la anticoncepción de emergencia como medicamento </w:t>
      </w:r>
      <w:r w:rsidR="00E641F2">
        <w:t xml:space="preserve">entregado </w:t>
      </w:r>
      <w:r>
        <w:t>a través de programas de salud pública.</w:t>
      </w:r>
      <w:r>
        <w:rPr>
          <w:rStyle w:val="EndnoteReference"/>
        </w:rPr>
        <w:endnoteReference w:id="288"/>
      </w:r>
      <w:r>
        <w:t xml:space="preserve"> Particularmente ha expresado su preocupación ante por lo menos un </w:t>
      </w:r>
      <w:r w:rsidR="00E641F2">
        <w:t>E</w:t>
      </w:r>
      <w:r>
        <w:t>stado donde la anticoncepción de emergencia no está disponible para las víctimas de violación.</w:t>
      </w:r>
      <w:r>
        <w:rPr>
          <w:rStyle w:val="EndnoteReference"/>
        </w:rPr>
        <w:endnoteReference w:id="289"/>
      </w:r>
      <w:r>
        <w:t xml:space="preserve"> El Comité ha recomendado </w:t>
      </w:r>
      <w:r w:rsidR="00E641F2">
        <w:t xml:space="preserve">a </w:t>
      </w:r>
      <w:r>
        <w:t xml:space="preserve">por lo menos un </w:t>
      </w:r>
      <w:r w:rsidR="00E641F2">
        <w:t>E</w:t>
      </w:r>
      <w:r>
        <w:t>stado elimin</w:t>
      </w:r>
      <w:r w:rsidR="00E641F2">
        <w:t>ar</w:t>
      </w:r>
      <w:r>
        <w:t xml:space="preserve"> los obstáculos al acceso a la anticoncepción de emergencia,</w:t>
      </w:r>
      <w:r>
        <w:rPr>
          <w:rStyle w:val="EndnoteReference"/>
        </w:rPr>
        <w:endnoteReference w:id="290"/>
      </w:r>
      <w:r>
        <w:t xml:space="preserve"> lo que incluye la eliminación de las prohibiciones sobre su uso y distribución, garantizando su disponibilidad, accesibilidad y asequibilidad, inclu</w:t>
      </w:r>
      <w:r w:rsidR="00E641F2">
        <w:t>yendo</w:t>
      </w:r>
      <w:r>
        <w:t xml:space="preserve"> a adolescentes y </w:t>
      </w:r>
      <w:r w:rsidR="00E641F2">
        <w:t>a</w:t>
      </w:r>
      <w:r>
        <w:t xml:space="preserve"> las zonas rurales, y que se vuelva a ofrecer la medicación como parte del programa de salud pública.</w:t>
      </w:r>
      <w:r>
        <w:rPr>
          <w:rStyle w:val="EndnoteReference"/>
        </w:rPr>
        <w:endnoteReference w:id="291"/>
      </w:r>
      <w:r>
        <w:t xml:space="preserve"> En particular, se </w:t>
      </w:r>
      <w:r w:rsidR="00E641F2">
        <w:t xml:space="preserve">ha </w:t>
      </w:r>
      <w:r>
        <w:t>recomenda</w:t>
      </w:r>
      <w:r w:rsidR="00E641F2">
        <w:t>do</w:t>
      </w:r>
      <w:r>
        <w:t xml:space="preserve"> </w:t>
      </w:r>
      <w:r w:rsidR="00E641F2">
        <w:t xml:space="preserve">a </w:t>
      </w:r>
      <w:r>
        <w:t xml:space="preserve">por lo menos un </w:t>
      </w:r>
      <w:r w:rsidR="00E641F2">
        <w:t>E</w:t>
      </w:r>
      <w:r>
        <w:t>stado elimin</w:t>
      </w:r>
      <w:r w:rsidR="00E641F2">
        <w:t>ar</w:t>
      </w:r>
      <w:r>
        <w:t xml:space="preserve"> las restricciones sobre </w:t>
      </w:r>
      <w:r>
        <w:lastRenderedPageBreak/>
        <w:t xml:space="preserve">la distribución gratuita de anticonceptivos de emergencia, </w:t>
      </w:r>
      <w:r w:rsidR="00E641F2">
        <w:t>adoptar</w:t>
      </w:r>
      <w:r>
        <w:t xml:space="preserve"> medidas para superar los prejuicios sobre el uso de anticonceptivos de emergencia y </w:t>
      </w:r>
      <w:r w:rsidR="00E641F2">
        <w:t>crear conciencia</w:t>
      </w:r>
      <w:r>
        <w:t xml:space="preserve"> sobre el derecho de las mujeres a </w:t>
      </w:r>
      <w:r w:rsidR="00E641F2">
        <w:t xml:space="preserve">acceder </w:t>
      </w:r>
      <w:r>
        <w:t>anticonceptivos de emergencia.</w:t>
      </w:r>
      <w:r>
        <w:rPr>
          <w:rStyle w:val="EndnoteReference"/>
        </w:rPr>
        <w:endnoteReference w:id="292"/>
      </w:r>
    </w:p>
    <w:p w14:paraId="202D3494" w14:textId="0633019A" w:rsidR="0049019C" w:rsidRDefault="00CD0EAF">
      <w:pPr>
        <w:pStyle w:val="Heading4"/>
      </w:pPr>
      <w:r>
        <w:t xml:space="preserve">El </w:t>
      </w:r>
      <w:r w:rsidR="00E641F2">
        <w:t>A</w:t>
      </w:r>
      <w:r>
        <w:t xml:space="preserve">borto como </w:t>
      </w:r>
      <w:r w:rsidR="00E641F2">
        <w:t>M</w:t>
      </w:r>
      <w:r>
        <w:t xml:space="preserve">étodo </w:t>
      </w:r>
      <w:r w:rsidR="00E641F2">
        <w:t>A</w:t>
      </w:r>
      <w:r>
        <w:t>nticonceptivo</w:t>
      </w:r>
    </w:p>
    <w:p w14:paraId="14DE381E" w14:textId="2F14DF1C" w:rsidR="0049019C" w:rsidRDefault="00CD0EAF">
      <w:pPr>
        <w:pStyle w:val="NormalIndented"/>
      </w:pPr>
      <w:r>
        <w:t>El C</w:t>
      </w:r>
      <w:r w:rsidR="00E641F2">
        <w:t xml:space="preserve">omité </w:t>
      </w:r>
      <w:r>
        <w:t xml:space="preserve">DESC ha expresado su preocupación acerca del elevado número de abortos en los </w:t>
      </w:r>
      <w:r w:rsidR="00E641F2">
        <w:t>E</w:t>
      </w:r>
      <w:r>
        <w:t>stados,</w:t>
      </w:r>
      <w:r>
        <w:rPr>
          <w:rStyle w:val="EndnoteReference"/>
        </w:rPr>
        <w:endnoteReference w:id="293"/>
      </w:r>
      <w:r>
        <w:t xml:space="preserve"> en particular donde el aborto parece ser el principal método </w:t>
      </w:r>
      <w:r w:rsidR="00E641F2">
        <w:t>anticonceptivo</w:t>
      </w:r>
      <w:r>
        <w:t>.</w:t>
      </w:r>
      <w:r>
        <w:rPr>
          <w:rStyle w:val="EndnoteReference"/>
        </w:rPr>
        <w:endnoteReference w:id="294"/>
      </w:r>
      <w:r>
        <w:t xml:space="preserve"> En particular, el C</w:t>
      </w:r>
      <w:r w:rsidR="00E641F2">
        <w:t xml:space="preserve">omité </w:t>
      </w:r>
      <w:r>
        <w:t xml:space="preserve">DESC ha señalado que en por </w:t>
      </w:r>
      <w:r w:rsidR="00E641F2">
        <w:t xml:space="preserve">lo </w:t>
      </w:r>
      <w:r>
        <w:t xml:space="preserve">menos un </w:t>
      </w:r>
      <w:r w:rsidR="00E641F2">
        <w:t>E</w:t>
      </w:r>
      <w:r>
        <w:t>stado, el empleo del aborto como método de control de la natalidad puede poner la salud de las mujeres en riesgo.</w:t>
      </w:r>
      <w:r>
        <w:rPr>
          <w:rStyle w:val="EndnoteReference"/>
        </w:rPr>
        <w:endnoteReference w:id="295"/>
      </w:r>
      <w:r>
        <w:t xml:space="preserve"> Se </w:t>
      </w:r>
      <w:r w:rsidR="00321464">
        <w:t xml:space="preserve">ha </w:t>
      </w:r>
      <w:r>
        <w:t>recomenda</w:t>
      </w:r>
      <w:r w:rsidR="00321464">
        <w:t>do</w:t>
      </w:r>
      <w:r>
        <w:t xml:space="preserve"> </w:t>
      </w:r>
      <w:r w:rsidR="00321464">
        <w:t xml:space="preserve">a </w:t>
      </w:r>
      <w:r>
        <w:t xml:space="preserve">por lo menos un </w:t>
      </w:r>
      <w:r w:rsidR="00321464">
        <w:t>E</w:t>
      </w:r>
      <w:r>
        <w:t xml:space="preserve">stado </w:t>
      </w:r>
      <w:r w:rsidR="00321464">
        <w:t xml:space="preserve">crear conciencia sobre </w:t>
      </w:r>
      <w:r>
        <w:t>el uso de métodos anticonceptivos seguros, y las consecuencias para la salud del uso del aborto como método de anticoncepción.</w:t>
      </w:r>
      <w:r>
        <w:rPr>
          <w:rStyle w:val="EndnoteReference"/>
        </w:rPr>
        <w:endnoteReference w:id="296"/>
      </w:r>
    </w:p>
    <w:p w14:paraId="3A58A25D" w14:textId="77777777" w:rsidR="0049019C" w:rsidRPr="004B2C96" w:rsidRDefault="00CD0EAF">
      <w:pPr>
        <w:pStyle w:val="Heading3"/>
      </w:pPr>
      <w:bookmarkStart w:id="34" w:name="_Toc498590692"/>
      <w:r w:rsidRPr="004B2C96">
        <w:t>Salud materna</w:t>
      </w:r>
      <w:bookmarkEnd w:id="34"/>
    </w:p>
    <w:p w14:paraId="0B332F56" w14:textId="449B7300" w:rsidR="0049019C" w:rsidRDefault="00CD0EAF">
      <w:r>
        <w:t xml:space="preserve">El Comité DESC ha expresado su preocupación </w:t>
      </w:r>
      <w:r w:rsidR="00321464">
        <w:t>a al</w:t>
      </w:r>
      <w:r>
        <w:t xml:space="preserve"> menos un Estado en el que las mujeres </w:t>
      </w:r>
      <w:r w:rsidR="00321464">
        <w:t xml:space="preserve">tienen </w:t>
      </w:r>
      <w:r>
        <w:t>escasos conocimientos sobre salud materna</w:t>
      </w:r>
      <w:r>
        <w:rPr>
          <w:rStyle w:val="EndnoteReference"/>
        </w:rPr>
        <w:endnoteReference w:id="297"/>
      </w:r>
      <w:r>
        <w:t xml:space="preserve">  y a otro sobre la baja calidad de los servicios de salud materna.</w:t>
      </w:r>
      <w:r>
        <w:rPr>
          <w:rStyle w:val="EndnoteReference"/>
        </w:rPr>
        <w:endnoteReference w:id="298"/>
      </w:r>
      <w:r>
        <w:t xml:space="preserve"> También ha expresado su preocupación a por lo menos un Estado donde hay bajas tasas de partos atendidos por </w:t>
      </w:r>
      <w:r w:rsidR="006B131D">
        <w:t xml:space="preserve">parteras </w:t>
      </w:r>
      <w:r>
        <w:t>calificad</w:t>
      </w:r>
      <w:r w:rsidR="006B131D">
        <w:t>a</w:t>
      </w:r>
      <w:r>
        <w:t>s, particularmente en las zonas rurales.</w:t>
      </w:r>
      <w:r>
        <w:rPr>
          <w:rStyle w:val="EndnoteReference"/>
        </w:rPr>
        <w:endnoteReference w:id="299"/>
      </w:r>
    </w:p>
    <w:p w14:paraId="65EB45E4" w14:textId="1A97AE2E" w:rsidR="0049019C" w:rsidRDefault="00CD0EAF">
      <w:pPr>
        <w:pStyle w:val="Heading4"/>
      </w:pPr>
      <w:r>
        <w:t xml:space="preserve">Mortalidad </w:t>
      </w:r>
      <w:r w:rsidR="006B131D">
        <w:t>M</w:t>
      </w:r>
      <w:r>
        <w:t>aterna</w:t>
      </w:r>
    </w:p>
    <w:p w14:paraId="2E2011DF" w14:textId="5EEB9031" w:rsidR="0049019C" w:rsidRPr="00C03325" w:rsidRDefault="00CD0EAF">
      <w:pPr>
        <w:pStyle w:val="NormalIndented"/>
      </w:pPr>
      <w:r>
        <w:t>El Comité DESC ha expresado con frecuencia su preocupación por las altas tasas de mortalidad materna,</w:t>
      </w:r>
      <w:r>
        <w:rPr>
          <w:rStyle w:val="EndnoteReference"/>
        </w:rPr>
        <w:endnoteReference w:id="300"/>
      </w:r>
      <w:r>
        <w:t xml:space="preserve">  también entre adolescentes y mujeres jóvenes.</w:t>
      </w:r>
      <w:r>
        <w:rPr>
          <w:rStyle w:val="EndnoteReference"/>
        </w:rPr>
        <w:endnoteReference w:id="301"/>
      </w:r>
      <w:r>
        <w:t xml:space="preserve"> En varios países ha atribuido esas tasas elevadas a los  abortos inseguros.</w:t>
      </w:r>
      <w:r>
        <w:rPr>
          <w:rStyle w:val="EndnoteReference"/>
        </w:rPr>
        <w:endnoteReference w:id="302"/>
      </w:r>
      <w:r w:rsidR="00C03325" w:rsidRPr="00F84AA8">
        <w:t xml:space="preserve"> El Comité también ha vinculado la mortalida</w:t>
      </w:r>
      <w:r w:rsidR="00C03325" w:rsidRPr="00D815E1">
        <w:t>d materna a la falta de acceso a atención prenatal y/o postnatal</w:t>
      </w:r>
      <w:r w:rsidRPr="0064249C">
        <w:t>,</w:t>
      </w:r>
      <w:r w:rsidRPr="0064249C">
        <w:rPr>
          <w:rStyle w:val="EndnoteReference"/>
        </w:rPr>
        <w:endnoteReference w:id="303"/>
      </w:r>
      <w:r w:rsidR="0064249C">
        <w:t xml:space="preserve"> </w:t>
      </w:r>
      <w:r w:rsidR="00C03325" w:rsidRPr="00F84AA8">
        <w:t>falta de personal de salud capacitado, incluyendo obstetras capacitadas</w:t>
      </w:r>
      <w:r w:rsidRPr="0064249C">
        <w:t>,</w:t>
      </w:r>
      <w:r w:rsidRPr="0064249C">
        <w:rPr>
          <w:rStyle w:val="EndnoteReference"/>
        </w:rPr>
        <w:endnoteReference w:id="304"/>
      </w:r>
      <w:r w:rsidRPr="0064249C">
        <w:t xml:space="preserve"> </w:t>
      </w:r>
      <w:r w:rsidR="00C03325" w:rsidRPr="00F84AA8">
        <w:t>complicaciones relacionadas con el embarazo y el nacimiento</w:t>
      </w:r>
      <w:r w:rsidRPr="0064249C">
        <w:t>,</w:t>
      </w:r>
      <w:r w:rsidRPr="0064249C">
        <w:rPr>
          <w:rStyle w:val="EndnoteReference"/>
        </w:rPr>
        <w:endnoteReference w:id="305"/>
      </w:r>
      <w:r w:rsidRPr="0064249C">
        <w:t xml:space="preserve"> </w:t>
      </w:r>
      <w:r w:rsidR="00C03325" w:rsidRPr="00F84AA8">
        <w:t>altos costos por los servicio</w:t>
      </w:r>
      <w:r w:rsidR="00C03325" w:rsidRPr="00D815E1">
        <w:t>s</w:t>
      </w:r>
      <w:r w:rsidRPr="0064249C">
        <w:t>,</w:t>
      </w:r>
      <w:r w:rsidRPr="0064249C">
        <w:rPr>
          <w:rStyle w:val="EndnoteReference"/>
        </w:rPr>
        <w:endnoteReference w:id="306"/>
      </w:r>
      <w:r w:rsidR="00C03325" w:rsidRPr="00F84AA8">
        <w:t xml:space="preserve"> </w:t>
      </w:r>
      <w:r w:rsidR="00C03325" w:rsidRPr="00D815E1">
        <w:t>falta de acceso a anticon</w:t>
      </w:r>
      <w:r w:rsidR="00C03325" w:rsidRPr="001C5F06">
        <w:t>ceptivos</w:t>
      </w:r>
      <w:r w:rsidRPr="0064249C">
        <w:t>,</w:t>
      </w:r>
      <w:r w:rsidRPr="0064249C">
        <w:rPr>
          <w:rStyle w:val="EndnoteReference"/>
        </w:rPr>
        <w:endnoteReference w:id="307"/>
      </w:r>
      <w:r w:rsidRPr="0064249C">
        <w:t xml:space="preserve"> </w:t>
      </w:r>
      <w:r w:rsidR="00C03325" w:rsidRPr="00F84AA8">
        <w:t>baja ca</w:t>
      </w:r>
      <w:r w:rsidR="00C03325" w:rsidRPr="00D815E1">
        <w:t xml:space="preserve">lidad de los </w:t>
      </w:r>
      <w:r w:rsidR="00C03325" w:rsidRPr="001C5F06">
        <w:t>se</w:t>
      </w:r>
      <w:r w:rsidR="00C03325" w:rsidRPr="00F84AA8">
        <w:t>rvicios de salud materna</w:t>
      </w:r>
      <w:r w:rsidRPr="0064249C">
        <w:t>,</w:t>
      </w:r>
      <w:r w:rsidRPr="0064249C">
        <w:rPr>
          <w:rStyle w:val="EndnoteReference"/>
        </w:rPr>
        <w:endnoteReference w:id="308"/>
      </w:r>
      <w:r w:rsidRPr="0064249C">
        <w:t xml:space="preserve"> </w:t>
      </w:r>
      <w:r w:rsidR="00C03325" w:rsidRPr="00F84AA8">
        <w:t>y falta de conocimi</w:t>
      </w:r>
      <w:r w:rsidR="00C03325" w:rsidRPr="00D815E1">
        <w:t>en</w:t>
      </w:r>
      <w:r w:rsidR="00C03325" w:rsidRPr="001C5F06">
        <w:t>to de las mujeres acerca</w:t>
      </w:r>
      <w:r w:rsidR="00C03325" w:rsidRPr="00F84AA8">
        <w:t xml:space="preserve"> de la salud materna</w:t>
      </w:r>
      <w:r w:rsidRPr="0064249C">
        <w:t>,</w:t>
      </w:r>
      <w:r w:rsidRPr="0064249C">
        <w:rPr>
          <w:rStyle w:val="EndnoteReference"/>
        </w:rPr>
        <w:endnoteReference w:id="309"/>
      </w:r>
      <w:r w:rsidRPr="0064249C">
        <w:t xml:space="preserve"> </w:t>
      </w:r>
      <w:r w:rsidR="00C03325" w:rsidRPr="009C3A3E">
        <w:t>e</w:t>
      </w:r>
      <w:r w:rsidR="00C03325" w:rsidRPr="006B131D">
        <w:t>n particular e</w:t>
      </w:r>
      <w:r w:rsidR="00C03325" w:rsidRPr="009C3A3E">
        <w:t xml:space="preserve">n </w:t>
      </w:r>
      <w:r w:rsidR="00C03325" w:rsidRPr="006B131D">
        <w:t>ár</w:t>
      </w:r>
      <w:r w:rsidR="00C03325" w:rsidRPr="009C3A3E">
        <w:t>eas</w:t>
      </w:r>
      <w:r w:rsidR="00C03325">
        <w:t xml:space="preserve"> rurales.</w:t>
      </w:r>
      <w:r>
        <w:rPr>
          <w:rStyle w:val="EndnoteReference"/>
        </w:rPr>
        <w:endnoteReference w:id="310"/>
      </w:r>
      <w:r w:rsidRPr="00C03325">
        <w:t xml:space="preserve"> </w:t>
      </w:r>
    </w:p>
    <w:p w14:paraId="6C2A85BA" w14:textId="1EB96A2F" w:rsidR="0049019C" w:rsidRDefault="00CD0EAF">
      <w:pPr>
        <w:pStyle w:val="NormalIndented"/>
      </w:pPr>
      <w:r>
        <w:t>Para reducir la mortalidad materna, el Comité DESC ha recomendado que los Estados tomen medidas para reducir la incidencia de los abortos inseguros,</w:t>
      </w:r>
      <w:r>
        <w:rPr>
          <w:rStyle w:val="EndnoteReference"/>
        </w:rPr>
        <w:endnoteReference w:id="311"/>
      </w:r>
      <w:r>
        <w:t xml:space="preserve"> incluyendo la revisión de la legislación sobre el aborto,</w:t>
      </w:r>
      <w:r>
        <w:rPr>
          <w:rStyle w:val="EndnoteReference"/>
        </w:rPr>
        <w:endnoteReference w:id="312"/>
      </w:r>
      <w:r>
        <w:t xml:space="preserve">  garantizando el acceso al aborto legal</w:t>
      </w:r>
      <w:r>
        <w:rPr>
          <w:rStyle w:val="EndnoteReference"/>
        </w:rPr>
        <w:endnoteReference w:id="313"/>
      </w:r>
      <w:r>
        <w:t xml:space="preserve"> y a la atención post-aborto,</w:t>
      </w:r>
      <w:r>
        <w:rPr>
          <w:rStyle w:val="EndnoteReference"/>
        </w:rPr>
        <w:endnoteReference w:id="314"/>
      </w:r>
      <w:r>
        <w:t xml:space="preserve"> y asegurando que</w:t>
      </w:r>
      <w:r w:rsidR="00DE4321">
        <w:t xml:space="preserve"> el</w:t>
      </w:r>
      <w:r>
        <w:t xml:space="preserve"> aborto se realiza en condiciones sanitarias por prestadores de la salud capacitados.</w:t>
      </w:r>
      <w:r>
        <w:rPr>
          <w:rStyle w:val="EndnoteReference"/>
        </w:rPr>
        <w:endnoteReference w:id="315"/>
      </w:r>
      <w:r>
        <w:t xml:space="preserve"> También </w:t>
      </w:r>
      <w:r w:rsidR="00DE4321">
        <w:t xml:space="preserve">se ha </w:t>
      </w:r>
      <w:r>
        <w:t>recomenda</w:t>
      </w:r>
      <w:r w:rsidR="00DE4321">
        <w:t>do</w:t>
      </w:r>
      <w:r>
        <w:t xml:space="preserve"> que los Estados tomen medidas urgentes para </w:t>
      </w:r>
      <w:r w:rsidR="00DE4321">
        <w:t xml:space="preserve">enfrentar </w:t>
      </w:r>
      <w:r>
        <w:t>la mortalidad materna,</w:t>
      </w:r>
      <w:r>
        <w:rPr>
          <w:rStyle w:val="EndnoteReference"/>
        </w:rPr>
        <w:endnoteReference w:id="316"/>
      </w:r>
      <w:r w:rsidR="003B0AC0">
        <w:t xml:space="preserve"> </w:t>
      </w:r>
      <w:r>
        <w:t>incluyendo la promoción de un mayor acceso a los servicios de salud para las mujeres, incluyendo  servicios de salud reproductiva</w:t>
      </w:r>
      <w:r w:rsidR="00DE4321">
        <w:t xml:space="preserve"> y materna de calidad</w:t>
      </w:r>
      <w:r>
        <w:t>,</w:t>
      </w:r>
      <w:r>
        <w:rPr>
          <w:rStyle w:val="EndnoteReference"/>
        </w:rPr>
        <w:endnoteReference w:id="317"/>
      </w:r>
      <w:r>
        <w:t xml:space="preserve">  como </w:t>
      </w:r>
      <w:r w:rsidR="00DE4321" w:rsidRPr="0043422F">
        <w:t>obstetras</w:t>
      </w:r>
      <w:r>
        <w:t xml:space="preserve"> capacitad</w:t>
      </w:r>
      <w:r w:rsidR="00DE4321">
        <w:t>a</w:t>
      </w:r>
      <w:r>
        <w:t>s,</w:t>
      </w:r>
      <w:r>
        <w:rPr>
          <w:rStyle w:val="EndnoteReference"/>
        </w:rPr>
        <w:endnoteReference w:id="318"/>
      </w:r>
      <w:r w:rsidR="003B0AC0">
        <w:t xml:space="preserve"> </w:t>
      </w:r>
      <w:r>
        <w:t>particularmente para adolescentes</w:t>
      </w:r>
      <w:r>
        <w:rPr>
          <w:rStyle w:val="EndnoteReference"/>
        </w:rPr>
        <w:endnoteReference w:id="319"/>
      </w:r>
      <w:r>
        <w:t xml:space="preserve"> y diversos grupos de mujeres</w:t>
      </w:r>
      <w:r>
        <w:rPr>
          <w:rStyle w:val="EndnoteReference"/>
        </w:rPr>
        <w:endnoteReference w:id="320"/>
      </w:r>
      <w:r>
        <w:t xml:space="preserve"> y particularmente en las zonas rurales.</w:t>
      </w:r>
      <w:r>
        <w:rPr>
          <w:rStyle w:val="EndnoteReference"/>
        </w:rPr>
        <w:endnoteReference w:id="321"/>
      </w:r>
      <w:r>
        <w:t xml:space="preserve"> En particular, se </w:t>
      </w:r>
      <w:r w:rsidR="00DE4321">
        <w:t xml:space="preserve">ha </w:t>
      </w:r>
      <w:r>
        <w:t>recomenda</w:t>
      </w:r>
      <w:r w:rsidR="00DE4321">
        <w:t>do</w:t>
      </w:r>
      <w:r>
        <w:t xml:space="preserve"> </w:t>
      </w:r>
      <w:r w:rsidR="00DE4321">
        <w:t xml:space="preserve">a </w:t>
      </w:r>
      <w:r>
        <w:t>al menos un Estado brind</w:t>
      </w:r>
      <w:r w:rsidR="00DE4321">
        <w:t>ar</w:t>
      </w:r>
      <w:r>
        <w:t xml:space="preserve"> acceso a </w:t>
      </w:r>
      <w:r w:rsidR="00DE4321">
        <w:t xml:space="preserve">casas de espera </w:t>
      </w:r>
      <w:r>
        <w:t xml:space="preserve">para las mujeres y proporcionar alojamiento y </w:t>
      </w:r>
      <w:r w:rsidR="00DE4321">
        <w:t xml:space="preserve">costos de </w:t>
      </w:r>
      <w:r>
        <w:t xml:space="preserve">vida para las parteras </w:t>
      </w:r>
      <w:r w:rsidR="00DE4321">
        <w:t>a fin de</w:t>
      </w:r>
      <w:r>
        <w:t xml:space="preserve"> garantizar el acceso a servicios de salud materna en áreas remotas.</w:t>
      </w:r>
      <w:r>
        <w:rPr>
          <w:rStyle w:val="EndnoteReference"/>
        </w:rPr>
        <w:endnoteReference w:id="322"/>
      </w:r>
      <w:r>
        <w:t xml:space="preserve"> También ha recomendado </w:t>
      </w:r>
      <w:r w:rsidR="00DE4321">
        <w:t xml:space="preserve">a </w:t>
      </w:r>
      <w:r>
        <w:t>al menos dos Estados proporcion</w:t>
      </w:r>
      <w:r w:rsidR="00DE4321">
        <w:t>ar</w:t>
      </w:r>
      <w:r>
        <w:t xml:space="preserve"> asistencia y capacitación para </w:t>
      </w:r>
      <w:r w:rsidR="00DE4321">
        <w:t>parteras</w:t>
      </w:r>
      <w:r>
        <w:t>.</w:t>
      </w:r>
      <w:r>
        <w:rPr>
          <w:rStyle w:val="EndnoteReference"/>
        </w:rPr>
        <w:endnoteReference w:id="323"/>
      </w:r>
    </w:p>
    <w:p w14:paraId="141BCB6D" w14:textId="2442BA29" w:rsidR="0049019C" w:rsidRDefault="00CD0EAF">
      <w:pPr>
        <w:pStyle w:val="Heading4"/>
      </w:pPr>
      <w:r>
        <w:t xml:space="preserve">Embarazos </w:t>
      </w:r>
      <w:r w:rsidR="00DE4321">
        <w:t>P</w:t>
      </w:r>
      <w:r>
        <w:t>recoces</w:t>
      </w:r>
    </w:p>
    <w:p w14:paraId="06EE3ABA" w14:textId="6340C105" w:rsidR="0049019C" w:rsidRDefault="00CD0EAF">
      <w:pPr>
        <w:pStyle w:val="NormalIndented"/>
      </w:pPr>
      <w:r>
        <w:t>El Comité DESC con frecuencia expresa preocupación por los altos índices de embarazo adolescente en los Estados,</w:t>
      </w:r>
      <w:r>
        <w:rPr>
          <w:rStyle w:val="EndnoteReference"/>
        </w:rPr>
        <w:endnoteReference w:id="324"/>
      </w:r>
      <w:r>
        <w:t xml:space="preserve">  debido a, por ejemplo, el acceso inadecuado a los servicios de salud sexual y reproductiva</w:t>
      </w:r>
      <w:r>
        <w:rPr>
          <w:rStyle w:val="EndnoteReference"/>
        </w:rPr>
        <w:endnoteReference w:id="325"/>
      </w:r>
      <w:r>
        <w:t xml:space="preserve"> incluid</w:t>
      </w:r>
      <w:r w:rsidR="00674026">
        <w:t>os</w:t>
      </w:r>
      <w:r>
        <w:t xml:space="preserve">  anticoncep</w:t>
      </w:r>
      <w:r w:rsidR="00674026">
        <w:t>tivos</w:t>
      </w:r>
      <w:r>
        <w:t>.</w:t>
      </w:r>
      <w:r>
        <w:rPr>
          <w:rStyle w:val="EndnoteReference"/>
        </w:rPr>
        <w:endnoteReference w:id="326"/>
      </w:r>
      <w:r>
        <w:t xml:space="preserve"> En este contexto, el Comité DESC ha expresado su preocupación por las altas tasas de aborto entre las adolescentes,</w:t>
      </w:r>
      <w:r>
        <w:rPr>
          <w:rStyle w:val="EndnoteReference"/>
        </w:rPr>
        <w:endnoteReference w:id="327"/>
      </w:r>
      <w:r>
        <w:t xml:space="preserve"> incluido el aborto ilegal e inseguro, que pone su salud y vidas en peligro.</w:t>
      </w:r>
      <w:r>
        <w:rPr>
          <w:rStyle w:val="EndnoteReference"/>
        </w:rPr>
        <w:endnoteReference w:id="328"/>
      </w:r>
      <w:r>
        <w:t xml:space="preserve"> El Comité  ha expresado, además, preocupación sobre los embarazos precoces en el contexto de los derechos de l</w:t>
      </w:r>
      <w:r w:rsidR="00674026">
        <w:t>a</w:t>
      </w:r>
      <w:r>
        <w:t>s adolescentes a la educación y a la salud,</w:t>
      </w:r>
      <w:r>
        <w:rPr>
          <w:rStyle w:val="EndnoteReference"/>
        </w:rPr>
        <w:endnoteReference w:id="329"/>
      </w:r>
      <w:r>
        <w:t xml:space="preserve"> en particular en los casos en que los embarazos en la adolescencia llevan a las niñas a abandonar la escuela,</w:t>
      </w:r>
      <w:r>
        <w:rPr>
          <w:rStyle w:val="EndnoteReference"/>
        </w:rPr>
        <w:endnoteReference w:id="330"/>
      </w:r>
      <w:r>
        <w:t xml:space="preserve"> incluso debido a</w:t>
      </w:r>
      <w:r w:rsidR="00674026">
        <w:t>l</w:t>
      </w:r>
      <w:r>
        <w:t xml:space="preserve">  estigm</w:t>
      </w:r>
      <w:r w:rsidR="00674026">
        <w:t>a</w:t>
      </w:r>
      <w:r>
        <w:t>.</w:t>
      </w:r>
      <w:r>
        <w:rPr>
          <w:rStyle w:val="EndnoteReference"/>
        </w:rPr>
        <w:endnoteReference w:id="331"/>
      </w:r>
      <w:r>
        <w:t xml:space="preserve"> También preocupa al Comité que haya adolescentes embarazadas que recurren al aborto debido al estigma que conlleva ser madre soltera.</w:t>
      </w:r>
      <w:r>
        <w:rPr>
          <w:rStyle w:val="EndnoteReference"/>
        </w:rPr>
        <w:endnoteReference w:id="332"/>
      </w:r>
    </w:p>
    <w:p w14:paraId="15143F33" w14:textId="3E891193" w:rsidR="0049019C" w:rsidRDefault="00CD0EAF">
      <w:pPr>
        <w:pStyle w:val="NormalIndented"/>
      </w:pPr>
      <w:r>
        <w:lastRenderedPageBreak/>
        <w:t xml:space="preserve">El Comité DESC ha recomendado </w:t>
      </w:r>
      <w:r w:rsidR="00674026">
        <w:t>a</w:t>
      </w:r>
      <w:r>
        <w:t xml:space="preserve"> los Estados asegur</w:t>
      </w:r>
      <w:r w:rsidR="00674026">
        <w:t>ar</w:t>
      </w:r>
      <w:r>
        <w:t xml:space="preserve"> a los adolescentes el acceso a la información </w:t>
      </w:r>
      <w:r w:rsidR="00674026">
        <w:t xml:space="preserve">y a los servicios </w:t>
      </w:r>
      <w:r>
        <w:t>sobre salud sexual y reproductiva,</w:t>
      </w:r>
      <w:r>
        <w:rPr>
          <w:rStyle w:val="EndnoteReference"/>
        </w:rPr>
        <w:endnoteReference w:id="333"/>
      </w:r>
      <w:r w:rsidR="003B0AC0">
        <w:t xml:space="preserve"> </w:t>
      </w:r>
      <w:r>
        <w:t xml:space="preserve">incluyendo la planificación familiar </w:t>
      </w:r>
      <w:r w:rsidR="00674026">
        <w:t>o</w:t>
      </w:r>
      <w:r>
        <w:t xml:space="preserve"> los servicios de </w:t>
      </w:r>
      <w:r w:rsidR="00674026">
        <w:t>anticonceptivos</w:t>
      </w:r>
      <w:r>
        <w:rPr>
          <w:rStyle w:val="EndnoteReference"/>
        </w:rPr>
        <w:endnoteReference w:id="334"/>
      </w:r>
      <w:r w:rsidR="003B0AC0">
        <w:t xml:space="preserve"> </w:t>
      </w:r>
      <w:r>
        <w:t>y de educación sexual,</w:t>
      </w:r>
      <w:r>
        <w:rPr>
          <w:rStyle w:val="EndnoteReference"/>
        </w:rPr>
        <w:endnoteReference w:id="335"/>
      </w:r>
      <w:r>
        <w:t xml:space="preserve"> como medio de prevención de los embarazos precoces. En particular, el Comité ha recomendado </w:t>
      </w:r>
      <w:r w:rsidR="00674026">
        <w:t xml:space="preserve">a </w:t>
      </w:r>
      <w:r>
        <w:t xml:space="preserve">los Estados garantizar el acceso a la información </w:t>
      </w:r>
      <w:r w:rsidR="00674026">
        <w:t xml:space="preserve">y servicios de salud </w:t>
      </w:r>
      <w:r>
        <w:t>sexual y reproductiva sin necesidad de consentimiento parental.</w:t>
      </w:r>
      <w:r>
        <w:rPr>
          <w:rStyle w:val="EndnoteReference"/>
        </w:rPr>
        <w:endnoteReference w:id="336"/>
      </w:r>
      <w:r>
        <w:t xml:space="preserve"> También ha recomendado que los Estados brinden apoyo a las adolescentes embarazadas, incluido el apoyo para permitirles continuar con su educación.</w:t>
      </w:r>
      <w:r>
        <w:rPr>
          <w:rStyle w:val="EndnoteReference"/>
        </w:rPr>
        <w:endnoteReference w:id="337"/>
      </w:r>
    </w:p>
    <w:p w14:paraId="79508B5B" w14:textId="4043642E" w:rsidR="0049019C" w:rsidRPr="004B2C96" w:rsidRDefault="00CD0EAF">
      <w:pPr>
        <w:pStyle w:val="Heading3"/>
      </w:pPr>
      <w:bookmarkStart w:id="35" w:name="_Toc498590693"/>
      <w:r w:rsidRPr="004B2C96">
        <w:t xml:space="preserve">educación </w:t>
      </w:r>
      <w:r w:rsidR="004A1283" w:rsidRPr="004B2C96">
        <w:t xml:space="preserve">Sexual </w:t>
      </w:r>
      <w:r w:rsidRPr="004B2C96">
        <w:t xml:space="preserve">y </w:t>
      </w:r>
      <w:r w:rsidR="004A1283" w:rsidRPr="004B2C96">
        <w:t>T</w:t>
      </w:r>
      <w:r w:rsidRPr="004B2C96">
        <w:t>o</w:t>
      </w:r>
      <w:r w:rsidR="004A1283" w:rsidRPr="004B2C96">
        <w:t>MA DE CON</w:t>
      </w:r>
      <w:r w:rsidRPr="004B2C96">
        <w:t>ciencia</w:t>
      </w:r>
      <w:bookmarkEnd w:id="35"/>
    </w:p>
    <w:p w14:paraId="53D23616" w14:textId="61D97016" w:rsidR="0049019C" w:rsidRDefault="00CD0EAF">
      <w:r>
        <w:t>El Comité DESC con frecuencia recomienda que los Estados aseguren el acceso a la educación sobre sexualidad y reproducción</w:t>
      </w:r>
      <w:r>
        <w:rPr>
          <w:rStyle w:val="EndnoteReference"/>
        </w:rPr>
        <w:endnoteReference w:id="338"/>
      </w:r>
      <w:r>
        <w:t xml:space="preserve"> para todo</w:t>
      </w:r>
      <w:r w:rsidR="00A24CF0">
        <w:t>s</w:t>
      </w:r>
      <w:r>
        <w:t>, en particular, para adolescentes,</w:t>
      </w:r>
      <w:r>
        <w:rPr>
          <w:rStyle w:val="EndnoteReference"/>
        </w:rPr>
        <w:endnoteReference w:id="339"/>
      </w:r>
      <w:r w:rsidR="003B0AC0">
        <w:t xml:space="preserve"> </w:t>
      </w:r>
      <w:r>
        <w:t>y como parte de l</w:t>
      </w:r>
      <w:r w:rsidR="00A24CF0">
        <w:t>a</w:t>
      </w:r>
      <w:r>
        <w:t xml:space="preserve"> </w:t>
      </w:r>
      <w:r w:rsidR="00A24CF0">
        <w:t>currícula</w:t>
      </w:r>
      <w:r>
        <w:t xml:space="preserve"> de la escuela primaria</w:t>
      </w:r>
      <w:r w:rsidR="00A24CF0">
        <w:t xml:space="preserve"> y secundaria</w:t>
      </w:r>
      <w:r w:rsidR="00A24CF0">
        <w:rPr>
          <w:rStyle w:val="EndnoteReference"/>
        </w:rPr>
        <w:t xml:space="preserve"> </w:t>
      </w:r>
      <w:r>
        <w:rPr>
          <w:rStyle w:val="EndnoteReference"/>
        </w:rPr>
        <w:endnoteReference w:id="340"/>
      </w:r>
      <w:r w:rsidR="003B0AC0">
        <w:t xml:space="preserve"> y en</w:t>
      </w:r>
      <w:r>
        <w:t xml:space="preserve"> entorno</w:t>
      </w:r>
      <w:r w:rsidR="00A24CF0">
        <w:t>s</w:t>
      </w:r>
      <w:r>
        <w:t xml:space="preserve"> informal</w:t>
      </w:r>
      <w:r w:rsidR="00A24CF0">
        <w:t>es</w:t>
      </w:r>
      <w:r>
        <w:t>.</w:t>
      </w:r>
      <w:r>
        <w:rPr>
          <w:rStyle w:val="EndnoteReference"/>
        </w:rPr>
        <w:endnoteReference w:id="341"/>
      </w:r>
      <w:r>
        <w:t xml:space="preserve"> Ha recomendado que esta educación sea integral,</w:t>
      </w:r>
      <w:r>
        <w:rPr>
          <w:rStyle w:val="EndnoteReference"/>
        </w:rPr>
        <w:endnoteReference w:id="342"/>
      </w:r>
      <w:r>
        <w:t xml:space="preserve">  actualizada,</w:t>
      </w:r>
      <w:r>
        <w:rPr>
          <w:rStyle w:val="EndnoteReference"/>
        </w:rPr>
        <w:endnoteReference w:id="343"/>
      </w:r>
      <w:r>
        <w:t xml:space="preserve"> y apropiada a la edad,</w:t>
      </w:r>
      <w:r>
        <w:rPr>
          <w:rStyle w:val="EndnoteReference"/>
        </w:rPr>
        <w:endnoteReference w:id="344"/>
      </w:r>
      <w:r>
        <w:t xml:space="preserve"> que se proporcione a ambos sexos,</w:t>
      </w:r>
      <w:r>
        <w:rPr>
          <w:rStyle w:val="EndnoteReference"/>
        </w:rPr>
        <w:endnoteReference w:id="345"/>
      </w:r>
      <w:r w:rsidR="003B0AC0">
        <w:t xml:space="preserve"> </w:t>
      </w:r>
      <w:r>
        <w:t>y que contenga información sobre la prevención de infecciones de transmisión sexual  y de embarazos precoces,</w:t>
      </w:r>
      <w:r>
        <w:rPr>
          <w:rStyle w:val="EndnoteReference"/>
        </w:rPr>
        <w:endnoteReference w:id="346"/>
      </w:r>
      <w:r w:rsidR="003B0AC0">
        <w:t xml:space="preserve"> </w:t>
      </w:r>
      <w:r>
        <w:t>así como información sobre los anticonceptivos modernos</w:t>
      </w:r>
      <w:r>
        <w:rPr>
          <w:rStyle w:val="EndnoteReference"/>
        </w:rPr>
        <w:endnoteReference w:id="347"/>
      </w:r>
      <w:r>
        <w:t xml:space="preserve"> y la conducta sexual responsable</w:t>
      </w:r>
      <w:r w:rsidR="00A24CF0">
        <w:t>.</w:t>
      </w:r>
      <w:r>
        <w:rPr>
          <w:rStyle w:val="EndnoteReference"/>
        </w:rPr>
        <w:endnoteReference w:id="348"/>
      </w:r>
      <w:r>
        <w:t xml:space="preserve"> </w:t>
      </w:r>
      <w:r w:rsidR="00A24CF0">
        <w:t>T</w:t>
      </w:r>
      <w:r>
        <w:t xml:space="preserve">ambién ha recomendado que los Estados se comprometan </w:t>
      </w:r>
      <w:r w:rsidR="00A24CF0">
        <w:t>co</w:t>
      </w:r>
      <w:r>
        <w:t>n esta educación como un medio para reducir las altas tasas de mortalidad materna</w:t>
      </w:r>
      <w:r>
        <w:rPr>
          <w:rStyle w:val="EndnoteReference"/>
        </w:rPr>
        <w:endnoteReference w:id="349"/>
      </w:r>
      <w:r w:rsidR="003B0AC0">
        <w:t xml:space="preserve"> y</w:t>
      </w:r>
      <w:r>
        <w:t xml:space="preserve"> de embarazo precoz.</w:t>
      </w:r>
      <w:r>
        <w:rPr>
          <w:rStyle w:val="EndnoteReference"/>
        </w:rPr>
        <w:endnoteReference w:id="350"/>
      </w:r>
      <w:r>
        <w:t xml:space="preserve"> El Comité ha recomendado, además, que la educación sobre la sexualidad sea obligatoria en las escuelas,</w:t>
      </w:r>
      <w:r>
        <w:rPr>
          <w:rStyle w:val="EndnoteReference"/>
        </w:rPr>
        <w:endnoteReference w:id="351"/>
      </w:r>
      <w:r>
        <w:t xml:space="preserve"> que sea objetiva y que cumpla estándares médicos y educativos,</w:t>
      </w:r>
      <w:r>
        <w:rPr>
          <w:rStyle w:val="EndnoteReference"/>
        </w:rPr>
        <w:endnoteReference w:id="352"/>
      </w:r>
      <w:r>
        <w:t xml:space="preserve"> y que se base en una perspectiva de derechos humanos.</w:t>
      </w:r>
      <w:r>
        <w:rPr>
          <w:rStyle w:val="EndnoteReference"/>
        </w:rPr>
        <w:endnoteReference w:id="353"/>
      </w:r>
    </w:p>
    <w:p w14:paraId="226CA8CD" w14:textId="77777777" w:rsidR="0049019C" w:rsidRPr="004B2C96" w:rsidRDefault="00CD0EAF">
      <w:pPr>
        <w:pStyle w:val="Heading3"/>
      </w:pPr>
      <w:bookmarkStart w:id="36" w:name="_Toc498590694"/>
      <w:r w:rsidRPr="004B2C96">
        <w:t>Esterilización forzada y aborto forzado</w:t>
      </w:r>
      <w:bookmarkEnd w:id="36"/>
    </w:p>
    <w:p w14:paraId="06E2B868" w14:textId="652B53B4" w:rsidR="0049019C" w:rsidRDefault="00CD0EAF">
      <w:r>
        <w:t>En ocasiones, el Comité DESC ha expresado su preocupación a los Estados sobre los casos de esterilización forzada,</w:t>
      </w:r>
      <w:r>
        <w:rPr>
          <w:rStyle w:val="EndnoteReference"/>
        </w:rPr>
        <w:endnoteReference w:id="354"/>
      </w:r>
      <w:r>
        <w:t xml:space="preserve"> así como al menos a un Estado acerca de las altas tasas de aborto forzado,</w:t>
      </w:r>
      <w:r>
        <w:rPr>
          <w:rStyle w:val="EndnoteReference"/>
        </w:rPr>
        <w:endnoteReference w:id="355"/>
      </w:r>
      <w:r>
        <w:t xml:space="preserve"> incluido el contexto de políticas de control de la población.</w:t>
      </w:r>
      <w:r>
        <w:rPr>
          <w:rStyle w:val="EndnoteReference"/>
        </w:rPr>
        <w:endnoteReference w:id="356"/>
      </w:r>
      <w:r>
        <w:t xml:space="preserve"> También ha expresado su preocupación por los casos en que las leyes y las políticas requieren del consentimiento informado para realizar una esterilización, pero que en la práctica estas leyes y políticas no han impedido las esterilizaciones sin el consentimiento de la</w:t>
      </w:r>
      <w:r w:rsidR="009E4D40">
        <w:t>s</w:t>
      </w:r>
      <w:r>
        <w:t xml:space="preserve"> mujer</w:t>
      </w:r>
      <w:r w:rsidR="009E4D40">
        <w:t>es</w:t>
      </w:r>
      <w:r>
        <w:t>.</w:t>
      </w:r>
      <w:r>
        <w:rPr>
          <w:rStyle w:val="EndnoteReference"/>
        </w:rPr>
        <w:endnoteReference w:id="357"/>
      </w:r>
      <w:r>
        <w:t xml:space="preserve"> En particular, el Comité ha expresado su preocupación porque estas prácticas </w:t>
      </w:r>
      <w:r w:rsidR="009E4D40">
        <w:t xml:space="preserve">forzadas </w:t>
      </w:r>
      <w:r>
        <w:t>de salud reproductiva se centran principalmente en  mujeres de minorías étnicas</w:t>
      </w:r>
      <w:r>
        <w:rPr>
          <w:rStyle w:val="EndnoteReference"/>
        </w:rPr>
        <w:endnoteReference w:id="358"/>
      </w:r>
      <w:r>
        <w:t xml:space="preserve"> y en mujeres con discapacidad.</w:t>
      </w:r>
      <w:r>
        <w:rPr>
          <w:rStyle w:val="EndnoteReference"/>
        </w:rPr>
        <w:endnoteReference w:id="359"/>
      </w:r>
      <w:r>
        <w:t xml:space="preserve"> Por ejemplo, el Comité DESC ha expresado su preocupación porque la decisión de someterse a esterilización pueda ser tomada por un representante legal, en vez de por la mujer con discapacidad.</w:t>
      </w:r>
      <w:r>
        <w:rPr>
          <w:rStyle w:val="EndnoteReference"/>
        </w:rPr>
        <w:endnoteReference w:id="360"/>
      </w:r>
      <w:r>
        <w:t xml:space="preserve"> </w:t>
      </w:r>
    </w:p>
    <w:p w14:paraId="0EF2C391" w14:textId="682F0BDE" w:rsidR="00F75D9A" w:rsidRDefault="00CD0EAF">
      <w:r>
        <w:t xml:space="preserve">El Comité DESC ha recomendado que al menos un Estado implemente garantías para asegurar la protección de los derechos de las mujeres y de las niñas con discapacidad, incluyendo el desarrollo de un modelo de apoyo </w:t>
      </w:r>
      <w:r w:rsidR="009E4D40">
        <w:t xml:space="preserve">para la </w:t>
      </w:r>
      <w:r>
        <w:t>toma de decisiones en materia de salud sexual y reproductiva.</w:t>
      </w:r>
      <w:r>
        <w:rPr>
          <w:rStyle w:val="EndnoteReference"/>
        </w:rPr>
        <w:endnoteReference w:id="361"/>
      </w:r>
      <w:r>
        <w:t xml:space="preserve"> También ha recomendado </w:t>
      </w:r>
      <w:r w:rsidR="009E4D40">
        <w:t>a</w:t>
      </w:r>
      <w:r>
        <w:t xml:space="preserve"> al menos un Estado </w:t>
      </w:r>
      <w:r w:rsidR="009E4D40">
        <w:t xml:space="preserve">que </w:t>
      </w:r>
      <w:r>
        <w:t>defina con claridad los requisitos para el consentimiento libre, previo e informado para esterilización y promueva la toma de conciencia entre los prestadores de salud acerca de estas normas.</w:t>
      </w:r>
      <w:r>
        <w:rPr>
          <w:rStyle w:val="EndnoteReference"/>
        </w:rPr>
        <w:endnoteReference w:id="362"/>
      </w:r>
      <w:r>
        <w:t xml:space="preserve"> El Comité ha recomendado, además, </w:t>
      </w:r>
      <w:r w:rsidR="009E4D40">
        <w:t xml:space="preserve">a </w:t>
      </w:r>
      <w:r>
        <w:t xml:space="preserve">al menos un Estado </w:t>
      </w:r>
      <w:r w:rsidR="009E4D40">
        <w:t xml:space="preserve">que </w:t>
      </w:r>
      <w:r>
        <w:t>adopte medidas para asegurar que los abortos se lleven a cabo voluntariamente y en condiciones de seguridad.</w:t>
      </w:r>
      <w:r>
        <w:rPr>
          <w:rStyle w:val="EndnoteReference"/>
        </w:rPr>
        <w:endnoteReference w:id="363"/>
      </w:r>
      <w:r>
        <w:t xml:space="preserve"> Por último, el Comité ha recomendado </w:t>
      </w:r>
      <w:r w:rsidR="009E4D40">
        <w:t>a</w:t>
      </w:r>
      <w:r>
        <w:t xml:space="preserve"> un Estado </w:t>
      </w:r>
      <w:r w:rsidR="009E4D40">
        <w:t xml:space="preserve">que </w:t>
      </w:r>
      <w:r>
        <w:t>investigue sin dilación todos los casos de esterilización forzada y  garantice la financiación adecuada para esas investigaciones,</w:t>
      </w:r>
      <w:r>
        <w:rPr>
          <w:rStyle w:val="EndnoteReference"/>
        </w:rPr>
        <w:endnoteReference w:id="364"/>
      </w:r>
      <w:r>
        <w:t xml:space="preserve"> y también ha recomendado que un Estado garantice que las víctimas de esterilización forzada reciban reparaciones adecuadas.</w:t>
      </w:r>
      <w:r>
        <w:rPr>
          <w:rStyle w:val="EndnoteReference"/>
        </w:rPr>
        <w:endnoteReference w:id="365"/>
      </w:r>
    </w:p>
    <w:p w14:paraId="6FE73516" w14:textId="77777777" w:rsidR="00F75D9A" w:rsidRDefault="00F75D9A">
      <w:pPr>
        <w:spacing w:after="0" w:line="240" w:lineRule="auto"/>
        <w:ind w:left="0" w:right="0"/>
        <w:jc w:val="left"/>
      </w:pPr>
      <w:r>
        <w:br w:type="page"/>
      </w:r>
    </w:p>
    <w:p w14:paraId="7287BD30" w14:textId="440CEA6F" w:rsidR="0049019C" w:rsidRPr="004B2C96" w:rsidRDefault="00CD0EAF" w:rsidP="00515135">
      <w:pPr>
        <w:pStyle w:val="Heading2"/>
        <w:rPr>
          <w:b w:val="0"/>
        </w:rPr>
      </w:pPr>
      <w:bookmarkStart w:id="37" w:name="_Toc5974914"/>
      <w:r w:rsidRPr="004B2C96">
        <w:rPr>
          <w:b w:val="0"/>
        </w:rPr>
        <w:lastRenderedPageBreak/>
        <w:t>Denuncias Individuales</w:t>
      </w:r>
      <w:bookmarkEnd w:id="37"/>
    </w:p>
    <w:p w14:paraId="385D964E" w14:textId="194AA8EE" w:rsidR="0049019C" w:rsidRDefault="00CD0EAF">
      <w:r>
        <w:t xml:space="preserve">El mecanismo de denuncias individuales del Comité DESC ha comenzado a funcionar </w:t>
      </w:r>
      <w:r w:rsidR="009E4D40">
        <w:t>en 2013</w:t>
      </w:r>
      <w:r>
        <w:t xml:space="preserve">, y </w:t>
      </w:r>
      <w:r w:rsidR="0004666E">
        <w:t>hast</w:t>
      </w:r>
      <w:r>
        <w:t xml:space="preserve">a </w:t>
      </w:r>
      <w:r w:rsidR="009E4D40">
        <w:t>Junio 2017</w:t>
      </w:r>
      <w:r w:rsidR="0004666E">
        <w:t>,</w:t>
      </w:r>
      <w:r>
        <w:t xml:space="preserve"> no existen decisiones sobre denuncias individuales relacionadas con la salud y los derechos sexuales y reproductivos.</w:t>
      </w:r>
    </w:p>
    <w:p w14:paraId="632AD685" w14:textId="1BB3592A" w:rsidR="0049019C" w:rsidRPr="004B2C96" w:rsidRDefault="009E4D40" w:rsidP="00515135">
      <w:pPr>
        <w:pStyle w:val="Heading2"/>
        <w:rPr>
          <w:b w:val="0"/>
        </w:rPr>
      </w:pPr>
      <w:bookmarkStart w:id="38" w:name="_Toc5974915"/>
      <w:r w:rsidRPr="004B2C96">
        <w:rPr>
          <w:b w:val="0"/>
        </w:rPr>
        <w:t xml:space="preserve">Vacíos </w:t>
      </w:r>
      <w:r w:rsidR="00CD0EAF" w:rsidRPr="004B2C96">
        <w:rPr>
          <w:b w:val="0"/>
        </w:rPr>
        <w:t>en l</w:t>
      </w:r>
      <w:r w:rsidRPr="004B2C96">
        <w:rPr>
          <w:b w:val="0"/>
        </w:rPr>
        <w:t>o</w:t>
      </w:r>
      <w:r w:rsidR="00CD0EAF" w:rsidRPr="004B2C96">
        <w:rPr>
          <w:b w:val="0"/>
        </w:rPr>
        <w:t xml:space="preserve">s </w:t>
      </w:r>
      <w:r w:rsidR="0043422F" w:rsidRPr="004B2C96">
        <w:rPr>
          <w:b w:val="0"/>
        </w:rPr>
        <w:t>E</w:t>
      </w:r>
      <w:r w:rsidR="00510533" w:rsidRPr="004B2C96">
        <w:rPr>
          <w:b w:val="0"/>
        </w:rPr>
        <w:t>stándare</w:t>
      </w:r>
      <w:r w:rsidR="00CD0EAF" w:rsidRPr="004B2C96">
        <w:rPr>
          <w:b w:val="0"/>
        </w:rPr>
        <w:t>s</w:t>
      </w:r>
      <w:bookmarkEnd w:id="38"/>
    </w:p>
    <w:p w14:paraId="7A45BE75" w14:textId="4A370DB6" w:rsidR="0049019C" w:rsidRDefault="00CD0EAF">
      <w:r>
        <w:t xml:space="preserve">Aunque </w:t>
      </w:r>
      <w:r w:rsidR="00510533">
        <w:t>las Observaciones Generales y las O</w:t>
      </w:r>
      <w:r>
        <w:t xml:space="preserve">bservaciones </w:t>
      </w:r>
      <w:r w:rsidR="00510533">
        <w:t>F</w:t>
      </w:r>
      <w:r>
        <w:t xml:space="preserve">inales del Comité DESC han abordado la mayoría de las cuestiones a las que las mujeres y niñas con discapacidad se enfrentan en el ejercicio de sus derechos sexuales y reproductivos, hay algunas áreas en las que sus </w:t>
      </w:r>
      <w:r w:rsidR="00510533">
        <w:t xml:space="preserve">observaciones </w:t>
      </w:r>
      <w:r>
        <w:t>podrían ser más complet</w:t>
      </w:r>
      <w:r w:rsidR="00510533">
        <w:t>a</w:t>
      </w:r>
      <w:r>
        <w:t xml:space="preserve">s. Por ejemplo, dada su </w:t>
      </w:r>
      <w:r w:rsidR="00510533">
        <w:t xml:space="preserve">Observación </w:t>
      </w:r>
      <w:r>
        <w:t>General N</w:t>
      </w:r>
      <w:r w:rsidR="009149EC">
        <w:t>o.</w:t>
      </w:r>
      <w:r>
        <w:t xml:space="preserve"> 22 sobre el derecho a la salud sexual y reproductiva, que subraya las obligaciones de los Estados para erradicar las barreras prácticas y sociales a los servicios de salud sexual y reproductiva, el Comité debería más constantemente comentar sobre la accesibilidad y las barreras actitud</w:t>
      </w:r>
      <w:r w:rsidR="00510533">
        <w:t>inales</w:t>
      </w:r>
      <w:r>
        <w:t xml:space="preserve"> que las mujeres y las niñas con discapacidad enfrentan en el acceso a salud sexual y reproductiva. Obstáculos prácticos incluyen </w:t>
      </w:r>
      <w:r w:rsidR="00510533">
        <w:t xml:space="preserve">barrera </w:t>
      </w:r>
      <w:r>
        <w:t xml:space="preserve">física, financiera, </w:t>
      </w:r>
      <w:r w:rsidR="00510533">
        <w:t xml:space="preserve">de </w:t>
      </w:r>
      <w:r>
        <w:t xml:space="preserve">la comunicación y </w:t>
      </w:r>
      <w:r w:rsidR="00510533">
        <w:t>del acceso a la</w:t>
      </w:r>
      <w:r>
        <w:t xml:space="preserve"> informa</w:t>
      </w:r>
      <w:r w:rsidR="00510533">
        <w:t>ción</w:t>
      </w:r>
      <w:r>
        <w:t xml:space="preserve">. Las barreras sociales incluyen los estereotipos </w:t>
      </w:r>
      <w:r w:rsidR="00510533">
        <w:t>de los y las</w:t>
      </w:r>
      <w:r>
        <w:t xml:space="preserve"> profesionales de</w:t>
      </w:r>
      <w:r w:rsidR="00510533">
        <w:t xml:space="preserve"> la</w:t>
      </w:r>
      <w:r>
        <w:t xml:space="preserve"> salud y las comunidades acerca de la</w:t>
      </w:r>
      <w:r w:rsidR="00510533">
        <w:t xml:space="preserve"> sexualidad de la</w:t>
      </w:r>
      <w:r>
        <w:t xml:space="preserve">s mujeres con discapacidad, </w:t>
      </w:r>
      <w:r w:rsidR="00510533">
        <w:t xml:space="preserve">la </w:t>
      </w:r>
      <w:r>
        <w:t xml:space="preserve">capacidad de toma de decisiones y </w:t>
      </w:r>
      <w:r w:rsidR="00510533">
        <w:t xml:space="preserve">la </w:t>
      </w:r>
      <w:r>
        <w:t xml:space="preserve">capacidad </w:t>
      </w:r>
      <w:r w:rsidR="00510533">
        <w:t>para ser</w:t>
      </w:r>
      <w:r>
        <w:t xml:space="preserve"> </w:t>
      </w:r>
      <w:r w:rsidR="00510533">
        <w:t>m</w:t>
      </w:r>
      <w:r>
        <w:t xml:space="preserve">adres. Es importante para los defensores </w:t>
      </w:r>
      <w:r w:rsidR="00510533">
        <w:t xml:space="preserve">y las defensoras </w:t>
      </w:r>
      <w:r>
        <w:t xml:space="preserve">plantear estos puntos ante el Comité, para que tenga la oportunidad de abordar las cuestiones que afectan a las mujeres con discapacidad </w:t>
      </w:r>
      <w:r w:rsidR="007B2154">
        <w:t>durante</w:t>
      </w:r>
      <w:r>
        <w:t xml:space="preserve"> los exámenes </w:t>
      </w:r>
      <w:r w:rsidR="007B2154">
        <w:t>o revisiones a los E</w:t>
      </w:r>
      <w:r>
        <w:t>sta</w:t>
      </w:r>
      <w:r w:rsidR="007B2154">
        <w:t>do</w:t>
      </w:r>
      <w:r>
        <w:t>s.</w:t>
      </w:r>
    </w:p>
    <w:p w14:paraId="727DFE44" w14:textId="58CFAF41" w:rsidR="0049019C" w:rsidRDefault="00CD0EAF">
      <w:r w:rsidRPr="003B0AC0">
        <w:t>T</w:t>
      </w:r>
      <w:r w:rsidR="007B2154" w:rsidRPr="003B0AC0">
        <w:t>omando</w:t>
      </w:r>
      <w:r w:rsidRPr="003B0AC0">
        <w:t xml:space="preserve">  </w:t>
      </w:r>
      <w:r w:rsidR="007B2154" w:rsidRPr="003B0AC0">
        <w:t>como ejemplo otros órganos de tratados</w:t>
      </w:r>
      <w:r w:rsidRPr="003B0AC0">
        <w:t xml:space="preserve">, </w:t>
      </w:r>
      <w:r w:rsidR="007B2154" w:rsidRPr="003B0AC0">
        <w:t>e</w:t>
      </w:r>
      <w:r w:rsidRPr="003B0AC0">
        <w:t xml:space="preserve">n particular </w:t>
      </w:r>
      <w:r w:rsidR="007B2154" w:rsidRPr="003B0AC0">
        <w:t xml:space="preserve">el </w:t>
      </w:r>
      <w:r w:rsidRPr="003B0AC0">
        <w:t>Comit</w:t>
      </w:r>
      <w:r w:rsidR="007B2154" w:rsidRPr="003B0AC0">
        <w:t xml:space="preserve">é </w:t>
      </w:r>
      <w:hyperlink w:anchor="_Comité_de_los" w:history="1">
        <w:r w:rsidR="007B2154" w:rsidRPr="002F08DC">
          <w:rPr>
            <w:rStyle w:val="Hyperlink"/>
          </w:rPr>
          <w:t>CDPD</w:t>
        </w:r>
      </w:hyperlink>
      <w:r w:rsidR="007B2154" w:rsidRPr="003B0AC0">
        <w:t xml:space="preserve"> y de </w:t>
      </w:r>
      <w:hyperlink w:anchor="_Comité_para_la" w:history="1">
        <w:r w:rsidR="007B2154" w:rsidRPr="002F08DC">
          <w:rPr>
            <w:rStyle w:val="Hyperlink"/>
          </w:rPr>
          <w:t>Discriminación Racial</w:t>
        </w:r>
      </w:hyperlink>
      <w:r w:rsidRPr="003B0AC0">
        <w:t>, e</w:t>
      </w:r>
      <w:r w:rsidR="007B2154" w:rsidRPr="003B0AC0">
        <w:t>l</w:t>
      </w:r>
      <w:r w:rsidRPr="003B0AC0">
        <w:t xml:space="preserve"> Comit</w:t>
      </w:r>
      <w:r w:rsidR="007B2154" w:rsidRPr="003B0AC0">
        <w:t>é</w:t>
      </w:r>
      <w:r w:rsidRPr="003B0AC0">
        <w:t xml:space="preserve"> </w:t>
      </w:r>
      <w:r w:rsidR="007B2154" w:rsidRPr="003B0AC0">
        <w:t>DESC debería también abordar más constantemente</w:t>
      </w:r>
      <w:r w:rsidR="00BC55EE">
        <w:t xml:space="preserve"> </w:t>
      </w:r>
      <w:r w:rsidR="007B2154" w:rsidRPr="003B0AC0">
        <w:t>el tema de las prácticas de salud reproductiva forzada o bajo coacción</w:t>
      </w:r>
      <w:r w:rsidRPr="003B0AC0">
        <w:t>, inclu</w:t>
      </w:r>
      <w:r w:rsidR="007B2154" w:rsidRPr="003B0AC0">
        <w:t>yendo e</w:t>
      </w:r>
      <w:r w:rsidRPr="003B0AC0">
        <w:t>steriliza</w:t>
      </w:r>
      <w:r w:rsidR="007B2154" w:rsidRPr="003B0AC0">
        <w:t>c</w:t>
      </w:r>
      <w:r w:rsidRPr="003B0AC0">
        <w:t>i</w:t>
      </w:r>
      <w:r w:rsidR="007B2154" w:rsidRPr="003B0AC0">
        <w:t>ó</w:t>
      </w:r>
      <w:r w:rsidRPr="003B0AC0">
        <w:t>n</w:t>
      </w:r>
      <w:r w:rsidR="00BC55EE">
        <w:t xml:space="preserve"> y aborto</w:t>
      </w:r>
      <w:r w:rsidR="007B2154" w:rsidRPr="003B0AC0">
        <w:t xml:space="preserve"> forzada o bajo coacción</w:t>
      </w:r>
      <w:r w:rsidR="00BC55EE">
        <w:t>.</w:t>
      </w:r>
      <w:r w:rsidR="0024050B" w:rsidRPr="003B0AC0">
        <w:t xml:space="preserve"> </w:t>
      </w:r>
      <w:r>
        <w:t xml:space="preserve">En particular, sería útil para </w:t>
      </w:r>
      <w:r w:rsidR="006311D1">
        <w:t>el</w:t>
      </w:r>
      <w:r>
        <w:t xml:space="preserve"> Comi</w:t>
      </w:r>
      <w:r w:rsidR="006311D1">
        <w:t>té</w:t>
      </w:r>
      <w:r>
        <w:t xml:space="preserve"> reforzar </w:t>
      </w:r>
      <w:r w:rsidR="006311D1">
        <w:t xml:space="preserve">directrices </w:t>
      </w:r>
      <w:r>
        <w:t>étic</w:t>
      </w:r>
      <w:r w:rsidR="006311D1">
        <w:t>a</w:t>
      </w:r>
      <w:r>
        <w:t>s acordad</w:t>
      </w:r>
      <w:r w:rsidR="006311D1">
        <w:t>a</w:t>
      </w:r>
      <w:r>
        <w:t>s en lo que constituye el "consentimiento informado", como las descritas por la Federación Internacional de Ginecología y Obstetricia,</w:t>
      </w:r>
      <w:r>
        <w:rPr>
          <w:rStyle w:val="FootnoteReference"/>
        </w:rPr>
        <w:footnoteReference w:id="5"/>
      </w:r>
      <w:r>
        <w:t xml:space="preserve"> en el contexto de la aceptabilidad de servicios de salud. También es importante para el Comité reforzar las medidas que deben tomar los Estados para cumplir con su obligación de garantizar a las mujeres y a las niñas con discapacidad que presten su consentimiento voluntario e informado para los procedimientos relacionados con </w:t>
      </w:r>
      <w:r w:rsidR="00C70A2D">
        <w:t>su</w:t>
      </w:r>
      <w:r>
        <w:t xml:space="preserve"> salud, investigar las alegaciones de </w:t>
      </w:r>
      <w:r w:rsidR="00C70A2D">
        <w:t xml:space="preserve">procedimientos de </w:t>
      </w:r>
      <w:r>
        <w:t>salud reproductiva forza</w:t>
      </w:r>
      <w:r w:rsidR="00C70A2D">
        <w:t>dos</w:t>
      </w:r>
      <w:r>
        <w:t xml:space="preserve"> o bajo coacción realizados en las mujeres y las niñas con discapacidad</w:t>
      </w:r>
      <w:r w:rsidR="00C70A2D">
        <w:t>,</w:t>
      </w:r>
      <w:r>
        <w:t xml:space="preserve"> y proporcionar reparación a las víctimas de estas violaciones </w:t>
      </w:r>
      <w:r w:rsidR="00C70A2D">
        <w:t>a</w:t>
      </w:r>
      <w:r>
        <w:t xml:space="preserve"> los derechos humanos.</w:t>
      </w:r>
    </w:p>
    <w:p w14:paraId="3EA27A0D" w14:textId="45569CFB" w:rsidR="0049019C" w:rsidRDefault="00CD0EAF" w:rsidP="0052428A">
      <w:pPr>
        <w:pStyle w:val="Heading1"/>
      </w:pPr>
      <w:bookmarkStart w:id="39" w:name="_Comité_de_los"/>
      <w:bookmarkStart w:id="40" w:name="_Toc5974916"/>
      <w:bookmarkStart w:id="41" w:name="CRPD"/>
      <w:bookmarkEnd w:id="39"/>
      <w:r>
        <w:lastRenderedPageBreak/>
        <w:t xml:space="preserve">Comité </w:t>
      </w:r>
      <w:r w:rsidR="00C709D6">
        <w:t>de</w:t>
      </w:r>
      <w:r>
        <w:t xml:space="preserve"> los Derechos de las Personas con Discapacidad</w:t>
      </w:r>
      <w:bookmarkEnd w:id="40"/>
      <w:r>
        <w:t xml:space="preserve"> </w:t>
      </w:r>
      <w:bookmarkEnd w:id="41"/>
    </w:p>
    <w:p w14:paraId="1D00D805" w14:textId="353DFE99" w:rsidR="0049019C" w:rsidRDefault="00C709D6">
      <w:r>
        <w:t>El Comité</w:t>
      </w:r>
      <w:r w:rsidR="00CD0EAF">
        <w:t xml:space="preserve"> de los </w:t>
      </w:r>
      <w:r w:rsidR="001C5F06">
        <w:t>D</w:t>
      </w:r>
      <w:r w:rsidR="00CD0EAF">
        <w:t xml:space="preserve">erechos de las </w:t>
      </w:r>
      <w:r w:rsidR="001C5F06">
        <w:t>P</w:t>
      </w:r>
      <w:r w:rsidR="00CD0EAF">
        <w:t xml:space="preserve">ersonas con </w:t>
      </w:r>
      <w:r w:rsidR="001C5F06">
        <w:t>D</w:t>
      </w:r>
      <w:r w:rsidR="00CD0EAF">
        <w:t xml:space="preserve">iscapacidad (Comité CDPD) supervisa las obligaciones del </w:t>
      </w:r>
      <w:r w:rsidR="001C5F06">
        <w:t>E</w:t>
      </w:r>
      <w:r w:rsidR="00CD0EAF">
        <w:t xml:space="preserve">stado bajo la Convención sobre los </w:t>
      </w:r>
      <w:r w:rsidR="001C5F06">
        <w:t>D</w:t>
      </w:r>
      <w:r w:rsidR="00CD0EAF">
        <w:t xml:space="preserve">erechos de las </w:t>
      </w:r>
      <w:r w:rsidR="001C5F06">
        <w:t>P</w:t>
      </w:r>
      <w:r w:rsidR="00CD0EAF">
        <w:t xml:space="preserve">ersonas con </w:t>
      </w:r>
      <w:r w:rsidR="001C5F06">
        <w:t>D</w:t>
      </w:r>
      <w:r w:rsidR="00CD0EAF">
        <w:t xml:space="preserve">iscapacidad (CDPD). A través de sus </w:t>
      </w:r>
      <w:r w:rsidR="001C5F06">
        <w:t>Observaciones G</w:t>
      </w:r>
      <w:r w:rsidR="00CD0EAF">
        <w:t xml:space="preserve">enerales y </w:t>
      </w:r>
      <w:r w:rsidR="001C5F06">
        <w:t>O</w:t>
      </w:r>
      <w:r w:rsidR="00CD0EAF">
        <w:t xml:space="preserve">bservaciones </w:t>
      </w:r>
      <w:r w:rsidR="001C5F06">
        <w:t>F</w:t>
      </w:r>
      <w:r w:rsidR="00CD0EAF">
        <w:t xml:space="preserve">inales, el Comité CDPD ha llamado con frecuencia a los Estados a garantizar los derechos sexuales y reproductivos, y en particular el derecho a ser libre de intervenciones </w:t>
      </w:r>
      <w:r w:rsidR="001C5F06">
        <w:t xml:space="preserve">forzadas </w:t>
      </w:r>
      <w:r w:rsidR="00CD0EAF">
        <w:t>e</w:t>
      </w:r>
      <w:r w:rsidR="001C5F06">
        <w:t>n</w:t>
      </w:r>
      <w:r w:rsidR="00CD0EAF">
        <w:t xml:space="preserve"> salud reproductiva. El Comité a menudo aborda estos temas en los </w:t>
      </w:r>
      <w:r w:rsidR="001C5F06">
        <w:t>A</w:t>
      </w:r>
      <w:r w:rsidR="00CD0EAF">
        <w:t xml:space="preserve">rtículos 1 </w:t>
      </w:r>
      <w:r w:rsidR="001C5F06">
        <w:t>-</w:t>
      </w:r>
      <w:r w:rsidR="00CD0EAF">
        <w:t xml:space="preserve"> 4 (principios generales de la CDPD), 5 (discriminación), 6 (derechos de las mujeres y las niñas con discapacidad), 17 (derecho a la integridad corporal), 23 (derechos de la familia), 24 (</w:t>
      </w:r>
      <w:r w:rsidR="00165D4C">
        <w:t>derecho a la educación) y 25 (</w:t>
      </w:r>
      <w:r w:rsidR="00CD0EAF">
        <w:t xml:space="preserve">derecho a la salud). </w:t>
      </w:r>
      <w:r w:rsidR="001C5F06">
        <w:t xml:space="preserve">El </w:t>
      </w:r>
      <w:r w:rsidR="00CD0EAF">
        <w:t>Comi</w:t>
      </w:r>
      <w:r w:rsidR="001C5F06">
        <w:t>té</w:t>
      </w:r>
      <w:r w:rsidR="00CD0EAF">
        <w:t xml:space="preserve"> podría también abordar estos temas en los </w:t>
      </w:r>
      <w:r w:rsidR="001C5F06">
        <w:t>A</w:t>
      </w:r>
      <w:r w:rsidR="00CD0EAF">
        <w:t>rtículos 8 (</w:t>
      </w:r>
      <w:r w:rsidR="001C5F06">
        <w:t>toma de conciencia</w:t>
      </w:r>
      <w:r w:rsidR="00CD0EAF">
        <w:t>), 9 (accesibilidad), 10 (derecho a la vida), 12 (reconocimiento ante la ley y capacidad jurídica), 15 (derecho a estar libre de tortura), 16 (</w:t>
      </w:r>
      <w:r w:rsidR="001C5F06">
        <w:t xml:space="preserve">derecho a estar </w:t>
      </w:r>
      <w:r w:rsidR="00CD0EAF">
        <w:t>lib</w:t>
      </w:r>
      <w:r w:rsidR="001C5F06">
        <w:t>re</w:t>
      </w:r>
      <w:r w:rsidR="00CD0EAF">
        <w:t xml:space="preserve"> de explotación, violencia y abuso), y 22 (derecho a la privacidad y </w:t>
      </w:r>
      <w:r w:rsidR="001C5F06">
        <w:t>a</w:t>
      </w:r>
      <w:r w:rsidR="00CD0EAF">
        <w:t xml:space="preserve"> la familia).</w:t>
      </w:r>
    </w:p>
    <w:p w14:paraId="0669E416" w14:textId="4A4EF965" w:rsidR="0049019C" w:rsidRPr="004B2C96" w:rsidRDefault="001C5F06" w:rsidP="00515135">
      <w:pPr>
        <w:pStyle w:val="Heading2"/>
        <w:rPr>
          <w:b w:val="0"/>
        </w:rPr>
      </w:pPr>
      <w:bookmarkStart w:id="42" w:name="_Toc5974917"/>
      <w:r w:rsidRPr="004B2C96">
        <w:rPr>
          <w:b w:val="0"/>
        </w:rPr>
        <w:t>Observaciones G</w:t>
      </w:r>
      <w:r w:rsidR="00CD0EAF" w:rsidRPr="004B2C96">
        <w:rPr>
          <w:b w:val="0"/>
        </w:rPr>
        <w:t>enerales</w:t>
      </w:r>
      <w:bookmarkEnd w:id="42"/>
    </w:p>
    <w:p w14:paraId="200D0D9E" w14:textId="28EACCEA" w:rsidR="0049019C" w:rsidRPr="00E21DCD" w:rsidRDefault="001C5F06" w:rsidP="00753A59">
      <w:pPr>
        <w:pStyle w:val="Heading3GeneralComments"/>
      </w:pPr>
      <w:r w:rsidRPr="00830960">
        <w:t>Observación</w:t>
      </w:r>
      <w:r w:rsidRPr="00E21DCD">
        <w:t xml:space="preserve"> </w:t>
      </w:r>
      <w:r w:rsidRPr="00830960">
        <w:t>G</w:t>
      </w:r>
      <w:r w:rsidR="00CD0EAF" w:rsidRPr="00830960">
        <w:t>eneral</w:t>
      </w:r>
      <w:r w:rsidR="00CD0EAF" w:rsidRPr="00E21DCD">
        <w:t xml:space="preserve"> </w:t>
      </w:r>
      <w:r w:rsidRPr="00E21DCD">
        <w:t>N</w:t>
      </w:r>
      <w:r w:rsidR="00CD0EAF" w:rsidRPr="00E21DCD">
        <w:t xml:space="preserve">o. 1: Artículo 12: </w:t>
      </w:r>
      <w:r w:rsidRPr="00E21DCD">
        <w:t>I</w:t>
      </w:r>
      <w:r w:rsidR="00CD0EAF" w:rsidRPr="00E21DCD">
        <w:t xml:space="preserve">gual reconocimiento </w:t>
      </w:r>
      <w:r w:rsidRPr="00E21DCD">
        <w:t xml:space="preserve">como persona </w:t>
      </w:r>
      <w:r w:rsidR="00CD0EAF" w:rsidRPr="00E21DCD">
        <w:t xml:space="preserve">ante </w:t>
      </w:r>
      <w:r w:rsidR="00440206">
        <w:br/>
      </w:r>
      <w:r w:rsidR="00CD0EAF" w:rsidRPr="00E21DCD">
        <w:t>la ley (2014)</w:t>
      </w:r>
    </w:p>
    <w:p w14:paraId="5DBCB533" w14:textId="25B1CA8B" w:rsidR="0049019C" w:rsidRDefault="00CD0EAF" w:rsidP="00830960">
      <w:pPr>
        <w:pStyle w:val="indentedafterbulletp"/>
      </w:pPr>
      <w:r>
        <w:t xml:space="preserve">En </w:t>
      </w:r>
      <w:r w:rsidR="001C5F06">
        <w:t xml:space="preserve">la Observación </w:t>
      </w:r>
      <w:r>
        <w:t>General N</w:t>
      </w:r>
      <w:r w:rsidR="009149EC">
        <w:t>o.</w:t>
      </w:r>
      <w:r>
        <w:t xml:space="preserve"> 1, </w:t>
      </w:r>
      <w:r w:rsidR="001C5F06">
        <w:t xml:space="preserve">el </w:t>
      </w:r>
      <w:r>
        <w:t xml:space="preserve">Comité CDPD examina la cuestión de la capacidad jurídica de las personas con discapacidad. </w:t>
      </w:r>
      <w:r w:rsidR="001C5F06">
        <w:t xml:space="preserve">El </w:t>
      </w:r>
      <w:r>
        <w:t>Comité CDPD distingue la capacidad jurídica de capacidad mental, señalando que "</w:t>
      </w:r>
      <w:r w:rsidR="00816538">
        <w:t>los déficits en la capacidad mental, ya sean supuestos o reales, no deben utilizarse</w:t>
      </w:r>
      <w:r>
        <w:t xml:space="preserve"> como justificación para negar la capacidad jurídica."</w:t>
      </w:r>
      <w:r w:rsidRPr="00E21DCD">
        <w:rPr>
          <w:vertAlign w:val="superscript"/>
        </w:rPr>
        <w:endnoteReference w:id="366"/>
      </w:r>
      <w:r>
        <w:t xml:space="preserve"> El Comité considera que negar a las personas con discapacidad capacidad jurídica conduce a la violación de muchos de sus derechos, incluyendo sus derechos reproductivos y el derecho a dar su consentimiento al tratamiento médico.</w:t>
      </w:r>
      <w:r>
        <w:rPr>
          <w:rStyle w:val="EndnoteReference"/>
          <w:rFonts w:cs="Times New Roman"/>
        </w:rPr>
        <w:endnoteReference w:id="367"/>
      </w:r>
      <w:r>
        <w:t xml:space="preserve"> En particular, el Comité observa que el derecho a la salud incluye el derecho a la atención de la salud sobre la base de</w:t>
      </w:r>
      <w:r w:rsidR="00BC7363">
        <w:t>l</w:t>
      </w:r>
      <w:r>
        <w:t xml:space="preserve"> consentimiento </w:t>
      </w:r>
      <w:r w:rsidR="00BC7363">
        <w:t xml:space="preserve">libre </w:t>
      </w:r>
      <w:r>
        <w:t>e informado.</w:t>
      </w:r>
      <w:r>
        <w:rPr>
          <w:rStyle w:val="EndnoteReference"/>
          <w:rFonts w:cs="Times New Roman"/>
        </w:rPr>
        <w:endnoteReference w:id="368"/>
      </w:r>
      <w:r>
        <w:t xml:space="preserve"> Bajo el derecho a la capacidad jurídica, los Estados tienen la obligación </w:t>
      </w:r>
      <w:r w:rsidR="00BC7363">
        <w:t>de garantizar que representantes</w:t>
      </w:r>
      <w:r>
        <w:t xml:space="preserve">, como </w:t>
      </w:r>
      <w:r w:rsidR="00BC7363">
        <w:t>por ejemplo tutores</w:t>
      </w:r>
      <w:r>
        <w:t>, no puede</w:t>
      </w:r>
      <w:r w:rsidR="00BC7363">
        <w:t>n</w:t>
      </w:r>
      <w:r>
        <w:t xml:space="preserve"> ofrecer consentimiento a tratamiento médico para personas con discapacidad,</w:t>
      </w:r>
      <w:r>
        <w:rPr>
          <w:rStyle w:val="EndnoteReference"/>
          <w:rFonts w:cs="Times New Roman"/>
        </w:rPr>
        <w:endnoteReference w:id="369"/>
      </w:r>
      <w:r>
        <w:t xml:space="preserve"> y Estados deben abolir cualquier </w:t>
      </w:r>
      <w:r w:rsidR="00BC7363">
        <w:t xml:space="preserve">régimen de </w:t>
      </w:r>
      <w:r>
        <w:t>sustitución  e</w:t>
      </w:r>
      <w:r w:rsidR="00BC7363">
        <w:t>n la</w:t>
      </w:r>
      <w:r>
        <w:t xml:space="preserve"> toma de decisiones o </w:t>
      </w:r>
      <w:r w:rsidR="00BC7363">
        <w:t>legislación en la</w:t>
      </w:r>
      <w:r>
        <w:t xml:space="preserve"> salud  que permit</w:t>
      </w:r>
      <w:r w:rsidR="00BC7363">
        <w:t>a</w:t>
      </w:r>
      <w:r>
        <w:t xml:space="preserve"> tratamiento</w:t>
      </w:r>
      <w:r w:rsidR="00BC7363">
        <w:t xml:space="preserve">s </w:t>
      </w:r>
      <w:r w:rsidR="00BC7363" w:rsidRPr="00830960">
        <w:t>forzados</w:t>
      </w:r>
      <w:r>
        <w:t>.</w:t>
      </w:r>
      <w:r>
        <w:rPr>
          <w:rStyle w:val="EndnoteReference"/>
          <w:rFonts w:cs="Times New Roman"/>
        </w:rPr>
        <w:endnoteReference w:id="370"/>
      </w:r>
      <w:r>
        <w:t xml:space="preserve"> El Comité recomienda que sólo las personas con discapacidad s</w:t>
      </w:r>
      <w:r w:rsidR="00BC7363">
        <w:t xml:space="preserve">an quienes </w:t>
      </w:r>
      <w:r>
        <w:t xml:space="preserve"> p</w:t>
      </w:r>
      <w:r w:rsidR="00BC7363">
        <w:t>uedan</w:t>
      </w:r>
      <w:r>
        <w:t xml:space="preserve"> proporcionar el consentimiento informado para las decisiones relativas a su integridad física y mental,</w:t>
      </w:r>
      <w:r>
        <w:rPr>
          <w:rStyle w:val="EndnoteReference"/>
          <w:rFonts w:cs="Times New Roman"/>
        </w:rPr>
        <w:endnoteReference w:id="371"/>
      </w:r>
      <w:r>
        <w:t xml:space="preserve"> y los Estados "deben </w:t>
      </w:r>
      <w:r w:rsidR="00816538">
        <w:t>proporcionarles [a las personas con discapacidad] acceso al apoyo que necesiten para tomar decisiones que tengan efectos jurídicos</w:t>
      </w:r>
      <w:r>
        <w:t>."</w:t>
      </w:r>
      <w:r w:rsidRPr="00E21DCD">
        <w:rPr>
          <w:vertAlign w:val="superscript"/>
        </w:rPr>
        <w:endnoteReference w:id="372"/>
      </w:r>
      <w:r w:rsidRPr="00E21DCD">
        <w:rPr>
          <w:vertAlign w:val="superscript"/>
        </w:rPr>
        <w:t xml:space="preserve"> </w:t>
      </w:r>
      <w:r w:rsidR="00E61B08">
        <w:rPr>
          <w:vertAlign w:val="superscript"/>
        </w:rPr>
        <w:t xml:space="preserve"> </w:t>
      </w:r>
      <w:r>
        <w:t xml:space="preserve">Apoyo </w:t>
      </w:r>
      <w:r w:rsidR="000C31E0">
        <w:t xml:space="preserve">en </w:t>
      </w:r>
      <w:r>
        <w:t>la toma de decisiones es un concepto amplio que incluye tanto a</w:t>
      </w:r>
      <w:r w:rsidR="000C31E0">
        <w:t>poy</w:t>
      </w:r>
      <w:r>
        <w:t>os informales y formales y puede incluir, por ejemplo, el uso de "un</w:t>
      </w:r>
      <w:r w:rsidR="000C31E0">
        <w:t>a</w:t>
      </w:r>
      <w:r>
        <w:t xml:space="preserve"> o más </w:t>
      </w:r>
      <w:r w:rsidR="000C31E0">
        <w:t xml:space="preserve">personas </w:t>
      </w:r>
      <w:r w:rsidR="00816538">
        <w:t>de apoyo en las que confíen</w:t>
      </w:r>
      <w:r>
        <w:t>...</w:t>
      </w:r>
      <w:r w:rsidR="00816538">
        <w:t>, el</w:t>
      </w:r>
      <w:r>
        <w:t xml:space="preserve"> apoyo</w:t>
      </w:r>
      <w:r w:rsidR="000C31E0">
        <w:t xml:space="preserve"> </w:t>
      </w:r>
      <w:r w:rsidR="00816538">
        <w:t>entre</w:t>
      </w:r>
      <w:r w:rsidR="000C31E0">
        <w:t xml:space="preserve"> pares</w:t>
      </w:r>
      <w:r>
        <w:t xml:space="preserve">, </w:t>
      </w:r>
      <w:r w:rsidR="00816538">
        <w:t>la defensa de sus intereses</w:t>
      </w:r>
      <w:r w:rsidR="000C31E0">
        <w:t xml:space="preserve"> </w:t>
      </w:r>
      <w:r>
        <w:t>(</w:t>
      </w:r>
      <w:r w:rsidR="00816538">
        <w:t>incluido el apoyo para la defensa de los intereses priopios</w:t>
      </w:r>
      <w:r>
        <w:t>) o</w:t>
      </w:r>
      <w:r w:rsidR="00816538">
        <w:t xml:space="preserve"> la</w:t>
      </w:r>
      <w:r>
        <w:t xml:space="preserve"> asistencia </w:t>
      </w:r>
      <w:r w:rsidR="00816538">
        <w:t>para comunicarse</w:t>
      </w:r>
      <w:r>
        <w:t>."</w:t>
      </w:r>
      <w:r w:rsidRPr="00E21DCD">
        <w:rPr>
          <w:vertAlign w:val="superscript"/>
        </w:rPr>
        <w:endnoteReference w:id="373"/>
      </w:r>
      <w:r>
        <w:t xml:space="preserve"> </w:t>
      </w:r>
    </w:p>
    <w:p w14:paraId="75A3A16F" w14:textId="197408D0" w:rsidR="0049019C" w:rsidRPr="00830960" w:rsidRDefault="00CD0EAF" w:rsidP="00753A59">
      <w:pPr>
        <w:pStyle w:val="Heading3GeneralComments"/>
      </w:pPr>
      <w:r w:rsidRPr="00830960">
        <w:t xml:space="preserve">Observación </w:t>
      </w:r>
      <w:r w:rsidR="00823647" w:rsidRPr="00830960">
        <w:t>G</w:t>
      </w:r>
      <w:r w:rsidRPr="00830960">
        <w:t xml:space="preserve">eneral </w:t>
      </w:r>
      <w:r w:rsidR="00823647" w:rsidRPr="00830960">
        <w:t>No. 2: A</w:t>
      </w:r>
      <w:r w:rsidRPr="00830960">
        <w:t xml:space="preserve">rtículo 9: </w:t>
      </w:r>
      <w:r w:rsidR="00823647" w:rsidRPr="00830960">
        <w:t>A</w:t>
      </w:r>
      <w:r w:rsidRPr="00830960">
        <w:t>ccesibilidad</w:t>
      </w:r>
      <w:r w:rsidR="00823647" w:rsidRPr="00830960">
        <w:t xml:space="preserve"> (2014)</w:t>
      </w:r>
    </w:p>
    <w:p w14:paraId="230E2966" w14:textId="63D82470" w:rsidR="00830960" w:rsidRDefault="00CD0EAF" w:rsidP="00830960">
      <w:pPr>
        <w:pStyle w:val="indentedafterbulletp"/>
      </w:pPr>
      <w:r>
        <w:t xml:space="preserve">En su </w:t>
      </w:r>
      <w:r w:rsidR="00823647">
        <w:t xml:space="preserve">Observación </w:t>
      </w:r>
      <w:r>
        <w:t xml:space="preserve">General </w:t>
      </w:r>
      <w:r w:rsidR="00823647">
        <w:t>N</w:t>
      </w:r>
      <w:r>
        <w:t xml:space="preserve">o. 2 </w:t>
      </w:r>
      <w:r w:rsidR="00823647">
        <w:t>sobre</w:t>
      </w:r>
      <w:r>
        <w:t xml:space="preserve"> accesibilidad, el Comité CDPD encuentra que el derecho a </w:t>
      </w:r>
      <w:r w:rsidR="00823647">
        <w:t>esta</w:t>
      </w:r>
      <w:r>
        <w:t xml:space="preserve">r libre de discriminación incluye la obligación de garantizar que las personas con discapacidad tengan igual acceso a todos los bienes, productos y servicios que están abiertos al público, incluso cuando </w:t>
      </w:r>
      <w:r w:rsidR="006C4C9C">
        <w:t xml:space="preserve">son </w:t>
      </w:r>
      <w:r>
        <w:t>proporcionados por entidades privadas.</w:t>
      </w:r>
      <w:r>
        <w:rPr>
          <w:rStyle w:val="EndnoteReference"/>
          <w:rFonts w:cs="Times New Roman"/>
        </w:rPr>
        <w:endnoteReference w:id="374"/>
      </w:r>
      <w:r>
        <w:t xml:space="preserve"> El Comité observa que el ejercicio del derecho a la salud no es posible sin instalaciones accesibles donde se proporcionan servicios de atención médica, transporte accesible para acceder a esos lugares </w:t>
      </w:r>
      <w:r w:rsidR="006C4C9C">
        <w:t>e</w:t>
      </w:r>
      <w:r>
        <w:t xml:space="preserve"> información y comunicación </w:t>
      </w:r>
      <w:r w:rsidR="006C4C9C">
        <w:t xml:space="preserve">accesible </w:t>
      </w:r>
      <w:r>
        <w:t>acerca de la salud, inclu</w:t>
      </w:r>
      <w:r w:rsidR="006C4C9C">
        <w:t xml:space="preserve">yendo </w:t>
      </w:r>
      <w:r>
        <w:t>lenguaje de señas, Braille, formatos electrónicos accesibles, escritura alternativa y medios alternativos de comunicación.</w:t>
      </w:r>
      <w:r>
        <w:rPr>
          <w:rStyle w:val="EndnoteReference"/>
          <w:rFonts w:cs="Times New Roman"/>
        </w:rPr>
        <w:endnoteReference w:id="375"/>
      </w:r>
      <w:r>
        <w:t xml:space="preserve"> En particular, el Comité observa que los Estados debe</w:t>
      </w:r>
      <w:r w:rsidR="006C4C9C">
        <w:t>rían</w:t>
      </w:r>
      <w:r>
        <w:t xml:space="preserve"> tomar </w:t>
      </w:r>
      <w:r w:rsidR="006C4C9C">
        <w:t xml:space="preserve">en cuenta </w:t>
      </w:r>
      <w:r>
        <w:t xml:space="preserve">la "dimensión de género" </w:t>
      </w:r>
      <w:r w:rsidR="006C4C9C">
        <w:t>cuando</w:t>
      </w:r>
      <w:r>
        <w:t xml:space="preserve"> asegura</w:t>
      </w:r>
      <w:r w:rsidR="006C4C9C">
        <w:t>n</w:t>
      </w:r>
      <w:r>
        <w:t xml:space="preserve"> que los servicios de salud reproductiva son accesibles a las mujeres y las niñas con discapacidad.</w:t>
      </w:r>
      <w:r>
        <w:rPr>
          <w:rStyle w:val="EndnoteReference"/>
          <w:rFonts w:cs="Times New Roman"/>
        </w:rPr>
        <w:endnoteReference w:id="376"/>
      </w:r>
    </w:p>
    <w:p w14:paraId="75FAD5EB" w14:textId="77777777" w:rsidR="00830960" w:rsidRDefault="00830960">
      <w:pPr>
        <w:spacing w:after="0" w:line="240" w:lineRule="auto"/>
        <w:ind w:left="0" w:right="0"/>
        <w:jc w:val="left"/>
        <w:rPr>
          <w:szCs w:val="22"/>
        </w:rPr>
      </w:pPr>
      <w:r>
        <w:br w:type="page"/>
      </w:r>
    </w:p>
    <w:p w14:paraId="2F9DB2FB" w14:textId="72868817" w:rsidR="0049019C" w:rsidRPr="003A163D" w:rsidRDefault="006C4C9C" w:rsidP="00753A59">
      <w:pPr>
        <w:pStyle w:val="Heading3GeneralComments"/>
      </w:pPr>
      <w:r w:rsidRPr="00830960">
        <w:lastRenderedPageBreak/>
        <w:t>Observación</w:t>
      </w:r>
      <w:r w:rsidRPr="003A163D">
        <w:t xml:space="preserve"> G</w:t>
      </w:r>
      <w:r w:rsidR="00CD0EAF" w:rsidRPr="003A163D">
        <w:t xml:space="preserve">eneral </w:t>
      </w:r>
      <w:r w:rsidRPr="003A163D">
        <w:t>N</w:t>
      </w:r>
      <w:r w:rsidR="00CD0EAF" w:rsidRPr="003A163D">
        <w:t xml:space="preserve">o. 3: </w:t>
      </w:r>
      <w:r w:rsidRPr="003A163D">
        <w:t>M</w:t>
      </w:r>
      <w:r w:rsidR="00CD0EAF" w:rsidRPr="003A163D">
        <w:t xml:space="preserve">ujeres y </w:t>
      </w:r>
      <w:r w:rsidR="00D74833">
        <w:t>n</w:t>
      </w:r>
      <w:r w:rsidR="00CD0EAF" w:rsidRPr="003A163D">
        <w:t xml:space="preserve">iñas con </w:t>
      </w:r>
      <w:r w:rsidR="00D74833">
        <w:t>d</w:t>
      </w:r>
      <w:r w:rsidR="00CD0EAF" w:rsidRPr="003A163D">
        <w:t>iscapacidad (2016)</w:t>
      </w:r>
    </w:p>
    <w:p w14:paraId="163F40C1" w14:textId="30B3F690" w:rsidR="0049019C" w:rsidRDefault="00CD0EAF" w:rsidP="00830960">
      <w:pPr>
        <w:pStyle w:val="indentedafterbulletp"/>
      </w:pPr>
      <w:r>
        <w:t>En su Observación General N</w:t>
      </w:r>
      <w:r w:rsidR="009149EC">
        <w:t>o.</w:t>
      </w:r>
      <w:r>
        <w:t xml:space="preserve"> 3, </w:t>
      </w:r>
      <w:r w:rsidR="006C4C9C">
        <w:t xml:space="preserve">el </w:t>
      </w:r>
      <w:r>
        <w:t>Comité CDPD destaca violaciones de derechos y salud sexual y reproductiva como uno de los principales temas que afectan desproporcionadamente a las mujeres y las niñas con discapacidad.</w:t>
      </w:r>
      <w:r>
        <w:rPr>
          <w:rStyle w:val="EndnoteReference"/>
        </w:rPr>
        <w:endnoteReference w:id="377"/>
      </w:r>
      <w:r>
        <w:t xml:space="preserve"> El Comité reconoce que los estereotipos sobre las mujeres con discapacidad, incluyendo que son </w:t>
      </w:r>
      <w:r w:rsidR="006031C4">
        <w:t xml:space="preserve">incapaces </w:t>
      </w:r>
      <w:r>
        <w:t>asexuales o hipersexuales</w:t>
      </w:r>
      <w:r w:rsidR="006031C4">
        <w:t>,</w:t>
      </w:r>
      <w:r>
        <w:t xml:space="preserve"> irracional, incontrolable, o </w:t>
      </w:r>
      <w:r w:rsidR="006031C4">
        <w:t xml:space="preserve">que </w:t>
      </w:r>
      <w:r>
        <w:t>puede dar a luz a personas con discapacidad, a menudo conducen a violaciones de su</w:t>
      </w:r>
      <w:r w:rsidR="004E359A">
        <w:t>s</w:t>
      </w:r>
      <w:r>
        <w:t xml:space="preserve"> </w:t>
      </w:r>
      <w:r w:rsidR="004E359A">
        <w:t xml:space="preserve">derechos </w:t>
      </w:r>
      <w:r>
        <w:t>sexual</w:t>
      </w:r>
      <w:r w:rsidR="004E359A">
        <w:t>es</w:t>
      </w:r>
      <w:r>
        <w:t xml:space="preserve"> y reproductivos.</w:t>
      </w:r>
      <w:r>
        <w:rPr>
          <w:rStyle w:val="EndnoteReference"/>
        </w:rPr>
        <w:endnoteReference w:id="378"/>
      </w:r>
      <w:r>
        <w:t xml:space="preserve"> Como resultado, las mujeres con discapacidad pueden </w:t>
      </w:r>
      <w:r w:rsidR="004E359A">
        <w:t xml:space="preserve">no </w:t>
      </w:r>
      <w:r>
        <w:t>recibir información sobre salud reproductiva, incluyendo en formatos accesibles,</w:t>
      </w:r>
      <w:r>
        <w:rPr>
          <w:rStyle w:val="EndnoteReference"/>
        </w:rPr>
        <w:endnoteReference w:id="379"/>
      </w:r>
      <w:r>
        <w:t xml:space="preserve"> convirtiéndolos en más vulnerables a </w:t>
      </w:r>
      <w:r w:rsidR="004E359A">
        <w:t xml:space="preserve">la </w:t>
      </w:r>
      <w:r>
        <w:t>violencia sexual y abuso.</w:t>
      </w:r>
      <w:r>
        <w:rPr>
          <w:rStyle w:val="EndnoteReference"/>
        </w:rPr>
        <w:endnoteReference w:id="380"/>
      </w:r>
      <w:r>
        <w:t xml:space="preserve"> Las mujeres con discapacidad también pueden enfrentarse </w:t>
      </w:r>
      <w:r w:rsidR="004E359A">
        <w:t xml:space="preserve">a barreras </w:t>
      </w:r>
      <w:r>
        <w:t>física</w:t>
      </w:r>
      <w:r w:rsidR="004E359A">
        <w:t>s</w:t>
      </w:r>
      <w:r>
        <w:t>, económica</w:t>
      </w:r>
      <w:r w:rsidR="004E359A">
        <w:t>s</w:t>
      </w:r>
      <w:r>
        <w:t xml:space="preserve">, y actitudinales </w:t>
      </w:r>
      <w:r w:rsidR="004E359A">
        <w:t>para</w:t>
      </w:r>
      <w:r>
        <w:t xml:space="preserve"> acce</w:t>
      </w:r>
      <w:r w:rsidR="004E359A">
        <w:t>der</w:t>
      </w:r>
      <w:r>
        <w:t xml:space="preserve"> a los servicios de salud sexual y reproductiva</w:t>
      </w:r>
      <w:r w:rsidR="004E359A">
        <w:t xml:space="preserve"> necesarios</w:t>
      </w:r>
      <w:r>
        <w:t>.</w:t>
      </w:r>
      <w:r>
        <w:rPr>
          <w:rStyle w:val="EndnoteReference"/>
        </w:rPr>
        <w:endnoteReference w:id="381"/>
      </w:r>
      <w:r>
        <w:t xml:space="preserve"> El Comité </w:t>
      </w:r>
      <w:r w:rsidR="004E359A">
        <w:t xml:space="preserve">además </w:t>
      </w:r>
      <w:r>
        <w:t xml:space="preserve">encuentra que las mujeres con discapacidad deben ejercer su capacidad jurídica sobre derechos sexuales y reproductivos </w:t>
      </w:r>
      <w:r w:rsidR="004E359A">
        <w:t>tomando</w:t>
      </w:r>
      <w:r>
        <w:t xml:space="preserve"> sus propias decisiones, basadas en el consentimiento </w:t>
      </w:r>
      <w:r w:rsidR="004E359A">
        <w:t xml:space="preserve">libre </w:t>
      </w:r>
      <w:r>
        <w:t>e informado, relacionados con la sexualidad, fertilidad, y reproducción</w:t>
      </w:r>
      <w:r>
        <w:rPr>
          <w:rStyle w:val="EndnoteReference"/>
        </w:rPr>
        <w:endnoteReference w:id="382"/>
      </w:r>
      <w:r>
        <w:t xml:space="preserve">  y recomienda que los Estados prohib</w:t>
      </w:r>
      <w:r w:rsidR="004E359A">
        <w:t>an</w:t>
      </w:r>
      <w:r>
        <w:t xml:space="preserve"> intervenciones forzadas, incluyendo la esterilización forzada, la contracepción </w:t>
      </w:r>
      <w:r w:rsidR="004E359A">
        <w:t xml:space="preserve">forzada </w:t>
      </w:r>
      <w:r>
        <w:t>y el aborto</w:t>
      </w:r>
      <w:r w:rsidR="004E359A">
        <w:t xml:space="preserve"> forzado</w:t>
      </w:r>
      <w:r>
        <w:t>.</w:t>
      </w:r>
      <w:r>
        <w:rPr>
          <w:rStyle w:val="EndnoteReference"/>
        </w:rPr>
        <w:endnoteReference w:id="383"/>
      </w:r>
    </w:p>
    <w:p w14:paraId="725364F5" w14:textId="7D72E53E" w:rsidR="0049019C" w:rsidRPr="003A163D" w:rsidRDefault="00375A7B" w:rsidP="00753A59">
      <w:pPr>
        <w:pStyle w:val="Heading3GeneralComments"/>
      </w:pPr>
      <w:r w:rsidRPr="003A163D">
        <w:t xml:space="preserve">Observación </w:t>
      </w:r>
      <w:r w:rsidRPr="00830960">
        <w:t>G</w:t>
      </w:r>
      <w:r w:rsidR="00CD0EAF" w:rsidRPr="00830960">
        <w:t>eneral</w:t>
      </w:r>
      <w:r w:rsidR="00CD0EAF" w:rsidRPr="003A163D">
        <w:t xml:space="preserve"> </w:t>
      </w:r>
      <w:r w:rsidRPr="003A163D">
        <w:t>N</w:t>
      </w:r>
      <w:r w:rsidR="00CD0EAF" w:rsidRPr="003A163D">
        <w:t xml:space="preserve">o. 4: Artículo 24: </w:t>
      </w:r>
      <w:r w:rsidRPr="003A163D">
        <w:t>D</w:t>
      </w:r>
      <w:r w:rsidR="00CD0EAF" w:rsidRPr="003A163D">
        <w:t>erecho a la educación inclusiva (2016)</w:t>
      </w:r>
    </w:p>
    <w:p w14:paraId="098997FA" w14:textId="7E1F11CD" w:rsidR="0049019C" w:rsidRDefault="00CD0EAF" w:rsidP="00830960">
      <w:pPr>
        <w:pStyle w:val="indentedafterbulletp"/>
        <w:rPr>
          <w:rFonts w:cs="Times New Roman"/>
        </w:rPr>
      </w:pPr>
      <w:r>
        <w:t xml:space="preserve">En su </w:t>
      </w:r>
      <w:r w:rsidR="00375A7B">
        <w:t xml:space="preserve">Observación </w:t>
      </w:r>
      <w:r>
        <w:t xml:space="preserve">General </w:t>
      </w:r>
      <w:r w:rsidR="00375A7B">
        <w:t>N</w:t>
      </w:r>
      <w:r>
        <w:t>o. 4, el Comité CDPD reconoce que la educación debe tender a asegurar que las personas con discapacidad puedan participar plenamente en una sociedad libre,</w:t>
      </w:r>
      <w:r>
        <w:rPr>
          <w:rStyle w:val="EndnoteReference"/>
          <w:rFonts w:cs="Times New Roman"/>
        </w:rPr>
        <w:endnoteReference w:id="384"/>
      </w:r>
      <w:r>
        <w:t xml:space="preserve"> garantiza</w:t>
      </w:r>
      <w:r w:rsidR="001B257C">
        <w:t>ndo</w:t>
      </w:r>
      <w:r>
        <w:t xml:space="preserve"> que las personas con discapacidad constru</w:t>
      </w:r>
      <w:r w:rsidR="001B257C">
        <w:t>yan</w:t>
      </w:r>
      <w:r>
        <w:t xml:space="preserve"> su confianza </w:t>
      </w:r>
      <w:r w:rsidR="001B257C">
        <w:t xml:space="preserve">ejerciendo su </w:t>
      </w:r>
      <w:r>
        <w:t>capacidad jurídica</w:t>
      </w:r>
      <w:r>
        <w:rPr>
          <w:rStyle w:val="EndnoteReference"/>
          <w:rFonts w:cs="Times New Roman"/>
        </w:rPr>
        <w:endnoteReference w:id="385"/>
      </w:r>
      <w:r>
        <w:t xml:space="preserve"> y pued</w:t>
      </w:r>
      <w:r w:rsidR="001B257C">
        <w:t>an</w:t>
      </w:r>
      <w:r>
        <w:t xml:space="preserve"> ejercer su derecho a la salud.</w:t>
      </w:r>
      <w:r>
        <w:rPr>
          <w:rStyle w:val="EndnoteReference"/>
          <w:rFonts w:cs="Times New Roman"/>
        </w:rPr>
        <w:endnoteReference w:id="386"/>
      </w:r>
      <w:r>
        <w:t xml:space="preserve"> En particular, el Comité observa que los Estados deben proporcionar a las personas con discapacidad, en igualdad de condiciones con los demás, acceso a la educación </w:t>
      </w:r>
      <w:r w:rsidR="001B257C">
        <w:t xml:space="preserve">integral e inclusiva </w:t>
      </w:r>
      <w:r>
        <w:t xml:space="preserve">de la sexualidad que es apropiada para su edad, basada en evidencia científica, incluyendo los </w:t>
      </w:r>
      <w:r w:rsidR="001B257C">
        <w:t xml:space="preserve">estándares en </w:t>
      </w:r>
      <w:r>
        <w:t>derechos humanos</w:t>
      </w:r>
      <w:r w:rsidR="001B257C">
        <w:t>,</w:t>
      </w:r>
      <w:r>
        <w:t xml:space="preserve"> y en formatos accesibles.</w:t>
      </w:r>
      <w:r>
        <w:rPr>
          <w:rStyle w:val="EndnoteReference"/>
          <w:rFonts w:cs="Times New Roman"/>
        </w:rPr>
        <w:endnoteReference w:id="387"/>
      </w:r>
      <w:r>
        <w:t xml:space="preserve"> </w:t>
      </w:r>
    </w:p>
    <w:p w14:paraId="0EC18767" w14:textId="3E1F2DDD" w:rsidR="0049019C" w:rsidRPr="003A163D" w:rsidRDefault="001B257C" w:rsidP="00753A59">
      <w:pPr>
        <w:pStyle w:val="Heading3GeneralComments"/>
      </w:pPr>
      <w:r w:rsidRPr="003A163D">
        <w:t xml:space="preserve">Observación </w:t>
      </w:r>
      <w:r w:rsidRPr="004B2C96">
        <w:t>G</w:t>
      </w:r>
      <w:r w:rsidR="00CD0EAF" w:rsidRPr="004B2C96">
        <w:t>eneral</w:t>
      </w:r>
      <w:r w:rsidR="00CD0EAF" w:rsidRPr="003A163D">
        <w:t xml:space="preserve"> </w:t>
      </w:r>
      <w:r w:rsidRPr="003A163D">
        <w:t>N</w:t>
      </w:r>
      <w:r w:rsidR="00CD0EAF" w:rsidRPr="003A163D">
        <w:t xml:space="preserve">o. 5: Artículo 19: </w:t>
      </w:r>
      <w:r w:rsidRPr="003A163D">
        <w:t>V</w:t>
      </w:r>
      <w:r w:rsidR="00CD0EAF" w:rsidRPr="003A163D">
        <w:t>ivir independientemente y ser incluido en la comunidad (2017)</w:t>
      </w:r>
    </w:p>
    <w:p w14:paraId="79465BFD" w14:textId="08FAE54E" w:rsidR="0049019C" w:rsidRDefault="00CD0EAF" w:rsidP="00830960">
      <w:pPr>
        <w:pStyle w:val="indentedafterbulletp"/>
      </w:pPr>
      <w:r>
        <w:t xml:space="preserve">En su </w:t>
      </w:r>
      <w:r w:rsidR="001B257C">
        <w:t xml:space="preserve">Observación </w:t>
      </w:r>
      <w:r>
        <w:t>General N</w:t>
      </w:r>
      <w:r w:rsidR="009149EC">
        <w:t>o.</w:t>
      </w:r>
      <w:r>
        <w:t xml:space="preserve"> 5, el Comité CDPD señala que la autonomía personal y la autodeterminación, incluyendo los derechos sexuales y reproductivos, son fundamentales para vivir en forma independiente.</w:t>
      </w:r>
      <w:r>
        <w:rPr>
          <w:rStyle w:val="EndnoteReference"/>
        </w:rPr>
        <w:endnoteReference w:id="388"/>
      </w:r>
      <w:r>
        <w:t xml:space="preserve"> El Comité también toma nota de que las mujeres con discapacidad son más susceptibles a violaciones de sus derechos reproductivos, incluyendo la esterilización forzada, cuando se les niega el derecho a vivir independientemente, particularmente cuando ell</w:t>
      </w:r>
      <w:r w:rsidR="001B257C">
        <w:t>a</w:t>
      </w:r>
      <w:r>
        <w:t>s están institucionalizados y así más aislad</w:t>
      </w:r>
      <w:r w:rsidR="001B257C">
        <w:t>as</w:t>
      </w:r>
      <w:r>
        <w:t xml:space="preserve"> de la comunidad.</w:t>
      </w:r>
      <w:r>
        <w:rPr>
          <w:rStyle w:val="EndnoteReference"/>
        </w:rPr>
        <w:endnoteReference w:id="389"/>
      </w:r>
      <w:r>
        <w:t xml:space="preserve"> El Comité considera que es imperativo que los Estados </w:t>
      </w:r>
      <w:r w:rsidR="001B257C">
        <w:t>supervisen</w:t>
      </w:r>
      <w:r>
        <w:t xml:space="preserve"> este tema como parte del monitoreo </w:t>
      </w:r>
      <w:r w:rsidR="001B257C">
        <w:t xml:space="preserve">de </w:t>
      </w:r>
      <w:r>
        <w:t>condiciones en las instituciones y que los Estados ofre</w:t>
      </w:r>
      <w:r w:rsidR="001B257C">
        <w:t>z</w:t>
      </w:r>
      <w:r>
        <w:t>c</w:t>
      </w:r>
      <w:r w:rsidR="001B257C">
        <w:t>a</w:t>
      </w:r>
      <w:r>
        <w:t xml:space="preserve">n reparación para las mujeres expuestas a violencia </w:t>
      </w:r>
      <w:r w:rsidR="001B257C">
        <w:t xml:space="preserve">basada </w:t>
      </w:r>
      <w:r>
        <w:t>e</w:t>
      </w:r>
      <w:r w:rsidR="001B257C">
        <w:t>n</w:t>
      </w:r>
      <w:r>
        <w:t xml:space="preserve"> género, incluyendo la esterilización forzada, en las instituciones.</w:t>
      </w:r>
      <w:r>
        <w:rPr>
          <w:rStyle w:val="EndnoteReference"/>
        </w:rPr>
        <w:endnoteReference w:id="390"/>
      </w:r>
    </w:p>
    <w:p w14:paraId="28D688DF" w14:textId="4E6A6F7E" w:rsidR="0049019C" w:rsidRPr="004B2C96" w:rsidRDefault="00CD0EAF" w:rsidP="00515135">
      <w:pPr>
        <w:pStyle w:val="Heading2"/>
        <w:rPr>
          <w:b w:val="0"/>
        </w:rPr>
      </w:pPr>
      <w:bookmarkStart w:id="43" w:name="_Toc5974918"/>
      <w:r w:rsidRPr="004B2C96">
        <w:rPr>
          <w:b w:val="0"/>
        </w:rPr>
        <w:t xml:space="preserve">Observaciones </w:t>
      </w:r>
      <w:r w:rsidR="001B257C" w:rsidRPr="004B2C96">
        <w:rPr>
          <w:b w:val="0"/>
        </w:rPr>
        <w:t>F</w:t>
      </w:r>
      <w:r w:rsidRPr="004B2C96">
        <w:rPr>
          <w:b w:val="0"/>
        </w:rPr>
        <w:t>inales</w:t>
      </w:r>
      <w:bookmarkEnd w:id="43"/>
    </w:p>
    <w:p w14:paraId="3EFC31C5" w14:textId="77777777" w:rsidR="0049019C" w:rsidRPr="004B2C96" w:rsidRDefault="00CD0EAF">
      <w:pPr>
        <w:pStyle w:val="HEADING3firstinstance"/>
      </w:pPr>
      <w:bookmarkStart w:id="44" w:name="_Toc498590700"/>
      <w:r w:rsidRPr="004B2C96">
        <w:t>Acceso a la información y los servicios de salud reproductiva</w:t>
      </w:r>
      <w:bookmarkEnd w:id="44"/>
    </w:p>
    <w:p w14:paraId="784012A3" w14:textId="341C48FF" w:rsidR="0049019C" w:rsidRDefault="00CD0EAF">
      <w:r>
        <w:t xml:space="preserve">El Comité CDPD con frecuencia ha expresado preocupación por las personas con discapacidad que carecen de acceso a información </w:t>
      </w:r>
      <w:r w:rsidR="001B257C">
        <w:t xml:space="preserve">y servicios </w:t>
      </w:r>
      <w:r>
        <w:t>sobre salud sexual y reproductiva,</w:t>
      </w:r>
      <w:r>
        <w:rPr>
          <w:rStyle w:val="EndnoteReference"/>
        </w:rPr>
        <w:endnoteReference w:id="391"/>
      </w:r>
      <w:r>
        <w:t xml:space="preserve"> incluyendo acceso físico</w:t>
      </w:r>
      <w:r>
        <w:rPr>
          <w:rStyle w:val="EndnoteReference"/>
        </w:rPr>
        <w:endnoteReference w:id="392"/>
      </w:r>
      <w:r>
        <w:t xml:space="preserve"> y en las zonas rurales.</w:t>
      </w:r>
      <w:r>
        <w:rPr>
          <w:rStyle w:val="EndnoteReference"/>
        </w:rPr>
        <w:endnoteReference w:id="393"/>
      </w:r>
      <w:r>
        <w:t xml:space="preserve"> En particular, ha expresado preocupación por lo menos </w:t>
      </w:r>
      <w:r w:rsidR="00D442C1">
        <w:t xml:space="preserve">en </w:t>
      </w:r>
      <w:r>
        <w:t xml:space="preserve">un </w:t>
      </w:r>
      <w:r w:rsidR="00D442C1">
        <w:t>E</w:t>
      </w:r>
      <w:r>
        <w:t>stado donde los servicios ginecológicos y obstétricos no son accesibles a las mujeres con discapacidad</w:t>
      </w:r>
      <w:r>
        <w:rPr>
          <w:rStyle w:val="EndnoteReference"/>
        </w:rPr>
        <w:endnoteReference w:id="394"/>
      </w:r>
      <w:r>
        <w:t xml:space="preserve"> y donde las políticas y leyes </w:t>
      </w:r>
      <w:r w:rsidR="00D442C1">
        <w:t xml:space="preserve">de los los Estados </w:t>
      </w:r>
      <w:r>
        <w:t>relacionadas con la salud excluyen consideración de las personas con discapacidad.</w:t>
      </w:r>
      <w:r>
        <w:rPr>
          <w:rStyle w:val="EndnoteReference"/>
        </w:rPr>
        <w:endnoteReference w:id="395"/>
      </w:r>
      <w:r>
        <w:t xml:space="preserve"> Además, ha expresado preocupación donde </w:t>
      </w:r>
      <w:r w:rsidR="00D442C1">
        <w:t>el personal de salud</w:t>
      </w:r>
      <w:r>
        <w:t xml:space="preserve"> carece de formación para satisfacer las necesidades específicas de las personas con discapacidad, incluyendo </w:t>
      </w:r>
      <w:r w:rsidR="00D442C1">
        <w:t xml:space="preserve">atención de la </w:t>
      </w:r>
      <w:r>
        <w:t>salud sexual y reproductiva.</w:t>
      </w:r>
      <w:r>
        <w:rPr>
          <w:rStyle w:val="EndnoteReference"/>
        </w:rPr>
        <w:endnoteReference w:id="396"/>
      </w:r>
    </w:p>
    <w:p w14:paraId="2B9E1411" w14:textId="0306B168" w:rsidR="0049019C" w:rsidRDefault="00CD0EAF" w:rsidP="00F75D9A">
      <w:pPr>
        <w:spacing w:line="240" w:lineRule="atLeast"/>
      </w:pPr>
      <w:r>
        <w:lastRenderedPageBreak/>
        <w:t>El Comité CDPD ha recomendado que los Estados garanti</w:t>
      </w:r>
      <w:r w:rsidR="00D442C1">
        <w:t>cen</w:t>
      </w:r>
      <w:r>
        <w:t xml:space="preserve"> la accesibilidad de los establecimientos de salud, equipos, información (en formatos accesibles)</w:t>
      </w:r>
      <w:r w:rsidR="00D442C1">
        <w:t>,</w:t>
      </w:r>
      <w:r>
        <w:t xml:space="preserve"> y comunicaciones sobre </w:t>
      </w:r>
      <w:r w:rsidR="00D442C1">
        <w:t xml:space="preserve">atención de la </w:t>
      </w:r>
      <w:r>
        <w:t>salud sexual y reproductiva,</w:t>
      </w:r>
      <w:r>
        <w:rPr>
          <w:rStyle w:val="EndnoteReference"/>
        </w:rPr>
        <w:endnoteReference w:id="397"/>
      </w:r>
      <w:r>
        <w:t xml:space="preserve"> asegurando un</w:t>
      </w:r>
      <w:r w:rsidR="00D442C1">
        <w:t>a</w:t>
      </w:r>
      <w:r>
        <w:t xml:space="preserve"> </w:t>
      </w:r>
      <w:r w:rsidR="00D442C1">
        <w:t xml:space="preserve">perspectiva de </w:t>
      </w:r>
      <w:r>
        <w:t>género</w:t>
      </w:r>
      <w:r>
        <w:rPr>
          <w:rStyle w:val="EndnoteReference"/>
        </w:rPr>
        <w:endnoteReference w:id="398"/>
      </w:r>
      <w:r>
        <w:t xml:space="preserve"> y colaborando con organizaciones de mujeres con discapacidad.</w:t>
      </w:r>
      <w:r>
        <w:rPr>
          <w:rStyle w:val="EndnoteReference"/>
        </w:rPr>
        <w:endnoteReference w:id="399"/>
      </w:r>
      <w:r>
        <w:t xml:space="preserve"> Ha clasificado la negación de est</w:t>
      </w:r>
      <w:r w:rsidR="005F2B02">
        <w:t>o</w:t>
      </w:r>
      <w:r>
        <w:t xml:space="preserve">s </w:t>
      </w:r>
      <w:r w:rsidR="004D670E">
        <w:t>ajust</w:t>
      </w:r>
      <w:r>
        <w:t>es como una forma de discriminación.</w:t>
      </w:r>
      <w:r>
        <w:rPr>
          <w:rStyle w:val="EndnoteReference"/>
        </w:rPr>
        <w:endnoteReference w:id="400"/>
      </w:r>
      <w:r>
        <w:t xml:space="preserve"> El Comité ha recomendado específicamente que los Estados proporcion</w:t>
      </w:r>
      <w:r w:rsidR="004D670E">
        <w:t>e</w:t>
      </w:r>
      <w:r>
        <w:t xml:space="preserve">n información y servicios </w:t>
      </w:r>
      <w:r w:rsidR="004D670E">
        <w:t xml:space="preserve">accesibles </w:t>
      </w:r>
      <w:r>
        <w:t xml:space="preserve">a mujeres con discapacidad sobre sus derechos bajo el </w:t>
      </w:r>
      <w:r w:rsidR="004D670E">
        <w:t>A</w:t>
      </w:r>
      <w:r>
        <w:t>rtículo 25 (derecho a la salud)</w:t>
      </w:r>
      <w:r>
        <w:rPr>
          <w:rStyle w:val="EndnoteReference"/>
        </w:rPr>
        <w:endnoteReference w:id="401"/>
      </w:r>
      <w:r>
        <w:t xml:space="preserve"> y capacit</w:t>
      </w:r>
      <w:r w:rsidR="004D670E">
        <w:t>e</w:t>
      </w:r>
      <w:r>
        <w:t xml:space="preserve"> a personal de salud sobre los derechos de las personas con discapacidad</w:t>
      </w:r>
      <w:r>
        <w:rPr>
          <w:rStyle w:val="EndnoteReference"/>
        </w:rPr>
        <w:endnoteReference w:id="402"/>
      </w:r>
      <w:r>
        <w:t xml:space="preserve"> y atención accesible e inclusiva </w:t>
      </w:r>
      <w:r w:rsidR="004D670E">
        <w:t xml:space="preserve">de salud </w:t>
      </w:r>
      <w:r>
        <w:t>para las personas con discapacidad.</w:t>
      </w:r>
      <w:r>
        <w:rPr>
          <w:rStyle w:val="EndnoteReference"/>
        </w:rPr>
        <w:endnoteReference w:id="403"/>
      </w:r>
      <w:r>
        <w:t xml:space="preserve"> También </w:t>
      </w:r>
      <w:r w:rsidR="004D670E">
        <w:t>ha</w:t>
      </w:r>
      <w:r>
        <w:t xml:space="preserve"> recomenda</w:t>
      </w:r>
      <w:r w:rsidR="004D670E">
        <w:t>do</w:t>
      </w:r>
      <w:r>
        <w:t xml:space="preserve"> que al menos un </w:t>
      </w:r>
      <w:r w:rsidR="004D670E">
        <w:t>E</w:t>
      </w:r>
      <w:r>
        <w:t>stado reclut</w:t>
      </w:r>
      <w:r w:rsidR="004D670E">
        <w:t>e</w:t>
      </w:r>
      <w:r>
        <w:t xml:space="preserve"> y contrat</w:t>
      </w:r>
      <w:r w:rsidR="004D670E">
        <w:t>e</w:t>
      </w:r>
      <w:r>
        <w:t xml:space="preserve"> guías profesionales e intérpretes de lenguaje de señas para personal de centros de salud.</w:t>
      </w:r>
      <w:r>
        <w:rPr>
          <w:rStyle w:val="EndnoteReference"/>
        </w:rPr>
        <w:endnoteReference w:id="404"/>
      </w:r>
      <w:r>
        <w:t xml:space="preserve"> Además, el Comité ha recomendado </w:t>
      </w:r>
      <w:r w:rsidR="004D670E">
        <w:t>a</w:t>
      </w:r>
      <w:r>
        <w:t xml:space="preserve"> al menos un Estado </w:t>
      </w:r>
      <w:r w:rsidR="004D670E">
        <w:t xml:space="preserve">que </w:t>
      </w:r>
      <w:r>
        <w:t xml:space="preserve">adopte medidas para asegurar que los servicios de salud </w:t>
      </w:r>
      <w:r w:rsidR="004D670E">
        <w:t xml:space="preserve">son </w:t>
      </w:r>
      <w:r>
        <w:t>asequibles para las personas con discapacidad.</w:t>
      </w:r>
      <w:r>
        <w:rPr>
          <w:rStyle w:val="EndnoteReference"/>
        </w:rPr>
        <w:endnoteReference w:id="405"/>
      </w:r>
    </w:p>
    <w:p w14:paraId="17FBD504" w14:textId="5E1CF40A" w:rsidR="0049019C" w:rsidRDefault="00CD0EAF" w:rsidP="00F75D9A">
      <w:pPr>
        <w:pStyle w:val="Heading4"/>
        <w:spacing w:line="240" w:lineRule="atLeast"/>
      </w:pPr>
      <w:r>
        <w:t xml:space="preserve">Discriminación en el </w:t>
      </w:r>
      <w:r w:rsidR="004D670E">
        <w:t>A</w:t>
      </w:r>
      <w:r>
        <w:t xml:space="preserve">cceso a la </w:t>
      </w:r>
      <w:r w:rsidR="004D670E">
        <w:t>A</w:t>
      </w:r>
      <w:r>
        <w:t xml:space="preserve">tención </w:t>
      </w:r>
      <w:r w:rsidR="004D670E">
        <w:t>de la Salud</w:t>
      </w:r>
    </w:p>
    <w:p w14:paraId="17649150" w14:textId="32D09403" w:rsidR="0049019C" w:rsidRDefault="00CD0EAF" w:rsidP="00F75D9A">
      <w:pPr>
        <w:pStyle w:val="NormalIndented"/>
        <w:spacing w:line="240" w:lineRule="atLeast"/>
      </w:pPr>
      <w:r>
        <w:t xml:space="preserve">El Comité CDPD ha expresado preocupación acerca de la discriminación contra las personas con discapacidad, particularmente las mujeres con discapacidad, en el acceso a la información </w:t>
      </w:r>
      <w:r w:rsidR="009C691C">
        <w:t xml:space="preserve">y servicios </w:t>
      </w:r>
      <w:r>
        <w:t>de salud</w:t>
      </w:r>
      <w:r w:rsidR="009C691C">
        <w:t>, incluyendo</w:t>
      </w:r>
      <w:r>
        <w:t xml:space="preserve"> </w:t>
      </w:r>
      <w:r w:rsidR="009C691C">
        <w:t>atención de la</w:t>
      </w:r>
      <w:r>
        <w:t xml:space="preserve"> </w:t>
      </w:r>
      <w:r w:rsidR="009C691C">
        <w:t xml:space="preserve">salud </w:t>
      </w:r>
      <w:r>
        <w:t>sexual y reproductiva.</w:t>
      </w:r>
      <w:r>
        <w:rPr>
          <w:rStyle w:val="EndnoteReference"/>
        </w:rPr>
        <w:endnoteReference w:id="406"/>
      </w:r>
      <w:r>
        <w:t xml:space="preserve"> En particular, ha señalado que las mujeres con discapacidad podrán ser sometidas a los estereotipos dañinos, tales como que son asexuales,</w:t>
      </w:r>
      <w:r>
        <w:rPr>
          <w:rStyle w:val="EndnoteReference"/>
        </w:rPr>
        <w:endnoteReference w:id="407"/>
      </w:r>
      <w:r>
        <w:t xml:space="preserve"> al tener acceso a información </w:t>
      </w:r>
      <w:r w:rsidR="009C691C">
        <w:t xml:space="preserve">y los servicios </w:t>
      </w:r>
      <w:r>
        <w:t>de salud sexual y reproductiva,</w:t>
      </w:r>
      <w:r>
        <w:rPr>
          <w:rStyle w:val="EndnoteReference"/>
        </w:rPr>
        <w:endnoteReference w:id="408"/>
      </w:r>
      <w:r>
        <w:t xml:space="preserve"> y que algunos proveedores de servicios tienen prejuicios o actitudes negativas hacia las personas con discapacidad.</w:t>
      </w:r>
      <w:r>
        <w:rPr>
          <w:rStyle w:val="EndnoteReference"/>
        </w:rPr>
        <w:endnoteReference w:id="409"/>
      </w:r>
      <w:r>
        <w:t xml:space="preserve"> El Comité ha recomendado que </w:t>
      </w:r>
      <w:r w:rsidR="009110A0">
        <w:t xml:space="preserve">a </w:t>
      </w:r>
      <w:r>
        <w:t xml:space="preserve">al menos un </w:t>
      </w:r>
      <w:r w:rsidR="009110A0">
        <w:t>E</w:t>
      </w:r>
      <w:r>
        <w:t xml:space="preserve">stado "fortalecer los mecanismos" para combatir la discriminación y los estereotipos en la prestación de </w:t>
      </w:r>
      <w:r w:rsidR="009110A0">
        <w:t>atención de la salud</w:t>
      </w:r>
      <w:r>
        <w:t>,</w:t>
      </w:r>
      <w:r>
        <w:rPr>
          <w:rStyle w:val="EndnoteReference"/>
        </w:rPr>
        <w:endnoteReference w:id="410"/>
      </w:r>
      <w:r>
        <w:t xml:space="preserve"> incluyendo </w:t>
      </w:r>
      <w:r w:rsidR="009110A0">
        <w:t>la p</w:t>
      </w:r>
      <w:r>
        <w:t>rohibi</w:t>
      </w:r>
      <w:r w:rsidR="009110A0">
        <w:t>ción de</w:t>
      </w:r>
      <w:r>
        <w:t xml:space="preserve"> discriminación por motivos de discapacidad en las leyes y políticas relacionadas con a la </w:t>
      </w:r>
      <w:r w:rsidR="009110A0">
        <w:t xml:space="preserve">atención de la </w:t>
      </w:r>
      <w:r>
        <w:t>salud.</w:t>
      </w:r>
      <w:r>
        <w:rPr>
          <w:rStyle w:val="EndnoteReference"/>
        </w:rPr>
        <w:endnoteReference w:id="411"/>
      </w:r>
      <w:r>
        <w:t xml:space="preserve"> También se </w:t>
      </w:r>
      <w:r w:rsidR="009110A0">
        <w:t xml:space="preserve">ha </w:t>
      </w:r>
      <w:r>
        <w:t>recomenda</w:t>
      </w:r>
      <w:r w:rsidR="009110A0">
        <w:t>do</w:t>
      </w:r>
      <w:r>
        <w:t xml:space="preserve"> </w:t>
      </w:r>
      <w:r w:rsidR="009110A0">
        <w:t xml:space="preserve">a </w:t>
      </w:r>
      <w:r>
        <w:t xml:space="preserve">al menos un </w:t>
      </w:r>
      <w:r w:rsidR="009110A0">
        <w:t>E</w:t>
      </w:r>
      <w:r>
        <w:t>stado</w:t>
      </w:r>
      <w:r w:rsidR="009110A0">
        <w:t xml:space="preserve"> asegur</w:t>
      </w:r>
      <w:r>
        <w:t>a los derechos sexuales y reproductivos de las personas con discapacidad en igualdad de condiciones con los demás, incluyendo asuntos relacionados con su fertilidad.</w:t>
      </w:r>
      <w:r>
        <w:rPr>
          <w:rStyle w:val="EndnoteReference"/>
        </w:rPr>
        <w:endnoteReference w:id="412"/>
      </w:r>
    </w:p>
    <w:p w14:paraId="6A92596A" w14:textId="4289ADDD" w:rsidR="0049019C" w:rsidRDefault="00CD0EAF" w:rsidP="00F75D9A">
      <w:pPr>
        <w:pStyle w:val="NormalIndented"/>
        <w:spacing w:line="240" w:lineRule="atLeast"/>
      </w:pPr>
      <w:r>
        <w:t>El Comité CDPD con frecuencia ha expresado preocupación por la realización de procedimientos médicos en personas con discapacidad</w:t>
      </w:r>
      <w:r w:rsidR="009110A0">
        <w:t xml:space="preserve"> en los Estados </w:t>
      </w:r>
      <w:r>
        <w:t>— particularmente personas con discapacidad intelectual o psicosocial</w:t>
      </w:r>
      <w:r>
        <w:rPr>
          <w:rStyle w:val="EndnoteReference"/>
        </w:rPr>
        <w:endnoteReference w:id="413"/>
      </w:r>
      <w:r w:rsidR="00406184">
        <w:t xml:space="preserve"> </w:t>
      </w:r>
      <w:r>
        <w:t xml:space="preserve">— sin su completo consentimiento </w:t>
      </w:r>
      <w:r w:rsidR="009110A0">
        <w:t xml:space="preserve">libre e </w:t>
      </w:r>
      <w:r>
        <w:t>informado,</w:t>
      </w:r>
      <w:r>
        <w:rPr>
          <w:rStyle w:val="EndnoteReference"/>
        </w:rPr>
        <w:endnoteReference w:id="414"/>
      </w:r>
      <w:r>
        <w:t xml:space="preserve"> incluyendo debido a las restricciones específicas en la capacidad de las personas con discapacidad para ofrecer el consentimiento informado.</w:t>
      </w:r>
      <w:r>
        <w:rPr>
          <w:rStyle w:val="EndnoteReference"/>
        </w:rPr>
        <w:endnoteReference w:id="415"/>
      </w:r>
      <w:r>
        <w:t xml:space="preserve"> También ha expresado preocupación por la falta de capacitación para proveedores de </w:t>
      </w:r>
      <w:r w:rsidR="009110A0">
        <w:t>la salud</w:t>
      </w:r>
      <w:r>
        <w:t xml:space="preserve"> </w:t>
      </w:r>
      <w:r w:rsidR="009110A0">
        <w:t>sobre</w:t>
      </w:r>
      <w:r>
        <w:t xml:space="preserve"> derechos de las personas con discapacidad, incluyendo el tema de consentimiento </w:t>
      </w:r>
      <w:r w:rsidR="009110A0">
        <w:t xml:space="preserve">libre </w:t>
      </w:r>
      <w:r>
        <w:t>e informado.</w:t>
      </w:r>
      <w:r>
        <w:rPr>
          <w:rStyle w:val="EndnoteReference"/>
        </w:rPr>
        <w:endnoteReference w:id="416"/>
      </w:r>
      <w:r>
        <w:t xml:space="preserve"> El Comité ha recomendado que los Estados </w:t>
      </w:r>
      <w:r w:rsidR="009611C4">
        <w:t xml:space="preserve">deroguen </w:t>
      </w:r>
      <w:r>
        <w:t>las leyes que permiten el tratamiento médico de las personas con discapacidad sin consentimiento informado y adopt</w:t>
      </w:r>
      <w:r w:rsidR="009611C4">
        <w:t>e</w:t>
      </w:r>
      <w:r>
        <w:t xml:space="preserve">n legislación que específicamente contempla el derecho de las personas con discapacidad para proporcionar </w:t>
      </w:r>
      <w:r w:rsidR="009611C4">
        <w:t xml:space="preserve">pleno </w:t>
      </w:r>
      <w:r>
        <w:t xml:space="preserve">consentimiento </w:t>
      </w:r>
      <w:r w:rsidR="009611C4">
        <w:t xml:space="preserve">libre e informado </w:t>
      </w:r>
      <w:r>
        <w:t>para tratamiento médico.</w:t>
      </w:r>
      <w:r>
        <w:rPr>
          <w:rStyle w:val="EndnoteReference"/>
        </w:rPr>
        <w:endnoteReference w:id="417"/>
      </w:r>
      <w:r>
        <w:t xml:space="preserve"> El Comité ha pedido </w:t>
      </w:r>
      <w:r w:rsidR="009611C4">
        <w:t>ade</w:t>
      </w:r>
      <w:r>
        <w:t xml:space="preserve">más en al menos un </w:t>
      </w:r>
      <w:r w:rsidR="009611C4">
        <w:t>E</w:t>
      </w:r>
      <w:r>
        <w:t>stado abolir los sistemas de tutela, específicamente para que las mujeres con discapacidad puedan ejercer su derecho a la autonomía sexual y reproductiva en igualdad de condiciones con los demás.</w:t>
      </w:r>
      <w:r>
        <w:rPr>
          <w:rStyle w:val="EndnoteReference"/>
        </w:rPr>
        <w:endnoteReference w:id="418"/>
      </w:r>
      <w:r>
        <w:t xml:space="preserve"> También ha recomendado que los Estados capacit</w:t>
      </w:r>
      <w:r w:rsidR="009611C4">
        <w:t>en</w:t>
      </w:r>
      <w:r>
        <w:t xml:space="preserve"> a prestadores de salud sobre el tema del consentimiento informado.</w:t>
      </w:r>
      <w:r>
        <w:rPr>
          <w:rStyle w:val="EndnoteReference"/>
        </w:rPr>
        <w:endnoteReference w:id="419"/>
      </w:r>
    </w:p>
    <w:p w14:paraId="593D276C" w14:textId="77777777" w:rsidR="0049019C" w:rsidRPr="004B2C96" w:rsidRDefault="00CD0EAF">
      <w:pPr>
        <w:pStyle w:val="Heading3"/>
      </w:pPr>
      <w:bookmarkStart w:id="45" w:name="_Toc498590701"/>
      <w:r w:rsidRPr="004B2C96">
        <w:t>El aborto</w:t>
      </w:r>
      <w:bookmarkEnd w:id="45"/>
    </w:p>
    <w:p w14:paraId="17D3FFA2" w14:textId="55CE0F14" w:rsidR="0049019C" w:rsidRDefault="00CD0EAF">
      <w:pPr>
        <w:pStyle w:val="Heading4"/>
      </w:pPr>
      <w:r>
        <w:t xml:space="preserve">Aborto </w:t>
      </w:r>
      <w:r w:rsidR="009611C4">
        <w:t>S</w:t>
      </w:r>
      <w:r>
        <w:t>electivo</w:t>
      </w:r>
    </w:p>
    <w:p w14:paraId="6E51D193" w14:textId="1F0666A6" w:rsidR="0049019C" w:rsidRDefault="00CD0EAF">
      <w:pPr>
        <w:pStyle w:val="NormalIndented"/>
      </w:pPr>
      <w:r>
        <w:t xml:space="preserve">El Comité CDPD ha expresado preocupación acerca de las leyes sobre el aborto que permiten a las mujeres acceder legalmente </w:t>
      </w:r>
      <w:r w:rsidR="005D6DEB">
        <w:t xml:space="preserve">al </w:t>
      </w:r>
      <w:r>
        <w:t xml:space="preserve">aborto por largos períodos de tiempo en </w:t>
      </w:r>
      <w:r w:rsidRPr="00982B2F">
        <w:t xml:space="preserve">casos </w:t>
      </w:r>
      <w:r w:rsidR="005D6DEB" w:rsidRPr="00982B2F">
        <w:t xml:space="preserve">de </w:t>
      </w:r>
      <w:r w:rsidR="0043422F" w:rsidRPr="00982B2F">
        <w:t>anomalí</w:t>
      </w:r>
      <w:r w:rsidR="005D6DEB" w:rsidRPr="00982B2F">
        <w:t xml:space="preserve">as </w:t>
      </w:r>
      <w:r w:rsidRPr="00982B2F">
        <w:t>fetal</w:t>
      </w:r>
      <w:r w:rsidR="005D6DEB" w:rsidRPr="00982B2F">
        <w:t>es</w:t>
      </w:r>
      <w:r w:rsidRPr="00982B2F">
        <w:t>,</w:t>
      </w:r>
      <w:r>
        <w:t xml:space="preserve"> a veces clasifica</w:t>
      </w:r>
      <w:r w:rsidR="005D6DEB">
        <w:t>ndo</w:t>
      </w:r>
      <w:r>
        <w:t xml:space="preserve"> estas leyes como una forma de discriminación por discapacidad.</w:t>
      </w:r>
      <w:r>
        <w:rPr>
          <w:rStyle w:val="EndnoteReference"/>
        </w:rPr>
        <w:endnoteReference w:id="420"/>
      </w:r>
      <w:r>
        <w:t xml:space="preserve"> Aunque ha reconocido la necesidad de garantizar la autonomía reproductiva de las mujeres,</w:t>
      </w:r>
      <w:r>
        <w:rPr>
          <w:rStyle w:val="EndnoteReference"/>
        </w:rPr>
        <w:endnoteReference w:id="421"/>
      </w:r>
      <w:r>
        <w:t xml:space="preserve"> ha recomendado que los Estados elimin</w:t>
      </w:r>
      <w:r w:rsidR="005D6DEB">
        <w:t>e</w:t>
      </w:r>
      <w:r>
        <w:t>n las disposiciones en sus leyes sobre el aborto que hacen distinciones sobre cu</w:t>
      </w:r>
      <w:r w:rsidR="005D6DEB">
        <w:t>á</w:t>
      </w:r>
      <w:r>
        <w:t>ndo las mujeres pueden terminar sus embarazos basadas en discapacidad.</w:t>
      </w:r>
      <w:r>
        <w:rPr>
          <w:rStyle w:val="EndnoteReference"/>
        </w:rPr>
        <w:endnoteReference w:id="422"/>
      </w:r>
    </w:p>
    <w:p w14:paraId="1A7AFDC9" w14:textId="6A13538D" w:rsidR="0049019C" w:rsidRPr="004B2C96" w:rsidRDefault="00CD0EAF" w:rsidP="00753A59">
      <w:pPr>
        <w:pStyle w:val="Heading3"/>
        <w:ind w:right="-216"/>
      </w:pPr>
      <w:bookmarkStart w:id="46" w:name="_Toc498590702"/>
      <w:r w:rsidRPr="004B2C96">
        <w:lastRenderedPageBreak/>
        <w:t xml:space="preserve">Acceso a la información, bienes y servicios sobre </w:t>
      </w:r>
      <w:bookmarkEnd w:id="46"/>
      <w:r w:rsidR="005D6DEB" w:rsidRPr="004B2C96">
        <w:t>MÉTODOS ANTICONCEPTIVOS</w:t>
      </w:r>
    </w:p>
    <w:p w14:paraId="30C356D5" w14:textId="17F1FEE8" w:rsidR="0049019C" w:rsidRDefault="00CD0EAF">
      <w:r>
        <w:t>El Comité CDPD rara vez ha hecho comentarios a Estados relacionados con la anticoncepción, con la excepción de la esterilización, discutida más detalladamente abajo.</w:t>
      </w:r>
    </w:p>
    <w:p w14:paraId="49C98923" w14:textId="77777777" w:rsidR="0049019C" w:rsidRPr="004B2C96" w:rsidRDefault="00CD0EAF" w:rsidP="00F75D9A">
      <w:pPr>
        <w:pStyle w:val="Heading3"/>
        <w:spacing w:before="400"/>
      </w:pPr>
      <w:bookmarkStart w:id="47" w:name="_Toc498590703"/>
      <w:r w:rsidRPr="004B2C96">
        <w:t>Salud materna</w:t>
      </w:r>
      <w:bookmarkEnd w:id="47"/>
    </w:p>
    <w:p w14:paraId="0F4D71C8" w14:textId="09010AF8" w:rsidR="0049019C" w:rsidRDefault="00CD0EAF">
      <w:pPr>
        <w:pStyle w:val="Heading4"/>
      </w:pPr>
      <w:r>
        <w:t xml:space="preserve">Embarazos </w:t>
      </w:r>
      <w:r w:rsidR="00133884">
        <w:t>P</w:t>
      </w:r>
      <w:r>
        <w:t>recoces</w:t>
      </w:r>
    </w:p>
    <w:p w14:paraId="4DA2E70B" w14:textId="48A36FED" w:rsidR="0049019C" w:rsidRDefault="00CD0EAF">
      <w:pPr>
        <w:pStyle w:val="NormalIndented"/>
      </w:pPr>
      <w:r>
        <w:t xml:space="preserve">En un caso, el Comité CDPD expresó su preocupación a un </w:t>
      </w:r>
      <w:r w:rsidR="00133884">
        <w:t>E</w:t>
      </w:r>
      <w:r>
        <w:t>stado sobre los altos índices de embarazo precoz para las mujeres con discapacidad, más de la mitad de l</w:t>
      </w:r>
      <w:r w:rsidR="00133884">
        <w:t>a</w:t>
      </w:r>
      <w:r>
        <w:t xml:space="preserve">s cuales </w:t>
      </w:r>
      <w:r w:rsidR="00133884">
        <w:t xml:space="preserve">experimentan </w:t>
      </w:r>
      <w:r>
        <w:t xml:space="preserve">su primer embarazo entre las edades de 15 a 19, </w:t>
      </w:r>
      <w:r w:rsidR="00133884">
        <w:t xml:space="preserve">relacionando </w:t>
      </w:r>
      <w:r>
        <w:t xml:space="preserve">esta alta tasa al probable sexual con </w:t>
      </w:r>
      <w:r w:rsidR="00133884">
        <w:t>probable</w:t>
      </w:r>
      <w:r>
        <w:t xml:space="preserve"> abuso</w:t>
      </w:r>
      <w:r w:rsidR="00133884">
        <w:t xml:space="preserve"> sexual</w:t>
      </w:r>
      <w:r>
        <w:t>.</w:t>
      </w:r>
      <w:r>
        <w:rPr>
          <w:rStyle w:val="EndnoteReference"/>
        </w:rPr>
        <w:endnoteReference w:id="423"/>
      </w:r>
      <w:r>
        <w:t xml:space="preserve"> Recomienda que el </w:t>
      </w:r>
      <w:r w:rsidR="00133884">
        <w:t>E</w:t>
      </w:r>
      <w:r>
        <w:t>stado proporcion</w:t>
      </w:r>
      <w:r w:rsidR="00133884">
        <w:t>e</w:t>
      </w:r>
      <w:r>
        <w:t xml:space="preserve"> un programa de capacitación específic</w:t>
      </w:r>
      <w:r w:rsidR="00133884">
        <w:t>o</w:t>
      </w:r>
      <w:r>
        <w:t xml:space="preserve"> sobre derechos sexuales y reproductivos </w:t>
      </w:r>
      <w:r w:rsidR="00447358">
        <w:t>p</w:t>
      </w:r>
      <w:r>
        <w:t>a</w:t>
      </w:r>
      <w:r w:rsidR="00447358">
        <w:t>ra</w:t>
      </w:r>
      <w:r>
        <w:t xml:space="preserve"> mujeres con discapacidad, sus familias y proveedores de servicios.</w:t>
      </w:r>
      <w:r>
        <w:rPr>
          <w:rStyle w:val="EndnoteReference"/>
        </w:rPr>
        <w:endnoteReference w:id="424"/>
      </w:r>
    </w:p>
    <w:p w14:paraId="26B7FCB2" w14:textId="77D9471F" w:rsidR="0049019C" w:rsidRPr="00830960" w:rsidRDefault="00CD0EAF" w:rsidP="00F75D9A">
      <w:pPr>
        <w:pStyle w:val="Heading3"/>
        <w:spacing w:before="400"/>
      </w:pPr>
      <w:bookmarkStart w:id="48" w:name="_Toc498590704"/>
      <w:r w:rsidRPr="00830960">
        <w:t xml:space="preserve">educación </w:t>
      </w:r>
      <w:r w:rsidR="0043422F" w:rsidRPr="00830960">
        <w:t xml:space="preserve">Sexual </w:t>
      </w:r>
      <w:r w:rsidRPr="00830960">
        <w:t xml:space="preserve">y </w:t>
      </w:r>
      <w:r w:rsidR="00447358" w:rsidRPr="00830960">
        <w:t xml:space="preserve">TOMA DE </w:t>
      </w:r>
      <w:r w:rsidRPr="00830960">
        <w:t>conciencia</w:t>
      </w:r>
      <w:bookmarkEnd w:id="48"/>
    </w:p>
    <w:p w14:paraId="1203DD07" w14:textId="1D6AD38E" w:rsidR="0049019C" w:rsidRDefault="00CD0EAF">
      <w:r>
        <w:t>El Comité CDPD ha expresado preocupación en varios casos donde las personas con discapacidad no tienen acceso a la educación de salud sexual y reproductiva.</w:t>
      </w:r>
      <w:r>
        <w:rPr>
          <w:rStyle w:val="EndnoteReference"/>
        </w:rPr>
        <w:endnoteReference w:id="425"/>
      </w:r>
      <w:r>
        <w:t xml:space="preserve"> Se recomienda que información y educación sobre salud sexual y reproductiva y planificación familiar</w:t>
      </w:r>
      <w:r w:rsidR="00447358">
        <w:t xml:space="preserve"> apropiada a la edad y accesible esté a </w:t>
      </w:r>
      <w:r>
        <w:t xml:space="preserve">disposición </w:t>
      </w:r>
      <w:r w:rsidR="00447358">
        <w:t>de</w:t>
      </w:r>
      <w:r>
        <w:t xml:space="preserve"> todas las personas con discapacidad.</w:t>
      </w:r>
      <w:r>
        <w:rPr>
          <w:rStyle w:val="EndnoteReference"/>
        </w:rPr>
        <w:endnoteReference w:id="426"/>
      </w:r>
      <w:r>
        <w:t xml:space="preserve"> </w:t>
      </w:r>
    </w:p>
    <w:p w14:paraId="5B6D5A1C" w14:textId="6CF4D3E8" w:rsidR="0049019C" w:rsidRDefault="00CD0EAF">
      <w:r>
        <w:t>El Comité CDPD ha pedido también a</w:t>
      </w:r>
      <w:r w:rsidR="00447358">
        <w:t xml:space="preserve"> a</w:t>
      </w:r>
      <w:r>
        <w:t xml:space="preserve">l menos un </w:t>
      </w:r>
      <w:r w:rsidR="00447358">
        <w:t>E</w:t>
      </w:r>
      <w:r>
        <w:t xml:space="preserve">stado emprender campañas de salud pública dirigidas a las personas con discapacidad, incluidas aquellas </w:t>
      </w:r>
      <w:r w:rsidR="00447358">
        <w:t>sobre</w:t>
      </w:r>
      <w:r>
        <w:t xml:space="preserve"> </w:t>
      </w:r>
      <w:r w:rsidR="00447358">
        <w:t xml:space="preserve">sus derechos y </w:t>
      </w:r>
      <w:r>
        <w:t>salud sexual y reproductiva.</w:t>
      </w:r>
      <w:r>
        <w:rPr>
          <w:rStyle w:val="EndnoteReference"/>
        </w:rPr>
        <w:endnoteReference w:id="427"/>
      </w:r>
      <w:r>
        <w:t xml:space="preserve"> Además, ha pedido a los Estados crear conciencia entre el público, las familias y los proveedores de servicios acerca de los derechos de las personas con discapacidad en el contexto de salud sexual y reproductiva.</w:t>
      </w:r>
      <w:r>
        <w:rPr>
          <w:rStyle w:val="EndnoteReference"/>
        </w:rPr>
        <w:endnoteReference w:id="428"/>
      </w:r>
      <w:r>
        <w:t xml:space="preserve"> Específicamente, se llama a los Estados para </w:t>
      </w:r>
      <w:r w:rsidR="00447358">
        <w:t xml:space="preserve">crear </w:t>
      </w:r>
      <w:r>
        <w:t xml:space="preserve">conciencia </w:t>
      </w:r>
      <w:r w:rsidR="00447358">
        <w:t>entre</w:t>
      </w:r>
      <w:r>
        <w:t xml:space="preserve"> los </w:t>
      </w:r>
      <w:r w:rsidR="00447358">
        <w:t xml:space="preserve">y las </w:t>
      </w:r>
      <w:r>
        <w:t xml:space="preserve">profesionales </w:t>
      </w:r>
      <w:r w:rsidR="00447358">
        <w:t xml:space="preserve">de la salud </w:t>
      </w:r>
      <w:r>
        <w:t>sobre el modelo de los derechos humanos de la discapacidad,</w:t>
      </w:r>
      <w:r>
        <w:rPr>
          <w:rStyle w:val="EndnoteReference"/>
        </w:rPr>
        <w:endnoteReference w:id="429"/>
      </w:r>
      <w:r>
        <w:t xml:space="preserve"> incluyendo capacitación sobre el consentimiento </w:t>
      </w:r>
      <w:r w:rsidR="00447358">
        <w:t xml:space="preserve">libre e </w:t>
      </w:r>
      <w:r>
        <w:t>informado.</w:t>
      </w:r>
      <w:r>
        <w:rPr>
          <w:rStyle w:val="EndnoteReference"/>
        </w:rPr>
        <w:endnoteReference w:id="430"/>
      </w:r>
    </w:p>
    <w:p w14:paraId="224E8B06" w14:textId="77777777" w:rsidR="0049019C" w:rsidRPr="00830960" w:rsidRDefault="00CD0EAF" w:rsidP="00F75D9A">
      <w:pPr>
        <w:pStyle w:val="Heading3"/>
        <w:spacing w:before="400"/>
      </w:pPr>
      <w:bookmarkStart w:id="49" w:name="_Toc498590705"/>
      <w:r w:rsidRPr="00830960">
        <w:t>Esterilización forzada, anticoncepción forzada y aborto forzado</w:t>
      </w:r>
      <w:bookmarkEnd w:id="49"/>
    </w:p>
    <w:p w14:paraId="1641A942" w14:textId="1A260260" w:rsidR="0049019C" w:rsidRDefault="00CD0EAF">
      <w:r>
        <w:t>El Comité CDPD ha expresado preocupación acerca de esterilización utiliza</w:t>
      </w:r>
      <w:r w:rsidR="00447358">
        <w:t>da</w:t>
      </w:r>
      <w:r>
        <w:t xml:space="preserve"> como principal forma de anticoncepción para las personas con discapacidad.</w:t>
      </w:r>
      <w:r>
        <w:rPr>
          <w:rStyle w:val="EndnoteReference"/>
        </w:rPr>
        <w:endnoteReference w:id="431"/>
      </w:r>
      <w:r>
        <w:t xml:space="preserve"> Además, el Comité ha expresado su preocupación a</w:t>
      </w:r>
      <w:r w:rsidR="00447358">
        <w:t xml:space="preserve"> a</w:t>
      </w:r>
      <w:r>
        <w:t xml:space="preserve">l menos un </w:t>
      </w:r>
      <w:r w:rsidR="00447358">
        <w:t>E</w:t>
      </w:r>
      <w:r>
        <w:t>stado donde la esterilización forzada de mujeres con discapacidad todavía ocurre a pesar de prohibici</w:t>
      </w:r>
      <w:r w:rsidR="00447358">
        <w:t>ones</w:t>
      </w:r>
      <w:r>
        <w:t xml:space="preserve"> </w:t>
      </w:r>
      <w:r w:rsidR="00447358">
        <w:t xml:space="preserve">legales </w:t>
      </w:r>
      <w:r>
        <w:t>en la práctica</w:t>
      </w:r>
      <w:r>
        <w:rPr>
          <w:rStyle w:val="EndnoteReference"/>
        </w:rPr>
        <w:endnoteReference w:id="432"/>
      </w:r>
      <w:r>
        <w:t xml:space="preserve"> y a otro </w:t>
      </w:r>
      <w:r w:rsidR="00447358">
        <w:t>donde</w:t>
      </w:r>
      <w:r>
        <w:t xml:space="preserve"> la esterilización forzada de las personas con discapacidad </w:t>
      </w:r>
      <w:r w:rsidR="00447358">
        <w:t xml:space="preserve">es considerada </w:t>
      </w:r>
      <w:r>
        <w:t>una "necesidad médica</w:t>
      </w:r>
      <w:r w:rsidR="00C42EC0">
        <w:t>.</w:t>
      </w:r>
      <w:r>
        <w:t>"</w:t>
      </w:r>
      <w:r>
        <w:rPr>
          <w:rStyle w:val="EndnoteReference"/>
        </w:rPr>
        <w:endnoteReference w:id="433"/>
      </w:r>
    </w:p>
    <w:p w14:paraId="56018BF8" w14:textId="6267B114" w:rsidR="0049019C" w:rsidRDefault="00CD0EAF">
      <w:pPr>
        <w:pStyle w:val="Heading4"/>
      </w:pPr>
      <w:r>
        <w:t xml:space="preserve">Capacidad </w:t>
      </w:r>
      <w:r w:rsidR="00447358">
        <w:t>J</w:t>
      </w:r>
      <w:r>
        <w:t xml:space="preserve">urídica y </w:t>
      </w:r>
      <w:r w:rsidR="00447358">
        <w:t>C</w:t>
      </w:r>
      <w:r>
        <w:t xml:space="preserve">onsentimiento </w:t>
      </w:r>
      <w:r w:rsidR="00447358">
        <w:t>I</w:t>
      </w:r>
      <w:r>
        <w:t>nformado</w:t>
      </w:r>
    </w:p>
    <w:p w14:paraId="492156CE" w14:textId="2E130B15" w:rsidR="0049019C" w:rsidRDefault="00CD0EAF">
      <w:pPr>
        <w:pStyle w:val="NormalIndented"/>
      </w:pPr>
      <w:r>
        <w:t>El Comité CDPD repetidamente ha expresado preocupación por las leyes, políticas y prácticas</w:t>
      </w:r>
      <w:r w:rsidR="000A56C5" w:rsidRPr="000A56C5">
        <w:t xml:space="preserve"> </w:t>
      </w:r>
      <w:r w:rsidR="000A56C5">
        <w:t>de los Estados</w:t>
      </w:r>
      <w:r>
        <w:t xml:space="preserve"> que permiten la esterilización de personas con discapacidad sin su consentimiento</w:t>
      </w:r>
      <w:r w:rsidR="000A56C5">
        <w:t xml:space="preserve"> informado</w:t>
      </w:r>
      <w:r>
        <w:t>,</w:t>
      </w:r>
      <w:r>
        <w:rPr>
          <w:rStyle w:val="EndnoteReference"/>
        </w:rPr>
        <w:endnoteReference w:id="434"/>
      </w:r>
      <w:r>
        <w:t xml:space="preserve"> y con frecuencia sólo con el consentimiento de los padres o tutores, o con una orden judicial,</w:t>
      </w:r>
      <w:r>
        <w:rPr>
          <w:rStyle w:val="EndnoteReference"/>
        </w:rPr>
        <w:endnoteReference w:id="435"/>
      </w:r>
      <w:r>
        <w:t xml:space="preserve"> o las leyes que de lo contrario no protegen a las personas con discapacidad de la esterilización forzada.</w:t>
      </w:r>
      <w:r>
        <w:rPr>
          <w:rStyle w:val="EndnoteReference"/>
        </w:rPr>
        <w:endnoteReference w:id="436"/>
      </w:r>
      <w:r>
        <w:t xml:space="preserve"> En particular, el Comité ha expresado preocupación donde leyes privan a las personas con discapacidad de la </w:t>
      </w:r>
      <w:r w:rsidR="004E4361">
        <w:t xml:space="preserve">capacidad jurídica </w:t>
      </w:r>
      <w:r>
        <w:t xml:space="preserve">o </w:t>
      </w:r>
      <w:r w:rsidR="004E4361">
        <w:t xml:space="preserve">las </w:t>
      </w:r>
      <w:r>
        <w:t>declaran mentalmente incompetente</w:t>
      </w:r>
      <w:r w:rsidR="004E4361">
        <w:t>s</w:t>
      </w:r>
      <w:r>
        <w:t xml:space="preserve">, </w:t>
      </w:r>
      <w:r w:rsidR="004E4361">
        <w:t xml:space="preserve">de </w:t>
      </w:r>
      <w:r>
        <w:t xml:space="preserve">tal modo </w:t>
      </w:r>
      <w:r w:rsidR="004E4361">
        <w:t xml:space="preserve">que se les </w:t>
      </w:r>
      <w:r>
        <w:t>n</w:t>
      </w:r>
      <w:r w:rsidR="004E4361">
        <w:t>ie</w:t>
      </w:r>
      <w:r>
        <w:t xml:space="preserve">ga el consentimiento </w:t>
      </w:r>
      <w:r w:rsidR="004E4361">
        <w:t xml:space="preserve">libre e </w:t>
      </w:r>
      <w:r>
        <w:t>informado para procedimientos médicos.</w:t>
      </w:r>
      <w:r>
        <w:rPr>
          <w:rStyle w:val="EndnoteReference"/>
        </w:rPr>
        <w:endnoteReference w:id="437"/>
      </w:r>
      <w:r>
        <w:t xml:space="preserve"> También ha expresado preocupación sobre situaciones donde los niños </w:t>
      </w:r>
      <w:r w:rsidR="004E4361">
        <w:t xml:space="preserve">y niñas </w:t>
      </w:r>
      <w:r>
        <w:t>con discapacidad en particular están sometidos a la esterilización sin consentimiento</w:t>
      </w:r>
      <w:r w:rsidR="004E4361">
        <w:t xml:space="preserve"> informado</w:t>
      </w:r>
      <w:r>
        <w:t>,</w:t>
      </w:r>
      <w:r>
        <w:rPr>
          <w:rStyle w:val="EndnoteReference"/>
        </w:rPr>
        <w:endnoteReference w:id="438"/>
      </w:r>
      <w:r>
        <w:t xml:space="preserve"> y </w:t>
      </w:r>
      <w:r w:rsidR="004E4361">
        <w:t xml:space="preserve">donde </w:t>
      </w:r>
      <w:r>
        <w:t>la esterilización se produce con frecuencia en las instituciones, incluyendo hospitales psiquiátricos.</w:t>
      </w:r>
      <w:r>
        <w:rPr>
          <w:rStyle w:val="EndnoteReference"/>
        </w:rPr>
        <w:endnoteReference w:id="439"/>
      </w:r>
      <w:r>
        <w:t xml:space="preserve"> </w:t>
      </w:r>
    </w:p>
    <w:p w14:paraId="70A93026" w14:textId="2B9CFF5E" w:rsidR="0049019C" w:rsidRDefault="00CD0EAF">
      <w:pPr>
        <w:pStyle w:val="NormalIndented"/>
      </w:pPr>
      <w:r>
        <w:t>El Comité CDPD también ha expresado su preocupación a Estados donde las leyes y prácticas también permiten el aborto para las mujeres y las niñas con discapacidad sin su consentimiento</w:t>
      </w:r>
      <w:r w:rsidR="004E4361" w:rsidRPr="004E4361">
        <w:t xml:space="preserve"> </w:t>
      </w:r>
      <w:r w:rsidR="004E4361">
        <w:t>libre e</w:t>
      </w:r>
      <w:r>
        <w:t xml:space="preserve"> informado,</w:t>
      </w:r>
      <w:r>
        <w:rPr>
          <w:rStyle w:val="EndnoteReference"/>
        </w:rPr>
        <w:endnoteReference w:id="440"/>
      </w:r>
      <w:r>
        <w:t xml:space="preserve"> y donde los tutores legales y otros pueden prestar consentimiento para el aborto.</w:t>
      </w:r>
      <w:r>
        <w:rPr>
          <w:rStyle w:val="EndnoteReference"/>
        </w:rPr>
        <w:endnoteReference w:id="441"/>
      </w:r>
      <w:r>
        <w:t xml:space="preserve"> También ha expresado su preocupación </w:t>
      </w:r>
      <w:r w:rsidR="004E4361">
        <w:lastRenderedPageBreak/>
        <w:t xml:space="preserve">donde </w:t>
      </w:r>
      <w:r>
        <w:t>l</w:t>
      </w:r>
      <w:r w:rsidR="004E4361">
        <w:t xml:space="preserve">as personas </w:t>
      </w:r>
      <w:r>
        <w:t>proveedor</w:t>
      </w:r>
      <w:r w:rsidR="004E4361">
        <w:t>a</w:t>
      </w:r>
      <w:r>
        <w:t>s de salud presi</w:t>
      </w:r>
      <w:r w:rsidR="004E4361">
        <w:t>o</w:t>
      </w:r>
      <w:r>
        <w:t>n</w:t>
      </w:r>
      <w:r w:rsidR="004E4361">
        <w:t>an</w:t>
      </w:r>
      <w:r>
        <w:t xml:space="preserve"> </w:t>
      </w:r>
      <w:r w:rsidR="004E4361">
        <w:t xml:space="preserve">a </w:t>
      </w:r>
      <w:r>
        <w:t>las mujeres con discapacidad para someterse a aborto cuando quedan embarazadas.</w:t>
      </w:r>
      <w:r>
        <w:rPr>
          <w:rStyle w:val="EndnoteReference"/>
        </w:rPr>
        <w:endnoteReference w:id="442"/>
      </w:r>
      <w:r>
        <w:t xml:space="preserve"> Además ha expresado preocupación por el uso de anticonceptivos en las personas con discapacidad que han sido privadas de la capacidad legal, sin su consentimiento.</w:t>
      </w:r>
      <w:r>
        <w:rPr>
          <w:rStyle w:val="EndnoteReference"/>
        </w:rPr>
        <w:endnoteReference w:id="443"/>
      </w:r>
    </w:p>
    <w:p w14:paraId="60B364B3" w14:textId="5ACBE7C7" w:rsidR="0049019C" w:rsidRDefault="00CD0EAF">
      <w:pPr>
        <w:pStyle w:val="NormalIndented"/>
      </w:pPr>
      <w:r>
        <w:t xml:space="preserve">El Comité CDPD ha recomendado que los Estados </w:t>
      </w:r>
      <w:r w:rsidR="004E4361">
        <w:t>derogue</w:t>
      </w:r>
      <w:r>
        <w:t>n o modifi</w:t>
      </w:r>
      <w:r w:rsidR="004E4361">
        <w:t>quen</w:t>
      </w:r>
      <w:r>
        <w:t xml:space="preserve"> leyes y directivas que permiten la esterilización forzada o aborto sin el consentimiento</w:t>
      </w:r>
      <w:r w:rsidR="004E4361">
        <w:t xml:space="preserve"> informado</w:t>
      </w:r>
      <w:r>
        <w:t xml:space="preserve"> de las personas con discapacidad, incluyendo las leyes que permiten a un tercero prestar consentimiento para estos procedimientos.</w:t>
      </w:r>
      <w:r>
        <w:rPr>
          <w:rStyle w:val="EndnoteReference"/>
        </w:rPr>
        <w:endnoteReference w:id="444"/>
      </w:r>
      <w:r>
        <w:t xml:space="preserve"> También ha pedido a los Estados abolir leyes </w:t>
      </w:r>
      <w:r w:rsidR="004E4361">
        <w:t xml:space="preserve">restringiendo </w:t>
      </w:r>
      <w:r>
        <w:t xml:space="preserve">a las personas con discapacidad de </w:t>
      </w:r>
      <w:r w:rsidR="004E4361">
        <w:t>su capacidad jurídica</w:t>
      </w:r>
      <w:r>
        <w:rPr>
          <w:rStyle w:val="EndnoteReference"/>
        </w:rPr>
        <w:endnoteReference w:id="445"/>
      </w:r>
      <w:r>
        <w:t xml:space="preserve"> y en cambio proporcionan apoyo en la toma de decisiones, incluyendo decisiones sobre su salud y sexualidad.</w:t>
      </w:r>
      <w:r>
        <w:rPr>
          <w:rStyle w:val="EndnoteReference"/>
        </w:rPr>
        <w:endnoteReference w:id="446"/>
      </w:r>
      <w:r>
        <w:t xml:space="preserve"> Además, se recomienda </w:t>
      </w:r>
      <w:r w:rsidR="00FD2A49">
        <w:t xml:space="preserve">a </w:t>
      </w:r>
      <w:r>
        <w:t>los Estados "proteger" las personas con discapacidad de la esterilización forzada y aborto</w:t>
      </w:r>
      <w:r w:rsidR="00FD2A49">
        <w:t xml:space="preserve"> forzado</w:t>
      </w:r>
      <w:r>
        <w:t xml:space="preserve">, asegurando que el derecho a prestar el consentimiento </w:t>
      </w:r>
      <w:r w:rsidR="00FD2A49">
        <w:t>libre e i</w:t>
      </w:r>
      <w:r>
        <w:t>nformado se</w:t>
      </w:r>
      <w:r w:rsidR="00FD2A49">
        <w:t>a</w:t>
      </w:r>
      <w:r>
        <w:t xml:space="preserve"> confirma</w:t>
      </w:r>
      <w:r w:rsidR="00FD2A49">
        <w:t>do</w:t>
      </w:r>
      <w:r>
        <w:rPr>
          <w:rStyle w:val="EndnoteReference"/>
        </w:rPr>
        <w:endnoteReference w:id="447"/>
      </w:r>
      <w:r>
        <w:t xml:space="preserve"> y que las mujeres cuenten con información accesible sobre sus derechos sexuales y reproductivos.</w:t>
      </w:r>
      <w:r>
        <w:rPr>
          <w:rStyle w:val="EndnoteReference"/>
        </w:rPr>
        <w:endnoteReference w:id="448"/>
      </w:r>
      <w:r>
        <w:t xml:space="preserve"> También ha pedido al menos </w:t>
      </w:r>
      <w:r w:rsidR="00FD2A49">
        <w:t xml:space="preserve">a </w:t>
      </w:r>
      <w:r>
        <w:t xml:space="preserve">un </w:t>
      </w:r>
      <w:r w:rsidR="00FD2A49">
        <w:t>E</w:t>
      </w:r>
      <w:r>
        <w:t xml:space="preserve">stado asegurar </w:t>
      </w:r>
      <w:r w:rsidR="00FD2A49">
        <w:t xml:space="preserve">que el </w:t>
      </w:r>
      <w:r>
        <w:t xml:space="preserve">consentimiento </w:t>
      </w:r>
      <w:r w:rsidR="00FD2A49">
        <w:t xml:space="preserve">previo, libre e informado </w:t>
      </w:r>
      <w:r>
        <w:t>se</w:t>
      </w:r>
      <w:r w:rsidR="00FD2A49">
        <w:t>a</w:t>
      </w:r>
      <w:r>
        <w:t xml:space="preserve"> requeri</w:t>
      </w:r>
      <w:r w:rsidR="00FD2A49">
        <w:t>do</w:t>
      </w:r>
      <w:r>
        <w:t xml:space="preserve"> </w:t>
      </w:r>
      <w:r w:rsidR="00FD2A49">
        <w:t xml:space="preserve">para </w:t>
      </w:r>
      <w:r>
        <w:t xml:space="preserve">todas las personas, </w:t>
      </w:r>
      <w:r w:rsidR="00FD2A49">
        <w:t xml:space="preserve">incluyendo </w:t>
      </w:r>
      <w:r>
        <w:t xml:space="preserve">las privadas de capacidad </w:t>
      </w:r>
      <w:r w:rsidR="00FD2A49">
        <w:t>jurídica</w:t>
      </w:r>
      <w:r>
        <w:t>, antes de realizar procedimientos médicos irreversibles</w:t>
      </w:r>
      <w:r w:rsidR="00FD2A49">
        <w:t xml:space="preserve"> en ellas</w:t>
      </w:r>
      <w:r>
        <w:t>, tales como la esterilización.</w:t>
      </w:r>
      <w:r>
        <w:rPr>
          <w:rStyle w:val="EndnoteReference"/>
        </w:rPr>
        <w:endnoteReference w:id="449"/>
      </w:r>
      <w:r>
        <w:t xml:space="preserve"> En particular, ha pedido a un </w:t>
      </w:r>
      <w:r w:rsidR="00FD2A49">
        <w:t>E</w:t>
      </w:r>
      <w:r>
        <w:t>stado prohibir incondicionalmente la esterilización de los niños y niñas con discapacidad.</w:t>
      </w:r>
      <w:r>
        <w:rPr>
          <w:rStyle w:val="EndnoteReference"/>
        </w:rPr>
        <w:endnoteReference w:id="450"/>
      </w:r>
    </w:p>
    <w:p w14:paraId="5B05BA2F" w14:textId="33771397" w:rsidR="0049019C" w:rsidRPr="00165D4C" w:rsidRDefault="00CD0EAF" w:rsidP="00165D4C">
      <w:pPr>
        <w:pStyle w:val="Heading4"/>
      </w:pPr>
      <w:r>
        <w:t xml:space="preserve">Obligaciones de </w:t>
      </w:r>
      <w:r w:rsidR="00FD2A49">
        <w:t>Debida</w:t>
      </w:r>
      <w:r w:rsidR="00FD2A49" w:rsidDel="00FD2A49">
        <w:t xml:space="preserve"> </w:t>
      </w:r>
      <w:r w:rsidR="00FD2A49">
        <w:t>D</w:t>
      </w:r>
      <w:r>
        <w:t xml:space="preserve">iligencia </w:t>
      </w:r>
    </w:p>
    <w:p w14:paraId="5D495E39" w14:textId="5B87B660" w:rsidR="0049019C" w:rsidRDefault="00CD0EAF">
      <w:pPr>
        <w:pStyle w:val="NormalIndented"/>
      </w:pPr>
      <w:r>
        <w:t>El Comité CDPD ha expresado preocupación por la falta de investigaciones en casos de esterilización forzada de las personas con discapacidad y otros.</w:t>
      </w:r>
      <w:r>
        <w:rPr>
          <w:rStyle w:val="EndnoteReference"/>
        </w:rPr>
        <w:endnoteReference w:id="451"/>
      </w:r>
      <w:r>
        <w:t xml:space="preserve"> </w:t>
      </w:r>
      <w:r w:rsidR="00040D4C">
        <w:t xml:space="preserve">Ha </w:t>
      </w:r>
      <w:r>
        <w:t>recomenda</w:t>
      </w:r>
      <w:r w:rsidR="00040D4C">
        <w:t>do</w:t>
      </w:r>
      <w:r>
        <w:t xml:space="preserve"> que los Estados </w:t>
      </w:r>
      <w:r w:rsidR="00040D4C">
        <w:t xml:space="preserve">realicen </w:t>
      </w:r>
      <w:r>
        <w:t>las investigaciones de esterilización forzada,</w:t>
      </w:r>
      <w:r>
        <w:rPr>
          <w:rStyle w:val="EndnoteReference"/>
        </w:rPr>
        <w:endnoteReference w:id="452"/>
      </w:r>
      <w:r>
        <w:t xml:space="preserve"> incluyendo las investigaciones administrativas y penales,</w:t>
      </w:r>
      <w:r>
        <w:rPr>
          <w:rStyle w:val="EndnoteReference"/>
        </w:rPr>
        <w:endnoteReference w:id="453"/>
      </w:r>
      <w:r>
        <w:t xml:space="preserve"> y </w:t>
      </w:r>
      <w:r w:rsidR="00040D4C">
        <w:t>sancionen</w:t>
      </w:r>
      <w:r>
        <w:t xml:space="preserve"> a los </w:t>
      </w:r>
      <w:r w:rsidR="00040D4C">
        <w:t>responsables</w:t>
      </w:r>
      <w:r>
        <w:t>.</w:t>
      </w:r>
      <w:r>
        <w:rPr>
          <w:rStyle w:val="EndnoteReference"/>
        </w:rPr>
        <w:endnoteReference w:id="454"/>
      </w:r>
      <w:r>
        <w:t xml:space="preserve"> También </w:t>
      </w:r>
      <w:r w:rsidR="00040D4C">
        <w:t xml:space="preserve">ha </w:t>
      </w:r>
      <w:r>
        <w:t>recomenda</w:t>
      </w:r>
      <w:r w:rsidR="00040D4C">
        <w:t>do</w:t>
      </w:r>
      <w:r>
        <w:t xml:space="preserve"> que los mecanismos</w:t>
      </w:r>
      <w:r w:rsidR="00040D4C">
        <w:t xml:space="preserve"> que</w:t>
      </w:r>
      <w:r>
        <w:t xml:space="preserve"> proporcionan protección contra la esterilización forzada sea</w:t>
      </w:r>
      <w:r w:rsidR="00040D4C">
        <w:t>n</w:t>
      </w:r>
      <w:r>
        <w:t xml:space="preserve"> efectiv</w:t>
      </w:r>
      <w:r w:rsidR="00040D4C">
        <w:t>os</w:t>
      </w:r>
      <w:r>
        <w:t xml:space="preserve"> y accesible</w:t>
      </w:r>
      <w:r w:rsidR="00040D4C">
        <w:t>s</w:t>
      </w:r>
      <w:r>
        <w:t>,</w:t>
      </w:r>
      <w:r>
        <w:rPr>
          <w:rStyle w:val="EndnoteReference"/>
        </w:rPr>
        <w:endnoteReference w:id="455"/>
      </w:r>
      <w:r>
        <w:t xml:space="preserve"> incluyendo a través de revisión por una autoridad independiente,</w:t>
      </w:r>
      <w:r>
        <w:rPr>
          <w:rStyle w:val="EndnoteReference"/>
        </w:rPr>
        <w:endnoteReference w:id="456"/>
      </w:r>
      <w:r>
        <w:t xml:space="preserve"> y que los Estados establezcan mecanismos para </w:t>
      </w:r>
      <w:r w:rsidR="00040D4C">
        <w:t xml:space="preserve">monitorear </w:t>
      </w:r>
      <w:r>
        <w:t>la</w:t>
      </w:r>
      <w:r w:rsidR="00040D4C">
        <w:t>s</w:t>
      </w:r>
      <w:r>
        <w:t xml:space="preserve"> </w:t>
      </w:r>
      <w:r w:rsidR="00040D4C">
        <w:t xml:space="preserve">instalaciones de la </w:t>
      </w:r>
      <w:r>
        <w:t>salud.</w:t>
      </w:r>
      <w:r>
        <w:rPr>
          <w:rStyle w:val="EndnoteReference"/>
        </w:rPr>
        <w:endnoteReference w:id="457"/>
      </w:r>
      <w:r>
        <w:t xml:space="preserve"> Además, el Comité ha pedido </w:t>
      </w:r>
      <w:r w:rsidR="00040D4C">
        <w:t xml:space="preserve">a </w:t>
      </w:r>
      <w:r>
        <w:t xml:space="preserve">al menos un </w:t>
      </w:r>
      <w:r w:rsidR="00040D4C">
        <w:t>E</w:t>
      </w:r>
      <w:r>
        <w:t xml:space="preserve">stado investigar casos donde las mujeres con discapacidad han sido presionadas a someterse a abortos y sancionar a </w:t>
      </w:r>
      <w:r w:rsidR="00040D4C">
        <w:t xml:space="preserve">personas </w:t>
      </w:r>
      <w:r>
        <w:t>p</w:t>
      </w:r>
      <w:r w:rsidR="0043422F">
        <w:t>r</w:t>
      </w:r>
      <w:r w:rsidR="00040D4C">
        <w:t>esta</w:t>
      </w:r>
      <w:r>
        <w:t>dor</w:t>
      </w:r>
      <w:r w:rsidR="00040D4C">
        <w:t>a</w:t>
      </w:r>
      <w:r>
        <w:t>s de salud involucrad</w:t>
      </w:r>
      <w:r w:rsidR="00040D4C">
        <w:t>a</w:t>
      </w:r>
      <w:r>
        <w:t>s,</w:t>
      </w:r>
      <w:r>
        <w:rPr>
          <w:rStyle w:val="EndnoteReference"/>
        </w:rPr>
        <w:endnoteReference w:id="458"/>
      </w:r>
      <w:r>
        <w:t xml:space="preserve"> y </w:t>
      </w:r>
      <w:r w:rsidR="00040D4C">
        <w:t>ha pedido a</w:t>
      </w:r>
      <w:r>
        <w:t xml:space="preserve"> otro Estado investigar denuncias de aborto forzado de las mujeres con discapacidad </w:t>
      </w:r>
      <w:r w:rsidR="00040D4C">
        <w:t xml:space="preserve">seguidos </w:t>
      </w:r>
      <w:r>
        <w:t>de abuso sexual.</w:t>
      </w:r>
      <w:r>
        <w:rPr>
          <w:rStyle w:val="EndnoteReference"/>
        </w:rPr>
        <w:endnoteReference w:id="459"/>
      </w:r>
    </w:p>
    <w:p w14:paraId="29725206" w14:textId="7FED0B9B" w:rsidR="0049019C" w:rsidRDefault="00CD0EAF">
      <w:pPr>
        <w:pStyle w:val="Heading4"/>
      </w:pPr>
      <w:r>
        <w:t xml:space="preserve">Capacitación y </w:t>
      </w:r>
      <w:r w:rsidR="00566C53">
        <w:t>O</w:t>
      </w:r>
      <w:r>
        <w:t>rientación</w:t>
      </w:r>
    </w:p>
    <w:p w14:paraId="1834DADD" w14:textId="1F935530" w:rsidR="0049019C" w:rsidRDefault="00CD0EAF">
      <w:pPr>
        <w:pStyle w:val="NormalIndented"/>
      </w:pPr>
      <w:r>
        <w:t xml:space="preserve">El Comité CDPD ha recomendado </w:t>
      </w:r>
      <w:r w:rsidR="00040D4C">
        <w:t xml:space="preserve">a </w:t>
      </w:r>
      <w:r>
        <w:t xml:space="preserve">al menos un </w:t>
      </w:r>
      <w:r w:rsidR="00040D4C">
        <w:t>E</w:t>
      </w:r>
      <w:r>
        <w:t xml:space="preserve">stado capacitar a </w:t>
      </w:r>
      <w:r w:rsidR="00040D4C">
        <w:t xml:space="preserve">personas </w:t>
      </w:r>
      <w:r>
        <w:t>prestador</w:t>
      </w:r>
      <w:r w:rsidR="00040D4C">
        <w:t>a</w:t>
      </w:r>
      <w:r>
        <w:t>s de salud sobre el tema del consentimiento informado para tratamiento médico, incluyendo en el contexto de la esterilización y el aborto.</w:t>
      </w:r>
      <w:r>
        <w:rPr>
          <w:rStyle w:val="EndnoteReference"/>
        </w:rPr>
        <w:endnoteReference w:id="460"/>
      </w:r>
      <w:r>
        <w:t xml:space="preserve"> En al menos un </w:t>
      </w:r>
      <w:r w:rsidR="00040D4C">
        <w:t>E</w:t>
      </w:r>
      <w:r>
        <w:t xml:space="preserve">stado donde jueces y </w:t>
      </w:r>
      <w:r w:rsidR="00040D4C">
        <w:t xml:space="preserve">juezas u </w:t>
      </w:r>
      <w:r>
        <w:t xml:space="preserve">otros actores del sistema legal pueden autorizar la esterilización, </w:t>
      </w:r>
      <w:r w:rsidR="00DE2B42">
        <w:t>el Comité ha</w:t>
      </w:r>
      <w:r>
        <w:t xml:space="preserve"> llama</w:t>
      </w:r>
      <w:r w:rsidR="00DE2B42">
        <w:t>do</w:t>
      </w:r>
      <w:r>
        <w:t xml:space="preserve"> a los Estados para capacitar jueces</w:t>
      </w:r>
      <w:r w:rsidR="00DE2B42">
        <w:t>, juezas</w:t>
      </w:r>
      <w:r>
        <w:t xml:space="preserve"> y fiscales sobre los derechos de las personas con discapacidad y sobre el consentimiento informado.</w:t>
      </w:r>
      <w:r>
        <w:rPr>
          <w:rStyle w:val="EndnoteReference"/>
        </w:rPr>
        <w:endnoteReference w:id="461"/>
      </w:r>
      <w:r>
        <w:t xml:space="preserve"> El Comité ha pedido </w:t>
      </w:r>
      <w:r w:rsidR="00DE2B42">
        <w:t>ade</w:t>
      </w:r>
      <w:r>
        <w:t xml:space="preserve">más por lo menos </w:t>
      </w:r>
      <w:r w:rsidR="00DE2B42">
        <w:t xml:space="preserve">a </w:t>
      </w:r>
      <w:r>
        <w:t xml:space="preserve">un </w:t>
      </w:r>
      <w:r w:rsidR="00DE2B42">
        <w:t>E</w:t>
      </w:r>
      <w:r>
        <w:t xml:space="preserve">stado </w:t>
      </w:r>
      <w:r w:rsidR="00DE2B42">
        <w:t>crear conciencia entre</w:t>
      </w:r>
      <w:r>
        <w:t xml:space="preserve"> las familias, las comunidades y las instituciones como medio para erradicar la práctica de la esterilización forzada.</w:t>
      </w:r>
      <w:r>
        <w:rPr>
          <w:rStyle w:val="EndnoteReference"/>
        </w:rPr>
        <w:endnoteReference w:id="462"/>
      </w:r>
      <w:r>
        <w:t xml:space="preserve"> También ha pedido </w:t>
      </w:r>
      <w:r w:rsidR="00DE2B42">
        <w:t xml:space="preserve">a </w:t>
      </w:r>
      <w:r>
        <w:t xml:space="preserve">al menos un </w:t>
      </w:r>
      <w:r w:rsidR="00DE2B42">
        <w:t>E</w:t>
      </w:r>
      <w:r>
        <w:t xml:space="preserve">stado capacitar a </w:t>
      </w:r>
      <w:r w:rsidR="00DE2B42">
        <w:t xml:space="preserve">personas </w:t>
      </w:r>
      <w:r>
        <w:t>prestador</w:t>
      </w:r>
      <w:r w:rsidR="00DE2B42">
        <w:t>a</w:t>
      </w:r>
      <w:r>
        <w:t>s de salud en técnicas de comunicación alternativa para trabajar con las personas con discapacidad.</w:t>
      </w:r>
      <w:r>
        <w:rPr>
          <w:rStyle w:val="EndnoteReference"/>
        </w:rPr>
        <w:endnoteReference w:id="463"/>
      </w:r>
    </w:p>
    <w:p w14:paraId="74E9FA23" w14:textId="58283185" w:rsidR="0049019C" w:rsidRDefault="00040D4C">
      <w:pPr>
        <w:pStyle w:val="Heading4"/>
      </w:pPr>
      <w:r>
        <w:t xml:space="preserve">Recursos </w:t>
      </w:r>
      <w:r w:rsidR="00CD0EAF">
        <w:t xml:space="preserve">y </w:t>
      </w:r>
      <w:r>
        <w:t xml:space="preserve">Reparación </w:t>
      </w:r>
    </w:p>
    <w:p w14:paraId="25FAE0C8" w14:textId="0CCBF68C" w:rsidR="0049019C" w:rsidRDefault="00DE2B42">
      <w:pPr>
        <w:pStyle w:val="NormalIndented"/>
      </w:pPr>
      <w:r>
        <w:t xml:space="preserve">El </w:t>
      </w:r>
      <w:r w:rsidR="00CD0EAF">
        <w:t xml:space="preserve">Comité CDPD ha expresado preocupación con al menos un </w:t>
      </w:r>
      <w:r>
        <w:t>E</w:t>
      </w:r>
      <w:r w:rsidR="00CD0EAF">
        <w:t xml:space="preserve">stado </w:t>
      </w:r>
      <w:r>
        <w:t xml:space="preserve">sobre la </w:t>
      </w:r>
      <w:r w:rsidR="00CD0EAF">
        <w:t>falta de medidas de reparación para las personas sometidas a la esterilización forzada.</w:t>
      </w:r>
      <w:r w:rsidR="00CD0EAF">
        <w:rPr>
          <w:rStyle w:val="EndnoteReference"/>
        </w:rPr>
        <w:endnoteReference w:id="464"/>
      </w:r>
      <w:r w:rsidR="00CD0EAF">
        <w:t xml:space="preserve"> Ha pedido a los Estados proporcionar re</w:t>
      </w:r>
      <w:r>
        <w:t>paración</w:t>
      </w:r>
      <w:r w:rsidR="00CD0EAF">
        <w:t>, inclu</w:t>
      </w:r>
      <w:r>
        <w:t>yendo</w:t>
      </w:r>
      <w:r w:rsidR="00CD0EAF">
        <w:t xml:space="preserve"> recursos específicos y compensación para las víctimas de procedimientos médicos forzados, incluyendo la esterilización y el aborto.</w:t>
      </w:r>
      <w:r w:rsidR="00CD0EAF">
        <w:rPr>
          <w:rStyle w:val="EndnoteReference"/>
        </w:rPr>
        <w:endnoteReference w:id="465"/>
      </w:r>
      <w:r w:rsidR="00CD0EAF">
        <w:t xml:space="preserve"> </w:t>
      </w:r>
    </w:p>
    <w:p w14:paraId="33D9E439" w14:textId="72C09E06" w:rsidR="0049019C" w:rsidRPr="004B2C96" w:rsidRDefault="00CD0EAF" w:rsidP="00515135">
      <w:pPr>
        <w:pStyle w:val="Heading2"/>
        <w:rPr>
          <w:b w:val="0"/>
        </w:rPr>
      </w:pPr>
      <w:bookmarkStart w:id="50" w:name="_Toc5974919"/>
      <w:r w:rsidRPr="004B2C96">
        <w:rPr>
          <w:b w:val="0"/>
        </w:rPr>
        <w:t>Denuncias Individuales</w:t>
      </w:r>
      <w:bookmarkEnd w:id="50"/>
    </w:p>
    <w:p w14:paraId="579A9303" w14:textId="420F8B80" w:rsidR="0049019C" w:rsidRDefault="00DE2B42">
      <w:r>
        <w:t>Hasta</w:t>
      </w:r>
      <w:r w:rsidR="00CD0EAF">
        <w:t xml:space="preserve"> </w:t>
      </w:r>
      <w:r>
        <w:t>J</w:t>
      </w:r>
      <w:r w:rsidR="00CD0EAF">
        <w:t>unio de 2017, el Comité CDPD no ha emitido decisiones sobre quejas individuales relacionados con l</w:t>
      </w:r>
      <w:r>
        <w:t>os derechos y l</w:t>
      </w:r>
      <w:r w:rsidR="00CD0EAF">
        <w:t xml:space="preserve">a </w:t>
      </w:r>
      <w:r>
        <w:t xml:space="preserve">salud </w:t>
      </w:r>
      <w:r w:rsidR="00CD0EAF">
        <w:t>sexual y reproductiva.</w:t>
      </w:r>
    </w:p>
    <w:p w14:paraId="6B9D85AB" w14:textId="5AD0B975" w:rsidR="0049019C" w:rsidRPr="004B2C96" w:rsidRDefault="00DE2B42" w:rsidP="00515135">
      <w:pPr>
        <w:pStyle w:val="Heading2"/>
        <w:rPr>
          <w:b w:val="0"/>
        </w:rPr>
      </w:pPr>
      <w:bookmarkStart w:id="51" w:name="_Toc5974920"/>
      <w:r w:rsidRPr="004B2C96">
        <w:rPr>
          <w:b w:val="0"/>
        </w:rPr>
        <w:lastRenderedPageBreak/>
        <w:t xml:space="preserve">Vacíos </w:t>
      </w:r>
      <w:r w:rsidR="00CD0EAF" w:rsidRPr="004B2C96">
        <w:rPr>
          <w:b w:val="0"/>
        </w:rPr>
        <w:t>en l</w:t>
      </w:r>
      <w:r w:rsidRPr="004B2C96">
        <w:rPr>
          <w:b w:val="0"/>
        </w:rPr>
        <w:t>o</w:t>
      </w:r>
      <w:r w:rsidR="00CD0EAF" w:rsidRPr="004B2C96">
        <w:rPr>
          <w:b w:val="0"/>
        </w:rPr>
        <w:t xml:space="preserve">s </w:t>
      </w:r>
      <w:r w:rsidR="0043422F" w:rsidRPr="004B2C96">
        <w:rPr>
          <w:b w:val="0"/>
        </w:rPr>
        <w:t>E</w:t>
      </w:r>
      <w:r w:rsidRPr="004B2C96">
        <w:rPr>
          <w:b w:val="0"/>
        </w:rPr>
        <w:t>stándares</w:t>
      </w:r>
      <w:bookmarkEnd w:id="51"/>
    </w:p>
    <w:p w14:paraId="36D16525" w14:textId="56009DE5" w:rsidR="0049019C" w:rsidRDefault="00CD0EAF">
      <w:r>
        <w:t xml:space="preserve">Hay varias maneras </w:t>
      </w:r>
      <w:r w:rsidR="00DE2B42">
        <w:t xml:space="preserve">en las </w:t>
      </w:r>
      <w:r>
        <w:t xml:space="preserve">que </w:t>
      </w:r>
      <w:r w:rsidR="00DE2B42">
        <w:t xml:space="preserve">el </w:t>
      </w:r>
      <w:r>
        <w:t xml:space="preserve">Comité CDPD podría abordar </w:t>
      </w:r>
      <w:r w:rsidR="00DE2B42">
        <w:t xml:space="preserve">más integralmente </w:t>
      </w:r>
      <w:r>
        <w:t xml:space="preserve">la salud sexual y reproductiva y los derechos de las mujeres y las niñas con discapacidad. </w:t>
      </w:r>
    </w:p>
    <w:p w14:paraId="26B5513D" w14:textId="0DF866A6" w:rsidR="0049019C" w:rsidRDefault="00CD0EAF">
      <w:r>
        <w:t xml:space="preserve">Por ejemplo, el Comité CDPD no ha hecho </w:t>
      </w:r>
      <w:r w:rsidR="00DE2B42">
        <w:t>ninguna observación</w:t>
      </w:r>
      <w:r>
        <w:t xml:space="preserve"> relacionad</w:t>
      </w:r>
      <w:r w:rsidR="00DE2B42">
        <w:t>a</w:t>
      </w:r>
      <w:r>
        <w:t xml:space="preserve"> con garantizar el acceso consensua</w:t>
      </w:r>
      <w:r w:rsidR="00DE2B42">
        <w:t>do</w:t>
      </w:r>
      <w:r>
        <w:t xml:space="preserve"> a anticonceptivos modernos para las personas con discapacidad en igualdad de condiciones con los demás. </w:t>
      </w:r>
      <w:r w:rsidR="00DE2B42">
        <w:t>El a</w:t>
      </w:r>
      <w:r>
        <w:t xml:space="preserve">cceso a los anticonceptivos es una parte importante de garantizar que las mujeres con discapacidad pueden controlar su salud y fertilidad, así como el curso de sus vidas. Dado que </w:t>
      </w:r>
      <w:r w:rsidR="00DE2B42">
        <w:t xml:space="preserve">a </w:t>
      </w:r>
      <w:r>
        <w:t>las mujeres con discapacidad con frecuencia se les niega acceso a información sobre salud sexual y reproductiva y los servicios debido a la</w:t>
      </w:r>
      <w:r w:rsidR="00DE2B42">
        <w:t>s barreras</w:t>
      </w:r>
      <w:r>
        <w:t xml:space="preserve"> física</w:t>
      </w:r>
      <w:r w:rsidR="00DE2B42">
        <w:t>s</w:t>
      </w:r>
      <w:r>
        <w:t>, informativa</w:t>
      </w:r>
      <w:r w:rsidR="00DE2B42">
        <w:t>s</w:t>
      </w:r>
      <w:r>
        <w:t>, y lactitudinales y estereotipos acerca de la necesidad de tales servicios, es probable que exista un</w:t>
      </w:r>
      <w:r w:rsidR="00165D4C">
        <w:t>a</w:t>
      </w:r>
      <w:r>
        <w:t xml:space="preserve"> necesidad insatisfecha de anticonceptivos en esta población. Como tal, sería útil para el Comité CDPD pedir a los Estados </w:t>
      </w:r>
      <w:r w:rsidR="00DE2B42">
        <w:t xml:space="preserve">que </w:t>
      </w:r>
      <w:r>
        <w:t>proporcion</w:t>
      </w:r>
      <w:r w:rsidR="00DE2B42">
        <w:t>en</w:t>
      </w:r>
      <w:r>
        <w:t xml:space="preserve"> datos sobre la necesidad insatisfecha de anticonceptivos entre las mujeres y las niñas con discapacidad</w:t>
      </w:r>
      <w:r w:rsidR="00DE2B42">
        <w:t>,</w:t>
      </w:r>
      <w:r>
        <w:t xml:space="preserve"> y para los </w:t>
      </w:r>
      <w:r w:rsidR="00DE2B42">
        <w:t xml:space="preserve">y las </w:t>
      </w:r>
      <w:r>
        <w:t>defensor</w:t>
      </w:r>
      <w:r w:rsidR="00DE2B42">
        <w:t>a</w:t>
      </w:r>
      <w:r>
        <w:t xml:space="preserve">s plantear este tema </w:t>
      </w:r>
      <w:r w:rsidR="00DE2B42">
        <w:t>ante el</w:t>
      </w:r>
      <w:r>
        <w:t xml:space="preserve"> Comi</w:t>
      </w:r>
      <w:r w:rsidR="00DE2B42">
        <w:t>té</w:t>
      </w:r>
      <w:r>
        <w:t>.</w:t>
      </w:r>
    </w:p>
    <w:p w14:paraId="62A3364E" w14:textId="2567DEC3" w:rsidR="0049019C" w:rsidRDefault="00DE2B42">
      <w:r>
        <w:t>El Comité t</w:t>
      </w:r>
      <w:r w:rsidR="00CD0EAF">
        <w:t xml:space="preserve">ambién no ha </w:t>
      </w:r>
      <w:r>
        <w:t>emitidio observaciones</w:t>
      </w:r>
      <w:r w:rsidR="00CD0EAF">
        <w:t xml:space="preserve"> relacionad</w:t>
      </w:r>
      <w:r>
        <w:t>a</w:t>
      </w:r>
      <w:r w:rsidR="00CD0EAF">
        <w:t xml:space="preserve">s con la anticoncepción de emergencia para las mujeres y las niñas con discapacidad. </w:t>
      </w:r>
      <w:r>
        <w:t>Esta es</w:t>
      </w:r>
      <w:r w:rsidR="00CD0EAF">
        <w:t xml:space="preserve"> una brecha significativa, ya que las mujeres y las niñas con discapacidad están en </w:t>
      </w:r>
      <w:r>
        <w:t xml:space="preserve">mayor </w:t>
      </w:r>
      <w:r w:rsidR="00CD0EAF">
        <w:t>riesgo de violencia sexual que las otras mujeres. Como han señalado otros órganos</w:t>
      </w:r>
      <w:r>
        <w:t xml:space="preserve"> de tratados</w:t>
      </w:r>
      <w:r w:rsidR="00CD0EAF">
        <w:t xml:space="preserve">, el acceso a la anticoncepción de emergencia </w:t>
      </w:r>
      <w:r w:rsidR="005C391A">
        <w:t xml:space="preserve">seguida de </w:t>
      </w:r>
      <w:r w:rsidR="00CD0EAF">
        <w:t xml:space="preserve">violencia sexual es una parte importante de garantizar la rehabilitación de las mujeres de </w:t>
      </w:r>
      <w:r w:rsidR="005C391A">
        <w:t xml:space="preserve">esta </w:t>
      </w:r>
      <w:r w:rsidR="00CD0EAF">
        <w:t xml:space="preserve">violencia </w:t>
      </w:r>
      <w:r w:rsidR="005C391A">
        <w:t>y también evita</w:t>
      </w:r>
      <w:r w:rsidR="00CD0EAF">
        <w:t xml:space="preserve"> </w:t>
      </w:r>
      <w:r w:rsidR="005C391A">
        <w:t xml:space="preserve">el </w:t>
      </w:r>
      <w:r w:rsidR="00CD0EAF">
        <w:t xml:space="preserve">dolor </w:t>
      </w:r>
      <w:r w:rsidR="005C391A">
        <w:t xml:space="preserve">severo </w:t>
      </w:r>
      <w:r w:rsidR="00CD0EAF">
        <w:t>y sufrimiento que puede resultar de un embarazo</w:t>
      </w:r>
      <w:r w:rsidR="005C391A">
        <w:t xml:space="preserve"> no deseado</w:t>
      </w:r>
      <w:r w:rsidR="00CD0EAF">
        <w:t xml:space="preserve">. </w:t>
      </w:r>
    </w:p>
    <w:p w14:paraId="53EA2798" w14:textId="1F8D4EEC" w:rsidR="0049019C" w:rsidRDefault="00CD0EAF">
      <w:r>
        <w:t>Ad</w:t>
      </w:r>
      <w:r w:rsidR="005C391A">
        <w:t>icionalmente</w:t>
      </w:r>
      <w:r>
        <w:t xml:space="preserve">, en cuanto a aborto, </w:t>
      </w:r>
      <w:r w:rsidR="005C391A">
        <w:t xml:space="preserve">las </w:t>
      </w:r>
      <w:r>
        <w:t xml:space="preserve">observaciones del Comité CDPD se han centrado casi exclusivamente en aborto forzado o aborto en </w:t>
      </w:r>
      <w:r w:rsidRPr="00982B2F">
        <w:t xml:space="preserve">casos de </w:t>
      </w:r>
      <w:r w:rsidR="0043422F" w:rsidRPr="00982B2F">
        <w:t>anomalía</w:t>
      </w:r>
      <w:r w:rsidR="005C391A" w:rsidRPr="00982B2F">
        <w:t xml:space="preserve">s </w:t>
      </w:r>
      <w:r w:rsidRPr="00982B2F">
        <w:t>fetal</w:t>
      </w:r>
      <w:r w:rsidR="005C391A" w:rsidRPr="00982B2F">
        <w:t>es</w:t>
      </w:r>
      <w:r w:rsidRPr="00982B2F">
        <w:t>, sin reconocer que las mujeres con discapacidad pueden ell</w:t>
      </w:r>
      <w:r w:rsidR="005C391A" w:rsidRPr="00982B2F">
        <w:t>a</w:t>
      </w:r>
      <w:r w:rsidRPr="00982B2F">
        <w:t>s mism</w:t>
      </w:r>
      <w:r w:rsidR="005C391A" w:rsidRPr="00982B2F">
        <w:t>a</w:t>
      </w:r>
      <w:r w:rsidRPr="00982B2F">
        <w:t>s enfrenta</w:t>
      </w:r>
      <w:r w:rsidR="005C391A" w:rsidRPr="00982B2F">
        <w:t>r</w:t>
      </w:r>
      <w:r w:rsidRPr="00982B2F">
        <w:t xml:space="preserve"> barreras </w:t>
      </w:r>
      <w:r w:rsidR="005C391A" w:rsidRPr="00982B2F">
        <w:t>para</w:t>
      </w:r>
      <w:r w:rsidRPr="00982B2F">
        <w:t xml:space="preserve"> acce</w:t>
      </w:r>
      <w:r w:rsidR="005C391A" w:rsidRPr="00982B2F">
        <w:t>der</w:t>
      </w:r>
      <w:r w:rsidRPr="00982B2F">
        <w:t xml:space="preserve"> a los servicios</w:t>
      </w:r>
      <w:r>
        <w:t xml:space="preserve"> de aborto</w:t>
      </w:r>
      <w:r w:rsidR="005C391A" w:rsidRPr="005C391A">
        <w:t xml:space="preserve"> </w:t>
      </w:r>
      <w:r w:rsidR="005C391A">
        <w:t>necesarios y</w:t>
      </w:r>
      <w:r>
        <w:t xml:space="preserve"> consensual</w:t>
      </w:r>
      <w:r w:rsidR="005C391A">
        <w:t>es</w:t>
      </w:r>
      <w:r>
        <w:t xml:space="preserve"> debido a los estereotipos, la inaccesibilidad de la información y servicios que rodean el aborto y las actitudes de l</w:t>
      </w:r>
      <w:r w:rsidR="005C391A">
        <w:t>a</w:t>
      </w:r>
      <w:r>
        <w:t xml:space="preserve">s </w:t>
      </w:r>
      <w:r w:rsidR="005C391A">
        <w:t xml:space="preserve">personas </w:t>
      </w:r>
      <w:r>
        <w:t>pr</w:t>
      </w:r>
      <w:r w:rsidR="005C391A">
        <w:t>estadora</w:t>
      </w:r>
      <w:r>
        <w:t xml:space="preserve">s de salud. Estas barreras son probablemente agravadas por prácticas como el uso no regulado de la objeción de conciencia, periodos de espera obligatorios y orientación sesgada o engañosa, </w:t>
      </w:r>
      <w:r w:rsidR="005C391A" w:rsidRPr="0043422F">
        <w:t>colocando estas</w:t>
      </w:r>
      <w:r w:rsidRPr="0043422F">
        <w:t xml:space="preserve"> barreras </w:t>
      </w:r>
      <w:r w:rsidR="005C391A" w:rsidRPr="0043422F">
        <w:t xml:space="preserve">para </w:t>
      </w:r>
      <w:r w:rsidRPr="0043422F">
        <w:t>acce</w:t>
      </w:r>
      <w:r w:rsidR="005C391A" w:rsidRPr="0043422F">
        <w:t>der</w:t>
      </w:r>
      <w:r w:rsidRPr="0043422F">
        <w:t xml:space="preserve"> a otros </w:t>
      </w:r>
      <w:r w:rsidR="005C391A" w:rsidRPr="0043422F">
        <w:t>prestadores de salud</w:t>
      </w:r>
      <w:r w:rsidRPr="0043422F">
        <w:t xml:space="preserve">, </w:t>
      </w:r>
      <w:r w:rsidR="00CB74BD" w:rsidRPr="0043422F">
        <w:t>el retorn</w:t>
      </w:r>
      <w:r w:rsidR="005C391A" w:rsidRPr="0043422F">
        <w:t xml:space="preserve">o </w:t>
      </w:r>
      <w:r w:rsidRPr="0043422F">
        <w:t xml:space="preserve">a los establecimientos de salud </w:t>
      </w:r>
      <w:r w:rsidR="005C391A" w:rsidRPr="0043422F">
        <w:t xml:space="preserve">en </w:t>
      </w:r>
      <w:r w:rsidRPr="0043422F">
        <w:t>otro</w:t>
      </w:r>
      <w:r w:rsidR="005C391A" w:rsidRPr="0043422F">
        <w:t xml:space="preserve">s días para </w:t>
      </w:r>
      <w:r w:rsidRPr="0043422F">
        <w:t xml:space="preserve">obtener abortos, o </w:t>
      </w:r>
      <w:r w:rsidR="00CB74BD" w:rsidRPr="0043422F">
        <w:t xml:space="preserve">el </w:t>
      </w:r>
      <w:r w:rsidRPr="0043422F">
        <w:t>acce</w:t>
      </w:r>
      <w:r w:rsidR="00CB74BD" w:rsidRPr="0043422F">
        <w:t>s</w:t>
      </w:r>
      <w:r w:rsidR="005C391A" w:rsidRPr="0043422F">
        <w:t>o</w:t>
      </w:r>
      <w:r w:rsidRPr="0043422F">
        <w:t xml:space="preserve"> a información precisa sobre el aborto fuera de los establecimientos de salud </w:t>
      </w:r>
      <w:r w:rsidR="00CB74BD" w:rsidRPr="0043422F">
        <w:t xml:space="preserve">son frecuentemente barreras más complicadas </w:t>
      </w:r>
      <w:r w:rsidRPr="0043422F">
        <w:t>para las mujeres con discapacidad.</w:t>
      </w:r>
      <w:r>
        <w:t xml:space="preserve"> </w:t>
      </w:r>
    </w:p>
    <w:p w14:paraId="5502BD9F" w14:textId="25961521" w:rsidR="0049019C" w:rsidRDefault="00776C8E">
      <w:r w:rsidRPr="00982B2F">
        <w:t>Las r</w:t>
      </w:r>
      <w:r w:rsidR="00CD0EAF" w:rsidRPr="00982B2F">
        <w:t xml:space="preserve">ecomendaciones del Comité CDPD hasta la fecha sobre el aborto en casos de </w:t>
      </w:r>
      <w:r w:rsidR="0043422F" w:rsidRPr="00982B2F">
        <w:t>anomalía</w:t>
      </w:r>
      <w:r w:rsidRPr="00982B2F">
        <w:t xml:space="preserve"> </w:t>
      </w:r>
      <w:r w:rsidR="00CD0EAF" w:rsidRPr="00982B2F">
        <w:t xml:space="preserve">fetal </w:t>
      </w:r>
      <w:r w:rsidRPr="00982B2F">
        <w:t xml:space="preserve">no </w:t>
      </w:r>
      <w:r w:rsidR="00CD0EAF" w:rsidRPr="00982B2F">
        <w:t>han adoptado totalmente la necesidad de garantizar que las mujeres en general, incluyendo</w:t>
      </w:r>
      <w:r w:rsidR="00CD0EAF">
        <w:t xml:space="preserve"> mujeres con discapacidad, puedan acceder a servicios de aborto necesario</w:t>
      </w:r>
      <w:r>
        <w:t>s</w:t>
      </w:r>
      <w:r w:rsidR="00CD0EAF">
        <w:t xml:space="preserve"> para proteger sus derechos. El Comité CDPD debe recomendar que los Estados despenali</w:t>
      </w:r>
      <w:r>
        <w:t>cen</w:t>
      </w:r>
      <w:r w:rsidR="00CD0EAF">
        <w:t xml:space="preserve"> el aborto en tod</w:t>
      </w:r>
      <w:r>
        <w:t>a</w:t>
      </w:r>
      <w:r w:rsidR="00CD0EAF">
        <w:t>s l</w:t>
      </w:r>
      <w:r>
        <w:t>a</w:t>
      </w:r>
      <w:r w:rsidR="00CD0EAF">
        <w:t>s c</w:t>
      </w:r>
      <w:r>
        <w:t>ircunstancia</w:t>
      </w:r>
      <w:r w:rsidR="00CD0EAF">
        <w:t xml:space="preserve">s, similares a las recientes observaciones </w:t>
      </w:r>
      <w:r>
        <w:t xml:space="preserve">finales </w:t>
      </w:r>
      <w:r w:rsidR="00CD0EAF">
        <w:t>de</w:t>
      </w:r>
      <w:r>
        <w:t>l</w:t>
      </w:r>
      <w:r w:rsidR="00CD0EAF">
        <w:t xml:space="preserve"> </w:t>
      </w:r>
      <w:r>
        <w:t xml:space="preserve">Comité de los </w:t>
      </w:r>
      <w:hyperlink w:anchor="_Comité_de_los_1" w:history="1">
        <w:r w:rsidRPr="00305576">
          <w:rPr>
            <w:rStyle w:val="Hyperlink"/>
          </w:rPr>
          <w:t>Derechos del Niño</w:t>
        </w:r>
      </w:hyperlink>
      <w:r w:rsidR="00CD0EAF">
        <w:t xml:space="preserve">, </w:t>
      </w:r>
      <w:r>
        <w:t>el Comité</w:t>
      </w:r>
      <w:r w:rsidR="00CD0EAF">
        <w:t xml:space="preserve"> </w:t>
      </w:r>
      <w:hyperlink w:anchor="CEDAW" w:history="1">
        <w:r w:rsidR="00E60338" w:rsidRPr="00E60338">
          <w:rPr>
            <w:rStyle w:val="Hyperlink"/>
          </w:rPr>
          <w:t>CEDAW</w:t>
        </w:r>
      </w:hyperlink>
      <w:r w:rsidR="00E60338" w:rsidRPr="00E60338">
        <w:rPr>
          <w:color w:val="auto"/>
        </w:rPr>
        <w:t xml:space="preserve"> </w:t>
      </w:r>
      <w:r w:rsidR="00CD0EAF">
        <w:t xml:space="preserve">y </w:t>
      </w:r>
      <w:r>
        <w:t>el Comité</w:t>
      </w:r>
      <w:r w:rsidR="00CD0EAF">
        <w:t xml:space="preserve"> </w:t>
      </w:r>
      <w:hyperlink w:anchor="CESCR" w:history="1">
        <w:r w:rsidR="00CD0EAF">
          <w:rPr>
            <w:rStyle w:val="Hyperlink"/>
          </w:rPr>
          <w:t>DESC</w:t>
        </w:r>
      </w:hyperlink>
      <w:r w:rsidR="00CD0EAF">
        <w:t xml:space="preserve">, asegurando que información </w:t>
      </w:r>
      <w:r>
        <w:t xml:space="preserve">y los servicios </w:t>
      </w:r>
      <w:r w:rsidR="00CD0EAF">
        <w:t>de aborto s</w:t>
      </w:r>
      <w:r>
        <w:t>ea</w:t>
      </w:r>
      <w:r w:rsidR="00CD0EAF">
        <w:t xml:space="preserve">n accesibles, asequibles, siempre sobre la base de no discriminación y siempre </w:t>
      </w:r>
      <w:r>
        <w:t xml:space="preserve">brindados </w:t>
      </w:r>
      <w:r w:rsidR="00CD0EAF">
        <w:t>a través del consentimiento informado y con dignidad a las mujeres y</w:t>
      </w:r>
      <w:r w:rsidR="00165D4C">
        <w:t xml:space="preserve"> las niñas con discapacidad. El Comité</w:t>
      </w:r>
      <w:r w:rsidR="00CD0EAF">
        <w:t xml:space="preserve"> </w:t>
      </w:r>
      <w:r>
        <w:t>CDPD</w:t>
      </w:r>
      <w:r w:rsidR="00CD0EAF">
        <w:t xml:space="preserve"> debería poner de relieve tanto la necesidad de l</w:t>
      </w:r>
      <w:r>
        <w:t>as personas</w:t>
      </w:r>
      <w:r w:rsidR="00CD0EAF">
        <w:t xml:space="preserve"> pr</w:t>
      </w:r>
      <w:r>
        <w:t>estadora</w:t>
      </w:r>
      <w:r w:rsidR="00CD0EAF">
        <w:t xml:space="preserve">s de </w:t>
      </w:r>
      <w:r>
        <w:t xml:space="preserve">salud de ser </w:t>
      </w:r>
      <w:r w:rsidR="00CD0EAF">
        <w:t>capacit</w:t>
      </w:r>
      <w:r>
        <w:t>adas</w:t>
      </w:r>
      <w:r w:rsidR="00CD0EAF">
        <w:t xml:space="preserve"> sobre los derechos de las personas con discapacidad y los servicios disponibles para que sean capaces de proporcionar información imparcial, precisa y basada en pruebas y asesoramiento sobre discapacidad a las mujeres embarazadas y sus familias y la obligación de los Estados para proveer servicios y apoyos a los niños con discapacidad y sus familias. El Comité CDPD también debe solicitar que los Estados proporcion</w:t>
      </w:r>
      <w:r>
        <w:t>e</w:t>
      </w:r>
      <w:r w:rsidR="00CD0EAF">
        <w:t xml:space="preserve">n datos sobre cómo </w:t>
      </w:r>
      <w:r w:rsidR="0043422F">
        <w:t>las barreras</w:t>
      </w:r>
      <w:r>
        <w:t xml:space="preserve"> vinculadas a los </w:t>
      </w:r>
      <w:r w:rsidR="00CD0EAF">
        <w:t xml:space="preserve">procedimientos </w:t>
      </w:r>
      <w:r>
        <w:t>p</w:t>
      </w:r>
      <w:r w:rsidR="00CD0EAF">
        <w:t>a</w:t>
      </w:r>
      <w:r>
        <w:t>ra</w:t>
      </w:r>
      <w:r w:rsidR="00CD0EAF">
        <w:t xml:space="preserve"> acce</w:t>
      </w:r>
      <w:r>
        <w:t>der</w:t>
      </w:r>
      <w:r w:rsidR="00CD0EAF">
        <w:t xml:space="preserve"> a</w:t>
      </w:r>
      <w:r>
        <w:t>l</w:t>
      </w:r>
      <w:r w:rsidR="00CD0EAF">
        <w:t xml:space="preserve"> aborto específicamente afectan a las mujeres con discapacidad. </w:t>
      </w:r>
    </w:p>
    <w:p w14:paraId="464DF047" w14:textId="09E73550" w:rsidR="0049019C" w:rsidRDefault="00CD0EAF">
      <w:pPr>
        <w:jc w:val="left"/>
      </w:pPr>
      <w:r>
        <w:br w:type="page"/>
      </w:r>
    </w:p>
    <w:p w14:paraId="1D86F63C" w14:textId="6E8578B9" w:rsidR="0049019C" w:rsidRDefault="00CD0EAF" w:rsidP="0052428A">
      <w:pPr>
        <w:pStyle w:val="Heading1"/>
      </w:pPr>
      <w:bookmarkStart w:id="52" w:name="_Toc5974921"/>
      <w:bookmarkStart w:id="53" w:name="CEDAW"/>
      <w:r>
        <w:lastRenderedPageBreak/>
        <w:t>Comité para la Eliminación de la Discriminación contra la Mujer</w:t>
      </w:r>
      <w:bookmarkEnd w:id="52"/>
      <w:r>
        <w:t xml:space="preserve"> </w:t>
      </w:r>
      <w:bookmarkEnd w:id="53"/>
    </w:p>
    <w:p w14:paraId="7C498FB5" w14:textId="273DE89F" w:rsidR="0049019C" w:rsidRDefault="00CD0EAF" w:rsidP="000D30E9">
      <w:pPr>
        <w:pStyle w:val="NormalIndented"/>
      </w:pPr>
      <w:r>
        <w:t xml:space="preserve">El Comité para la </w:t>
      </w:r>
      <w:r w:rsidR="00597AED">
        <w:t>E</w:t>
      </w:r>
      <w:r>
        <w:t xml:space="preserve">liminación de </w:t>
      </w:r>
      <w:r w:rsidR="00597AED">
        <w:t>D</w:t>
      </w:r>
      <w:r>
        <w:t xml:space="preserve">iscriminación contra la </w:t>
      </w:r>
      <w:r w:rsidR="00597AED">
        <w:t>M</w:t>
      </w:r>
      <w:r>
        <w:t>ujer (Comité</w:t>
      </w:r>
      <w:r w:rsidR="00B83F00">
        <w:t xml:space="preserve"> </w:t>
      </w:r>
      <w:r>
        <w:t xml:space="preserve">CEDAW) </w:t>
      </w:r>
      <w:r w:rsidR="00597AED">
        <w:t>monitore</w:t>
      </w:r>
      <w:r>
        <w:t xml:space="preserve">a la </w:t>
      </w:r>
      <w:r w:rsidR="00597AED">
        <w:t xml:space="preserve">implementación </w:t>
      </w:r>
      <w:r>
        <w:t>de</w:t>
      </w:r>
      <w:r w:rsidR="00597AED">
        <w:t xml:space="preserve"> </w:t>
      </w:r>
      <w:r>
        <w:t>l</w:t>
      </w:r>
      <w:r w:rsidR="00597AED">
        <w:t>os</w:t>
      </w:r>
      <w:r>
        <w:t xml:space="preserve"> </w:t>
      </w:r>
      <w:r w:rsidR="00597AED">
        <w:t>E</w:t>
      </w:r>
      <w:r>
        <w:t>stado</w:t>
      </w:r>
      <w:r w:rsidR="00597AED">
        <w:t>s</w:t>
      </w:r>
      <w:r>
        <w:t xml:space="preserve"> de la Convención sobre la </w:t>
      </w:r>
      <w:r w:rsidR="00597AED">
        <w:t>E</w:t>
      </w:r>
      <w:r>
        <w:t xml:space="preserve">liminación de </w:t>
      </w:r>
      <w:r w:rsidR="00597AED">
        <w:t>T</w:t>
      </w:r>
      <w:r>
        <w:t xml:space="preserve">odas las </w:t>
      </w:r>
      <w:r w:rsidR="00597AED">
        <w:t>F</w:t>
      </w:r>
      <w:r>
        <w:t xml:space="preserve">ormas de </w:t>
      </w:r>
      <w:r w:rsidR="00597AED">
        <w:t>D</w:t>
      </w:r>
      <w:r>
        <w:t xml:space="preserve">iscriminación contra la </w:t>
      </w:r>
      <w:r w:rsidR="00597AED">
        <w:t>M</w:t>
      </w:r>
      <w:r>
        <w:t xml:space="preserve">ujer (CEDAW). A través de sus </w:t>
      </w:r>
      <w:r w:rsidR="00597AED">
        <w:t>R</w:t>
      </w:r>
      <w:r>
        <w:t xml:space="preserve">ecomendaciones </w:t>
      </w:r>
      <w:r w:rsidR="00597AED">
        <w:t>G</w:t>
      </w:r>
      <w:r>
        <w:t xml:space="preserve">enerales, </w:t>
      </w:r>
      <w:r w:rsidR="00597AED">
        <w:t>O</w:t>
      </w:r>
      <w:r>
        <w:t xml:space="preserve">bservaciones </w:t>
      </w:r>
      <w:r w:rsidR="00597AED">
        <w:t xml:space="preserve">Finales </w:t>
      </w:r>
      <w:r>
        <w:t xml:space="preserve">y </w:t>
      </w:r>
      <w:r w:rsidR="00597AED">
        <w:t>Q</w:t>
      </w:r>
      <w:r>
        <w:t xml:space="preserve">uejas </w:t>
      </w:r>
      <w:r w:rsidR="00597AED">
        <w:t>I</w:t>
      </w:r>
      <w:r>
        <w:t>ndividuales, el Comité CEDAW tiene una larga historia a</w:t>
      </w:r>
      <w:r w:rsidR="00597AED">
        <w:t>bordando los derechos</w:t>
      </w:r>
      <w:r>
        <w:t xml:space="preserve"> sexual</w:t>
      </w:r>
      <w:r w:rsidR="00597AED">
        <w:t>es</w:t>
      </w:r>
      <w:r>
        <w:t xml:space="preserve"> y reproductivos para todas las mujeres y las niñas, inclu</w:t>
      </w:r>
      <w:r w:rsidR="00597AED">
        <w:t>yendo</w:t>
      </w:r>
      <w:r>
        <w:t xml:space="preserve"> las mujeres con discapacidad. </w:t>
      </w:r>
      <w:r w:rsidR="00597AED">
        <w:t>El Comité</w:t>
      </w:r>
      <w:r>
        <w:t xml:space="preserve"> aborda con frecuencia estos derechos en los </w:t>
      </w:r>
      <w:r w:rsidR="00597AED">
        <w:t>A</w:t>
      </w:r>
      <w:r>
        <w:t>rtículos 2 (no discriminación), 5 (estereotipos), 10 (derecho a la educación), 12 (derecho a la salud), 14 (derechos de las mujeres rurales) y 16(e) (derecho a decidir sobre el número y espaciamiento de hijos</w:t>
      </w:r>
      <w:r w:rsidR="00597AED">
        <w:t xml:space="preserve"> e hijas</w:t>
      </w:r>
      <w:r>
        <w:t>).</w:t>
      </w:r>
    </w:p>
    <w:p w14:paraId="32132555" w14:textId="497F70BD" w:rsidR="0049019C" w:rsidRPr="004B2C96" w:rsidRDefault="00CD0EAF" w:rsidP="00515135">
      <w:pPr>
        <w:pStyle w:val="Heading2"/>
        <w:rPr>
          <w:b w:val="0"/>
        </w:rPr>
      </w:pPr>
      <w:bookmarkStart w:id="54" w:name="_Toc5974922"/>
      <w:r w:rsidRPr="004B2C96">
        <w:rPr>
          <w:b w:val="0"/>
        </w:rPr>
        <w:t xml:space="preserve">Recomendaciones </w:t>
      </w:r>
      <w:r w:rsidR="00597AED" w:rsidRPr="004B2C96">
        <w:rPr>
          <w:b w:val="0"/>
        </w:rPr>
        <w:t>G</w:t>
      </w:r>
      <w:r w:rsidRPr="004B2C96">
        <w:rPr>
          <w:b w:val="0"/>
        </w:rPr>
        <w:t>enerales</w:t>
      </w:r>
      <w:bookmarkEnd w:id="54"/>
    </w:p>
    <w:p w14:paraId="4D13FAE5" w14:textId="7543DF2A" w:rsidR="0049019C" w:rsidRPr="00796D2B" w:rsidRDefault="00CD0EAF" w:rsidP="00753A59">
      <w:pPr>
        <w:pStyle w:val="Heading3GeneralComments"/>
      </w:pPr>
      <w:r w:rsidRPr="006253C8">
        <w:t>Recomendación</w:t>
      </w:r>
      <w:r w:rsidRPr="00796D2B">
        <w:t xml:space="preserve"> </w:t>
      </w:r>
      <w:r w:rsidR="00597AED" w:rsidRPr="006253C8">
        <w:t>G</w:t>
      </w:r>
      <w:r w:rsidRPr="006253C8">
        <w:t>eneral</w:t>
      </w:r>
      <w:r w:rsidRPr="00796D2B">
        <w:t xml:space="preserve"> </w:t>
      </w:r>
      <w:r w:rsidR="00597AED" w:rsidRPr="00796D2B">
        <w:t>No</w:t>
      </w:r>
      <w:r w:rsidRPr="00796D2B">
        <w:t>. 15 (</w:t>
      </w:r>
      <w:r w:rsidR="00433798" w:rsidRPr="00796D2B">
        <w:t>VIH/</w:t>
      </w:r>
      <w:r w:rsidRPr="00796D2B">
        <w:t>SIDA) (1990)</w:t>
      </w:r>
    </w:p>
    <w:p w14:paraId="485D905A" w14:textId="4BB1585C" w:rsidR="0049019C" w:rsidRDefault="00CD0EAF" w:rsidP="006253C8">
      <w:pPr>
        <w:pStyle w:val="indentedafterbulletp"/>
      </w:pPr>
      <w:r>
        <w:t xml:space="preserve">En su Recomendación General </w:t>
      </w:r>
      <w:r w:rsidR="00597AED">
        <w:t>N</w:t>
      </w:r>
      <w:r>
        <w:t xml:space="preserve">o. 15, el Comité CEDAW considera los efectos sobre los derechos de las mujeres que </w:t>
      </w:r>
      <w:r w:rsidR="00433798">
        <w:t>alrededor d</w:t>
      </w:r>
      <w:r>
        <w:t xml:space="preserve">el VIH/SIDA y estrategias </w:t>
      </w:r>
      <w:r w:rsidR="00433798">
        <w:t>para</w:t>
      </w:r>
      <w:r>
        <w:t xml:space="preserve"> control</w:t>
      </w:r>
      <w:r w:rsidR="00433798">
        <w:t>arlo</w:t>
      </w:r>
      <w:r>
        <w:t>. El Comité recomienda que los Estados</w:t>
      </w:r>
      <w:r w:rsidR="00433798" w:rsidRPr="00433798">
        <w:t xml:space="preserve"> </w:t>
      </w:r>
      <w:r w:rsidR="00433798">
        <w:t>se centren</w:t>
      </w:r>
      <w:r>
        <w:t xml:space="preserve"> en la vulnerabilidad de las mujeres al VIH debido a su función reproductiva, inclu</w:t>
      </w:r>
      <w:r w:rsidR="00433798">
        <w:t>yendo</w:t>
      </w:r>
      <w:r>
        <w:t xml:space="preserve"> sociedades donde las mujeres están en una posición subordinada.</w:t>
      </w:r>
      <w:r>
        <w:rPr>
          <w:rStyle w:val="EndnoteReference"/>
          <w:rFonts w:eastAsia="Times New Roman" w:cs="Times New Roman"/>
        </w:rPr>
        <w:endnoteReference w:id="466"/>
      </w:r>
      <w:r>
        <w:t xml:space="preserve"> </w:t>
      </w:r>
    </w:p>
    <w:p w14:paraId="2F933A95" w14:textId="3CB328D3" w:rsidR="0049019C" w:rsidRPr="00153080" w:rsidRDefault="00CD0EAF" w:rsidP="00753A59">
      <w:pPr>
        <w:pStyle w:val="Heading3GeneralComments"/>
      </w:pPr>
      <w:r w:rsidRPr="00153080">
        <w:t xml:space="preserve">Recomendación General No. 18: </w:t>
      </w:r>
      <w:r w:rsidR="00433798" w:rsidRPr="00153080">
        <w:t>M</w:t>
      </w:r>
      <w:r w:rsidRPr="00153080">
        <w:t xml:space="preserve">ujeres </w:t>
      </w:r>
      <w:r w:rsidR="00433798" w:rsidRPr="00153080">
        <w:t xml:space="preserve">con </w:t>
      </w:r>
      <w:r w:rsidR="005374B8">
        <w:t>d</w:t>
      </w:r>
      <w:r w:rsidRPr="00153080">
        <w:t>iscapaci</w:t>
      </w:r>
      <w:r w:rsidR="00433798" w:rsidRPr="00153080">
        <w:t>dad (1991)</w:t>
      </w:r>
    </w:p>
    <w:p w14:paraId="016B2645" w14:textId="0F2BA46B" w:rsidR="0049019C" w:rsidRDefault="00CD0EAF" w:rsidP="006253C8">
      <w:pPr>
        <w:pStyle w:val="indentedafterbulletp"/>
      </w:pPr>
      <w:r>
        <w:t xml:space="preserve">Tomando nota de que las mujeres con discapacidad sufren </w:t>
      </w:r>
      <w:r w:rsidR="00433798">
        <w:t xml:space="preserve">doble </w:t>
      </w:r>
      <w:r>
        <w:t xml:space="preserve">discriminación, el Comité CEDAW en la Recomendación </w:t>
      </w:r>
      <w:r w:rsidR="00433798">
        <w:t>General No</w:t>
      </w:r>
      <w:r>
        <w:t>. 18 recomienda que los Estados tomen medidas especiales para garantizar los derechos de las mujeres con discapacidad, incluyendo en el contexto de los servicios de salud.</w:t>
      </w:r>
      <w:r>
        <w:rPr>
          <w:rStyle w:val="EndnoteReference"/>
        </w:rPr>
        <w:endnoteReference w:id="467"/>
      </w:r>
    </w:p>
    <w:p w14:paraId="716D0FAF" w14:textId="006C6F19" w:rsidR="0049019C" w:rsidRPr="00153080" w:rsidRDefault="00CD0EAF" w:rsidP="00753A59">
      <w:pPr>
        <w:pStyle w:val="Heading3GeneralComments"/>
      </w:pPr>
      <w:r w:rsidRPr="00153080">
        <w:t xml:space="preserve">Recomendación </w:t>
      </w:r>
      <w:r w:rsidR="00433798" w:rsidRPr="00153080">
        <w:t>G</w:t>
      </w:r>
      <w:r w:rsidRPr="00153080">
        <w:t>eneral N</w:t>
      </w:r>
      <w:r w:rsidR="009149EC">
        <w:t>o.</w:t>
      </w:r>
      <w:r w:rsidRPr="00153080">
        <w:t xml:space="preserve"> 19</w:t>
      </w:r>
      <w:r w:rsidR="00433798">
        <w:t xml:space="preserve">: Violencia contra las </w:t>
      </w:r>
      <w:r w:rsidR="005374B8">
        <w:t>m</w:t>
      </w:r>
      <w:r w:rsidR="00433798">
        <w:t>ujeres (1992)</w:t>
      </w:r>
    </w:p>
    <w:p w14:paraId="0A4E3349" w14:textId="0B5793B9" w:rsidR="0049019C" w:rsidRDefault="00CD0EAF" w:rsidP="006253C8">
      <w:pPr>
        <w:pStyle w:val="indentedafterbulletp"/>
      </w:pPr>
      <w:r>
        <w:t xml:space="preserve">En su Recomendación General </w:t>
      </w:r>
      <w:r w:rsidR="00433798">
        <w:t>No</w:t>
      </w:r>
      <w:r>
        <w:t>. 19 sobre la violencia contra la</w:t>
      </w:r>
      <w:r w:rsidR="00433798">
        <w:t>s</w:t>
      </w:r>
      <w:r>
        <w:t xml:space="preserve"> mujer</w:t>
      </w:r>
      <w:r w:rsidR="00433798">
        <w:t>es</w:t>
      </w:r>
      <w:r>
        <w:t xml:space="preserve">, el Comité CEDAW reconoce que </w:t>
      </w:r>
      <w:r w:rsidR="00433798">
        <w:t xml:space="preserve">la </w:t>
      </w:r>
      <w:r>
        <w:t xml:space="preserve">esterilización forzada (obligatoria) y </w:t>
      </w:r>
      <w:r w:rsidR="00433798">
        <w:t xml:space="preserve">el </w:t>
      </w:r>
      <w:r>
        <w:t xml:space="preserve">aborto </w:t>
      </w:r>
      <w:r w:rsidR="00433798">
        <w:t xml:space="preserve">forzado </w:t>
      </w:r>
      <w:r>
        <w:t>negativamente afectan la salud física y mental de la</w:t>
      </w:r>
      <w:r w:rsidR="00433798">
        <w:t>s</w:t>
      </w:r>
      <w:r>
        <w:t xml:space="preserve"> mujer</w:t>
      </w:r>
      <w:r w:rsidR="00433798">
        <w:t>es</w:t>
      </w:r>
      <w:r>
        <w:t xml:space="preserve"> y </w:t>
      </w:r>
      <w:r w:rsidR="00433798">
        <w:t xml:space="preserve">que son </w:t>
      </w:r>
      <w:r>
        <w:t xml:space="preserve">violaciones de sus derechos bajo el </w:t>
      </w:r>
      <w:r w:rsidR="00433798">
        <w:t>A</w:t>
      </w:r>
      <w:r>
        <w:t xml:space="preserve">rtículo 16 (derecho </w:t>
      </w:r>
      <w:r w:rsidR="00433798">
        <w:t xml:space="preserve">a </w:t>
      </w:r>
      <w:r>
        <w:t>decidir sobre el número y espaciamiento de hijos</w:t>
      </w:r>
      <w:r w:rsidR="00433798">
        <w:t xml:space="preserve"> e hijas</w:t>
      </w:r>
      <w:r>
        <w:t>).</w:t>
      </w:r>
      <w:r>
        <w:rPr>
          <w:rStyle w:val="EndnoteReference"/>
        </w:rPr>
        <w:endnoteReference w:id="468"/>
      </w:r>
      <w:r>
        <w:t xml:space="preserve"> Recomienda que los Estados tomen medidas para evitar la coacción reproductiva y relacionad</w:t>
      </w:r>
      <w:r w:rsidR="00433798">
        <w:t>a</w:t>
      </w:r>
      <w:r>
        <w:t xml:space="preserve"> con la fertilidad.</w:t>
      </w:r>
      <w:r>
        <w:rPr>
          <w:rStyle w:val="EndnoteReference"/>
        </w:rPr>
        <w:endnoteReference w:id="469"/>
      </w:r>
      <w:r>
        <w:t xml:space="preserve"> El Comité también recomienda que los Estados garanti</w:t>
      </w:r>
      <w:r w:rsidR="00433798">
        <w:t>cen</w:t>
      </w:r>
      <w:r>
        <w:t xml:space="preserve"> que las mujeres no ten</w:t>
      </w:r>
      <w:r w:rsidR="00433798">
        <w:t>ga</w:t>
      </w:r>
      <w:r>
        <w:t xml:space="preserve">n que recurrir a procedimientos médicos inseguros, como el aborto inseguro, por </w:t>
      </w:r>
      <w:r w:rsidR="00433798">
        <w:t>falta de</w:t>
      </w:r>
      <w:r>
        <w:t xml:space="preserve"> acceso a los servicios apropiados para el control de su fertilidad.</w:t>
      </w:r>
      <w:r>
        <w:rPr>
          <w:rStyle w:val="EndnoteReference"/>
        </w:rPr>
        <w:endnoteReference w:id="470"/>
      </w:r>
    </w:p>
    <w:p w14:paraId="52C9642C" w14:textId="2FE12C90" w:rsidR="0049019C" w:rsidRPr="00153080" w:rsidRDefault="00CD0EAF" w:rsidP="00753A59">
      <w:pPr>
        <w:pStyle w:val="Heading3GeneralComments"/>
      </w:pPr>
      <w:r w:rsidRPr="00153080">
        <w:t xml:space="preserve">Recomendación </w:t>
      </w:r>
      <w:r w:rsidR="00433798" w:rsidRPr="00153080">
        <w:t>G</w:t>
      </w:r>
      <w:r w:rsidRPr="00153080">
        <w:t xml:space="preserve">eneral </w:t>
      </w:r>
      <w:r w:rsidR="00433798" w:rsidRPr="00153080">
        <w:t>N</w:t>
      </w:r>
      <w:r w:rsidRPr="00153080">
        <w:t>o. 21: Igualdad en el matrimonio y las relaciones familiares (1994)</w:t>
      </w:r>
    </w:p>
    <w:p w14:paraId="21B361C5" w14:textId="5AEECCF9" w:rsidR="0049019C" w:rsidRDefault="00CD0EAF" w:rsidP="006253C8">
      <w:pPr>
        <w:pStyle w:val="indentedafterbulletp"/>
      </w:pPr>
      <w:r>
        <w:t>En su Recomendación General N</w:t>
      </w:r>
      <w:r w:rsidR="009149EC">
        <w:t>o.</w:t>
      </w:r>
      <w:r>
        <w:t xml:space="preserve"> 21, el Comité CEDAW reconoce que las mujeres tienen el derecho a decidir sobre el número y espaciamiento de sus hijos </w:t>
      </w:r>
      <w:r w:rsidR="006B5417">
        <w:t xml:space="preserve">e hijas </w:t>
      </w:r>
      <w:r>
        <w:t>en parte porque los niños</w:t>
      </w:r>
      <w:r w:rsidR="006B5417">
        <w:t xml:space="preserve"> y niñas</w:t>
      </w:r>
      <w:r>
        <w:t xml:space="preserve"> imponen responsabilidades desigual</w:t>
      </w:r>
      <w:r w:rsidR="006B5417">
        <w:t>es</w:t>
      </w:r>
      <w:r>
        <w:t xml:space="preserve"> y carga</w:t>
      </w:r>
      <w:r w:rsidR="006B5417">
        <w:t>s desproporcionadas</w:t>
      </w:r>
      <w:r>
        <w:t xml:space="preserve"> de trabajo de cuidado </w:t>
      </w:r>
      <w:r w:rsidR="006B5417">
        <w:t xml:space="preserve">en </w:t>
      </w:r>
      <w:r>
        <w:t>la</w:t>
      </w:r>
      <w:r w:rsidR="006B5417">
        <w:t>s</w:t>
      </w:r>
      <w:r>
        <w:t xml:space="preserve"> mujer</w:t>
      </w:r>
      <w:r w:rsidR="006B5417">
        <w:t>es</w:t>
      </w:r>
      <w:r>
        <w:t>,</w:t>
      </w:r>
      <w:r>
        <w:rPr>
          <w:rStyle w:val="EndnoteReference"/>
          <w:rFonts w:eastAsia="Times New Roman" w:cs="Times New Roman"/>
        </w:rPr>
        <w:endnoteReference w:id="471"/>
      </w:r>
      <w:r>
        <w:t xml:space="preserve"> que a su vez afecta sus derechos a la educación, empleo, y a otras actividades relacionadas con el desarrollo personal.</w:t>
      </w:r>
      <w:r>
        <w:rPr>
          <w:rStyle w:val="EndnoteReference"/>
          <w:rFonts w:eastAsia="Times New Roman" w:cs="Times New Roman"/>
        </w:rPr>
        <w:endnoteReference w:id="472"/>
      </w:r>
      <w:r>
        <w:t xml:space="preserve"> </w:t>
      </w:r>
      <w:r w:rsidR="006B5417">
        <w:t>El Comité</w:t>
      </w:r>
      <w:r>
        <w:t xml:space="preserve"> también reconoce el daño causado por prácticas coercitivas reproductivas — como aborto forzado, esterilización </w:t>
      </w:r>
      <w:r w:rsidR="006B5417">
        <w:t xml:space="preserve">forzada </w:t>
      </w:r>
      <w:r>
        <w:t>y embarazos</w:t>
      </w:r>
      <w:r w:rsidR="006B5417">
        <w:t xml:space="preserve"> forzados</w:t>
      </w:r>
      <w:r>
        <w:t xml:space="preserve"> — y nota que la decisión de una mujer </w:t>
      </w:r>
      <w:r w:rsidR="006B5417">
        <w:t>de</w:t>
      </w:r>
      <w:r>
        <w:t xml:space="preserve"> tener hijos</w:t>
      </w:r>
      <w:r w:rsidR="006B5417">
        <w:t xml:space="preserve"> o hijas</w:t>
      </w:r>
      <w:r>
        <w:t>, o no, nunca debería ser limitad</w:t>
      </w:r>
      <w:r w:rsidR="006B5417">
        <w:t>a</w:t>
      </w:r>
      <w:r>
        <w:t xml:space="preserve"> por los cónyuges, padres, </w:t>
      </w:r>
      <w:r w:rsidR="006B5417">
        <w:t>pareja</w:t>
      </w:r>
      <w:r>
        <w:t xml:space="preserve">s, o el </w:t>
      </w:r>
      <w:r w:rsidR="006B5417">
        <w:t>E</w:t>
      </w:r>
      <w:r>
        <w:t>stado.</w:t>
      </w:r>
      <w:r>
        <w:rPr>
          <w:rStyle w:val="EndnoteReference"/>
          <w:rFonts w:eastAsia="Times New Roman" w:cs="Times New Roman"/>
        </w:rPr>
        <w:endnoteReference w:id="473"/>
      </w:r>
    </w:p>
    <w:p w14:paraId="05C76233" w14:textId="38BC2B3B" w:rsidR="0049019C" w:rsidRPr="00153080" w:rsidRDefault="00CD0EAF" w:rsidP="00753A59">
      <w:pPr>
        <w:pStyle w:val="Heading3GeneralComments"/>
      </w:pPr>
      <w:r w:rsidRPr="00153080">
        <w:t xml:space="preserve">Recomendación </w:t>
      </w:r>
      <w:r w:rsidR="006B5417" w:rsidRPr="00153080">
        <w:t>G</w:t>
      </w:r>
      <w:r w:rsidRPr="00153080">
        <w:t xml:space="preserve">eneral </w:t>
      </w:r>
      <w:r w:rsidR="006B5417" w:rsidRPr="00153080">
        <w:t>N</w:t>
      </w:r>
      <w:r w:rsidRPr="00153080">
        <w:t xml:space="preserve">o. 23: Vida </w:t>
      </w:r>
      <w:r w:rsidR="005374B8">
        <w:t>p</w:t>
      </w:r>
      <w:r w:rsidRPr="00153080">
        <w:t xml:space="preserve">olítica y </w:t>
      </w:r>
      <w:r w:rsidR="005374B8">
        <w:t>p</w:t>
      </w:r>
      <w:r w:rsidRPr="00153080">
        <w:t>ública (1997)</w:t>
      </w:r>
    </w:p>
    <w:p w14:paraId="625B6A7E" w14:textId="15B07731" w:rsidR="0049019C" w:rsidRDefault="00CD0EAF" w:rsidP="006253C8">
      <w:pPr>
        <w:pStyle w:val="indentedafterbulletp"/>
      </w:pPr>
      <w:r>
        <w:t>En su Recomendación General N</w:t>
      </w:r>
      <w:r w:rsidR="00ED5219">
        <w:t>o.</w:t>
      </w:r>
      <w:r>
        <w:t xml:space="preserve"> 23, el Comité CEDAW reconoce que las mujeres tradicionalmente han sido asignadas a la esfera privada y doméstica, debido a su </w:t>
      </w:r>
      <w:r w:rsidRPr="006253C8">
        <w:t>capacidad</w:t>
      </w:r>
      <w:r>
        <w:t xml:space="preserve"> reproductiva.</w:t>
      </w:r>
      <w:r w:rsidRPr="00153080">
        <w:rPr>
          <w:vertAlign w:val="superscript"/>
        </w:rPr>
        <w:endnoteReference w:id="474"/>
      </w:r>
      <w:r w:rsidRPr="00153080">
        <w:rPr>
          <w:vertAlign w:val="superscript"/>
        </w:rPr>
        <w:t xml:space="preserve"> </w:t>
      </w:r>
      <w:r>
        <w:t xml:space="preserve">Esto significa que las mujeres históricamente han sido excluidas de la vida pública, y los hombres han ejercido poder </w:t>
      </w:r>
      <w:r w:rsidR="00ED5219">
        <w:t xml:space="preserve">para </w:t>
      </w:r>
      <w:r>
        <w:t xml:space="preserve">confinar a las mujeres </w:t>
      </w:r>
      <w:r w:rsidR="00ED5219">
        <w:t>a</w:t>
      </w:r>
      <w:r>
        <w:t xml:space="preserve"> la esfera privada, afectan</w:t>
      </w:r>
      <w:r w:rsidR="00ED5219">
        <w:t>do</w:t>
      </w:r>
      <w:r>
        <w:t xml:space="preserve"> el ejercicio de los derechos</w:t>
      </w:r>
      <w:r w:rsidR="00ED5219">
        <w:t xml:space="preserve"> de las mujeres</w:t>
      </w:r>
      <w:r>
        <w:t>.</w:t>
      </w:r>
      <w:r w:rsidRPr="00153080">
        <w:rPr>
          <w:vertAlign w:val="superscript"/>
        </w:rPr>
        <w:endnoteReference w:id="475"/>
      </w:r>
      <w:r w:rsidRPr="00153080">
        <w:rPr>
          <w:vertAlign w:val="superscript"/>
        </w:rPr>
        <w:t xml:space="preserve"> </w:t>
      </w:r>
    </w:p>
    <w:p w14:paraId="52BFD284" w14:textId="645DAD7F" w:rsidR="0049019C" w:rsidRPr="00153080" w:rsidRDefault="00CD0EAF" w:rsidP="00753A59">
      <w:pPr>
        <w:pStyle w:val="Heading3GeneralComments"/>
      </w:pPr>
      <w:r w:rsidRPr="00153080">
        <w:lastRenderedPageBreak/>
        <w:t xml:space="preserve">Recomendación </w:t>
      </w:r>
      <w:r w:rsidR="00153080">
        <w:t>G</w:t>
      </w:r>
      <w:r w:rsidRPr="00153080">
        <w:t xml:space="preserve">eneral </w:t>
      </w:r>
      <w:r w:rsidR="003E1AA5" w:rsidRPr="00153080">
        <w:t>N</w:t>
      </w:r>
      <w:r w:rsidRPr="00153080">
        <w:t xml:space="preserve">o. 24: Mujeres y </w:t>
      </w:r>
      <w:r w:rsidR="005374B8">
        <w:t>s</w:t>
      </w:r>
      <w:r w:rsidRPr="00153080">
        <w:t>alud (1999)</w:t>
      </w:r>
    </w:p>
    <w:p w14:paraId="132155F4" w14:textId="163A63D2" w:rsidR="0049019C" w:rsidRDefault="00CD0EAF" w:rsidP="006253C8">
      <w:pPr>
        <w:pStyle w:val="indentedafterbulletp"/>
      </w:pPr>
      <w:r>
        <w:t>En su Recomendación General N</w:t>
      </w:r>
      <w:r w:rsidR="009149EC">
        <w:t>o.</w:t>
      </w:r>
      <w:r>
        <w:t xml:space="preserve"> 24, </w:t>
      </w:r>
      <w:r w:rsidR="003E1AA5">
        <w:t xml:space="preserve">el </w:t>
      </w:r>
      <w:r>
        <w:t>Comité</w:t>
      </w:r>
      <w:r w:rsidR="00FB7883">
        <w:t xml:space="preserve"> </w:t>
      </w:r>
      <w:r>
        <w:t xml:space="preserve">CEDAW se centra en </w:t>
      </w:r>
      <w:r w:rsidR="003E1AA5">
        <w:t xml:space="preserve">el </w:t>
      </w:r>
      <w:r>
        <w:t xml:space="preserve">derecho de las mujeres a la salud en el </w:t>
      </w:r>
      <w:r w:rsidR="003E1AA5">
        <w:t>A</w:t>
      </w:r>
      <w:r>
        <w:t xml:space="preserve">rtículo 12, encontrando que, los Estados </w:t>
      </w:r>
      <w:r w:rsidR="003E1AA5">
        <w:t xml:space="preserve">para </w:t>
      </w:r>
      <w:r>
        <w:t>eliminar la discriminación contra la</w:t>
      </w:r>
      <w:r w:rsidR="003E1AA5">
        <w:t>s</w:t>
      </w:r>
      <w:r>
        <w:t xml:space="preserve"> mujer</w:t>
      </w:r>
      <w:r w:rsidR="003E1AA5">
        <w:t>es</w:t>
      </w:r>
      <w:r>
        <w:t>, debe</w:t>
      </w:r>
      <w:r w:rsidR="003E1AA5">
        <w:t>n</w:t>
      </w:r>
      <w:r>
        <w:t xml:space="preserve"> proporcionar servicios de atención </w:t>
      </w:r>
      <w:r w:rsidR="003E1AA5">
        <w:t xml:space="preserve">de la salud </w:t>
      </w:r>
      <w:r>
        <w:t xml:space="preserve">para prevenir, detectar y tratar enfermedades específicas de las mujeres, incluyendo </w:t>
      </w:r>
      <w:r w:rsidR="003E1AA5">
        <w:t>aquel</w:t>
      </w:r>
      <w:r>
        <w:t>las relacionadas con la sexualidad y la reproducción.</w:t>
      </w:r>
      <w:r>
        <w:rPr>
          <w:rStyle w:val="EndnoteReference"/>
        </w:rPr>
        <w:endnoteReference w:id="476"/>
      </w:r>
      <w:r>
        <w:t xml:space="preserve"> El Comité reconoce también que las mujeres y las niñas experimentan tasas más altas de </w:t>
      </w:r>
      <w:r w:rsidR="003E1AA5">
        <w:t>violencia, prácticas nocivas, y abuso sexual</w:t>
      </w:r>
      <w:r>
        <w:t xml:space="preserve"> que puede afectar su salud, incluida su salud sexual y reproductiva.</w:t>
      </w:r>
      <w:r>
        <w:rPr>
          <w:rStyle w:val="EndnoteReference"/>
        </w:rPr>
        <w:endnoteReference w:id="477"/>
      </w:r>
      <w:r>
        <w:t xml:space="preserve"> En particular, el Comité observa que los Estados debe</w:t>
      </w:r>
      <w:r w:rsidR="003E1AA5">
        <w:t>rían</w:t>
      </w:r>
      <w:r>
        <w:t xml:space="preserve"> prohibir </w:t>
      </w:r>
      <w:r w:rsidR="003E1AA5">
        <w:t>prácticas</w:t>
      </w:r>
      <w:r w:rsidR="003E1AA5" w:rsidDel="003E1AA5">
        <w:t xml:space="preserve"> </w:t>
      </w:r>
      <w:r>
        <w:t>forzad</w:t>
      </w:r>
      <w:r w:rsidR="003E1AA5">
        <w:t>as</w:t>
      </w:r>
      <w:r>
        <w:t xml:space="preserve"> o </w:t>
      </w:r>
      <w:r w:rsidR="003E1AA5">
        <w:t xml:space="preserve">bajo </w:t>
      </w:r>
      <w:r>
        <w:t>coacci</w:t>
      </w:r>
      <w:r w:rsidR="003E1AA5">
        <w:t>ón</w:t>
      </w:r>
      <w:r>
        <w:t>, como la esterilización no consensual, pruebas de embarazo obligatoria o pruebas obligatorias de enfermedades de transmisión sexual.</w:t>
      </w:r>
      <w:r>
        <w:rPr>
          <w:rStyle w:val="EndnoteReference"/>
        </w:rPr>
        <w:endnoteReference w:id="478"/>
      </w:r>
      <w:r>
        <w:t xml:space="preserve"> En cuanto a las mujeres con discapacidad, recomienda que los Estados garantizar que los servicios de salud sean accesibles y sensibles a sus necesidades, respetando sus derechos humanos.</w:t>
      </w:r>
      <w:r w:rsidRPr="00153080">
        <w:rPr>
          <w:vertAlign w:val="superscript"/>
        </w:rPr>
        <w:endnoteReference w:id="479"/>
      </w:r>
    </w:p>
    <w:p w14:paraId="59189FB2" w14:textId="6D175BAB" w:rsidR="0049019C" w:rsidRPr="00153080" w:rsidRDefault="00CD0EAF" w:rsidP="00753A59">
      <w:pPr>
        <w:pStyle w:val="Heading3GeneralComments"/>
      </w:pPr>
      <w:r w:rsidRPr="00153080">
        <w:t xml:space="preserve">Recomendación </w:t>
      </w:r>
      <w:r w:rsidR="003E1AA5" w:rsidRPr="00153080">
        <w:t>G</w:t>
      </w:r>
      <w:r w:rsidRPr="00153080">
        <w:t xml:space="preserve">eneral </w:t>
      </w:r>
      <w:r w:rsidR="003E1AA5" w:rsidRPr="00153080">
        <w:t>N</w:t>
      </w:r>
      <w:r w:rsidRPr="00153080">
        <w:t xml:space="preserve">o. 26: Las </w:t>
      </w:r>
      <w:r w:rsidR="005374B8">
        <w:t>m</w:t>
      </w:r>
      <w:r w:rsidRPr="00153080">
        <w:t xml:space="preserve">ujeres </w:t>
      </w:r>
      <w:r w:rsidR="005374B8">
        <w:t>t</w:t>
      </w:r>
      <w:r w:rsidRPr="00153080">
        <w:t xml:space="preserve">rabajadoras </w:t>
      </w:r>
      <w:r w:rsidR="005374B8">
        <w:t>m</w:t>
      </w:r>
      <w:r w:rsidRPr="00153080">
        <w:t>igrantes (2008)</w:t>
      </w:r>
    </w:p>
    <w:p w14:paraId="5B8818B4" w14:textId="24297765" w:rsidR="0049019C" w:rsidRDefault="00CD0EAF" w:rsidP="006253C8">
      <w:pPr>
        <w:pStyle w:val="indentedafterbulletp"/>
      </w:pPr>
      <w:r>
        <w:t xml:space="preserve">En su Recomendación General </w:t>
      </w:r>
      <w:r w:rsidR="003E1AA5">
        <w:t>N</w:t>
      </w:r>
      <w:r>
        <w:t xml:space="preserve">o. 26, el Comité CEDAW encuentra </w:t>
      </w:r>
      <w:r w:rsidR="003E1AA5">
        <w:t>que las</w:t>
      </w:r>
      <w:r>
        <w:t xml:space="preserve"> mujeres trabajadores </w:t>
      </w:r>
      <w:r w:rsidR="003E1AA5">
        <w:t xml:space="preserve">migrantes </w:t>
      </w:r>
      <w:r>
        <w:t xml:space="preserve">sufren de desigualdad en el acceso a la salud, incluyendo </w:t>
      </w:r>
      <w:r w:rsidRPr="006253C8">
        <w:t>servicios</w:t>
      </w:r>
      <w:r>
        <w:t xml:space="preserve"> de salud reproductiva, debido a su falta de seguro de salud o acceso a sistemas </w:t>
      </w:r>
      <w:r w:rsidR="003E1AA5">
        <w:t xml:space="preserve">nacionales </w:t>
      </w:r>
      <w:r>
        <w:t>de salud.</w:t>
      </w:r>
      <w:r>
        <w:rPr>
          <w:rStyle w:val="EndnoteReference"/>
          <w:rFonts w:eastAsia="Times New Roman" w:cs="Times New Roman"/>
        </w:rPr>
        <w:endnoteReference w:id="480"/>
      </w:r>
      <w:r>
        <w:t xml:space="preserve"> El Comité </w:t>
      </w:r>
      <w:r w:rsidR="00785A8C">
        <w:t xml:space="preserve">CEDAW </w:t>
      </w:r>
      <w:r>
        <w:t>recomienda que los Estados proporcion</w:t>
      </w:r>
      <w:r w:rsidR="00785A8C">
        <w:t>e</w:t>
      </w:r>
      <w:r>
        <w:t xml:space="preserve">n educación y </w:t>
      </w:r>
      <w:r w:rsidR="00785A8C">
        <w:t>creen conciencia</w:t>
      </w:r>
      <w:r>
        <w:t xml:space="preserve"> </w:t>
      </w:r>
      <w:r w:rsidR="00785A8C">
        <w:t xml:space="preserve">en </w:t>
      </w:r>
      <w:r>
        <w:t>l</w:t>
      </w:r>
      <w:r w:rsidR="00785A8C">
        <w:t>a</w:t>
      </w:r>
      <w:r>
        <w:t xml:space="preserve">s </w:t>
      </w:r>
      <w:r w:rsidR="00785A8C">
        <w:t xml:space="preserve">mujeres </w:t>
      </w:r>
      <w:r>
        <w:t>trabajador</w:t>
      </w:r>
      <w:r w:rsidR="00785A8C">
        <w:t>a</w:t>
      </w:r>
      <w:r>
        <w:t xml:space="preserve">s migrantes </w:t>
      </w:r>
      <w:r w:rsidR="00785A8C">
        <w:t>sobre la salud sexual y reproductiva</w:t>
      </w:r>
      <w:r>
        <w:t>.</w:t>
      </w:r>
      <w:r>
        <w:rPr>
          <w:rStyle w:val="EndnoteReference"/>
          <w:rFonts w:eastAsia="Times New Roman" w:cs="Times New Roman"/>
        </w:rPr>
        <w:endnoteReference w:id="481"/>
      </w:r>
    </w:p>
    <w:p w14:paraId="21B170BA" w14:textId="0F5821FD" w:rsidR="0049019C" w:rsidRPr="00111E71" w:rsidRDefault="00CD0EAF" w:rsidP="00753A59">
      <w:pPr>
        <w:pStyle w:val="Heading3GeneralComments"/>
      </w:pPr>
      <w:r w:rsidRPr="00111E71">
        <w:t xml:space="preserve">Recomendación </w:t>
      </w:r>
      <w:r w:rsidR="00785A8C" w:rsidRPr="00111E71">
        <w:t>G</w:t>
      </w:r>
      <w:r w:rsidRPr="00111E71">
        <w:t xml:space="preserve">eneral </w:t>
      </w:r>
      <w:r w:rsidR="00785A8C" w:rsidRPr="00111E71">
        <w:t>N</w:t>
      </w:r>
      <w:r w:rsidRPr="00111E71">
        <w:t xml:space="preserve">o. 27: Mujeres </w:t>
      </w:r>
      <w:r w:rsidR="005374B8" w:rsidRPr="00111E71">
        <w:t>a</w:t>
      </w:r>
      <w:r w:rsidR="00785A8C" w:rsidRPr="00111E71">
        <w:t xml:space="preserve">dultas </w:t>
      </w:r>
      <w:r w:rsidR="005374B8" w:rsidRPr="00111E71">
        <w:t>m</w:t>
      </w:r>
      <w:r w:rsidRPr="00111E71">
        <w:t>ayores (2010)</w:t>
      </w:r>
    </w:p>
    <w:p w14:paraId="0503397D" w14:textId="59143BCA" w:rsidR="0049019C" w:rsidRDefault="00CD0EAF" w:rsidP="006253C8">
      <w:pPr>
        <w:pStyle w:val="indentedafterbulletp"/>
      </w:pPr>
      <w:r>
        <w:t xml:space="preserve">En su Recomendación General </w:t>
      </w:r>
      <w:r w:rsidR="00785A8C">
        <w:t>N</w:t>
      </w:r>
      <w:r>
        <w:t xml:space="preserve">o. 27, el Comité CEDAW reconoce que las mujeres </w:t>
      </w:r>
      <w:r w:rsidR="00785A8C">
        <w:t xml:space="preserve">adultas </w:t>
      </w:r>
      <w:r>
        <w:t xml:space="preserve">mayores pueden verse como una carga y </w:t>
      </w:r>
      <w:r w:rsidR="00785A8C">
        <w:t xml:space="preserve">enfrentan </w:t>
      </w:r>
      <w:r>
        <w:t xml:space="preserve">negligencia debido a los estereotipos de género, y específicamente porque ya no se considera </w:t>
      </w:r>
      <w:r w:rsidR="00785A8C">
        <w:t xml:space="preserve">que tengan </w:t>
      </w:r>
      <w:r>
        <w:t xml:space="preserve">un </w:t>
      </w:r>
      <w:r w:rsidR="00785A8C">
        <w:t>ro</w:t>
      </w:r>
      <w:r>
        <w:t>l productivo o reproductivo,</w:t>
      </w:r>
      <w:r>
        <w:rPr>
          <w:rStyle w:val="EndnoteReference"/>
          <w:rFonts w:eastAsia="Times New Roman" w:cs="Times New Roman"/>
        </w:rPr>
        <w:endnoteReference w:id="482"/>
      </w:r>
      <w:r>
        <w:t xml:space="preserve"> y </w:t>
      </w:r>
      <w:r w:rsidR="00785A8C">
        <w:t xml:space="preserve">la </w:t>
      </w:r>
      <w:r>
        <w:t xml:space="preserve">información sobre salud sexual y VIH/SIDA </w:t>
      </w:r>
      <w:r w:rsidR="00785A8C">
        <w:t xml:space="preserve">puede no ser proporcionada </w:t>
      </w:r>
      <w:r>
        <w:t xml:space="preserve">de manera adecuada y accesible </w:t>
      </w:r>
      <w:r w:rsidR="00785A8C">
        <w:t>p</w:t>
      </w:r>
      <w:r>
        <w:t>a</w:t>
      </w:r>
      <w:r w:rsidR="00785A8C">
        <w:t>ra</w:t>
      </w:r>
      <w:r>
        <w:t xml:space="preserve"> las mujeres </w:t>
      </w:r>
      <w:r w:rsidR="00785A8C">
        <w:t xml:space="preserve">adultas </w:t>
      </w:r>
      <w:r>
        <w:t>mayores.</w:t>
      </w:r>
      <w:r>
        <w:rPr>
          <w:rStyle w:val="EndnoteReference"/>
          <w:rFonts w:eastAsia="Times New Roman" w:cs="Times New Roman"/>
        </w:rPr>
        <w:endnoteReference w:id="483"/>
      </w:r>
      <w:r>
        <w:t xml:space="preserve"> El Comité recomienda que los Estados adopten una política integral de salud dirigida a mujeres </w:t>
      </w:r>
      <w:r w:rsidR="00785A8C">
        <w:t xml:space="preserve">adultas </w:t>
      </w:r>
      <w:r>
        <w:t>mayores</w:t>
      </w:r>
      <w:r w:rsidR="00785A8C">
        <w:t>,</w:t>
      </w:r>
      <w:r>
        <w:t xml:space="preserve"> y </w:t>
      </w:r>
      <w:r w:rsidR="00785A8C">
        <w:t xml:space="preserve">diseñen </w:t>
      </w:r>
      <w:r>
        <w:t xml:space="preserve">programas especiales de diseño para las mujeres </w:t>
      </w:r>
      <w:r w:rsidR="00785A8C">
        <w:t xml:space="preserve">adultas </w:t>
      </w:r>
      <w:r>
        <w:t>mayores con</w:t>
      </w:r>
      <w:r w:rsidR="00785A8C">
        <w:t xml:space="preserve"> énfasis</w:t>
      </w:r>
      <w:r>
        <w:t xml:space="preserve"> en las mujeres con discapacidad.</w:t>
      </w:r>
      <w:r>
        <w:rPr>
          <w:rStyle w:val="EndnoteReference"/>
          <w:rFonts w:eastAsia="Times New Roman" w:cs="Times New Roman"/>
        </w:rPr>
        <w:endnoteReference w:id="484"/>
      </w:r>
      <w:r>
        <w:t xml:space="preserve"> </w:t>
      </w:r>
    </w:p>
    <w:p w14:paraId="7828A605" w14:textId="128DE531" w:rsidR="0049019C" w:rsidRPr="00153080" w:rsidRDefault="00CD0EAF" w:rsidP="00753A59">
      <w:pPr>
        <w:pStyle w:val="Heading3GeneralComments"/>
      </w:pPr>
      <w:r w:rsidRPr="00153080">
        <w:t xml:space="preserve">Recomendación </w:t>
      </w:r>
      <w:r w:rsidR="00785A8C" w:rsidRPr="00153080">
        <w:t>G</w:t>
      </w:r>
      <w:r w:rsidRPr="00153080">
        <w:t xml:space="preserve">eneral </w:t>
      </w:r>
      <w:r w:rsidR="00785A8C" w:rsidRPr="00153080">
        <w:t>No</w:t>
      </w:r>
      <w:r w:rsidRPr="00153080">
        <w:t>. 30</w:t>
      </w:r>
      <w:r w:rsidR="00785A8C" w:rsidRPr="00153080">
        <w:t>: M</w:t>
      </w:r>
      <w:r w:rsidRPr="00153080">
        <w:t>ujeres en la prevención de conflictos y en situaciones de conflicto y posteriores a conflictos</w:t>
      </w:r>
      <w:r w:rsidR="00785A8C" w:rsidRPr="00153080">
        <w:t xml:space="preserve"> (2013)</w:t>
      </w:r>
    </w:p>
    <w:p w14:paraId="2E7A8230" w14:textId="589A0719" w:rsidR="0049019C" w:rsidRDefault="00CD0EAF" w:rsidP="006253C8">
      <w:pPr>
        <w:pStyle w:val="indentedafterbulletp"/>
      </w:pPr>
      <w:r>
        <w:t>En su Recomendación General N</w:t>
      </w:r>
      <w:r w:rsidR="00785A8C">
        <w:t>o.</w:t>
      </w:r>
      <w:r>
        <w:t xml:space="preserve"> 30, el Comité </w:t>
      </w:r>
      <w:r w:rsidR="00785A8C">
        <w:t xml:space="preserve">CEDAW </w:t>
      </w:r>
      <w:r>
        <w:t>toma nota de que el acceso a servicios esenciales de salud sexual y reproductiv</w:t>
      </w:r>
      <w:r w:rsidR="00785A8C">
        <w:t>a</w:t>
      </w:r>
      <w:r>
        <w:t xml:space="preserve"> se interrumpe durante tiempos de conflicto debido a la insuficiente infraestructura, así como </w:t>
      </w:r>
      <w:r w:rsidR="00785A8C">
        <w:t xml:space="preserve">al </w:t>
      </w:r>
      <w:r>
        <w:t xml:space="preserve">bajo número de personal de salud, medicamentos, y </w:t>
      </w:r>
      <w:r w:rsidRPr="006253C8">
        <w:t>suministros</w:t>
      </w:r>
      <w:r>
        <w:t>.</w:t>
      </w:r>
      <w:r>
        <w:rPr>
          <w:rStyle w:val="EndnoteReference"/>
          <w:rFonts w:eastAsia="Times New Roman" w:cs="Times New Roman"/>
        </w:rPr>
        <w:endnoteReference w:id="485"/>
      </w:r>
      <w:r>
        <w:t xml:space="preserve"> Como resultado, existe un mayor riesgo de violencia, embarazos no deseados, lesiones sexuales o reproductiv</w:t>
      </w:r>
      <w:r w:rsidR="00F43C61">
        <w:t>a</w:t>
      </w:r>
      <w:r>
        <w:t xml:space="preserve">s y </w:t>
      </w:r>
      <w:r w:rsidR="00F43C61">
        <w:t xml:space="preserve">de </w:t>
      </w:r>
      <w:r>
        <w:t>contraer ITS, incluyendo VIH/SIDA, durante situaciones de conflicto y pos</w:t>
      </w:r>
      <w:r w:rsidR="00F43C61">
        <w:t>t</w:t>
      </w:r>
      <w:r>
        <w:t>conflicto.</w:t>
      </w:r>
      <w:r>
        <w:rPr>
          <w:rStyle w:val="EndnoteReference"/>
          <w:rFonts w:eastAsia="Times New Roman" w:cs="Times New Roman"/>
        </w:rPr>
        <w:endnoteReference w:id="486"/>
      </w:r>
      <w:r>
        <w:t xml:space="preserve"> El Comité recomienda que los Estados asegur</w:t>
      </w:r>
      <w:r w:rsidR="00F43C61">
        <w:t>e</w:t>
      </w:r>
      <w:r>
        <w:t xml:space="preserve">n el acceso a información </w:t>
      </w:r>
      <w:r w:rsidR="00F43C61">
        <w:t xml:space="preserve">y los servicios </w:t>
      </w:r>
      <w:r>
        <w:t>sobre salud sexual y reproductiva, incluyendo planificación familiar, anticoncepción de emergencia, servicios de salud materna, aborto seguro, la atención postaborto y prevención y tratamiento para VIH/SIDA y otras ITS, en situaciones de conflicto y pos</w:t>
      </w:r>
      <w:r w:rsidR="00F43C61">
        <w:t>t</w:t>
      </w:r>
      <w:r>
        <w:t>conflicto.</w:t>
      </w:r>
      <w:r>
        <w:rPr>
          <w:rStyle w:val="EndnoteReference"/>
          <w:rFonts w:eastAsia="Times New Roman" w:cs="Times New Roman"/>
        </w:rPr>
        <w:endnoteReference w:id="487"/>
      </w:r>
      <w:r>
        <w:t xml:space="preserve"> </w:t>
      </w:r>
    </w:p>
    <w:p w14:paraId="56C74203" w14:textId="5B012513" w:rsidR="0049019C" w:rsidRPr="00153080" w:rsidRDefault="00CD0EAF" w:rsidP="00753A59">
      <w:pPr>
        <w:pStyle w:val="Heading3GeneralComments"/>
      </w:pPr>
      <w:r w:rsidRPr="00153080">
        <w:t xml:space="preserve">Recomendación </w:t>
      </w:r>
      <w:r w:rsidR="00F43C61" w:rsidRPr="00153080">
        <w:t>General Conjunta No</w:t>
      </w:r>
      <w:r w:rsidRPr="00153080">
        <w:t xml:space="preserve">. 31: </w:t>
      </w:r>
      <w:r w:rsidR="00F43C61" w:rsidRPr="00153080">
        <w:t>P</w:t>
      </w:r>
      <w:r w:rsidRPr="00153080">
        <w:t xml:space="preserve">rácticas </w:t>
      </w:r>
      <w:r w:rsidR="00F43C61" w:rsidRPr="00153080">
        <w:t xml:space="preserve">nocivas </w:t>
      </w:r>
      <w:r w:rsidRPr="00153080">
        <w:t>(2014)</w:t>
      </w:r>
    </w:p>
    <w:p w14:paraId="68114494" w14:textId="78469FAD" w:rsidR="0049019C" w:rsidRDefault="00CD0EAF" w:rsidP="006253C8">
      <w:pPr>
        <w:pStyle w:val="indentedafterbulletp"/>
      </w:pPr>
      <w:r>
        <w:t>En esta Recomendación General conjunta N</w:t>
      </w:r>
      <w:r w:rsidR="0073523D">
        <w:t>o.</w:t>
      </w:r>
      <w:r>
        <w:t xml:space="preserve"> 31, el Comité CEDAW y el Comité sobre los </w:t>
      </w:r>
      <w:r w:rsidR="0073523D">
        <w:t>D</w:t>
      </w:r>
      <w:r>
        <w:t xml:space="preserve">erechos del </w:t>
      </w:r>
      <w:r w:rsidR="0073523D">
        <w:t>N</w:t>
      </w:r>
      <w:r>
        <w:t xml:space="preserve">iño </w:t>
      </w:r>
      <w:r w:rsidRPr="0043422F">
        <w:t>(Comité</w:t>
      </w:r>
      <w:r w:rsidR="00F070B1" w:rsidRPr="0043422F">
        <w:t xml:space="preserve"> CDN</w:t>
      </w:r>
      <w:r w:rsidRPr="0043422F">
        <w:t>)</w:t>
      </w:r>
      <w:r>
        <w:t xml:space="preserve"> describen cómo </w:t>
      </w:r>
      <w:r w:rsidR="00F070B1">
        <w:t xml:space="preserve">las </w:t>
      </w:r>
      <w:r>
        <w:t xml:space="preserve">prácticas </w:t>
      </w:r>
      <w:r w:rsidR="00F070B1">
        <w:t xml:space="preserve">nocivas </w:t>
      </w:r>
      <w:r>
        <w:t xml:space="preserve">— como </w:t>
      </w:r>
      <w:r w:rsidR="00F070B1">
        <w:t xml:space="preserve">la </w:t>
      </w:r>
      <w:r>
        <w:t xml:space="preserve">mutilación </w:t>
      </w:r>
      <w:r w:rsidR="00F070B1">
        <w:t xml:space="preserve">genital femenina </w:t>
      </w:r>
      <w:r>
        <w:t xml:space="preserve">y niño, temprano y </w:t>
      </w:r>
      <w:r w:rsidR="00F070B1">
        <w:t xml:space="preserve">el </w:t>
      </w:r>
      <w:r>
        <w:t xml:space="preserve">matrimonio </w:t>
      </w:r>
      <w:r w:rsidR="00F070B1">
        <w:t xml:space="preserve">forzado y temprano de niñas o niños </w:t>
      </w:r>
      <w:r>
        <w:t>— impact</w:t>
      </w:r>
      <w:r w:rsidR="00F070B1">
        <w:t>a</w:t>
      </w:r>
      <w:r>
        <w:t xml:space="preserve"> </w:t>
      </w:r>
      <w:r w:rsidR="00F070B1">
        <w:t xml:space="preserve">en derechos y salud </w:t>
      </w:r>
      <w:r>
        <w:t>sexual y reproductiva,</w:t>
      </w:r>
      <w:r>
        <w:rPr>
          <w:rStyle w:val="EndnoteReference"/>
          <w:rFonts w:eastAsia="Times New Roman" w:cs="Times New Roman"/>
        </w:rPr>
        <w:endnoteReference w:id="488"/>
      </w:r>
      <w:r>
        <w:t xml:space="preserve">  teniendo en cuenta que estas prácticas e</w:t>
      </w:r>
      <w:r w:rsidR="00F070B1">
        <w:t>stán</w:t>
      </w:r>
      <w:r>
        <w:t xml:space="preserve"> conecta</w:t>
      </w:r>
      <w:r w:rsidR="00F070B1">
        <w:t>das</w:t>
      </w:r>
      <w:r>
        <w:t xml:space="preserve"> y refuerzan roles de género socialmente construidos y a menudo reflejan creencias discriminatorias </w:t>
      </w:r>
      <w:r w:rsidR="00F070B1">
        <w:t xml:space="preserve">sobre </w:t>
      </w:r>
      <w:r>
        <w:t>ciertos grupos de mujeres y niñas, inclu</w:t>
      </w:r>
      <w:r w:rsidR="00F070B1">
        <w:t>yendo</w:t>
      </w:r>
      <w:r>
        <w:t xml:space="preserve"> las mujeres y las niñas con discapacidad.</w:t>
      </w:r>
      <w:r>
        <w:rPr>
          <w:rStyle w:val="EndnoteReference"/>
          <w:rFonts w:eastAsia="Times New Roman" w:cs="Times New Roman"/>
        </w:rPr>
        <w:endnoteReference w:id="489"/>
      </w:r>
      <w:r>
        <w:t xml:space="preserve"> </w:t>
      </w:r>
      <w:r w:rsidR="00F070B1">
        <w:t xml:space="preserve">Respecto a los </w:t>
      </w:r>
      <w:r>
        <w:t xml:space="preserve">derechos sexuales y reproductivos en particular, </w:t>
      </w:r>
      <w:r w:rsidR="00F070B1">
        <w:t>los C</w:t>
      </w:r>
      <w:r>
        <w:t>omité</w:t>
      </w:r>
      <w:r w:rsidR="00F070B1">
        <w:t>s</w:t>
      </w:r>
      <w:r>
        <w:t xml:space="preserve"> </w:t>
      </w:r>
      <w:r w:rsidR="00F070B1">
        <w:t xml:space="preserve">notan </w:t>
      </w:r>
      <w:r>
        <w:t>que mujeres y niñas que están en riesgo de prácticas nocivas probablemente también encuentran</w:t>
      </w:r>
      <w:r w:rsidR="00F070B1">
        <w:t xml:space="preserve"> </w:t>
      </w:r>
      <w:r>
        <w:t xml:space="preserve">barreras para la toma de decisiones sobre </w:t>
      </w:r>
      <w:r w:rsidR="004D538F">
        <w:t xml:space="preserve">sus derechos y </w:t>
      </w:r>
      <w:r>
        <w:t>su salud sexual y reproductiva.</w:t>
      </w:r>
      <w:r>
        <w:rPr>
          <w:rStyle w:val="EndnoteReference"/>
          <w:rFonts w:eastAsia="Times New Roman" w:cs="Times New Roman"/>
        </w:rPr>
        <w:endnoteReference w:id="490"/>
      </w:r>
      <w:r>
        <w:t xml:space="preserve"> Para reducir las </w:t>
      </w:r>
      <w:r>
        <w:lastRenderedPageBreak/>
        <w:t xml:space="preserve">prácticas nocivas, </w:t>
      </w:r>
      <w:r w:rsidR="004D538F">
        <w:t xml:space="preserve">los Comités </w:t>
      </w:r>
      <w:r>
        <w:t>recomenda</w:t>
      </w:r>
      <w:r w:rsidR="004D538F">
        <w:t>ron</w:t>
      </w:r>
      <w:r>
        <w:t xml:space="preserve"> que los Estados asegur</w:t>
      </w:r>
      <w:r w:rsidR="004D538F">
        <w:t>e</w:t>
      </w:r>
      <w:r>
        <w:t xml:space="preserve">n que las niñas completen </w:t>
      </w:r>
      <w:r w:rsidR="004D538F">
        <w:t xml:space="preserve">la escuela </w:t>
      </w:r>
      <w:r>
        <w:t>primaria y secundaria</w:t>
      </w:r>
      <w:r>
        <w:rPr>
          <w:rStyle w:val="EndnoteReference"/>
          <w:rFonts w:eastAsia="Times New Roman" w:cs="Times New Roman"/>
        </w:rPr>
        <w:endnoteReference w:id="491"/>
      </w:r>
      <w:r>
        <w:t xml:space="preserve"> y garanti</w:t>
      </w:r>
      <w:r w:rsidR="004D538F">
        <w:t>cen</w:t>
      </w:r>
      <w:r>
        <w:t xml:space="preserve"> el acceso a la información y educación sobre salud sexual y reproductiva, incluyendo el impacto de las prácticas nocivas.</w:t>
      </w:r>
      <w:r>
        <w:rPr>
          <w:rStyle w:val="EndnoteReference"/>
          <w:rFonts w:eastAsia="Times New Roman" w:cs="Times New Roman"/>
        </w:rPr>
        <w:endnoteReference w:id="492"/>
      </w:r>
      <w:r>
        <w:t xml:space="preserve"> </w:t>
      </w:r>
    </w:p>
    <w:p w14:paraId="38F590AA" w14:textId="0739C275" w:rsidR="0049019C" w:rsidRPr="00153080" w:rsidRDefault="00CD0EAF" w:rsidP="00753A59">
      <w:pPr>
        <w:pStyle w:val="Heading3GeneralComments"/>
      </w:pPr>
      <w:r w:rsidRPr="00153080">
        <w:t xml:space="preserve">Recomendación </w:t>
      </w:r>
      <w:r w:rsidR="004D538F" w:rsidRPr="00153080">
        <w:t>G</w:t>
      </w:r>
      <w:r w:rsidRPr="00153080">
        <w:t xml:space="preserve">eneral </w:t>
      </w:r>
      <w:r w:rsidR="004D538F" w:rsidRPr="00153080">
        <w:t>N</w:t>
      </w:r>
      <w:r w:rsidRPr="00153080">
        <w:t xml:space="preserve">o. 33: Acceso a la </w:t>
      </w:r>
      <w:r w:rsidR="005374B8">
        <w:t>j</w:t>
      </w:r>
      <w:r w:rsidRPr="00153080">
        <w:t xml:space="preserve">usticia </w:t>
      </w:r>
      <w:r w:rsidR="004D538F" w:rsidRPr="00153080">
        <w:t xml:space="preserve">de las </w:t>
      </w:r>
      <w:r w:rsidR="005374B8">
        <w:t>m</w:t>
      </w:r>
      <w:r w:rsidR="004D538F" w:rsidRPr="00153080">
        <w:t xml:space="preserve">ujeres </w:t>
      </w:r>
      <w:r w:rsidRPr="00153080">
        <w:t>(2015)</w:t>
      </w:r>
    </w:p>
    <w:p w14:paraId="1B40E49D" w14:textId="341D69D4" w:rsidR="0049019C" w:rsidRDefault="00CD0EAF" w:rsidP="006253C8">
      <w:pPr>
        <w:pStyle w:val="indentedafterbulletp"/>
      </w:pPr>
      <w:r>
        <w:t>En su Recomendación General N</w:t>
      </w:r>
      <w:r w:rsidR="009149EC">
        <w:t>o.</w:t>
      </w:r>
      <w:r>
        <w:t xml:space="preserve"> 33, el Comité CEDAW recomienda que los Estados despenali</w:t>
      </w:r>
      <w:r w:rsidR="004D538F">
        <w:t>cen</w:t>
      </w:r>
      <w:r>
        <w:t xml:space="preserve"> acciones emprendidas sólo </w:t>
      </w:r>
      <w:r w:rsidR="004D538F">
        <w:t xml:space="preserve">contra </w:t>
      </w:r>
      <w:r>
        <w:t>mujeres y niñas, como el aborto.</w:t>
      </w:r>
      <w:r>
        <w:rPr>
          <w:rStyle w:val="EndnoteReference"/>
        </w:rPr>
        <w:endnoteReference w:id="493"/>
      </w:r>
      <w:r>
        <w:t xml:space="preserve"> También </w:t>
      </w:r>
      <w:r w:rsidRPr="006253C8">
        <w:t>recomienda</w:t>
      </w:r>
      <w:r>
        <w:t xml:space="preserve"> que los Estados </w:t>
      </w:r>
      <w:r w:rsidR="004D538F">
        <w:t xml:space="preserve">deroguen </w:t>
      </w:r>
      <w:r>
        <w:t>las reglas y prácticas que requieren autorización de terceros</w:t>
      </w:r>
      <w:r w:rsidR="00406184">
        <w:t xml:space="preserve"> —</w:t>
      </w:r>
      <w:r>
        <w:t xml:space="preserve"> como consentimiento parental o conyugal</w:t>
      </w:r>
      <w:r w:rsidR="00406184">
        <w:t xml:space="preserve"> —</w:t>
      </w:r>
      <w:r>
        <w:t xml:space="preserve"> para que las niñas acced</w:t>
      </w:r>
      <w:r w:rsidR="004D538F">
        <w:t>an</w:t>
      </w:r>
      <w:r>
        <w:t xml:space="preserve"> a servicios de salud necesarios, incluyendo servicios de salud sexual y reproductiva, así como servicios jurídicos y mecanismos judiciales.</w:t>
      </w:r>
      <w:r>
        <w:rPr>
          <w:rStyle w:val="EndnoteReference"/>
        </w:rPr>
        <w:endnoteReference w:id="494"/>
      </w:r>
      <w:r>
        <w:t xml:space="preserve"> </w:t>
      </w:r>
    </w:p>
    <w:p w14:paraId="41AB2F15" w14:textId="3BEAABE3" w:rsidR="0049019C" w:rsidRPr="00153080" w:rsidRDefault="00CD0EAF" w:rsidP="00753A59">
      <w:pPr>
        <w:pStyle w:val="Heading3GeneralComments"/>
      </w:pPr>
      <w:r w:rsidRPr="00153080">
        <w:t xml:space="preserve">Recomendación </w:t>
      </w:r>
      <w:r w:rsidR="004D538F" w:rsidRPr="00153080">
        <w:t>G</w:t>
      </w:r>
      <w:r w:rsidRPr="00153080">
        <w:t xml:space="preserve">eneral </w:t>
      </w:r>
      <w:r w:rsidR="004D538F" w:rsidRPr="00153080">
        <w:t>N</w:t>
      </w:r>
      <w:r w:rsidRPr="00153080">
        <w:t xml:space="preserve">o. 34: Los </w:t>
      </w:r>
      <w:r w:rsidR="005374B8">
        <w:t>d</w:t>
      </w:r>
      <w:r w:rsidRPr="00153080">
        <w:t xml:space="preserve">erechos de las </w:t>
      </w:r>
      <w:r w:rsidR="005374B8">
        <w:t>m</w:t>
      </w:r>
      <w:r w:rsidRPr="00153080">
        <w:t xml:space="preserve">ujeres </w:t>
      </w:r>
      <w:r w:rsidR="005374B8">
        <w:t>r</w:t>
      </w:r>
      <w:r w:rsidRPr="00153080">
        <w:t>urales (2016)</w:t>
      </w:r>
    </w:p>
    <w:p w14:paraId="50DDC309" w14:textId="6CC968B2" w:rsidR="0049019C" w:rsidRDefault="00CD0EAF" w:rsidP="006253C8">
      <w:pPr>
        <w:pStyle w:val="indentedafterbulletp"/>
      </w:pPr>
      <w:r>
        <w:t xml:space="preserve">En su Recomendación General </w:t>
      </w:r>
      <w:r w:rsidR="00A80185">
        <w:t>N</w:t>
      </w:r>
      <w:r>
        <w:t>o. 34, el Comité CEDAW reconoce que las mujeres rurales con frecuencia experi</w:t>
      </w:r>
      <w:r w:rsidR="00A80185">
        <w:t>mentan</w:t>
      </w:r>
      <w:r>
        <w:t xml:space="preserve"> </w:t>
      </w:r>
      <w:r w:rsidR="00A80185">
        <w:t>barrera</w:t>
      </w:r>
      <w:r>
        <w:t>s desproporcionad</w:t>
      </w:r>
      <w:r w:rsidR="00A80185">
        <w:t>a</w:t>
      </w:r>
      <w:r>
        <w:t xml:space="preserve">s para ejercer sus derechos sexuales y reproductivos, debido a las normas sociales, las asignaciones presupuestarias insuficientes, falta de </w:t>
      </w:r>
      <w:r w:rsidR="00A80185">
        <w:t xml:space="preserve">personal capacitado e </w:t>
      </w:r>
      <w:r>
        <w:t>infraestructura de salud, falta de información sobre l</w:t>
      </w:r>
      <w:r w:rsidR="00A80185">
        <w:t>os</w:t>
      </w:r>
      <w:r>
        <w:t xml:space="preserve"> anticoncep</w:t>
      </w:r>
      <w:r w:rsidR="00A80185">
        <w:t>tivos</w:t>
      </w:r>
      <w:r>
        <w:t xml:space="preserve"> modern</w:t>
      </w:r>
      <w:r w:rsidR="00A80185">
        <w:t>os</w:t>
      </w:r>
      <w:r>
        <w:t xml:space="preserve"> y la lejanía y la falta de transporte.</w:t>
      </w:r>
      <w:r>
        <w:rPr>
          <w:rStyle w:val="EndnoteReference"/>
        </w:rPr>
        <w:endnoteReference w:id="495"/>
      </w:r>
      <w:r>
        <w:t xml:space="preserve"> El Comité </w:t>
      </w:r>
      <w:r w:rsidR="00A80185">
        <w:t xml:space="preserve">CEDAW </w:t>
      </w:r>
      <w:r>
        <w:t>recomienda que los Estados garanti</w:t>
      </w:r>
      <w:r w:rsidR="00A80185">
        <w:t>cen</w:t>
      </w:r>
      <w:r>
        <w:t xml:space="preserve"> que los servicios de salud </w:t>
      </w:r>
      <w:r w:rsidR="00356638">
        <w:t>e instalaciones</w:t>
      </w:r>
      <w:r>
        <w:t xml:space="preserve"> proporcio</w:t>
      </w:r>
      <w:r w:rsidR="00356638">
        <w:t>ne</w:t>
      </w:r>
      <w:r>
        <w:t>n una amplia gama de servicios de salud sexual y reproductiva físicamente accesibles, asequibles y culturalmente aceptables para las mujeres rurales y que está</w:t>
      </w:r>
      <w:r w:rsidR="00356638">
        <w:t>n</w:t>
      </w:r>
      <w:r>
        <w:t xml:space="preserve"> atendi</w:t>
      </w:r>
      <w:r w:rsidR="00356638">
        <w:t>da</w:t>
      </w:r>
      <w:r>
        <w:t>s por personal capacitado.</w:t>
      </w:r>
      <w:r>
        <w:rPr>
          <w:rStyle w:val="EndnoteReference"/>
        </w:rPr>
        <w:endnoteReference w:id="496"/>
      </w:r>
      <w:r>
        <w:t xml:space="preserve"> Además, el Comité recomienda que los Estados difu</w:t>
      </w:r>
      <w:r w:rsidR="00356638">
        <w:t>ndan</w:t>
      </w:r>
      <w:r>
        <w:t xml:space="preserve"> ampliamente la información </w:t>
      </w:r>
      <w:r w:rsidR="00356638">
        <w:t xml:space="preserve">en la salud </w:t>
      </w:r>
      <w:r>
        <w:t xml:space="preserve">en los idiomas locales y dialectos, incluyendo educación para la salud sexual y reproductiva </w:t>
      </w:r>
      <w:r w:rsidR="00356638">
        <w:t xml:space="preserve">dirigida </w:t>
      </w:r>
      <w:r>
        <w:t>a las mujeres rurales.</w:t>
      </w:r>
      <w:r>
        <w:rPr>
          <w:rStyle w:val="EndnoteReference"/>
        </w:rPr>
        <w:endnoteReference w:id="497"/>
      </w:r>
    </w:p>
    <w:p w14:paraId="64E906DC" w14:textId="00FCDF77" w:rsidR="0049019C" w:rsidRPr="00153080" w:rsidRDefault="00CD0EAF" w:rsidP="00753A59">
      <w:pPr>
        <w:pStyle w:val="Heading3GeneralComments"/>
      </w:pPr>
      <w:r w:rsidRPr="00153080">
        <w:t xml:space="preserve">Recomendación </w:t>
      </w:r>
      <w:r w:rsidR="00356638" w:rsidRPr="00153080">
        <w:t>G</w:t>
      </w:r>
      <w:r w:rsidRPr="00153080">
        <w:t xml:space="preserve">eneral </w:t>
      </w:r>
      <w:r w:rsidR="00356638" w:rsidRPr="00153080">
        <w:t>N</w:t>
      </w:r>
      <w:r w:rsidRPr="00153080">
        <w:t xml:space="preserve">o. 35: Violencia </w:t>
      </w:r>
      <w:r w:rsidR="00356638" w:rsidRPr="00153080">
        <w:t>basada en</w:t>
      </w:r>
      <w:r w:rsidRPr="00153080">
        <w:t xml:space="preserve"> </w:t>
      </w:r>
      <w:r w:rsidR="005374B8">
        <w:t>g</w:t>
      </w:r>
      <w:r w:rsidRPr="00153080">
        <w:t>énero contra la</w:t>
      </w:r>
      <w:r w:rsidR="00356638" w:rsidRPr="00153080">
        <w:t>s</w:t>
      </w:r>
      <w:r w:rsidRPr="00153080">
        <w:t xml:space="preserve"> </w:t>
      </w:r>
      <w:r w:rsidR="005374B8">
        <w:t>m</w:t>
      </w:r>
      <w:r w:rsidRPr="00153080">
        <w:t>ujer</w:t>
      </w:r>
      <w:r w:rsidR="00356638" w:rsidRPr="00153080">
        <w:t>es</w:t>
      </w:r>
      <w:r w:rsidRPr="00153080">
        <w:t xml:space="preserve">, </w:t>
      </w:r>
      <w:r w:rsidR="00356638" w:rsidRPr="00153080">
        <w:t>actualizando la R</w:t>
      </w:r>
      <w:r w:rsidRPr="00153080">
        <w:t xml:space="preserve">ecomendación </w:t>
      </w:r>
      <w:r w:rsidR="00356638" w:rsidRPr="00153080">
        <w:t>G</w:t>
      </w:r>
      <w:r w:rsidRPr="00153080">
        <w:t>eneral N</w:t>
      </w:r>
      <w:r w:rsidR="00356638" w:rsidRPr="00153080">
        <w:t>o.</w:t>
      </w:r>
      <w:r w:rsidRPr="00153080">
        <w:t xml:space="preserve"> 19 (2017) </w:t>
      </w:r>
    </w:p>
    <w:p w14:paraId="1822A0E2" w14:textId="06CAF789" w:rsidR="0049019C" w:rsidRDefault="00CD0EAF" w:rsidP="006253C8">
      <w:pPr>
        <w:pStyle w:val="indentedafterbulletp"/>
      </w:pPr>
      <w:r>
        <w:t xml:space="preserve">En su </w:t>
      </w:r>
      <w:r w:rsidR="00356638">
        <w:t xml:space="preserve">Recomendación </w:t>
      </w:r>
      <w:r>
        <w:t xml:space="preserve">General </w:t>
      </w:r>
      <w:r w:rsidR="00356638">
        <w:t>N</w:t>
      </w:r>
      <w:r>
        <w:t>o. 35, el Comité CEDAW clasifica algun</w:t>
      </w:r>
      <w:r w:rsidR="00356638">
        <w:t>a</w:t>
      </w:r>
      <w:r>
        <w:t xml:space="preserve">s </w:t>
      </w:r>
      <w:r w:rsidR="00356638">
        <w:t xml:space="preserve">violaciones a los derechos </w:t>
      </w:r>
      <w:r>
        <w:t>sexual</w:t>
      </w:r>
      <w:r w:rsidR="00356638">
        <w:t>es</w:t>
      </w:r>
      <w:r>
        <w:t xml:space="preserve"> y reproductivos</w:t>
      </w:r>
      <w:r w:rsidR="00DB43E8">
        <w:t xml:space="preserve"> </w:t>
      </w:r>
      <w:r w:rsidR="000D6B82">
        <w:t>—</w:t>
      </w:r>
      <w:r>
        <w:t xml:space="preserve"> incluyendo esterilizaciones forzadas, aborto</w:t>
      </w:r>
      <w:r w:rsidR="00356638">
        <w:t xml:space="preserve">s </w:t>
      </w:r>
      <w:r w:rsidR="00356638" w:rsidRPr="006253C8">
        <w:t>forzados</w:t>
      </w:r>
      <w:r>
        <w:t>, embarazos</w:t>
      </w:r>
      <w:r w:rsidR="00356638">
        <w:t xml:space="preserve"> forzados</w:t>
      </w:r>
      <w:r>
        <w:t xml:space="preserve">, penalización del aborto, denegación o retardo de aborto seguro y </w:t>
      </w:r>
      <w:r w:rsidR="00356638">
        <w:t xml:space="preserve">atención </w:t>
      </w:r>
      <w:r>
        <w:t>después de un aborto</w:t>
      </w:r>
      <w:r w:rsidR="00356638">
        <w:t>,</w:t>
      </w:r>
      <w:r>
        <w:t xml:space="preserve"> continuación </w:t>
      </w:r>
      <w:r w:rsidR="00356638">
        <w:t xml:space="preserve">forzada </w:t>
      </w:r>
      <w:r>
        <w:t>del embarazo</w:t>
      </w:r>
      <w:r w:rsidR="00356638">
        <w:t>,</w:t>
      </w:r>
      <w:r>
        <w:t xml:space="preserve"> y el abuso y maltrato de las mujeres y las niñas que buscan información sobre salud sexual y reproductiva, bienes y servicios — como formas de violencia </w:t>
      </w:r>
      <w:r w:rsidR="00356638">
        <w:t xml:space="preserve">basada en </w:t>
      </w:r>
      <w:r>
        <w:t xml:space="preserve">género y </w:t>
      </w:r>
      <w:r w:rsidR="00356638">
        <w:t xml:space="preserve">potencialmente </w:t>
      </w:r>
      <w:r>
        <w:t>formas de tortura o malos tratos.</w:t>
      </w:r>
      <w:r>
        <w:rPr>
          <w:rStyle w:val="EndnoteReference"/>
        </w:rPr>
        <w:endnoteReference w:id="498"/>
      </w:r>
      <w:r>
        <w:t xml:space="preserve"> El Comité entonces pide a los Estados a </w:t>
      </w:r>
      <w:r w:rsidR="00356638">
        <w:t xml:space="preserve">anular </w:t>
      </w:r>
      <w:r>
        <w:t>toda la legislación que discrimina a las mujeres y justifica, tolera, promueve o facilita la violencia contra las mujeres, inclu</w:t>
      </w:r>
      <w:r w:rsidR="00356638">
        <w:t>yendo</w:t>
      </w:r>
      <w:r>
        <w:t xml:space="preserve"> legisla</w:t>
      </w:r>
      <w:r w:rsidR="00356638">
        <w:t>ción</w:t>
      </w:r>
      <w:r>
        <w:t xml:space="preserve"> que permite que procedimientos médicos </w:t>
      </w:r>
      <w:r w:rsidR="00356638">
        <w:t>se</w:t>
      </w:r>
      <w:r>
        <w:t>a</w:t>
      </w:r>
      <w:r w:rsidR="00356638">
        <w:t>n</w:t>
      </w:r>
      <w:r>
        <w:t xml:space="preserve"> realiza</w:t>
      </w:r>
      <w:r w:rsidR="00356638">
        <w:t>dos</w:t>
      </w:r>
      <w:r>
        <w:t xml:space="preserve"> en mujeres con discapacidad sin su consentimiento informado y la legislación que criminaliza el aborto.</w:t>
      </w:r>
      <w:r>
        <w:rPr>
          <w:rStyle w:val="EndnoteReference"/>
        </w:rPr>
        <w:endnoteReference w:id="499"/>
      </w:r>
      <w:r>
        <w:t xml:space="preserve"> Recomienda </w:t>
      </w:r>
      <w:r w:rsidR="00374CC0">
        <w:t xml:space="preserve">además </w:t>
      </w:r>
      <w:r>
        <w:t>que los Estados proporcion</w:t>
      </w:r>
      <w:r w:rsidR="00374CC0">
        <w:t>e</w:t>
      </w:r>
      <w:r>
        <w:t xml:space="preserve">n </w:t>
      </w:r>
      <w:r w:rsidR="00374CC0">
        <w:t xml:space="preserve">desarrollo de </w:t>
      </w:r>
      <w:r>
        <w:t xml:space="preserve">capacidad obligatoria, recurrente, educación y formación sobre violencia </w:t>
      </w:r>
      <w:r w:rsidR="00374CC0">
        <w:t>basada en</w:t>
      </w:r>
      <w:r>
        <w:t xml:space="preserve"> género para una gama de actores del sistema de justicia, incluyendo a profesionales de salud trabajan</w:t>
      </w:r>
      <w:r w:rsidR="00374CC0">
        <w:t>do</w:t>
      </w:r>
      <w:r>
        <w:t xml:space="preserve"> en el área de la salud sexual y reproductiva.</w:t>
      </w:r>
      <w:r>
        <w:rPr>
          <w:rStyle w:val="EndnoteReference"/>
        </w:rPr>
        <w:endnoteReference w:id="500"/>
      </w:r>
      <w:r>
        <w:t xml:space="preserve"> Por último, el Comité pide a los Estados asegurar que los servicios de salud son sensibles al trauma e incluyen servicios </w:t>
      </w:r>
      <w:r w:rsidR="00374CC0">
        <w:t xml:space="preserve">oportunos e integrales </w:t>
      </w:r>
      <w:r>
        <w:t>de salud mental, sexual y reproductiva, incluyendo anticoncepción de emergencia,</w:t>
      </w:r>
      <w:r>
        <w:rPr>
          <w:rStyle w:val="EndnoteReference"/>
        </w:rPr>
        <w:endnoteReference w:id="501"/>
      </w:r>
      <w:r>
        <w:t xml:space="preserve"> y que estos servicios </w:t>
      </w:r>
      <w:r w:rsidR="00374CC0">
        <w:t xml:space="preserve">son </w:t>
      </w:r>
      <w:r>
        <w:t>proporciona</w:t>
      </w:r>
      <w:r w:rsidR="00374CC0">
        <w:t>dos</w:t>
      </w:r>
      <w:r>
        <w:t xml:space="preserve"> como parte de las reparaciones a las víctimas.</w:t>
      </w:r>
      <w:r>
        <w:rPr>
          <w:rStyle w:val="EndnoteReference"/>
        </w:rPr>
        <w:endnoteReference w:id="502"/>
      </w:r>
      <w:r>
        <w:t xml:space="preserve"> </w:t>
      </w:r>
    </w:p>
    <w:p w14:paraId="3D84D57E" w14:textId="674D233F" w:rsidR="0049019C" w:rsidRPr="004B2C96" w:rsidRDefault="00CD0EAF" w:rsidP="00515135">
      <w:pPr>
        <w:pStyle w:val="Heading2"/>
        <w:rPr>
          <w:b w:val="0"/>
        </w:rPr>
      </w:pPr>
      <w:bookmarkStart w:id="55" w:name="_Toc5974923"/>
      <w:r w:rsidRPr="004B2C96">
        <w:rPr>
          <w:b w:val="0"/>
        </w:rPr>
        <w:t xml:space="preserve">Observaciones </w:t>
      </w:r>
      <w:r w:rsidR="00374CC0" w:rsidRPr="004B2C96">
        <w:rPr>
          <w:b w:val="0"/>
        </w:rPr>
        <w:t>F</w:t>
      </w:r>
      <w:r w:rsidRPr="004B2C96">
        <w:rPr>
          <w:b w:val="0"/>
        </w:rPr>
        <w:t>inales</w:t>
      </w:r>
      <w:bookmarkEnd w:id="55"/>
    </w:p>
    <w:p w14:paraId="40506220" w14:textId="6771C93F" w:rsidR="0049019C" w:rsidRDefault="00CD0EAF" w:rsidP="000D30E9">
      <w:pPr>
        <w:pStyle w:val="NormalIndented"/>
      </w:pPr>
      <w:r w:rsidRPr="000D30E9">
        <w:t>Debido al gran número de observaciones finales que el Comité CEDAW ha emitido sobre derechos y salud sexual y reproductiva, muchas de las secciones a continuación cita</w:t>
      </w:r>
      <w:r w:rsidR="00127044" w:rsidRPr="000D30E9">
        <w:t>n</w:t>
      </w:r>
      <w:r w:rsidRPr="000D30E9">
        <w:t xml:space="preserve"> solamente una muestra representativa de </w:t>
      </w:r>
      <w:r w:rsidR="00127044" w:rsidRPr="000D30E9">
        <w:t xml:space="preserve">aquellas </w:t>
      </w:r>
      <w:r w:rsidRPr="000D30E9">
        <w:t xml:space="preserve">observaciones finales. Recomendamos que los defensores </w:t>
      </w:r>
      <w:r w:rsidR="00127044" w:rsidRPr="000D30E9">
        <w:t xml:space="preserve">y las defensoras de derechos </w:t>
      </w:r>
      <w:r w:rsidRPr="000D30E9">
        <w:t xml:space="preserve">verifiquen </w:t>
      </w:r>
      <w:r w:rsidR="00127044" w:rsidRPr="000D30E9">
        <w:t xml:space="preserve">las </w:t>
      </w:r>
      <w:r w:rsidRPr="000D30E9">
        <w:t xml:space="preserve">observaciones finales del Comité para su </w:t>
      </w:r>
      <w:r w:rsidR="00127044" w:rsidRPr="000D30E9">
        <w:t>E</w:t>
      </w:r>
      <w:r w:rsidRPr="000D30E9">
        <w:t xml:space="preserve">stado en particular, </w:t>
      </w:r>
      <w:r w:rsidR="00127044" w:rsidRPr="000D30E9">
        <w:t xml:space="preserve">lo </w:t>
      </w:r>
      <w:r w:rsidRPr="000D30E9">
        <w:t>que se puede encontrar seleccionando el país a través de la Página Web "</w:t>
      </w:r>
      <w:r w:rsidR="00127044" w:rsidRPr="000D30E9">
        <w:t>D</w:t>
      </w:r>
      <w:r w:rsidRPr="000D30E9">
        <w:t xml:space="preserve">erechos </w:t>
      </w:r>
      <w:r w:rsidR="00127044" w:rsidRPr="000D30E9">
        <w:t>H</w:t>
      </w:r>
      <w:r w:rsidRPr="000D30E9">
        <w:t xml:space="preserve">umanos por </w:t>
      </w:r>
      <w:r w:rsidR="00127044" w:rsidRPr="000D30E9">
        <w:t>P</w:t>
      </w:r>
      <w:r w:rsidRPr="000D30E9">
        <w:t xml:space="preserve">aís" de la </w:t>
      </w:r>
      <w:r w:rsidR="00127044" w:rsidRPr="000D30E9">
        <w:t>O</w:t>
      </w:r>
      <w:r w:rsidRPr="000D30E9">
        <w:t xml:space="preserve">ficina del Alto Comisionado de </w:t>
      </w:r>
      <w:r w:rsidR="00127044" w:rsidRPr="000D30E9">
        <w:t>D</w:t>
      </w:r>
      <w:r w:rsidRPr="000D30E9">
        <w:t xml:space="preserve">erechos </w:t>
      </w:r>
      <w:r w:rsidR="00127044" w:rsidRPr="000D30E9">
        <w:t>H</w:t>
      </w:r>
      <w:r w:rsidRPr="000D30E9">
        <w:t>umanos.</w:t>
      </w:r>
      <w:r>
        <w:rPr>
          <w:rStyle w:val="FootnoteReference"/>
          <w:rFonts w:cs="Times New Roman"/>
        </w:rPr>
        <w:footnoteReference w:id="6"/>
      </w:r>
    </w:p>
    <w:p w14:paraId="5AD44165" w14:textId="0EE00A0D" w:rsidR="0049019C" w:rsidRPr="004B2C96" w:rsidRDefault="00CD0EAF">
      <w:pPr>
        <w:pStyle w:val="Heading3"/>
      </w:pPr>
      <w:bookmarkStart w:id="56" w:name="_Toc498590711"/>
      <w:r w:rsidRPr="004B2C96">
        <w:lastRenderedPageBreak/>
        <w:t>acceso a los servicios de salud reproductiva</w:t>
      </w:r>
      <w:bookmarkEnd w:id="56"/>
    </w:p>
    <w:p w14:paraId="2305ED90" w14:textId="5A8ACD1A" w:rsidR="0049019C" w:rsidRDefault="00CD0EAF">
      <w:r>
        <w:t>El Comité ha expresado preocupación a varios Estados por falta de acceso a la información y servicios de salud sexuales y reproductivos de las mujeres</w:t>
      </w:r>
      <w:r w:rsidR="00D423CB">
        <w:t>,</w:t>
      </w:r>
      <w:r>
        <w:rPr>
          <w:rStyle w:val="EndnoteReference"/>
        </w:rPr>
        <w:endnoteReference w:id="503"/>
      </w:r>
      <w:r>
        <w:t xml:space="preserve"> incluyendo servicios de buena calidad,</w:t>
      </w:r>
      <w:r>
        <w:rPr>
          <w:rStyle w:val="EndnoteReference"/>
        </w:rPr>
        <w:endnoteReference w:id="504"/>
      </w:r>
      <w:r>
        <w:t xml:space="preserve"> particularmente en las zonas rurales.</w:t>
      </w:r>
      <w:r>
        <w:rPr>
          <w:rStyle w:val="EndnoteReference"/>
        </w:rPr>
        <w:endnoteReference w:id="505"/>
      </w:r>
      <w:r>
        <w:t xml:space="preserve"> El Comité </w:t>
      </w:r>
      <w:r w:rsidR="00D423CB">
        <w:t xml:space="preserve">ha </w:t>
      </w:r>
      <w:r>
        <w:t>seña</w:t>
      </w:r>
      <w:r w:rsidR="00D423CB">
        <w:t>do</w:t>
      </w:r>
      <w:r>
        <w:t xml:space="preserve"> a los Estados que </w:t>
      </w:r>
      <w:r w:rsidR="00D423CB">
        <w:t xml:space="preserve">la falta </w:t>
      </w:r>
      <w:r>
        <w:t xml:space="preserve">de acceso a los servicios y los </w:t>
      </w:r>
      <w:r w:rsidR="00D423CB">
        <w:t xml:space="preserve">deficientes </w:t>
      </w:r>
      <w:r>
        <w:t>resultados de salud para las mujeres con frecuencia son el resultado de persistentes actitudes discriminatorias y patriarcales,</w:t>
      </w:r>
      <w:r>
        <w:rPr>
          <w:rStyle w:val="EndnoteReference"/>
        </w:rPr>
        <w:endnoteReference w:id="506"/>
      </w:r>
      <w:r>
        <w:t xml:space="preserve"> estereotipos, tabúes sociales acerca del sexo antes del matrimonio,</w:t>
      </w:r>
      <w:r>
        <w:rPr>
          <w:rStyle w:val="EndnoteReference"/>
        </w:rPr>
        <w:endnoteReference w:id="507"/>
      </w:r>
      <w:r>
        <w:t xml:space="preserve"> la negativa influencia de algunas creencias religiosas,</w:t>
      </w:r>
      <w:r>
        <w:rPr>
          <w:rStyle w:val="EndnoteReference"/>
        </w:rPr>
        <w:endnoteReference w:id="508"/>
      </w:r>
      <w:r>
        <w:t xml:space="preserve"> barreras socioculturales (incluyendo prácticas nocivas),</w:t>
      </w:r>
      <w:r>
        <w:rPr>
          <w:rStyle w:val="EndnoteReference"/>
        </w:rPr>
        <w:endnoteReference w:id="509"/>
      </w:r>
      <w:r>
        <w:t xml:space="preserve"> </w:t>
      </w:r>
      <w:r w:rsidR="00D423CB">
        <w:t>de</w:t>
      </w:r>
      <w:r>
        <w:t>negación de autonomía de las mujeres,</w:t>
      </w:r>
      <w:r>
        <w:rPr>
          <w:rStyle w:val="EndnoteReference"/>
        </w:rPr>
        <w:endnoteReference w:id="510"/>
      </w:r>
      <w:r>
        <w:t xml:space="preserve"> y la falta de accesibilidad, asequibilidad y disponibilidad de la </w:t>
      </w:r>
      <w:r w:rsidR="00D423CB">
        <w:t xml:space="preserve">información y servicios en </w:t>
      </w:r>
      <w:r>
        <w:t>salud sexual y reproductiva, incluyendo la anticoncepción y el aborto.</w:t>
      </w:r>
      <w:r>
        <w:rPr>
          <w:rStyle w:val="EndnoteReference"/>
        </w:rPr>
        <w:endnoteReference w:id="511"/>
      </w:r>
      <w:r>
        <w:t xml:space="preserve"> El Comité ha expresado en particular preocupación con al menos un </w:t>
      </w:r>
      <w:r w:rsidR="00130847">
        <w:t>E</w:t>
      </w:r>
      <w:r>
        <w:t>stado por el hecho de que el acceso a servicios de salud de la</w:t>
      </w:r>
      <w:r w:rsidR="00130847">
        <w:t>s</w:t>
      </w:r>
      <w:r>
        <w:t xml:space="preserve"> mujer</w:t>
      </w:r>
      <w:r w:rsidR="00130847">
        <w:t>es</w:t>
      </w:r>
      <w:r>
        <w:t xml:space="preserve"> es dictado por ley personal (en est</w:t>
      </w:r>
      <w:r w:rsidR="00130847">
        <w:t>e</w:t>
      </w:r>
      <w:r>
        <w:t xml:space="preserve"> </w:t>
      </w:r>
      <w:r w:rsidR="00130847">
        <w:t>caso S</w:t>
      </w:r>
      <w:r w:rsidRPr="00130847">
        <w:t>haria</w:t>
      </w:r>
      <w:r>
        <w:t xml:space="preserve"> y el derecho consuetudinario),</w:t>
      </w:r>
      <w:r>
        <w:rPr>
          <w:rStyle w:val="EndnoteReference"/>
        </w:rPr>
        <w:endnoteReference w:id="512"/>
      </w:r>
      <w:r>
        <w:t xml:space="preserve"> y llama al </w:t>
      </w:r>
      <w:r w:rsidR="00130847">
        <w:t>E</w:t>
      </w:r>
      <w:r>
        <w:t xml:space="preserve">stado a eliminar referencias a </w:t>
      </w:r>
      <w:r w:rsidR="00130847">
        <w:t xml:space="preserve">leyes </w:t>
      </w:r>
      <w:r>
        <w:t>personal</w:t>
      </w:r>
      <w:r w:rsidR="00130847">
        <w:t>es</w:t>
      </w:r>
      <w:r>
        <w:t xml:space="preserve"> en la legislación que regula la atención de la salud de las mujeres para garantizar el acceso a servicios de salud independientemente de</w:t>
      </w:r>
      <w:r w:rsidR="00130847">
        <w:t>l</w:t>
      </w:r>
      <w:r>
        <w:t xml:space="preserve"> estado personal de la mujer.</w:t>
      </w:r>
      <w:r>
        <w:rPr>
          <w:rStyle w:val="EndnoteReference"/>
        </w:rPr>
        <w:endnoteReference w:id="513"/>
      </w:r>
      <w:r>
        <w:t xml:space="preserve"> También ha expresado su preocupación a por lo menos un </w:t>
      </w:r>
      <w:r w:rsidR="00130847">
        <w:t>E</w:t>
      </w:r>
      <w:r>
        <w:t>stado donde no hay una ley específica sobre salud sexual y reproductiva.</w:t>
      </w:r>
      <w:r>
        <w:rPr>
          <w:rStyle w:val="EndnoteReference"/>
        </w:rPr>
        <w:endnoteReference w:id="514"/>
      </w:r>
      <w:r>
        <w:t xml:space="preserve"> </w:t>
      </w:r>
      <w:r w:rsidR="00130847">
        <w:t>Adem</w:t>
      </w:r>
      <w:r>
        <w:t>ás ha expresado su preocupación a</w:t>
      </w:r>
      <w:r w:rsidR="00130847">
        <w:t xml:space="preserve"> </w:t>
      </w:r>
      <w:r>
        <w:t xml:space="preserve">al menos un </w:t>
      </w:r>
      <w:r w:rsidR="00130847">
        <w:t xml:space="preserve">Estado </w:t>
      </w:r>
      <w:r>
        <w:t xml:space="preserve">sobre aumento tarifas </w:t>
      </w:r>
      <w:r w:rsidR="00130847">
        <w:t xml:space="preserve">para </w:t>
      </w:r>
      <w:r>
        <w:t>los servicios de salud reproductiva</w:t>
      </w:r>
      <w:r>
        <w:rPr>
          <w:rStyle w:val="EndnoteReference"/>
        </w:rPr>
        <w:endnoteReference w:id="515"/>
      </w:r>
      <w:r>
        <w:t xml:space="preserve"> y </w:t>
      </w:r>
      <w:r w:rsidR="00130847">
        <w:t xml:space="preserve">a </w:t>
      </w:r>
      <w:r>
        <w:t xml:space="preserve">otro sobre el presupuesto </w:t>
      </w:r>
      <w:r w:rsidR="00130847">
        <w:t xml:space="preserve">reducido </w:t>
      </w:r>
      <w:r>
        <w:t>al sector salud que afectará principalmente a las mujeres y las niñas.</w:t>
      </w:r>
      <w:r>
        <w:rPr>
          <w:rStyle w:val="EndnoteReference"/>
        </w:rPr>
        <w:endnoteReference w:id="516"/>
      </w:r>
      <w:r>
        <w:t xml:space="preserve"> </w:t>
      </w:r>
      <w:r w:rsidR="00130847">
        <w:t xml:space="preserve">El </w:t>
      </w:r>
      <w:r>
        <w:t>Comi</w:t>
      </w:r>
      <w:r w:rsidR="00130847">
        <w:t>té</w:t>
      </w:r>
      <w:r>
        <w:t xml:space="preserve"> también ha expresado preocupación a por lo menos dos Estados por el alto costo de o falta de disponibilidad de tecnologías de salud reproductiva asistida,</w:t>
      </w:r>
      <w:r>
        <w:rPr>
          <w:rStyle w:val="EndnoteReference"/>
        </w:rPr>
        <w:endnoteReference w:id="517"/>
      </w:r>
      <w:r>
        <w:t xml:space="preserve"> y en </w:t>
      </w:r>
      <w:r w:rsidR="00130847">
        <w:t xml:space="preserve">al </w:t>
      </w:r>
      <w:r>
        <w:t xml:space="preserve">menos </w:t>
      </w:r>
      <w:r w:rsidR="00130847">
        <w:t xml:space="preserve">un </w:t>
      </w:r>
      <w:r>
        <w:t>caso, el Comité recomendó a</w:t>
      </w:r>
      <w:r w:rsidR="00130847">
        <w:t>l</w:t>
      </w:r>
      <w:r>
        <w:t xml:space="preserve"> </w:t>
      </w:r>
      <w:r w:rsidR="00130847">
        <w:t>E</w:t>
      </w:r>
      <w:r>
        <w:t xml:space="preserve">stado </w:t>
      </w:r>
      <w:r w:rsidR="008C5B16">
        <w:t>elimine</w:t>
      </w:r>
      <w:r w:rsidR="00130847">
        <w:t xml:space="preserve"> </w:t>
      </w:r>
      <w:r>
        <w:t>la prohibición de fecundación in vitro.</w:t>
      </w:r>
      <w:r>
        <w:rPr>
          <w:rStyle w:val="EndnoteReference"/>
        </w:rPr>
        <w:endnoteReference w:id="518"/>
      </w:r>
    </w:p>
    <w:p w14:paraId="018C5610" w14:textId="06A9C39A" w:rsidR="0049019C" w:rsidRDefault="00CD0EAF">
      <w:r>
        <w:t>El Comité CEDAW ha recomendado que los Estados aumentan la disponibilidad de servicios de salud sexual y reproductiva</w:t>
      </w:r>
      <w:r>
        <w:rPr>
          <w:rStyle w:val="EndnoteReference"/>
        </w:rPr>
        <w:endnoteReference w:id="519"/>
      </w:r>
      <w:r>
        <w:t xml:space="preserve"> y </w:t>
      </w:r>
      <w:r w:rsidR="00130847">
        <w:t xml:space="preserve">supervisen </w:t>
      </w:r>
      <w:r>
        <w:t>el acceso real a estos servicios.</w:t>
      </w:r>
      <w:r>
        <w:rPr>
          <w:rStyle w:val="EndnoteReference"/>
        </w:rPr>
        <w:endnoteReference w:id="520"/>
      </w:r>
      <w:r>
        <w:t xml:space="preserve"> El Comité también ha recomendado que los Estados mejor</w:t>
      </w:r>
      <w:r w:rsidR="008C5B16">
        <w:t>e</w:t>
      </w:r>
      <w:r>
        <w:t>n o aumen</w:t>
      </w:r>
      <w:r w:rsidR="008C5B16">
        <w:t>te</w:t>
      </w:r>
      <w:r>
        <w:t>n la formación de profesionales de la salud de las mujeres, incluyendo las enfermeras y parteras, con el fin de garantizar un mayor acceso a servicios de salud para mujeres y niñas.</w:t>
      </w:r>
      <w:r>
        <w:rPr>
          <w:rStyle w:val="EndnoteReference"/>
        </w:rPr>
        <w:endnoteReference w:id="521"/>
      </w:r>
      <w:r>
        <w:t xml:space="preserve"> También </w:t>
      </w:r>
      <w:r w:rsidR="008C5B16">
        <w:t>ha</w:t>
      </w:r>
      <w:r>
        <w:t xml:space="preserve"> recomenda</w:t>
      </w:r>
      <w:r w:rsidR="008C5B16">
        <w:t>do</w:t>
      </w:r>
      <w:r>
        <w:t xml:space="preserve"> que los Estados aument</w:t>
      </w:r>
      <w:r w:rsidR="008C5B16">
        <w:t>e</w:t>
      </w:r>
      <w:r>
        <w:t>n las asignaciones presupuestarias a la salud sexual y reproductiva</w:t>
      </w:r>
      <w:r>
        <w:rPr>
          <w:rStyle w:val="EndnoteReference"/>
        </w:rPr>
        <w:endnoteReference w:id="522"/>
      </w:r>
      <w:r>
        <w:t xml:space="preserve">  y ha recomendado que al menos un </w:t>
      </w:r>
      <w:r w:rsidR="008C5B16">
        <w:t>E</w:t>
      </w:r>
      <w:r>
        <w:t>stado ofre</w:t>
      </w:r>
      <w:r w:rsidR="008C5B16">
        <w:t>zca</w:t>
      </w:r>
      <w:r>
        <w:t xml:space="preserve"> acceso gratuito a servicios de salud reproductiva.</w:t>
      </w:r>
      <w:r>
        <w:rPr>
          <w:rStyle w:val="EndnoteReference"/>
        </w:rPr>
        <w:endnoteReference w:id="523"/>
      </w:r>
      <w:r>
        <w:t xml:space="preserve"> El Comité ha recomendado </w:t>
      </w:r>
      <w:r w:rsidR="008C5B16">
        <w:t>ade</w:t>
      </w:r>
      <w:r>
        <w:t xml:space="preserve">más que </w:t>
      </w:r>
      <w:r w:rsidR="008C5B16">
        <w:t xml:space="preserve">los </w:t>
      </w:r>
      <w:r>
        <w:t xml:space="preserve">Estados </w:t>
      </w:r>
      <w:r w:rsidR="008C5B16">
        <w:t xml:space="preserve">aborden </w:t>
      </w:r>
      <w:r>
        <w:t>cánceres reproductivos,</w:t>
      </w:r>
      <w:r>
        <w:rPr>
          <w:rStyle w:val="EndnoteReference"/>
        </w:rPr>
        <w:endnoteReference w:id="524"/>
      </w:r>
      <w:r>
        <w:t xml:space="preserve"> </w:t>
      </w:r>
      <w:r w:rsidR="008C5B16">
        <w:t>incluyendo recolección</w:t>
      </w:r>
      <w:r>
        <w:t xml:space="preserve"> y proporci</w:t>
      </w:r>
      <w:r w:rsidR="008C5B16">
        <w:t>ón de</w:t>
      </w:r>
      <w:r>
        <w:t xml:space="preserve"> datos sobre estos tipos de cáncer</w:t>
      </w:r>
      <w:r>
        <w:rPr>
          <w:rStyle w:val="EndnoteReference"/>
        </w:rPr>
        <w:endnoteReference w:id="525"/>
      </w:r>
      <w:r>
        <w:t xml:space="preserve"> y </w:t>
      </w:r>
      <w:r w:rsidR="008C5B16">
        <w:t xml:space="preserve">brindar </w:t>
      </w:r>
      <w:r>
        <w:t xml:space="preserve">formación a profesionales </w:t>
      </w:r>
      <w:r w:rsidR="008C5B16">
        <w:t xml:space="preserve">de la salud </w:t>
      </w:r>
      <w:r>
        <w:t>en la detección temprana de estas enfermedades.</w:t>
      </w:r>
      <w:r>
        <w:rPr>
          <w:rStyle w:val="EndnoteReference"/>
        </w:rPr>
        <w:endnoteReference w:id="526"/>
      </w:r>
      <w:r>
        <w:t xml:space="preserve"> También </w:t>
      </w:r>
      <w:r w:rsidR="008C5B16">
        <w:t xml:space="preserve">ha </w:t>
      </w:r>
      <w:r>
        <w:t>recomenda</w:t>
      </w:r>
      <w:r w:rsidR="008C5B16">
        <w:t>do</w:t>
      </w:r>
      <w:r>
        <w:t xml:space="preserve"> que al menos un </w:t>
      </w:r>
      <w:r w:rsidR="008C5B16">
        <w:t>E</w:t>
      </w:r>
      <w:r>
        <w:t>stado financ</w:t>
      </w:r>
      <w:r w:rsidR="008C5B16">
        <w:t>ie</w:t>
      </w:r>
      <w:r>
        <w:t xml:space="preserve"> adecuadamente y </w:t>
      </w:r>
      <w:r w:rsidR="008C5B16">
        <w:t>supervise los servicios de</w:t>
      </w:r>
      <w:r>
        <w:t xml:space="preserve"> salud reproductiva proporcionados por la sociedad civil y organizaciones no gubernamentales.</w:t>
      </w:r>
      <w:r>
        <w:rPr>
          <w:rStyle w:val="EndnoteReference"/>
        </w:rPr>
        <w:endnoteReference w:id="527"/>
      </w:r>
      <w:r>
        <w:t xml:space="preserve"> Ad</w:t>
      </w:r>
      <w:r w:rsidR="008C5B16">
        <w:t>icionalmente</w:t>
      </w:r>
      <w:r>
        <w:t xml:space="preserve">, el Comité ha recomendado </w:t>
      </w:r>
      <w:r w:rsidR="008C5B16">
        <w:t xml:space="preserve">a </w:t>
      </w:r>
      <w:r>
        <w:t xml:space="preserve">al menos un </w:t>
      </w:r>
      <w:r w:rsidR="008C5B16">
        <w:t>E</w:t>
      </w:r>
      <w:r>
        <w:t xml:space="preserve">stado </w:t>
      </w:r>
      <w:r w:rsidR="008C5B16">
        <w:t xml:space="preserve">que </w:t>
      </w:r>
      <w:r>
        <w:t xml:space="preserve">modifique su legislación sobre salud reproductiva para </w:t>
      </w:r>
      <w:r w:rsidR="008C5B16">
        <w:t xml:space="preserve">eliminar </w:t>
      </w:r>
      <w:r>
        <w:t xml:space="preserve">referencias a leyes personales y asegurarse de que las mujeres tengan acceso a servicios de salud sexual y reproductiva independientemente de su </w:t>
      </w:r>
      <w:r w:rsidR="008C5B16">
        <w:t xml:space="preserve">estatus </w:t>
      </w:r>
      <w:r>
        <w:t>personal.</w:t>
      </w:r>
      <w:r>
        <w:rPr>
          <w:rStyle w:val="EndnoteReference"/>
        </w:rPr>
        <w:endnoteReference w:id="528"/>
      </w:r>
      <w:r>
        <w:t xml:space="preserve"> También </w:t>
      </w:r>
      <w:r w:rsidR="008C5B16">
        <w:t xml:space="preserve">ha </w:t>
      </w:r>
      <w:r>
        <w:t>recomenda</w:t>
      </w:r>
      <w:r w:rsidR="008C5B16">
        <w:t>do</w:t>
      </w:r>
      <w:r>
        <w:t xml:space="preserve"> que al menos un </w:t>
      </w:r>
      <w:r w:rsidR="008C5B16">
        <w:t>E</w:t>
      </w:r>
      <w:r>
        <w:t>stado priori</w:t>
      </w:r>
      <w:r w:rsidR="008C5B16">
        <w:t>ce</w:t>
      </w:r>
      <w:r>
        <w:t xml:space="preserve"> la restauración de servicios de salud sexual y reproductiva durante una situación de conflicto.</w:t>
      </w:r>
      <w:r>
        <w:rPr>
          <w:rStyle w:val="EndnoteReference"/>
        </w:rPr>
        <w:endnoteReference w:id="529"/>
      </w:r>
      <w:r>
        <w:t xml:space="preserve"> </w:t>
      </w:r>
    </w:p>
    <w:p w14:paraId="72849F6A" w14:textId="4E24BCEC" w:rsidR="0049019C" w:rsidRDefault="00CD0EAF">
      <w:pPr>
        <w:pStyle w:val="Heading4"/>
      </w:pPr>
      <w:r>
        <w:t>Discriminación en el</w:t>
      </w:r>
      <w:r w:rsidR="00044170">
        <w:t xml:space="preserve"> A</w:t>
      </w:r>
      <w:r>
        <w:t xml:space="preserve">cceso a la </w:t>
      </w:r>
      <w:r w:rsidR="00044170">
        <w:t>A</w:t>
      </w:r>
      <w:r>
        <w:t xml:space="preserve">tención </w:t>
      </w:r>
      <w:r w:rsidR="00044170">
        <w:t>de la Salud</w:t>
      </w:r>
    </w:p>
    <w:p w14:paraId="31153BB1" w14:textId="0816741C" w:rsidR="0049019C" w:rsidRDefault="00CD0EAF">
      <w:pPr>
        <w:pStyle w:val="NormalIndented"/>
      </w:pPr>
      <w:r>
        <w:t>Sobre la discriminación contra la</w:t>
      </w:r>
      <w:r w:rsidR="000D6B4C">
        <w:t>s</w:t>
      </w:r>
      <w:r>
        <w:t xml:space="preserve"> mujer</w:t>
      </w:r>
      <w:r w:rsidR="000D6B4C">
        <w:t>es</w:t>
      </w:r>
      <w:r>
        <w:t xml:space="preserve"> en general, el Comité CEDAW ha expresado preocupación por lo menos </w:t>
      </w:r>
      <w:r w:rsidR="000D6B4C">
        <w:t xml:space="preserve">a </w:t>
      </w:r>
      <w:r>
        <w:t xml:space="preserve">un </w:t>
      </w:r>
      <w:r w:rsidR="000D6B4C">
        <w:t>E</w:t>
      </w:r>
      <w:r>
        <w:t>stado sobre políticas de población «Pronatalista», que refuerzan los estereotipos sobre las mujeres y pueden conducir a la pobreza.</w:t>
      </w:r>
      <w:r>
        <w:rPr>
          <w:rStyle w:val="EndnoteReference"/>
        </w:rPr>
        <w:endnoteReference w:id="530"/>
      </w:r>
      <w:r>
        <w:t xml:space="preserve"> </w:t>
      </w:r>
      <w:r w:rsidR="000D6B4C">
        <w:t>El Comité r</w:t>
      </w:r>
      <w:r>
        <w:t>ecomend</w:t>
      </w:r>
      <w:r w:rsidR="000D6B4C">
        <w:t>ó</w:t>
      </w:r>
      <w:r>
        <w:t xml:space="preserve"> que este </w:t>
      </w:r>
      <w:r w:rsidR="000D6B4C">
        <w:t>E</w:t>
      </w:r>
      <w:r>
        <w:t>stado garanti</w:t>
      </w:r>
      <w:r w:rsidR="000D6B4C">
        <w:t>ce</w:t>
      </w:r>
      <w:r>
        <w:t xml:space="preserve"> que la política de población no ref</w:t>
      </w:r>
      <w:r w:rsidR="000D6B4C">
        <w:t>uerce</w:t>
      </w:r>
      <w:r>
        <w:t xml:space="preserve"> los estereotipos sobre las mujeres, incluyendo la adopción de medidas de reducción de la pobreza y garantizar apoyo para mujeres con hijos</w:t>
      </w:r>
      <w:r w:rsidR="000D6B4C">
        <w:t xml:space="preserve"> o hijas</w:t>
      </w:r>
      <w:r>
        <w:t>.</w:t>
      </w:r>
      <w:r>
        <w:rPr>
          <w:rStyle w:val="EndnoteReference"/>
        </w:rPr>
        <w:endnoteReference w:id="531"/>
      </w:r>
    </w:p>
    <w:p w14:paraId="0B700E8A" w14:textId="19EB47F2" w:rsidR="0049019C" w:rsidRDefault="00CD0EAF">
      <w:pPr>
        <w:pStyle w:val="NormalIndented"/>
      </w:pPr>
      <w:r>
        <w:t xml:space="preserve">El Comité CEDAW también ha expresado preocupación donde las mujeres de grupos desfavorecidos o </w:t>
      </w:r>
      <w:r w:rsidR="000D6B4C">
        <w:t xml:space="preserve">en situación de </w:t>
      </w:r>
      <w:r>
        <w:t>vulnerab</w:t>
      </w:r>
      <w:r w:rsidR="000D6B4C">
        <w:t>ilidad</w:t>
      </w:r>
      <w:r>
        <w:t xml:space="preserve"> experimentan discriminación adicional </w:t>
      </w:r>
      <w:r w:rsidR="000D6B4C">
        <w:t xml:space="preserve">cuando </w:t>
      </w:r>
      <w:r>
        <w:t>acce</w:t>
      </w:r>
      <w:r w:rsidR="000D6B4C">
        <w:t>den a</w:t>
      </w:r>
      <w:r>
        <w:t xml:space="preserve"> </w:t>
      </w:r>
      <w:r w:rsidR="000D6B4C">
        <w:t xml:space="preserve">servicios de </w:t>
      </w:r>
      <w:r>
        <w:t xml:space="preserve">sexual y reproductiva. Por ejemplo, el Comité ha expresado su preocupación a Estados donde las mujeres con discapacidad </w:t>
      </w:r>
      <w:r w:rsidR="00372702">
        <w:t xml:space="preserve">carecen de </w:t>
      </w:r>
      <w:r>
        <w:t>acceso a</w:t>
      </w:r>
      <w:r w:rsidR="00372702" w:rsidRPr="00372702">
        <w:t xml:space="preserve"> </w:t>
      </w:r>
      <w:r w:rsidR="00372702">
        <w:t>los servicios de</w:t>
      </w:r>
      <w:r>
        <w:t xml:space="preserve"> salud de calidad, incluidos los servicios de información de salud sexual y reproductiva,</w:t>
      </w:r>
      <w:r>
        <w:rPr>
          <w:rStyle w:val="EndnoteReference"/>
        </w:rPr>
        <w:endnoteReference w:id="532"/>
      </w:r>
      <w:r>
        <w:t xml:space="preserve"> y donde sus derechos sexuales y reproductivos no </w:t>
      </w:r>
      <w:r w:rsidR="00372702">
        <w:t xml:space="preserve">son </w:t>
      </w:r>
      <w:r>
        <w:t>promovido</w:t>
      </w:r>
      <w:r w:rsidR="00372702">
        <w:t>s</w:t>
      </w:r>
      <w:r>
        <w:t xml:space="preserve"> o protegido</w:t>
      </w:r>
      <w:r w:rsidR="00372702">
        <w:t>s</w:t>
      </w:r>
      <w:r>
        <w:t>,</w:t>
      </w:r>
      <w:r>
        <w:rPr>
          <w:rStyle w:val="EndnoteReference"/>
        </w:rPr>
        <w:endnoteReference w:id="533"/>
      </w:r>
      <w:r>
        <w:t xml:space="preserve">  debido a prejuicios</w:t>
      </w:r>
      <w:r>
        <w:rPr>
          <w:rStyle w:val="EndnoteReference"/>
        </w:rPr>
        <w:endnoteReference w:id="534"/>
      </w:r>
      <w:r>
        <w:t xml:space="preserve"> y la falta de personal capacitado e instalaciones</w:t>
      </w:r>
      <w:r w:rsidR="00372702">
        <w:t>,</w:t>
      </w:r>
      <w:r>
        <w:rPr>
          <w:rStyle w:val="EndnoteReference"/>
        </w:rPr>
        <w:endnoteReference w:id="535"/>
      </w:r>
      <w:r>
        <w:t xml:space="preserve"> así como el estigma y la discriminación.</w:t>
      </w:r>
      <w:r>
        <w:rPr>
          <w:rStyle w:val="EndnoteReference"/>
        </w:rPr>
        <w:endnoteReference w:id="536"/>
      </w:r>
      <w:r>
        <w:t xml:space="preserve"> </w:t>
      </w:r>
      <w:r>
        <w:lastRenderedPageBreak/>
        <w:t xml:space="preserve">También ha expresado preocupación por legislación en al menos un </w:t>
      </w:r>
      <w:r w:rsidR="00372702">
        <w:t>E</w:t>
      </w:r>
      <w:r>
        <w:t>stado que permite a los tribunales limitar la capacidad jurídica de las mujeres y las niñas con discapacidad intelectual o psicosocial, incluso en cuestiones relacionadas con la familia y los derechos reproductivos.</w:t>
      </w:r>
      <w:r>
        <w:rPr>
          <w:rStyle w:val="EndnoteReference"/>
        </w:rPr>
        <w:endnoteReference w:id="537"/>
      </w:r>
      <w:r>
        <w:t xml:space="preserve"> El Comité ha recomendado entonces que los Estados garanti</w:t>
      </w:r>
      <w:r w:rsidR="00372702">
        <w:t>cen</w:t>
      </w:r>
      <w:r>
        <w:t xml:space="preserve"> la salud sexual y reproductiva para las mujeres con discapacidad eliminando prejuicios,</w:t>
      </w:r>
      <w:r>
        <w:rPr>
          <w:rStyle w:val="EndnoteReference"/>
        </w:rPr>
        <w:endnoteReference w:id="538"/>
      </w:r>
      <w:r>
        <w:t xml:space="preserve"> </w:t>
      </w:r>
      <w:r w:rsidR="00372702">
        <w:t xml:space="preserve">capacitando a </w:t>
      </w:r>
      <w:r>
        <w:t xml:space="preserve">los </w:t>
      </w:r>
      <w:r w:rsidR="00372702">
        <w:t xml:space="preserve">y las </w:t>
      </w:r>
      <w:r>
        <w:t>pr</w:t>
      </w:r>
      <w:r w:rsidR="00372702">
        <w:t>estadora</w:t>
      </w:r>
      <w:r>
        <w:t>s de salud,</w:t>
      </w:r>
      <w:r>
        <w:rPr>
          <w:rStyle w:val="EndnoteReference"/>
        </w:rPr>
        <w:endnoteReference w:id="539"/>
      </w:r>
      <w:r>
        <w:t xml:space="preserve"> </w:t>
      </w:r>
      <w:r w:rsidR="00372702">
        <w:t xml:space="preserve">brindando </w:t>
      </w:r>
      <w:r>
        <w:t>información sobre salud sexual y reproductiva para mujeres con discapacidad</w:t>
      </w:r>
      <w:r>
        <w:rPr>
          <w:rStyle w:val="EndnoteReference"/>
        </w:rPr>
        <w:endnoteReference w:id="540"/>
      </w:r>
      <w:r>
        <w:t xml:space="preserve"> inclu</w:t>
      </w:r>
      <w:r w:rsidR="00372702">
        <w:t>yendo</w:t>
      </w:r>
      <w:r>
        <w:t xml:space="preserve"> formatos accesibles,</w:t>
      </w:r>
      <w:r>
        <w:rPr>
          <w:rStyle w:val="EndnoteReference"/>
        </w:rPr>
        <w:endnoteReference w:id="541"/>
      </w:r>
      <w:r>
        <w:t xml:space="preserve"> </w:t>
      </w:r>
      <w:r w:rsidR="00372702">
        <w:t>brindando</w:t>
      </w:r>
      <w:r>
        <w:t xml:space="preserve"> libre acceso a anticonceptivos y otros servicios de salud sexual y reproductiva,</w:t>
      </w:r>
      <w:r>
        <w:rPr>
          <w:rStyle w:val="EndnoteReference"/>
        </w:rPr>
        <w:endnoteReference w:id="542"/>
      </w:r>
      <w:r>
        <w:t xml:space="preserve"> y aumenta</w:t>
      </w:r>
      <w:r w:rsidR="000E785A">
        <w:t>ndo</w:t>
      </w:r>
      <w:r>
        <w:t xml:space="preserve"> el número de establecimientos de salud equipados para atender sus necesidades.</w:t>
      </w:r>
      <w:r>
        <w:rPr>
          <w:rStyle w:val="EndnoteReference"/>
        </w:rPr>
        <w:endnoteReference w:id="543"/>
      </w:r>
      <w:r>
        <w:t xml:space="preserve"> También ha recomendado que un </w:t>
      </w:r>
      <w:r w:rsidR="000E785A">
        <w:t>E</w:t>
      </w:r>
      <w:r>
        <w:t xml:space="preserve">stado modifique sus leyes para permitir </w:t>
      </w:r>
      <w:r w:rsidR="000E785A">
        <w:t xml:space="preserve">a </w:t>
      </w:r>
      <w:r>
        <w:t xml:space="preserve">las mujeres con discapacidad casarse, ejercer </w:t>
      </w:r>
      <w:r w:rsidR="000E785A">
        <w:t xml:space="preserve">patria </w:t>
      </w:r>
      <w:r>
        <w:t>potestad</w:t>
      </w:r>
      <w:r w:rsidR="000E785A">
        <w:t>,</w:t>
      </w:r>
      <w:r>
        <w:t xml:space="preserve"> y adoptar niños</w:t>
      </w:r>
      <w:r w:rsidR="000E785A">
        <w:t xml:space="preserve"> o niñas</w:t>
      </w:r>
      <w:r>
        <w:t xml:space="preserve"> en igualdad de condiciones con los demás.</w:t>
      </w:r>
      <w:r>
        <w:rPr>
          <w:rStyle w:val="EndnoteReference"/>
        </w:rPr>
        <w:endnoteReference w:id="544"/>
      </w:r>
    </w:p>
    <w:p w14:paraId="11C4CFCE" w14:textId="68B22357" w:rsidR="0049019C" w:rsidRDefault="00CD0EAF">
      <w:pPr>
        <w:pStyle w:val="NormalIndented"/>
      </w:pPr>
      <w:r>
        <w:t xml:space="preserve">El Comité </w:t>
      </w:r>
      <w:r w:rsidR="00E77064">
        <w:t xml:space="preserve">CEDAW </w:t>
      </w:r>
      <w:r>
        <w:t>además ha expresado preocupación por la falta de acceso a los servicios de salud sexual y reproductiva para adolescentes y mujeres jóvenes debido al estigma cultural,</w:t>
      </w:r>
      <w:r>
        <w:rPr>
          <w:rStyle w:val="EndnoteReference"/>
        </w:rPr>
        <w:endnoteReference w:id="545"/>
      </w:r>
      <w:r>
        <w:t xml:space="preserve"> y por la discriminación contra las mujeres lesbianas</w:t>
      </w:r>
      <w:r>
        <w:rPr>
          <w:rStyle w:val="EndnoteReference"/>
        </w:rPr>
        <w:endnoteReference w:id="546"/>
      </w:r>
      <w:r>
        <w:t xml:space="preserve"> y las mujeres </w:t>
      </w:r>
      <w:r w:rsidR="00E77064">
        <w:t xml:space="preserve">que </w:t>
      </w:r>
      <w:r>
        <w:t xml:space="preserve">participan en </w:t>
      </w:r>
      <w:r w:rsidR="00F82D5D">
        <w:t>trabajo sexual</w:t>
      </w:r>
      <w:r w:rsidRPr="00BD6A14">
        <w:t>,</w:t>
      </w:r>
      <w:r>
        <w:rPr>
          <w:rStyle w:val="EndnoteReference"/>
        </w:rPr>
        <w:endnoteReference w:id="547"/>
      </w:r>
      <w:r>
        <w:t xml:space="preserve"> que también puede limitar su acceso a servicios de salud sexual y reproductiva. Además ha expresado preocupación a Estados por falta de acceso </w:t>
      </w:r>
      <w:r w:rsidR="00E77064">
        <w:t xml:space="preserve">de mujeres </w:t>
      </w:r>
      <w:r>
        <w:t xml:space="preserve">rurales, indígenas, </w:t>
      </w:r>
      <w:r w:rsidR="00E77064">
        <w:t>pobres y/</w:t>
      </w:r>
      <w:r>
        <w:t>o las mujeres de la</w:t>
      </w:r>
      <w:r w:rsidR="00E77064">
        <w:t>s</w:t>
      </w:r>
      <w:r>
        <w:t xml:space="preserve"> minoría</w:t>
      </w:r>
      <w:r w:rsidR="00E77064">
        <w:t>s</w:t>
      </w:r>
      <w:r>
        <w:t>,</w:t>
      </w:r>
      <w:r>
        <w:rPr>
          <w:rStyle w:val="EndnoteReference"/>
        </w:rPr>
        <w:endnoteReference w:id="548"/>
      </w:r>
      <w:r>
        <w:t xml:space="preserve"> así como de las mujeres migrantes,</w:t>
      </w:r>
      <w:r>
        <w:rPr>
          <w:rStyle w:val="EndnoteReference"/>
        </w:rPr>
        <w:endnoteReference w:id="549"/>
      </w:r>
      <w:r>
        <w:t xml:space="preserve"> </w:t>
      </w:r>
      <w:r w:rsidR="00E77064">
        <w:t>incluyendo</w:t>
      </w:r>
      <w:r>
        <w:t xml:space="preserve"> barreras físicas, culturales y financieras </w:t>
      </w:r>
      <w:r w:rsidR="00E77064">
        <w:t xml:space="preserve">para </w:t>
      </w:r>
      <w:r>
        <w:t>acce</w:t>
      </w:r>
      <w:r w:rsidR="00E77064">
        <w:t>der</w:t>
      </w:r>
      <w:r>
        <w:t xml:space="preserve"> a los servicios ginecológicos.</w:t>
      </w:r>
      <w:r>
        <w:rPr>
          <w:rStyle w:val="EndnoteReference"/>
        </w:rPr>
        <w:endnoteReference w:id="550"/>
      </w:r>
      <w:r>
        <w:t xml:space="preserve"> También ha expresado su preocupación </w:t>
      </w:r>
      <w:r w:rsidR="00E77064">
        <w:t>respecto de al menos un E</w:t>
      </w:r>
      <w:r>
        <w:t>stado sobre la segregación de las mujeres romaníes en maternidades</w:t>
      </w:r>
      <w:r>
        <w:rPr>
          <w:rStyle w:val="EndnoteReference"/>
        </w:rPr>
        <w:endnoteReference w:id="551"/>
      </w:r>
      <w:r>
        <w:t xml:space="preserve"> y la discriminación en el acceso a servicios de salud sexual y reproductiva para mujeres con VIH.</w:t>
      </w:r>
      <w:r>
        <w:rPr>
          <w:rStyle w:val="EndnoteReference"/>
        </w:rPr>
        <w:endnoteReference w:id="552"/>
      </w:r>
      <w:r>
        <w:t xml:space="preserve"> </w:t>
      </w:r>
    </w:p>
    <w:p w14:paraId="231D7DCC" w14:textId="7233DF29" w:rsidR="0049019C" w:rsidRDefault="00CD0EAF">
      <w:pPr>
        <w:pStyle w:val="NormalIndented"/>
      </w:pPr>
      <w:r>
        <w:t>El Comité CEDAW ha instado a los Estados a garantizar el acceso a los servicios de salud sexual y reproductiva sin discriminación para todas las mujeres y las niñas,</w:t>
      </w:r>
      <w:r>
        <w:rPr>
          <w:rStyle w:val="EndnoteReference"/>
        </w:rPr>
        <w:endnoteReference w:id="553"/>
      </w:r>
      <w:r>
        <w:t xml:space="preserve"> incluyendo las mujeres rurales, las mujeres </w:t>
      </w:r>
      <w:r w:rsidR="00E77064">
        <w:t xml:space="preserve">adultas </w:t>
      </w:r>
      <w:r>
        <w:t>mayores, las mujeres con discapacidad,</w:t>
      </w:r>
      <w:r>
        <w:rPr>
          <w:rStyle w:val="EndnoteReference"/>
        </w:rPr>
        <w:endnoteReference w:id="554"/>
      </w:r>
      <w:r>
        <w:t xml:space="preserve"> las mujeres migrantes y refugiadas, y las mujeres lesbianas,</w:t>
      </w:r>
      <w:r>
        <w:rPr>
          <w:rStyle w:val="EndnoteReference"/>
        </w:rPr>
        <w:endnoteReference w:id="555"/>
      </w:r>
      <w:r>
        <w:t xml:space="preserve"> y ha recomendado a por lo menos un </w:t>
      </w:r>
      <w:r w:rsidR="00E77064">
        <w:t>E</w:t>
      </w:r>
      <w:r>
        <w:t xml:space="preserve">stado que este acceso </w:t>
      </w:r>
      <w:r w:rsidR="00E77064">
        <w:t xml:space="preserve">sea </w:t>
      </w:r>
      <w:r>
        <w:t>libre.</w:t>
      </w:r>
      <w:r>
        <w:rPr>
          <w:rStyle w:val="EndnoteReference"/>
        </w:rPr>
        <w:endnoteReference w:id="556"/>
      </w:r>
      <w:r>
        <w:t xml:space="preserve"> En particular, se </w:t>
      </w:r>
      <w:r w:rsidR="00E77064">
        <w:t xml:space="preserve">ha </w:t>
      </w:r>
      <w:r>
        <w:t>recomenda</w:t>
      </w:r>
      <w:r w:rsidR="00E77064">
        <w:t>do</w:t>
      </w:r>
      <w:r>
        <w:t xml:space="preserve"> que los Estados garanti</w:t>
      </w:r>
      <w:r w:rsidR="00E77064">
        <w:t>cen</w:t>
      </w:r>
      <w:r>
        <w:t xml:space="preserve"> que los servicios de salud sexual y reproductiva de estos grupos son seguros y respetan los derechos de la</w:t>
      </w:r>
      <w:r w:rsidR="00E77064">
        <w:t>s</w:t>
      </w:r>
      <w:r>
        <w:t xml:space="preserve"> mujer</w:t>
      </w:r>
      <w:r w:rsidR="00E77064">
        <w:t>es</w:t>
      </w:r>
      <w:r>
        <w:t xml:space="preserve"> a la autonomía, privacidad, confidencialidad, consentimiento </w:t>
      </w:r>
      <w:r w:rsidR="00E77064">
        <w:t xml:space="preserve">informado </w:t>
      </w:r>
      <w:r>
        <w:t>y opción.</w:t>
      </w:r>
      <w:r>
        <w:rPr>
          <w:rStyle w:val="EndnoteReference"/>
        </w:rPr>
        <w:endnoteReference w:id="557"/>
      </w:r>
      <w:r>
        <w:t xml:space="preserve"> También </w:t>
      </w:r>
      <w:r w:rsidR="00870C59">
        <w:t xml:space="preserve">ha </w:t>
      </w:r>
      <w:r>
        <w:t>recomenda</w:t>
      </w:r>
      <w:r w:rsidR="00870C59">
        <w:t>do</w:t>
      </w:r>
      <w:r>
        <w:t xml:space="preserve"> que al menos un </w:t>
      </w:r>
      <w:r w:rsidR="00870C59">
        <w:t>E</w:t>
      </w:r>
      <w:r>
        <w:t>stado capacit</w:t>
      </w:r>
      <w:r w:rsidR="00870C59">
        <w:t>e</w:t>
      </w:r>
      <w:r>
        <w:t xml:space="preserve"> a personal de salud, aument</w:t>
      </w:r>
      <w:r w:rsidR="00870C59">
        <w:t>e</w:t>
      </w:r>
      <w:r>
        <w:t xml:space="preserve"> el número de establecimientos de salud obstétrica y elimin</w:t>
      </w:r>
      <w:r w:rsidR="00870C59">
        <w:t>e</w:t>
      </w:r>
      <w:r>
        <w:t xml:space="preserve"> prejuicios para </w:t>
      </w:r>
      <w:r w:rsidR="00870C59">
        <w:t xml:space="preserve">asegurar los </w:t>
      </w:r>
      <w:r>
        <w:t xml:space="preserve">servicios de salud </w:t>
      </w:r>
      <w:r w:rsidR="00870C59">
        <w:t xml:space="preserve">sexual y </w:t>
      </w:r>
      <w:r>
        <w:t>reproductiva para adolescentes y mujeres jóvenes.</w:t>
      </w:r>
      <w:r>
        <w:rPr>
          <w:rStyle w:val="EndnoteReference"/>
        </w:rPr>
        <w:endnoteReference w:id="558"/>
      </w:r>
      <w:r>
        <w:t xml:space="preserve"> El Comité ha pedido además </w:t>
      </w:r>
      <w:r w:rsidR="00870C59">
        <w:t xml:space="preserve">a </w:t>
      </w:r>
      <w:r>
        <w:t xml:space="preserve">al menos un </w:t>
      </w:r>
      <w:r w:rsidR="00870C59">
        <w:t>E</w:t>
      </w:r>
      <w:r>
        <w:t xml:space="preserve">stado </w:t>
      </w:r>
      <w:r w:rsidR="00870C59">
        <w:t>supervisa</w:t>
      </w:r>
      <w:r>
        <w:t>r y sanci</w:t>
      </w:r>
      <w:r w:rsidR="00870C59">
        <w:t>onar</w:t>
      </w:r>
      <w:r>
        <w:t xml:space="preserve"> </w:t>
      </w:r>
      <w:r w:rsidR="00870C59">
        <w:t xml:space="preserve">la </w:t>
      </w:r>
      <w:r>
        <w:t>segregación de las mujeres de minorías en los hospitales.</w:t>
      </w:r>
      <w:r>
        <w:rPr>
          <w:rStyle w:val="EndnoteReference"/>
        </w:rPr>
        <w:endnoteReference w:id="559"/>
      </w:r>
      <w:r>
        <w:t xml:space="preserve"> </w:t>
      </w:r>
    </w:p>
    <w:p w14:paraId="02B44935" w14:textId="77777777" w:rsidR="0049019C" w:rsidRPr="004B2C96" w:rsidRDefault="00CD0EAF">
      <w:pPr>
        <w:pStyle w:val="Heading3"/>
      </w:pPr>
      <w:bookmarkStart w:id="57" w:name="_Toc498590712"/>
      <w:r w:rsidRPr="004B2C96">
        <w:t>El aborto</w:t>
      </w:r>
      <w:bookmarkEnd w:id="57"/>
    </w:p>
    <w:p w14:paraId="33EB4BAB" w14:textId="6AE68857" w:rsidR="0049019C" w:rsidRDefault="00CD0EAF">
      <w:r>
        <w:t>El Comité CEDAW ha expresado preocupación por abortos inseguros, especialmente para las mujeres de los grupos desfavorecidos y en las zonas rurales,</w:t>
      </w:r>
      <w:r>
        <w:rPr>
          <w:rStyle w:val="EndnoteReference"/>
        </w:rPr>
        <w:endnoteReference w:id="560"/>
      </w:r>
      <w:r>
        <w:t xml:space="preserve"> relacionadas con las tasas de abortos inseguros a falta de acceso de las mujeres a servicios de aborto legal o la criminalización del aborto.</w:t>
      </w:r>
      <w:r>
        <w:rPr>
          <w:rStyle w:val="EndnoteReference"/>
        </w:rPr>
        <w:endnoteReference w:id="561"/>
      </w:r>
      <w:r>
        <w:t xml:space="preserve"> El Comité ha recomendado que los Estados asegur</w:t>
      </w:r>
      <w:r w:rsidR="00B7484A">
        <w:t>e</w:t>
      </w:r>
      <w:r>
        <w:t xml:space="preserve">n el acceso a servicios de aborto seguro y de alta calidad donde </w:t>
      </w:r>
      <w:r w:rsidR="00B7484A">
        <w:t xml:space="preserve">sean </w:t>
      </w:r>
      <w:r>
        <w:t>legal</w:t>
      </w:r>
      <w:r w:rsidR="00B7484A">
        <w:t>es</w:t>
      </w:r>
      <w:r>
        <w:t>.</w:t>
      </w:r>
      <w:r>
        <w:rPr>
          <w:rStyle w:val="EndnoteReference"/>
        </w:rPr>
        <w:endnoteReference w:id="562"/>
      </w:r>
      <w:r>
        <w:t xml:space="preserve"> También ha recomendado que un </w:t>
      </w:r>
      <w:r w:rsidR="00B7484A">
        <w:t>E</w:t>
      </w:r>
      <w:r>
        <w:t xml:space="preserve">stado </w:t>
      </w:r>
      <w:r w:rsidR="00B7484A">
        <w:t>garantice</w:t>
      </w:r>
      <w:r>
        <w:t xml:space="preserve"> que las mujeres no recurran a aborto inseguro debido a la falta de anticonceptivos modernos apropiados o el alto costo de los anticonceptivos.</w:t>
      </w:r>
      <w:r>
        <w:rPr>
          <w:rStyle w:val="EndnoteReference"/>
        </w:rPr>
        <w:endnoteReference w:id="563"/>
      </w:r>
      <w:r>
        <w:t xml:space="preserve"> También se </w:t>
      </w:r>
      <w:r w:rsidR="00B7484A">
        <w:t xml:space="preserve">ha </w:t>
      </w:r>
      <w:r>
        <w:t>recomenda</w:t>
      </w:r>
      <w:r w:rsidR="00B7484A">
        <w:t>do</w:t>
      </w:r>
      <w:r>
        <w:t xml:space="preserve"> que al menos un </w:t>
      </w:r>
      <w:r w:rsidR="00B7484A">
        <w:t>E</w:t>
      </w:r>
      <w:r>
        <w:t>stado mejor</w:t>
      </w:r>
      <w:r w:rsidR="00B7484A">
        <w:t>e</w:t>
      </w:r>
      <w:r>
        <w:t xml:space="preserve"> la educación sexual y la provisión de anticonceptivos como medio de reducción del aborto inseguro.</w:t>
      </w:r>
      <w:r>
        <w:rPr>
          <w:rStyle w:val="EndnoteReference"/>
        </w:rPr>
        <w:endnoteReference w:id="564"/>
      </w:r>
    </w:p>
    <w:p w14:paraId="1A75A71D" w14:textId="4037D40A" w:rsidR="0049019C" w:rsidRDefault="00CD0EAF">
      <w:pPr>
        <w:pStyle w:val="Heading4"/>
      </w:pPr>
      <w:r>
        <w:t xml:space="preserve">Criminalización del </w:t>
      </w:r>
      <w:r w:rsidR="00B7484A">
        <w:t>A</w:t>
      </w:r>
      <w:r>
        <w:t xml:space="preserve">borto y </w:t>
      </w:r>
      <w:r w:rsidR="00B7484A">
        <w:t>L</w:t>
      </w:r>
      <w:r>
        <w:t xml:space="preserve">eyes </w:t>
      </w:r>
      <w:r w:rsidR="00B7484A">
        <w:t>R</w:t>
      </w:r>
      <w:r>
        <w:t xml:space="preserve">estrictivas sobre el </w:t>
      </w:r>
      <w:r w:rsidR="00B7484A">
        <w:t>A</w:t>
      </w:r>
      <w:r>
        <w:t>borto</w:t>
      </w:r>
    </w:p>
    <w:p w14:paraId="374F561F" w14:textId="3F3D14FA" w:rsidR="0049019C" w:rsidRDefault="00CD0EAF">
      <w:pPr>
        <w:pStyle w:val="NormalIndented"/>
      </w:pPr>
      <w:r>
        <w:t>El Comité CEDAW consistentemente ha expresado preocupación acerca de las leyes que limitan severamente el acceso al aborto, como las que proh</w:t>
      </w:r>
      <w:r w:rsidR="00B7484A">
        <w:t>íben</w:t>
      </w:r>
      <w:r>
        <w:t xml:space="preserve"> el aborto en todas las circunstancias aparentemente</w:t>
      </w:r>
      <w:r>
        <w:rPr>
          <w:rStyle w:val="EndnoteReference"/>
        </w:rPr>
        <w:endnoteReference w:id="565"/>
      </w:r>
      <w:r>
        <w:t xml:space="preserve"> o sólo permiten el aborto cuando </w:t>
      </w:r>
      <w:r w:rsidR="00B7484A">
        <w:t xml:space="preserve">la </w:t>
      </w:r>
      <w:r>
        <w:t>vida</w:t>
      </w:r>
      <w:r>
        <w:rPr>
          <w:rStyle w:val="EndnoteReference"/>
        </w:rPr>
        <w:endnoteReference w:id="566"/>
      </w:r>
      <w:r>
        <w:t xml:space="preserve"> </w:t>
      </w:r>
      <w:r w:rsidR="00B7484A">
        <w:t>o</w:t>
      </w:r>
      <w:r>
        <w:t xml:space="preserve"> salud</w:t>
      </w:r>
      <w:r>
        <w:rPr>
          <w:rStyle w:val="EndnoteReference"/>
        </w:rPr>
        <w:endnoteReference w:id="567"/>
      </w:r>
      <w:r>
        <w:t xml:space="preserve"> </w:t>
      </w:r>
      <w:r w:rsidR="00B7484A">
        <w:t>de una mujer</w:t>
      </w:r>
      <w:r>
        <w:t xml:space="preserve"> está en riesgo y en situaciones de violencia sexual.</w:t>
      </w:r>
      <w:r>
        <w:rPr>
          <w:rStyle w:val="EndnoteReference"/>
        </w:rPr>
        <w:endnoteReference w:id="568"/>
      </w:r>
      <w:r>
        <w:t xml:space="preserve"> También ha expresado su preocupación a por lo menos un </w:t>
      </w:r>
      <w:r w:rsidR="00B7484A">
        <w:t>E</w:t>
      </w:r>
      <w:r>
        <w:t>stado cuando el aborto es tipificado como delito en otras circunstancias</w:t>
      </w:r>
      <w:r>
        <w:rPr>
          <w:rStyle w:val="EndnoteReference"/>
        </w:rPr>
        <w:endnoteReference w:id="569"/>
      </w:r>
      <w:r>
        <w:t xml:space="preserve"> y a otro donde no hay suficiente claridad sobre la legalidad del aborto en determinadas circunstancias.</w:t>
      </w:r>
      <w:r>
        <w:rPr>
          <w:rStyle w:val="EndnoteReference"/>
        </w:rPr>
        <w:endnoteReference w:id="570"/>
      </w:r>
      <w:r>
        <w:t xml:space="preserve"> El Comité ha expresado en particular preocupación donde tras la violación el aborto es ilegal,</w:t>
      </w:r>
      <w:r>
        <w:rPr>
          <w:rStyle w:val="EndnoteReference"/>
        </w:rPr>
        <w:endnoteReference w:id="571"/>
      </w:r>
      <w:r>
        <w:t xml:space="preserve"> </w:t>
      </w:r>
      <w:r>
        <w:lastRenderedPageBreak/>
        <w:t>y donde hay plazos estrictos y cortos sobre el acceso a aborto.</w:t>
      </w:r>
      <w:r>
        <w:rPr>
          <w:rStyle w:val="EndnoteReference"/>
        </w:rPr>
        <w:endnoteReference w:id="572"/>
      </w:r>
      <w:r>
        <w:t xml:space="preserve"> Se ha relacionado la criminalización del aborto y la falta de acceso al aborto seguro a tasas más altas de aborto inseguro y la mortalidad materna.</w:t>
      </w:r>
      <w:r>
        <w:rPr>
          <w:rStyle w:val="EndnoteReference"/>
        </w:rPr>
        <w:endnoteReference w:id="573"/>
      </w:r>
      <w:r>
        <w:t xml:space="preserve"> También ha expresado preocupación con al menos un </w:t>
      </w:r>
      <w:r w:rsidR="00B7484A">
        <w:t>E</w:t>
      </w:r>
      <w:r>
        <w:t xml:space="preserve">stado acerca de las restricciones sobre el aborto que requieren </w:t>
      </w:r>
      <w:r w:rsidR="00B7484A">
        <w:t xml:space="preserve">a </w:t>
      </w:r>
      <w:r>
        <w:t xml:space="preserve">las mujeres viajar con el fin de obtener un aborto, incluso para viajar a otras partes del mismo </w:t>
      </w:r>
      <w:r w:rsidR="00B7484A">
        <w:t>E</w:t>
      </w:r>
      <w:r>
        <w:t>stado.</w:t>
      </w:r>
      <w:r>
        <w:rPr>
          <w:rStyle w:val="EndnoteReference"/>
        </w:rPr>
        <w:endnoteReference w:id="574"/>
      </w:r>
      <w:r>
        <w:t xml:space="preserve"> El Comité además ha expresado preocupación de que, frente a una baja tasa de fecundidad, por lo menos un Estado estaba considerando reducir la accesibilidad del aborto.</w:t>
      </w:r>
      <w:r>
        <w:rPr>
          <w:rStyle w:val="EndnoteReference"/>
        </w:rPr>
        <w:endnoteReference w:id="575"/>
      </w:r>
      <w:r>
        <w:t xml:space="preserve"> </w:t>
      </w:r>
      <w:r w:rsidR="00B7484A">
        <w:t>Adem</w:t>
      </w:r>
      <w:r>
        <w:t xml:space="preserve">ás ha expresado preocupación </w:t>
      </w:r>
      <w:r w:rsidR="00B7484A">
        <w:t xml:space="preserve">a </w:t>
      </w:r>
      <w:r>
        <w:t xml:space="preserve">al menos </w:t>
      </w:r>
      <w:r w:rsidR="00B7484A">
        <w:t>un Estado</w:t>
      </w:r>
      <w:r>
        <w:t xml:space="preserve"> por medidas que había adoptado para </w:t>
      </w:r>
      <w:r w:rsidR="00B7484A">
        <w:t>penalizar</w:t>
      </w:r>
      <w:r>
        <w:t xml:space="preserve"> el aborto, incluso imponiendo severas </w:t>
      </w:r>
      <w:r w:rsidR="00B7484A">
        <w:t xml:space="preserve">sanciones penales </w:t>
      </w:r>
      <w:r>
        <w:t>en las mujeres que se someten a abortos ilegales y en profesionales de la salud que asisten con complicaciones de aborto inseguro.</w:t>
      </w:r>
      <w:r>
        <w:rPr>
          <w:rStyle w:val="EndnoteReference"/>
        </w:rPr>
        <w:endnoteReference w:id="576"/>
      </w:r>
    </w:p>
    <w:p w14:paraId="2F9907F3" w14:textId="4B051657" w:rsidR="0049019C" w:rsidRDefault="00CD0EAF">
      <w:pPr>
        <w:pStyle w:val="NormalIndented"/>
      </w:pPr>
      <w:r w:rsidRPr="00982B2F">
        <w:t>El Comité ha pedido a los Estados legalizar o consider</w:t>
      </w:r>
      <w:r w:rsidR="00AB6624" w:rsidRPr="00982B2F">
        <w:t>ar</w:t>
      </w:r>
      <w:r w:rsidRPr="00982B2F">
        <w:t xml:space="preserve"> legalizar el aborto en casos de violación, incesto, </w:t>
      </w:r>
      <w:r w:rsidR="00BD6A14" w:rsidRPr="00982B2F">
        <w:t>anomalía</w:t>
      </w:r>
      <w:r w:rsidR="00AB6624" w:rsidRPr="00982B2F">
        <w:t xml:space="preserve"> </w:t>
      </w:r>
      <w:r w:rsidRPr="00982B2F">
        <w:t>fetal, y cuando</w:t>
      </w:r>
      <w:r>
        <w:t xml:space="preserve"> hay un riesgo para la salud o la vida de una mujer embarazada.</w:t>
      </w:r>
      <w:r>
        <w:rPr>
          <w:rStyle w:val="EndnoteReference"/>
        </w:rPr>
        <w:endnoteReference w:id="577"/>
      </w:r>
      <w:r>
        <w:t xml:space="preserve"> Recientemente también ha llamado a los Estados para despenalizar el aborto en otras circunstancias,</w:t>
      </w:r>
      <w:r>
        <w:rPr>
          <w:rStyle w:val="EndnoteReference"/>
        </w:rPr>
        <w:endnoteReference w:id="578"/>
      </w:r>
      <w:r>
        <w:t xml:space="preserve"> entre ellos mediante la eliminación de las medidas punitivas para las mujeres que se someten a aborto.</w:t>
      </w:r>
      <w:r>
        <w:rPr>
          <w:rStyle w:val="EndnoteReference"/>
        </w:rPr>
        <w:endnoteReference w:id="579"/>
      </w:r>
      <w:r>
        <w:t xml:space="preserve"> El Comité ha recomendado además que al menos un </w:t>
      </w:r>
      <w:r w:rsidR="00AB6624">
        <w:t>E</w:t>
      </w:r>
      <w:r>
        <w:t>stado ext</w:t>
      </w:r>
      <w:r w:rsidR="00AB6624">
        <w:t>ienda</w:t>
      </w:r>
      <w:r>
        <w:t xml:space="preserve"> el plazo para acceder al aborto</w:t>
      </w:r>
      <w:r>
        <w:rPr>
          <w:rStyle w:val="EndnoteReference"/>
        </w:rPr>
        <w:endnoteReference w:id="580"/>
      </w:r>
      <w:r>
        <w:t xml:space="preserve"> y que por lo menos otro </w:t>
      </w:r>
      <w:r w:rsidR="00AB6624">
        <w:t>E</w:t>
      </w:r>
      <w:r>
        <w:t>stado aceler</w:t>
      </w:r>
      <w:r w:rsidR="00AB6624">
        <w:t>e</w:t>
      </w:r>
      <w:r>
        <w:t xml:space="preserve"> la aprobación de leyes para liberalizar las leyes de aborto y garantizar el acceso a </w:t>
      </w:r>
      <w:r w:rsidR="00AB6624">
        <w:t xml:space="preserve">servicios de aborto </w:t>
      </w:r>
      <w:r>
        <w:t>seguros, asequible</w:t>
      </w:r>
      <w:r w:rsidR="00AB6624">
        <w:t>s</w:t>
      </w:r>
      <w:r>
        <w:t>, y confidencial</w:t>
      </w:r>
      <w:r w:rsidR="00AB6624">
        <w:t>es</w:t>
      </w:r>
      <w:r>
        <w:t>.</w:t>
      </w:r>
      <w:r>
        <w:rPr>
          <w:rStyle w:val="EndnoteReference"/>
        </w:rPr>
        <w:endnoteReference w:id="581"/>
      </w:r>
      <w:r>
        <w:t xml:space="preserve"> También </w:t>
      </w:r>
      <w:r w:rsidR="00AB6624">
        <w:t xml:space="preserve">ha </w:t>
      </w:r>
      <w:r>
        <w:t>recomenda</w:t>
      </w:r>
      <w:r w:rsidR="00AB6624">
        <w:t>do</w:t>
      </w:r>
      <w:r>
        <w:t xml:space="preserve"> que al menos un </w:t>
      </w:r>
      <w:r w:rsidR="00AB6624">
        <w:t>E</w:t>
      </w:r>
      <w:r>
        <w:t xml:space="preserve">stado </w:t>
      </w:r>
      <w:r w:rsidR="00AB6624">
        <w:t xml:space="preserve">se </w:t>
      </w:r>
      <w:r>
        <w:t>absten</w:t>
      </w:r>
      <w:r w:rsidR="00AB6624">
        <w:t>ga de</w:t>
      </w:r>
      <w:r>
        <w:t xml:space="preserve"> adoptar una ley que limitaría el acceso al aborto legal y seguro,</w:t>
      </w:r>
      <w:r>
        <w:rPr>
          <w:rStyle w:val="EndnoteReference"/>
        </w:rPr>
        <w:endnoteReference w:id="582"/>
      </w:r>
      <w:r>
        <w:t xml:space="preserve"> y que otro Estado adopt</w:t>
      </w:r>
      <w:r w:rsidR="00AB6624">
        <w:t>e</w:t>
      </w:r>
      <w:r>
        <w:t xml:space="preserve"> una interpretación amplia del derecho al aborto terapéutico para garantizar el acceso físico, mental, y necesidades</w:t>
      </w:r>
      <w:r w:rsidR="00AB6624" w:rsidRPr="00AB6624">
        <w:t xml:space="preserve"> </w:t>
      </w:r>
      <w:r w:rsidR="00AB6624">
        <w:t>sociales</w:t>
      </w:r>
      <w:r>
        <w:t xml:space="preserve"> de </w:t>
      </w:r>
      <w:r w:rsidR="00AB6624">
        <w:t xml:space="preserve">la </w:t>
      </w:r>
      <w:r>
        <w:t>salud.</w:t>
      </w:r>
      <w:r>
        <w:rPr>
          <w:rStyle w:val="EndnoteReference"/>
        </w:rPr>
        <w:endnoteReference w:id="583"/>
      </w:r>
      <w:r>
        <w:t xml:space="preserve"> El Comité ha recomendado además </w:t>
      </w:r>
      <w:r w:rsidR="00AB6624">
        <w:t>a</w:t>
      </w:r>
      <w:r>
        <w:t xml:space="preserve"> al menos un Estado adoptar </w:t>
      </w:r>
      <w:r w:rsidR="00AB6624">
        <w:t xml:space="preserve">estándares </w:t>
      </w:r>
      <w:r>
        <w:t>médic</w:t>
      </w:r>
      <w:r w:rsidR="00AB6624">
        <w:t>o</w:t>
      </w:r>
      <w:r>
        <w:t>s, estableciendo que la violación y el incesto constituyen causales de aborto</w:t>
      </w:r>
      <w:r>
        <w:rPr>
          <w:rStyle w:val="EndnoteReference"/>
        </w:rPr>
        <w:endnoteReference w:id="584"/>
      </w:r>
      <w:r>
        <w:t xml:space="preserve"> y ha pedido además a por lo menos un </w:t>
      </w:r>
      <w:r w:rsidR="00AB6624">
        <w:t>E</w:t>
      </w:r>
      <w:r>
        <w:t xml:space="preserve">stado llevar a cabo una consulta pública sobre derogación de las leyes </w:t>
      </w:r>
      <w:r w:rsidR="00AB6624">
        <w:t xml:space="preserve">que </w:t>
      </w:r>
      <w:r>
        <w:t>penalizan el aborto.</w:t>
      </w:r>
      <w:r>
        <w:rPr>
          <w:rStyle w:val="EndnoteReference"/>
        </w:rPr>
        <w:endnoteReference w:id="585"/>
      </w:r>
      <w:r>
        <w:t xml:space="preserve"> </w:t>
      </w:r>
    </w:p>
    <w:p w14:paraId="5ED37E65" w14:textId="14E609EB" w:rsidR="0049019C" w:rsidRDefault="00CD0EAF">
      <w:pPr>
        <w:pStyle w:val="Heading4"/>
      </w:pPr>
      <w:r>
        <w:t xml:space="preserve">Barreras </w:t>
      </w:r>
      <w:r w:rsidR="00AB6624">
        <w:t>P</w:t>
      </w:r>
      <w:r>
        <w:t xml:space="preserve">rácticas y de </w:t>
      </w:r>
      <w:r w:rsidR="00AB6624">
        <w:t>P</w:t>
      </w:r>
      <w:r>
        <w:t xml:space="preserve">rocedimiento para el </w:t>
      </w:r>
      <w:r w:rsidR="00AB6624">
        <w:t>A</w:t>
      </w:r>
      <w:r>
        <w:t xml:space="preserve">borto </w:t>
      </w:r>
    </w:p>
    <w:p w14:paraId="39C13F4C" w14:textId="0E9E75D6" w:rsidR="0049019C" w:rsidRDefault="00CD0EAF">
      <w:pPr>
        <w:pStyle w:val="NormalIndented"/>
      </w:pPr>
      <w:r>
        <w:t xml:space="preserve">El Comité CEDAW consistentemente ha expresado preocupación por las barreras </w:t>
      </w:r>
      <w:r w:rsidR="00073D42">
        <w:t xml:space="preserve">para </w:t>
      </w:r>
      <w:r>
        <w:t>acce</w:t>
      </w:r>
      <w:r w:rsidR="00073D42">
        <w:t>der</w:t>
      </w:r>
      <w:r>
        <w:t xml:space="preserve"> a aborto legal, incluyendo requisitos de autorización de terceros, regulados bajo la objeción de conciencia y otros requisitos médicamente innecesarios </w:t>
      </w:r>
      <w:r w:rsidR="00F05EEC">
        <w:t>p</w:t>
      </w:r>
      <w:r>
        <w:t>a</w:t>
      </w:r>
      <w:r w:rsidR="00F05EEC">
        <w:t>ra</w:t>
      </w:r>
      <w:r>
        <w:t xml:space="preserve"> acce</w:t>
      </w:r>
      <w:r w:rsidR="00F05EEC">
        <w:t>der</w:t>
      </w:r>
      <w:r>
        <w:t xml:space="preserve"> a</w:t>
      </w:r>
      <w:r w:rsidR="00F05EEC">
        <w:t>l</w:t>
      </w:r>
      <w:r>
        <w:t xml:space="preserve"> aborto. Por ejemplo, el Comité ha expresado preocupación por lo menos </w:t>
      </w:r>
      <w:r w:rsidR="00F05EEC">
        <w:t xml:space="preserve">a </w:t>
      </w:r>
      <w:r>
        <w:t xml:space="preserve">un </w:t>
      </w:r>
      <w:r w:rsidR="00F05EEC">
        <w:t>E</w:t>
      </w:r>
      <w:r>
        <w:t xml:space="preserve">stado donde el aborto legal no está disponible en una parte importante de ese </w:t>
      </w:r>
      <w:r w:rsidR="00F05EEC">
        <w:t>E</w:t>
      </w:r>
      <w:r>
        <w:t>stado.</w:t>
      </w:r>
      <w:r>
        <w:rPr>
          <w:rStyle w:val="EndnoteReference"/>
        </w:rPr>
        <w:endnoteReference w:id="586"/>
      </w:r>
      <w:r>
        <w:t xml:space="preserve"> También ha expresado preocupación al menos </w:t>
      </w:r>
      <w:r w:rsidR="00F05EEC">
        <w:t xml:space="preserve">a un Estado </w:t>
      </w:r>
      <w:r>
        <w:t xml:space="preserve">por onerosos procedimientos administrativos </w:t>
      </w:r>
      <w:r w:rsidR="00F05EEC">
        <w:t xml:space="preserve">que </w:t>
      </w:r>
      <w:r>
        <w:t xml:space="preserve">impiden a las mujeres acceso a aborto legal, recomendando que el </w:t>
      </w:r>
      <w:r w:rsidR="00F05EEC">
        <w:t>E</w:t>
      </w:r>
      <w:r>
        <w:t>stado simplifi</w:t>
      </w:r>
      <w:r w:rsidR="00F05EEC">
        <w:t>que</w:t>
      </w:r>
      <w:r>
        <w:t xml:space="preserve"> estos procedimientos.</w:t>
      </w:r>
      <w:r>
        <w:rPr>
          <w:rStyle w:val="EndnoteReference"/>
        </w:rPr>
        <w:endnoteReference w:id="587"/>
      </w:r>
      <w:r>
        <w:t xml:space="preserve"> El Comité </w:t>
      </w:r>
      <w:r w:rsidR="00F05EEC">
        <w:t xml:space="preserve">ha </w:t>
      </w:r>
      <w:r>
        <w:t>elogi</w:t>
      </w:r>
      <w:r w:rsidR="00F05EEC">
        <w:t>ado</w:t>
      </w:r>
      <w:r>
        <w:t xml:space="preserve"> a otro Estado p</w:t>
      </w:r>
      <w:r w:rsidR="00F05EEC">
        <w:t>or</w:t>
      </w:r>
      <w:r>
        <w:t xml:space="preserve"> la adopción de directrices sobre el aborto, pero expresó su preocupación de que esas directrices aún requieren aprobación por un</w:t>
      </w:r>
      <w:r w:rsidR="00F05EEC">
        <w:t>a junta</w:t>
      </w:r>
      <w:r>
        <w:t xml:space="preserve"> y la firma de testigo, </w:t>
      </w:r>
      <w:r w:rsidR="00F05EEC">
        <w:t>im</w:t>
      </w:r>
      <w:r>
        <w:t>posn</w:t>
      </w:r>
      <w:r w:rsidR="00F05EEC">
        <w:t>ien</w:t>
      </w:r>
      <w:r>
        <w:t>do barreras potenciales a la obtención de un aborto.</w:t>
      </w:r>
      <w:r>
        <w:rPr>
          <w:rStyle w:val="EndnoteReference"/>
        </w:rPr>
        <w:endnoteReference w:id="588"/>
      </w:r>
      <w:r>
        <w:t xml:space="preserve"> </w:t>
      </w:r>
      <w:r w:rsidR="000F1467">
        <w:t>El</w:t>
      </w:r>
      <w:r>
        <w:t xml:space="preserve"> Comi</w:t>
      </w:r>
      <w:r w:rsidR="000F1467">
        <w:t>té</w:t>
      </w:r>
      <w:r>
        <w:t xml:space="preserve"> también ha expresado preocupación a un </w:t>
      </w:r>
      <w:r w:rsidR="000F1467">
        <w:t>E</w:t>
      </w:r>
      <w:r>
        <w:t xml:space="preserve">stado donde dos médicos </w:t>
      </w:r>
      <w:r w:rsidR="000F1467">
        <w:t>son requeridos para</w:t>
      </w:r>
      <w:r>
        <w:t xml:space="preserve"> firmar un aborto para salvar la vida de una mujer y recomienda que el </w:t>
      </w:r>
      <w:r w:rsidR="000F1467">
        <w:t>E</w:t>
      </w:r>
      <w:r>
        <w:t>stado derogue este requisito.</w:t>
      </w:r>
      <w:r>
        <w:rPr>
          <w:rStyle w:val="EndnoteReference"/>
        </w:rPr>
        <w:endnoteReference w:id="589"/>
      </w:r>
      <w:r>
        <w:t xml:space="preserve"> Ha expresado preocupación a otro Estado que requiere cuatro consultas antes de que una mujer puede obtener un aborto legal y recomiend</w:t>
      </w:r>
      <w:r w:rsidR="000F1467">
        <w:t>ó</w:t>
      </w:r>
      <w:r>
        <w:t xml:space="preserve"> que el </w:t>
      </w:r>
      <w:r w:rsidR="000F1467">
        <w:t>E</w:t>
      </w:r>
      <w:r>
        <w:t xml:space="preserve">stado </w:t>
      </w:r>
      <w:r w:rsidR="000F1467">
        <w:t>elimin</w:t>
      </w:r>
      <w:r>
        <w:t xml:space="preserve">e </w:t>
      </w:r>
      <w:r w:rsidR="000F1467">
        <w:t xml:space="preserve">los </w:t>
      </w:r>
      <w:r>
        <w:t xml:space="preserve">onerosos </w:t>
      </w:r>
      <w:r w:rsidR="000F1467">
        <w:t xml:space="preserve">costos por los </w:t>
      </w:r>
      <w:r>
        <w:t>procedimientos para obten</w:t>
      </w:r>
      <w:r w:rsidR="000F1467">
        <w:t>er</w:t>
      </w:r>
      <w:r>
        <w:t xml:space="preserve"> un aborto "con el fin de ofrecer a las mujeres con libertad de elección </w:t>
      </w:r>
      <w:r w:rsidR="000F1467">
        <w:t xml:space="preserve">informada </w:t>
      </w:r>
      <w:r>
        <w:t>y garantizar el respeto de su autonomía</w:t>
      </w:r>
      <w:r w:rsidR="00C42EC0">
        <w:t>.</w:t>
      </w:r>
      <w:r>
        <w:t>"</w:t>
      </w:r>
      <w:r>
        <w:rPr>
          <w:rStyle w:val="EndnoteReference"/>
        </w:rPr>
        <w:endnoteReference w:id="590"/>
      </w:r>
      <w:r>
        <w:t xml:space="preserve"> El Comité además ha expresado preocupación a un </w:t>
      </w:r>
      <w:r w:rsidR="000F1467">
        <w:t>E</w:t>
      </w:r>
      <w:r>
        <w:t>stado sobre un requisito que los médicos reporta</w:t>
      </w:r>
      <w:r w:rsidR="000F1467">
        <w:t>n</w:t>
      </w:r>
      <w:r>
        <w:t xml:space="preserve"> </w:t>
      </w:r>
      <w:r w:rsidR="000F1467">
        <w:t xml:space="preserve">en </w:t>
      </w:r>
      <w:r>
        <w:t>cada caso de una mujer que busca el aborto, con sus datos personales, a una base de datos nacional,</w:t>
      </w:r>
      <w:r>
        <w:rPr>
          <w:rStyle w:val="EndnoteReference"/>
        </w:rPr>
        <w:endnoteReference w:id="591"/>
      </w:r>
      <w:r>
        <w:t xml:space="preserve"> y recomienda que el Estado garanti</w:t>
      </w:r>
      <w:r w:rsidR="000F1467">
        <w:t>ce</w:t>
      </w:r>
      <w:r>
        <w:t xml:space="preserve"> la confidencialidad de las mujeres deroga</w:t>
      </w:r>
      <w:r w:rsidR="000F1467">
        <w:t>ndo</w:t>
      </w:r>
      <w:r>
        <w:t xml:space="preserve"> este requisito.</w:t>
      </w:r>
      <w:r>
        <w:rPr>
          <w:rStyle w:val="EndnoteReference"/>
        </w:rPr>
        <w:endnoteReference w:id="592"/>
      </w:r>
      <w:r>
        <w:t xml:space="preserve"> También ha recomendado a por lo menos un </w:t>
      </w:r>
      <w:r w:rsidR="0058257E">
        <w:t>E</w:t>
      </w:r>
      <w:r>
        <w:t>stado que asegur</w:t>
      </w:r>
      <w:r w:rsidR="0058257E">
        <w:t>e</w:t>
      </w:r>
      <w:r>
        <w:t xml:space="preserve"> la disponibilidad legal y práctica del aborto, sin requisitos de información estrictos.</w:t>
      </w:r>
      <w:r>
        <w:rPr>
          <w:rStyle w:val="EndnoteReference"/>
        </w:rPr>
        <w:endnoteReference w:id="593"/>
      </w:r>
    </w:p>
    <w:p w14:paraId="10FE300A" w14:textId="42477285" w:rsidR="0049019C" w:rsidRDefault="00CD0EAF">
      <w:pPr>
        <w:pStyle w:val="NormalIndented"/>
      </w:pPr>
      <w:r>
        <w:t xml:space="preserve">El Comité </w:t>
      </w:r>
      <w:r w:rsidR="000C11D5">
        <w:t xml:space="preserve">CEDAW </w:t>
      </w:r>
      <w:r>
        <w:t>además ha expresado preocupación por la a</w:t>
      </w:r>
      <w:r w:rsidR="000C11D5">
        <w:t>s</w:t>
      </w:r>
      <w:r>
        <w:t>e</w:t>
      </w:r>
      <w:r w:rsidR="000C11D5">
        <w:t>qui</w:t>
      </w:r>
      <w:r>
        <w:t>ibilidad del aborto.</w:t>
      </w:r>
      <w:r>
        <w:rPr>
          <w:rStyle w:val="EndnoteReference"/>
        </w:rPr>
        <w:endnoteReference w:id="594"/>
      </w:r>
      <w:r>
        <w:t xml:space="preserve"> De hecho, ha clasificado la falta de inclusión de aborto y anticoncepción en </w:t>
      </w:r>
      <w:r w:rsidR="000C11D5">
        <w:t xml:space="preserve">el seguro de </w:t>
      </w:r>
      <w:r>
        <w:t>la salud pública como una forma de discriminación de género.</w:t>
      </w:r>
      <w:r>
        <w:rPr>
          <w:rStyle w:val="EndnoteReference"/>
        </w:rPr>
        <w:endnoteReference w:id="595"/>
      </w:r>
      <w:r>
        <w:t xml:space="preserve"> El Comité ha recomendado </w:t>
      </w:r>
      <w:r w:rsidR="000C11D5">
        <w:t xml:space="preserve">a </w:t>
      </w:r>
      <w:r>
        <w:t xml:space="preserve">al menos un </w:t>
      </w:r>
      <w:r w:rsidR="000C11D5">
        <w:t>E</w:t>
      </w:r>
      <w:r>
        <w:t xml:space="preserve">stado eliminar </w:t>
      </w:r>
      <w:r w:rsidR="000C11D5">
        <w:t xml:space="preserve">las </w:t>
      </w:r>
      <w:r>
        <w:t>altas tarifas para servicios de aborto</w:t>
      </w:r>
      <w:r>
        <w:rPr>
          <w:rStyle w:val="EndnoteReference"/>
        </w:rPr>
        <w:endnoteReference w:id="596"/>
      </w:r>
      <w:r>
        <w:t xml:space="preserve"> y </w:t>
      </w:r>
      <w:r w:rsidR="000C11D5">
        <w:t xml:space="preserve">a </w:t>
      </w:r>
      <w:r>
        <w:t xml:space="preserve">otro </w:t>
      </w:r>
      <w:r w:rsidR="000C11D5">
        <w:t>E</w:t>
      </w:r>
      <w:r>
        <w:t xml:space="preserve">stado asegurar de que el aborto </w:t>
      </w:r>
      <w:r w:rsidR="000C11D5">
        <w:t>sea</w:t>
      </w:r>
      <w:r>
        <w:t xml:space="preserve"> accesible económicamente y legalmente.</w:t>
      </w:r>
      <w:r>
        <w:rPr>
          <w:rStyle w:val="EndnoteReference"/>
        </w:rPr>
        <w:endnoteReference w:id="597"/>
      </w:r>
      <w:r>
        <w:t xml:space="preserve"> También </w:t>
      </w:r>
      <w:r w:rsidR="000C11D5">
        <w:t>ha</w:t>
      </w:r>
      <w:r>
        <w:t xml:space="preserve"> recomenda</w:t>
      </w:r>
      <w:r w:rsidR="000C11D5">
        <w:t>do</w:t>
      </w:r>
      <w:r>
        <w:t xml:space="preserve"> </w:t>
      </w:r>
      <w:r w:rsidR="000C11D5">
        <w:t xml:space="preserve">a </w:t>
      </w:r>
      <w:r>
        <w:t>los Estados asegura</w:t>
      </w:r>
      <w:r w:rsidR="000C11D5">
        <w:t>r</w:t>
      </w:r>
      <w:r>
        <w:t xml:space="preserve"> que </w:t>
      </w:r>
      <w:r w:rsidR="000C11D5">
        <w:t xml:space="preserve">los </w:t>
      </w:r>
      <w:r>
        <w:t>servicios de aborto est</w:t>
      </w:r>
      <w:r w:rsidR="000C11D5">
        <w:t>é</w:t>
      </w:r>
      <w:r>
        <w:t>n cubiertos por el seguro de salud pública.</w:t>
      </w:r>
      <w:r>
        <w:rPr>
          <w:rStyle w:val="EndnoteReference"/>
        </w:rPr>
        <w:endnoteReference w:id="598"/>
      </w:r>
      <w:r>
        <w:t xml:space="preserve"> </w:t>
      </w:r>
      <w:r>
        <w:lastRenderedPageBreak/>
        <w:t xml:space="preserve">Por último, el Comité ha recomendado </w:t>
      </w:r>
      <w:r w:rsidR="000C11D5">
        <w:t xml:space="preserve">a </w:t>
      </w:r>
      <w:r>
        <w:t>al menos un Estado garantizar el libre acceso al aborto para las víctimas de violación.</w:t>
      </w:r>
      <w:r>
        <w:rPr>
          <w:rStyle w:val="EndnoteReference"/>
        </w:rPr>
        <w:endnoteReference w:id="599"/>
      </w:r>
      <w:r>
        <w:t xml:space="preserve"> </w:t>
      </w:r>
    </w:p>
    <w:p w14:paraId="5C9871CA" w14:textId="526ABAC6" w:rsidR="0049019C" w:rsidRDefault="00CD0EAF">
      <w:pPr>
        <w:pStyle w:val="NormalIndented"/>
      </w:pPr>
      <w:r>
        <w:t>El Comité ha expresado constantemente preocupación acerca de las leyes y políticas que requieren de una tercera parte para autorizar el acceso al aborto para las mujeres, incluyendo requisitos</w:t>
      </w:r>
      <w:r w:rsidR="00DD0AB5">
        <w:t xml:space="preserve"> de consentimiento conyugal</w:t>
      </w:r>
      <w:r>
        <w:rPr>
          <w:rStyle w:val="EndnoteReference"/>
        </w:rPr>
        <w:endnoteReference w:id="600"/>
      </w:r>
      <w:r>
        <w:t xml:space="preserve"> y los requisitos de consentimiento de los padres para las niñas menores de 18 años.</w:t>
      </w:r>
      <w:r>
        <w:rPr>
          <w:rStyle w:val="EndnoteReference"/>
        </w:rPr>
        <w:endnoteReference w:id="601"/>
      </w:r>
      <w:r>
        <w:t xml:space="preserve"> El Comité ha recomendado que los Estados modifi</w:t>
      </w:r>
      <w:r w:rsidR="00943BCE">
        <w:t>que</w:t>
      </w:r>
      <w:r>
        <w:t>n la legislación para eliminar los requisitos para la autorización de terceros</w:t>
      </w:r>
      <w:r>
        <w:rPr>
          <w:rStyle w:val="EndnoteReference"/>
        </w:rPr>
        <w:endnoteReference w:id="602"/>
      </w:r>
      <w:r>
        <w:t xml:space="preserve"> y aseg</w:t>
      </w:r>
      <w:r w:rsidR="00943BCE">
        <w:t>u</w:t>
      </w:r>
      <w:r>
        <w:t>re</w:t>
      </w:r>
      <w:r w:rsidR="00943BCE">
        <w:t>n</w:t>
      </w:r>
      <w:r>
        <w:t xml:space="preserve"> que la decisión de tener un aborto legal es hecha por la mujer embarazada o la niña sola.</w:t>
      </w:r>
      <w:r>
        <w:rPr>
          <w:rStyle w:val="EndnoteReference"/>
        </w:rPr>
        <w:endnoteReference w:id="603"/>
      </w:r>
      <w:r>
        <w:t xml:space="preserve"> También ha recomendado </w:t>
      </w:r>
      <w:r w:rsidR="00943BCE">
        <w:t>a un</w:t>
      </w:r>
      <w:r>
        <w:t xml:space="preserve"> </w:t>
      </w:r>
      <w:r w:rsidR="00943BCE">
        <w:t>E</w:t>
      </w:r>
      <w:r>
        <w:t xml:space="preserve">stado </w:t>
      </w:r>
      <w:r w:rsidR="00943BCE">
        <w:t xml:space="preserve">implementar </w:t>
      </w:r>
      <w:r>
        <w:t>una sentencia del Tribunal Constitucional sobre eliminación del requisito de autorización judicial para el aborto en casos de violación o incesto.</w:t>
      </w:r>
      <w:r>
        <w:rPr>
          <w:rStyle w:val="EndnoteReference"/>
        </w:rPr>
        <w:endnoteReference w:id="604"/>
      </w:r>
    </w:p>
    <w:p w14:paraId="71295057" w14:textId="24CF48BA" w:rsidR="0049019C" w:rsidRDefault="00CD0EAF">
      <w:pPr>
        <w:pStyle w:val="NormalIndented"/>
      </w:pPr>
      <w:r>
        <w:t xml:space="preserve">El Comité de la CEDAW regularmente ha expresado preocupación por el uso excesivo o </w:t>
      </w:r>
      <w:r w:rsidR="00943BCE">
        <w:t xml:space="preserve">inadecuadamente </w:t>
      </w:r>
      <w:r>
        <w:t>regulado de objeción de conciencia por los doctores</w:t>
      </w:r>
      <w:r>
        <w:rPr>
          <w:rStyle w:val="EndnoteReference"/>
        </w:rPr>
        <w:endnoteReference w:id="605"/>
      </w:r>
      <w:r>
        <w:t xml:space="preserve"> y en particular ha expresado su preocupación </w:t>
      </w:r>
      <w:r w:rsidR="00943BCE">
        <w:t xml:space="preserve">donde </w:t>
      </w:r>
      <w:r>
        <w:t>hospitales también ejercen la objeción de conciencia,</w:t>
      </w:r>
      <w:r>
        <w:rPr>
          <w:rStyle w:val="EndnoteReference"/>
        </w:rPr>
        <w:endnoteReference w:id="606"/>
      </w:r>
      <w:r>
        <w:t xml:space="preserve"> una situación que ha llevado a la falta de disponibilidad de aborto legal en partes de al menos un </w:t>
      </w:r>
      <w:r w:rsidR="00943BCE">
        <w:t>E</w:t>
      </w:r>
      <w:r>
        <w:t>stado.</w:t>
      </w:r>
      <w:r>
        <w:rPr>
          <w:rStyle w:val="EndnoteReference"/>
        </w:rPr>
        <w:endnoteReference w:id="607"/>
      </w:r>
      <w:r>
        <w:t xml:space="preserve"> En particular se constata que las mujeres </w:t>
      </w:r>
      <w:r w:rsidR="00943BCE">
        <w:t xml:space="preserve">a </w:t>
      </w:r>
      <w:r>
        <w:t>qu</w:t>
      </w:r>
      <w:r w:rsidR="00943BCE">
        <w:t>ienes</w:t>
      </w:r>
      <w:r>
        <w:t xml:space="preserve"> se les niega aborto por objeción de conciencia pueden recurr</w:t>
      </w:r>
      <w:r w:rsidR="00943BCE">
        <w:t>ir</w:t>
      </w:r>
      <w:r>
        <w:t xml:space="preserve"> a métodos inseguros o tienen que recurrir a servicios privados costosos.</w:t>
      </w:r>
      <w:r>
        <w:rPr>
          <w:rStyle w:val="EndnoteReference"/>
        </w:rPr>
        <w:endnoteReference w:id="608"/>
      </w:r>
      <w:r>
        <w:t xml:space="preserve"> El Comité ha recomendado que los Estados </w:t>
      </w:r>
      <w:r w:rsidR="00943BCE">
        <w:t xml:space="preserve">aseguren </w:t>
      </w:r>
      <w:r>
        <w:t>que el ejercicio de la objeción de conciencia no impide el acceso a servicios de salud reproductiva, incluido el aborto.</w:t>
      </w:r>
      <w:r>
        <w:rPr>
          <w:rStyle w:val="EndnoteReference"/>
        </w:rPr>
        <w:endnoteReference w:id="609"/>
      </w:r>
      <w:r>
        <w:t xml:space="preserve"> También se recomienda que al menos un Estado adopt</w:t>
      </w:r>
      <w:r w:rsidR="001A6328">
        <w:t>e</w:t>
      </w:r>
      <w:r>
        <w:t xml:space="preserve"> un marco normativo </w:t>
      </w:r>
      <w:r w:rsidR="001A6328">
        <w:t>alrededor de</w:t>
      </w:r>
      <w:r>
        <w:t xml:space="preserve"> la objeción de conciencia, incluyendo que se considerará una práctica individual y no institucional y que la objeción de conciencia </w:t>
      </w:r>
      <w:r w:rsidR="001A6328">
        <w:t xml:space="preserve">sea </w:t>
      </w:r>
      <w:r>
        <w:t>acompañada de referencias.</w:t>
      </w:r>
      <w:r>
        <w:rPr>
          <w:rStyle w:val="EndnoteReference"/>
        </w:rPr>
        <w:endnoteReference w:id="610"/>
      </w:r>
      <w:r>
        <w:t xml:space="preserve"> Se </w:t>
      </w:r>
      <w:r w:rsidR="001A6328">
        <w:t xml:space="preserve">ha </w:t>
      </w:r>
      <w:r>
        <w:t>recomenda</w:t>
      </w:r>
      <w:r w:rsidR="001A6328">
        <w:t>do</w:t>
      </w:r>
      <w:r>
        <w:t xml:space="preserve"> que otro </w:t>
      </w:r>
      <w:r w:rsidR="001A6328">
        <w:t>E</w:t>
      </w:r>
      <w:r>
        <w:t xml:space="preserve">stado </w:t>
      </w:r>
      <w:r w:rsidR="001A6328">
        <w:t>supervise</w:t>
      </w:r>
      <w:r>
        <w:t xml:space="preserve"> hospitales para asegurar que las mujeres tengan acceso a servicios legales de aborto y anticoncepción, sin imponer alguna condición adicional.</w:t>
      </w:r>
      <w:r>
        <w:rPr>
          <w:rStyle w:val="EndnoteReference"/>
        </w:rPr>
        <w:endnoteReference w:id="611"/>
      </w:r>
      <w:r>
        <w:t xml:space="preserve"> También se </w:t>
      </w:r>
      <w:r w:rsidR="001A6328">
        <w:t xml:space="preserve">ha </w:t>
      </w:r>
      <w:r>
        <w:t>recomenda</w:t>
      </w:r>
      <w:r w:rsidR="001A6328">
        <w:t>do</w:t>
      </w:r>
      <w:r>
        <w:t xml:space="preserve"> que un Estado asegur</w:t>
      </w:r>
      <w:r w:rsidR="001A6328">
        <w:t>e</w:t>
      </w:r>
      <w:r>
        <w:t xml:space="preserve"> el acceso efectivo a servicios de aborto legal establec</w:t>
      </w:r>
      <w:r w:rsidR="001A6328">
        <w:t>iendo</w:t>
      </w:r>
      <w:r>
        <w:t xml:space="preserve"> referencias obligatorias en los casos de objeción de conciencia institucional y de lo contrario respetando la objeción de conciencia individual a la realización aborto.</w:t>
      </w:r>
      <w:r>
        <w:rPr>
          <w:rStyle w:val="EndnoteReference"/>
        </w:rPr>
        <w:endnoteReference w:id="612"/>
      </w:r>
      <w:r>
        <w:t xml:space="preserve"> El Comité ha recomendado además </w:t>
      </w:r>
      <w:r w:rsidR="001A6328">
        <w:t>a un E</w:t>
      </w:r>
      <w:r>
        <w:t>stado garantizar recursos efectivos para las mujeres que deseen impugnar la denegación del aborto en el contexto de la objeción de conciencia.</w:t>
      </w:r>
      <w:r>
        <w:rPr>
          <w:rStyle w:val="EndnoteReference"/>
        </w:rPr>
        <w:endnoteReference w:id="613"/>
      </w:r>
    </w:p>
    <w:p w14:paraId="5A4BCDCF" w14:textId="701B5A99" w:rsidR="0049019C" w:rsidRDefault="00CD0EAF">
      <w:pPr>
        <w:pStyle w:val="NormalIndented"/>
      </w:pPr>
      <w:r>
        <w:t xml:space="preserve">El Comité CEDAW ha </w:t>
      </w:r>
      <w:r w:rsidR="001A6328">
        <w:t xml:space="preserve">expresado además </w:t>
      </w:r>
      <w:r>
        <w:t>preocupa</w:t>
      </w:r>
      <w:r w:rsidR="001A6328">
        <w:t>ción</w:t>
      </w:r>
      <w:r>
        <w:t xml:space="preserve"> a Estados </w:t>
      </w:r>
      <w:r w:rsidR="001A6328">
        <w:t xml:space="preserve">acerca de </w:t>
      </w:r>
      <w:r>
        <w:t xml:space="preserve">períodos de espera </w:t>
      </w:r>
      <w:r w:rsidR="001A6328">
        <w:t xml:space="preserve">obligatorios </w:t>
      </w:r>
      <w:r>
        <w:t xml:space="preserve">para acceso a servicios de aborto, así como los requisitos para </w:t>
      </w:r>
      <w:r w:rsidR="001A6328">
        <w:t xml:space="preserve">consejería </w:t>
      </w:r>
      <w:r>
        <w:t>pre-aborto.</w:t>
      </w:r>
      <w:r>
        <w:rPr>
          <w:rStyle w:val="EndnoteReference"/>
        </w:rPr>
        <w:endnoteReference w:id="614"/>
      </w:r>
      <w:r>
        <w:t xml:space="preserve"> En al menos un </w:t>
      </w:r>
      <w:r w:rsidR="001A6328">
        <w:t>E</w:t>
      </w:r>
      <w:r>
        <w:t xml:space="preserve">stado, </w:t>
      </w:r>
      <w:r w:rsidR="001A6328">
        <w:t>el</w:t>
      </w:r>
      <w:r>
        <w:t xml:space="preserve"> Comi</w:t>
      </w:r>
      <w:r w:rsidR="001A6328">
        <w:t>té</w:t>
      </w:r>
      <w:r>
        <w:t xml:space="preserve"> ha clasificado los </w:t>
      </w:r>
      <w:r w:rsidR="001A6328">
        <w:t xml:space="preserve">períodos </w:t>
      </w:r>
      <w:r>
        <w:t xml:space="preserve">de espera como "médicamente </w:t>
      </w:r>
      <w:r w:rsidR="001A6328">
        <w:t>in</w:t>
      </w:r>
      <w:r>
        <w:t>necesario</w:t>
      </w:r>
      <w:r w:rsidR="001A6328">
        <w:t>s</w:t>
      </w:r>
      <w:r>
        <w:t>" y l</w:t>
      </w:r>
      <w:r w:rsidR="001A6328">
        <w:t>a</w:t>
      </w:r>
      <w:r>
        <w:t xml:space="preserve"> </w:t>
      </w:r>
      <w:r w:rsidR="001A6328">
        <w:t>c</w:t>
      </w:r>
      <w:r>
        <w:t xml:space="preserve">onsejería </w:t>
      </w:r>
      <w:r w:rsidR="001A6328">
        <w:t xml:space="preserve">pre-aborto </w:t>
      </w:r>
      <w:r>
        <w:t>como "sesgada</w:t>
      </w:r>
      <w:r w:rsidR="00C42EC0">
        <w:t>.</w:t>
      </w:r>
      <w:r>
        <w:t>"</w:t>
      </w:r>
      <w:r>
        <w:rPr>
          <w:rStyle w:val="EndnoteReference"/>
        </w:rPr>
        <w:endnoteReference w:id="615"/>
      </w:r>
      <w:r>
        <w:t xml:space="preserve"> El Comité </w:t>
      </w:r>
      <w:r w:rsidR="001A6328">
        <w:t xml:space="preserve">ha </w:t>
      </w:r>
      <w:r>
        <w:t>señal</w:t>
      </w:r>
      <w:r w:rsidR="001A6328">
        <w:t>ado</w:t>
      </w:r>
      <w:r>
        <w:t xml:space="preserve"> que, </w:t>
      </w:r>
      <w:r w:rsidR="001F7C8F">
        <w:t xml:space="preserve">en </w:t>
      </w:r>
      <w:r>
        <w:t xml:space="preserve">al menos un </w:t>
      </w:r>
      <w:r w:rsidR="001F7C8F">
        <w:t>E</w:t>
      </w:r>
      <w:r>
        <w:t>stado, estos requisitos tienen por objeto restringir el acceso de las mujeres al aborto.</w:t>
      </w:r>
      <w:r>
        <w:rPr>
          <w:rStyle w:val="EndnoteReference"/>
        </w:rPr>
        <w:endnoteReference w:id="616"/>
      </w:r>
      <w:r>
        <w:t xml:space="preserve"> Se </w:t>
      </w:r>
      <w:r w:rsidR="001F7C8F">
        <w:t xml:space="preserve">ha </w:t>
      </w:r>
      <w:r>
        <w:t>recomenda</w:t>
      </w:r>
      <w:r w:rsidR="001F7C8F">
        <w:t>do</w:t>
      </w:r>
      <w:r>
        <w:t xml:space="preserve"> que los Estados elimin</w:t>
      </w:r>
      <w:r w:rsidR="001F7C8F">
        <w:t>en</w:t>
      </w:r>
      <w:r>
        <w:t xml:space="preserve"> requisitos para periodos de espera obligatorios</w:t>
      </w:r>
      <w:r w:rsidR="001F7C8F">
        <w:t xml:space="preserve"> y consejería pre-aborto</w:t>
      </w:r>
      <w:r>
        <w:t>.</w:t>
      </w:r>
      <w:r>
        <w:rPr>
          <w:rStyle w:val="EndnoteReference"/>
        </w:rPr>
        <w:endnoteReference w:id="617"/>
      </w:r>
      <w:r>
        <w:t xml:space="preserve"> También se </w:t>
      </w:r>
      <w:r w:rsidR="001F7C8F">
        <w:t xml:space="preserve">ha </w:t>
      </w:r>
      <w:r>
        <w:t>recomenda</w:t>
      </w:r>
      <w:r w:rsidR="001F7C8F">
        <w:t>do</w:t>
      </w:r>
      <w:r>
        <w:t xml:space="preserve"> </w:t>
      </w:r>
      <w:r w:rsidR="001F7C8F">
        <w:t xml:space="preserve">a </w:t>
      </w:r>
      <w:r>
        <w:t>al menos un Estado asegur</w:t>
      </w:r>
      <w:r w:rsidR="001F7C8F">
        <w:t>ar</w:t>
      </w:r>
      <w:r>
        <w:t xml:space="preserve"> que </w:t>
      </w:r>
      <w:r w:rsidR="001F7C8F">
        <w:t xml:space="preserve">la </w:t>
      </w:r>
      <w:r>
        <w:t xml:space="preserve">información </w:t>
      </w:r>
      <w:r w:rsidR="001F7C8F">
        <w:t xml:space="preserve">brindada por profesionales de la salud </w:t>
      </w:r>
      <w:r>
        <w:t>a las mujeres que buscan abortos est</w:t>
      </w:r>
      <w:r w:rsidR="001F7C8F">
        <w:t>é</w:t>
      </w:r>
      <w:r>
        <w:t xml:space="preserve"> basad</w:t>
      </w:r>
      <w:r w:rsidR="001F7C8F">
        <w:t>a</w:t>
      </w:r>
      <w:r>
        <w:t xml:space="preserve"> en la evidencia y la ciencia, para garantizar que las mujeres est</w:t>
      </w:r>
      <w:r w:rsidR="001F7C8F">
        <w:t>é</w:t>
      </w:r>
      <w:r>
        <w:t>n informadas y pued</w:t>
      </w:r>
      <w:r w:rsidR="001F7C8F">
        <w:t>a</w:t>
      </w:r>
      <w:r>
        <w:t>n tomar una decisión autónoma.</w:t>
      </w:r>
      <w:r>
        <w:rPr>
          <w:rStyle w:val="EndnoteReference"/>
        </w:rPr>
        <w:endnoteReference w:id="618"/>
      </w:r>
    </w:p>
    <w:p w14:paraId="4F67C19A" w14:textId="0957DCB7" w:rsidR="0049019C" w:rsidRDefault="00CD0EAF">
      <w:pPr>
        <w:pStyle w:val="Heading4"/>
      </w:pPr>
      <w:r>
        <w:t xml:space="preserve">Atención </w:t>
      </w:r>
      <w:r w:rsidR="001F7C8F">
        <w:t>P</w:t>
      </w:r>
      <w:r>
        <w:t xml:space="preserve">osterior al </w:t>
      </w:r>
      <w:r w:rsidR="001F7C8F">
        <w:t>A</w:t>
      </w:r>
      <w:r>
        <w:t>borto</w:t>
      </w:r>
    </w:p>
    <w:p w14:paraId="3D67F20C" w14:textId="1F37D45D" w:rsidR="0049019C" w:rsidRDefault="00CD0EAF">
      <w:pPr>
        <w:pStyle w:val="NormalIndented"/>
      </w:pPr>
      <w:r>
        <w:t>El Comité CEDAW ha expresado preocupación por la dificultades que enfrentan las mujeres en el acceso a servicios para el tratamiento de las complicaciones del aborto inseguro,</w:t>
      </w:r>
      <w:r>
        <w:rPr>
          <w:rStyle w:val="EndnoteReference"/>
        </w:rPr>
        <w:endnoteReference w:id="619"/>
      </w:r>
      <w:r>
        <w:t xml:space="preserve"> incluyendo donde las disposiciones del Código Penal de </w:t>
      </w:r>
      <w:r w:rsidR="00620582">
        <w:t>un E</w:t>
      </w:r>
      <w:r>
        <w:t>stado resultan en el procesamiento de mujeres que buscan la atención</w:t>
      </w:r>
      <w:r w:rsidR="00620582" w:rsidRPr="00620582">
        <w:t xml:space="preserve"> </w:t>
      </w:r>
      <w:r w:rsidR="00620582">
        <w:t>de emergencia</w:t>
      </w:r>
      <w:r>
        <w:t xml:space="preserve"> obstétrica</w:t>
      </w:r>
      <w:r>
        <w:rPr>
          <w:rStyle w:val="EndnoteReference"/>
        </w:rPr>
        <w:endnoteReference w:id="620"/>
      </w:r>
      <w:r>
        <w:t xml:space="preserve"> o donde </w:t>
      </w:r>
      <w:r w:rsidR="00620582">
        <w:t xml:space="preserve">las y los </w:t>
      </w:r>
      <w:r>
        <w:t xml:space="preserve">médicos violan </w:t>
      </w:r>
      <w:r w:rsidR="00620582">
        <w:t xml:space="preserve">la </w:t>
      </w:r>
      <w:r>
        <w:t xml:space="preserve">confidencialidad por </w:t>
      </w:r>
      <w:r w:rsidR="00620582">
        <w:t>denunciar</w:t>
      </w:r>
      <w:r>
        <w:t xml:space="preserve"> </w:t>
      </w:r>
      <w:r w:rsidR="00620582">
        <w:t xml:space="preserve">a la policía a </w:t>
      </w:r>
      <w:r>
        <w:t xml:space="preserve">mujeres que buscan atención médica después de un aborto espontáneo o cuando experimentan complicaciones </w:t>
      </w:r>
      <w:r w:rsidR="00620582">
        <w:t xml:space="preserve">por el </w:t>
      </w:r>
      <w:r>
        <w:t>aborto.</w:t>
      </w:r>
      <w:r>
        <w:rPr>
          <w:rStyle w:val="EndnoteReference"/>
        </w:rPr>
        <w:endnoteReference w:id="621"/>
      </w:r>
      <w:r>
        <w:t xml:space="preserve"> También ha expresado preocupación acerca de las sanciones penales impuestas a </w:t>
      </w:r>
      <w:r w:rsidR="00620582">
        <w:t xml:space="preserve">las y </w:t>
      </w:r>
      <w:r>
        <w:t>los médicos p</w:t>
      </w:r>
      <w:r w:rsidR="00620582">
        <w:t>or</w:t>
      </w:r>
      <w:r>
        <w:t xml:space="preserve"> </w:t>
      </w:r>
      <w:r w:rsidR="00620582">
        <w:t>brindar</w:t>
      </w:r>
      <w:r>
        <w:t xml:space="preserve"> atención de las complicaciones del aborto ilegal.</w:t>
      </w:r>
      <w:r>
        <w:rPr>
          <w:rStyle w:val="EndnoteReference"/>
        </w:rPr>
        <w:endnoteReference w:id="622"/>
      </w:r>
      <w:r>
        <w:t xml:space="preserve"> El Comité además ha expresado preocupación </w:t>
      </w:r>
      <w:r w:rsidR="00D50BE3">
        <w:t xml:space="preserve">a </w:t>
      </w:r>
      <w:r>
        <w:t xml:space="preserve">al menos un </w:t>
      </w:r>
      <w:r w:rsidR="00D50BE3">
        <w:t>E</w:t>
      </w:r>
      <w:r>
        <w:t>stado sobre una escasez de información sobre los servicios de atención post</w:t>
      </w:r>
      <w:r w:rsidR="00D50BE3">
        <w:t xml:space="preserve">erior al </w:t>
      </w:r>
      <w:r>
        <w:t>aborto.</w:t>
      </w:r>
      <w:r>
        <w:rPr>
          <w:rStyle w:val="EndnoteReference"/>
        </w:rPr>
        <w:endnoteReference w:id="623"/>
      </w:r>
      <w:r>
        <w:t xml:space="preserve"> </w:t>
      </w:r>
    </w:p>
    <w:p w14:paraId="1B2A0A8B" w14:textId="1D36D78E" w:rsidR="0049019C" w:rsidRDefault="00CD0EAF">
      <w:pPr>
        <w:pStyle w:val="NormalIndented"/>
      </w:pPr>
      <w:r>
        <w:t>El Comité ha llamado cons</w:t>
      </w:r>
      <w:r w:rsidR="00D50BE3">
        <w:t>is</w:t>
      </w:r>
      <w:r>
        <w:t>temente a los Estados a garantizar que los servicios post</w:t>
      </w:r>
      <w:r w:rsidR="000A0E93">
        <w:t xml:space="preserve">eriores al </w:t>
      </w:r>
      <w:r>
        <w:t>aborto s</w:t>
      </w:r>
      <w:r w:rsidR="000A0E93">
        <w:t>ea</w:t>
      </w:r>
      <w:r>
        <w:t>n disponibles y accesibles,</w:t>
      </w:r>
      <w:r>
        <w:rPr>
          <w:rStyle w:val="EndnoteReference"/>
        </w:rPr>
        <w:endnoteReference w:id="624"/>
      </w:r>
      <w:r>
        <w:t xml:space="preserve"> seguro</w:t>
      </w:r>
      <w:r w:rsidR="000A0E93">
        <w:t>s</w:t>
      </w:r>
      <w:r>
        <w:t>,</w:t>
      </w:r>
      <w:r>
        <w:rPr>
          <w:rStyle w:val="EndnoteReference"/>
        </w:rPr>
        <w:endnoteReference w:id="625"/>
      </w:r>
      <w:r>
        <w:t xml:space="preserve"> confidencial</w:t>
      </w:r>
      <w:r w:rsidR="000A0E93">
        <w:t>es</w:t>
      </w:r>
      <w:r>
        <w:t>,</w:t>
      </w:r>
      <w:r>
        <w:rPr>
          <w:rStyle w:val="EndnoteReference"/>
        </w:rPr>
        <w:endnoteReference w:id="626"/>
      </w:r>
      <w:r>
        <w:t xml:space="preserve"> asequible</w:t>
      </w:r>
      <w:r w:rsidR="000A0E93">
        <w:t>s</w:t>
      </w:r>
      <w:r>
        <w:t>,</w:t>
      </w:r>
      <w:r>
        <w:rPr>
          <w:rStyle w:val="EndnoteReference"/>
        </w:rPr>
        <w:endnoteReference w:id="627"/>
      </w:r>
      <w:r>
        <w:t xml:space="preserve"> y de alta calidad.</w:t>
      </w:r>
      <w:r>
        <w:rPr>
          <w:rStyle w:val="EndnoteReference"/>
        </w:rPr>
        <w:endnoteReference w:id="628"/>
      </w:r>
      <w:r>
        <w:t xml:space="preserve"> Además ha pedido a los Estados elaborar directrices sobre </w:t>
      </w:r>
      <w:r w:rsidR="000A0E93">
        <w:t xml:space="preserve">atención </w:t>
      </w:r>
      <w:r>
        <w:t xml:space="preserve">después del aborto con el fin de garantizar el acceso a estos servicios </w:t>
      </w:r>
      <w:r>
        <w:lastRenderedPageBreak/>
        <w:t>para las mujeres,</w:t>
      </w:r>
      <w:r>
        <w:rPr>
          <w:rStyle w:val="EndnoteReference"/>
        </w:rPr>
        <w:endnoteReference w:id="629"/>
      </w:r>
      <w:r w:rsidR="00F82D5D">
        <w:t xml:space="preserve"> </w:t>
      </w:r>
      <w:r w:rsidR="000A0E93">
        <w:t>incluyendo</w:t>
      </w:r>
      <w:r>
        <w:t xml:space="preserve"> que al menos un Estado adopt</w:t>
      </w:r>
      <w:r w:rsidR="000A0E93">
        <w:t>e</w:t>
      </w:r>
      <w:r>
        <w:t xml:space="preserve"> una política para garantizar la confidencialidad médico-paciente </w:t>
      </w:r>
      <w:r w:rsidR="000A0E93">
        <w:t xml:space="preserve">para </w:t>
      </w:r>
      <w:r>
        <w:t xml:space="preserve">mujeres que buscan </w:t>
      </w:r>
      <w:r w:rsidR="000A0E93">
        <w:t>atención posterior a</w:t>
      </w:r>
      <w:r>
        <w:t xml:space="preserve"> un aborto.</w:t>
      </w:r>
      <w:r>
        <w:rPr>
          <w:rStyle w:val="EndnoteReference"/>
        </w:rPr>
        <w:endnoteReference w:id="630"/>
      </w:r>
      <w:r>
        <w:t xml:space="preserve"> El Comité ha recomendado además </w:t>
      </w:r>
      <w:r w:rsidR="000A0E93">
        <w:t xml:space="preserve">a </w:t>
      </w:r>
      <w:r>
        <w:t>al menos un</w:t>
      </w:r>
      <w:r w:rsidR="000A0E93">
        <w:t xml:space="preserve"> E</w:t>
      </w:r>
      <w:r>
        <w:t>stado asegurar que el ejercicio de la objeción de conciencia no impid</w:t>
      </w:r>
      <w:r w:rsidR="000A0E93">
        <w:t>a</w:t>
      </w:r>
      <w:r>
        <w:t xml:space="preserve"> el acceso a la atención post</w:t>
      </w:r>
      <w:r w:rsidR="000A0E93">
        <w:t xml:space="preserve">erior al </w:t>
      </w:r>
      <w:r>
        <w:t>aborto.</w:t>
      </w:r>
      <w:r>
        <w:rPr>
          <w:rStyle w:val="EndnoteReference"/>
        </w:rPr>
        <w:endnoteReference w:id="631"/>
      </w:r>
    </w:p>
    <w:p w14:paraId="44CDDB9E" w14:textId="2EC85ED2" w:rsidR="0049019C" w:rsidRDefault="00CD0EAF">
      <w:pPr>
        <w:pStyle w:val="Heading4"/>
      </w:pPr>
      <w:r>
        <w:t xml:space="preserve">Acceso a la </w:t>
      </w:r>
      <w:r w:rsidR="000A0E93">
        <w:t>I</w:t>
      </w:r>
      <w:r>
        <w:t xml:space="preserve">nformación sobre el </w:t>
      </w:r>
      <w:r w:rsidR="000A0E93">
        <w:t>A</w:t>
      </w:r>
      <w:r>
        <w:t>borto</w:t>
      </w:r>
    </w:p>
    <w:p w14:paraId="4B2A7782" w14:textId="664FCAF3" w:rsidR="0049019C" w:rsidRDefault="00CD0EAF">
      <w:pPr>
        <w:pStyle w:val="NormalIndented"/>
      </w:pPr>
      <w:r>
        <w:t xml:space="preserve">El Comité CEDAW ha expresado preocupación </w:t>
      </w:r>
      <w:r w:rsidR="000A0E93">
        <w:t>a al menos un E</w:t>
      </w:r>
      <w:r>
        <w:t xml:space="preserve">stado por campañas patrocinadas por el </w:t>
      </w:r>
      <w:r w:rsidR="000A0E93">
        <w:t>E</w:t>
      </w:r>
      <w:r>
        <w:t xml:space="preserve">stado que buscan estigmatizar </w:t>
      </w:r>
      <w:r w:rsidR="000A0E93">
        <w:t xml:space="preserve">el </w:t>
      </w:r>
      <w:r>
        <w:t xml:space="preserve">aborto e influir negativamente en </w:t>
      </w:r>
      <w:r w:rsidR="000A0E93">
        <w:t xml:space="preserve">la opinión </w:t>
      </w:r>
      <w:r>
        <w:t>pública sobre el aborto y la anticoncepción.</w:t>
      </w:r>
      <w:r>
        <w:rPr>
          <w:rStyle w:val="EndnoteReference"/>
        </w:rPr>
        <w:endnoteReference w:id="632"/>
      </w:r>
      <w:r>
        <w:t xml:space="preserve"> También ha expresado preocupación </w:t>
      </w:r>
      <w:r w:rsidR="000A0E93">
        <w:t xml:space="preserve">a </w:t>
      </w:r>
      <w:r>
        <w:t xml:space="preserve">al menos un </w:t>
      </w:r>
      <w:r w:rsidR="000A0E93">
        <w:t>E</w:t>
      </w:r>
      <w:r>
        <w:t xml:space="preserve">stado </w:t>
      </w:r>
      <w:r w:rsidR="000A0E93">
        <w:t xml:space="preserve">por la </w:t>
      </w:r>
      <w:r>
        <w:t>falta de acceso a la información sobre los servicios de aborto.</w:t>
      </w:r>
      <w:r>
        <w:rPr>
          <w:rStyle w:val="EndnoteReference"/>
        </w:rPr>
        <w:endnoteReference w:id="633"/>
      </w:r>
      <w:r>
        <w:t xml:space="preserve"> Se </w:t>
      </w:r>
      <w:r w:rsidR="000A0E93">
        <w:t xml:space="preserve">ha </w:t>
      </w:r>
      <w:r>
        <w:t>recomenda</w:t>
      </w:r>
      <w:r w:rsidR="000A0E93">
        <w:t>do</w:t>
      </w:r>
      <w:r>
        <w:t xml:space="preserve"> que al menos un Estado lleve a cabo una campaña de sensibilización para superar las actitudes patriarcales que limitan el acceso de las mujeres a los servicios de salud sexual y reproductiva, incluido el aborto.</w:t>
      </w:r>
      <w:r>
        <w:rPr>
          <w:rStyle w:val="EndnoteReference"/>
        </w:rPr>
        <w:endnoteReference w:id="634"/>
      </w:r>
    </w:p>
    <w:p w14:paraId="6C47EF32" w14:textId="1E29CAC2" w:rsidR="0049019C" w:rsidRDefault="00CD0EAF">
      <w:pPr>
        <w:pStyle w:val="Heading4"/>
      </w:pPr>
      <w:r>
        <w:t xml:space="preserve">Capacitación y </w:t>
      </w:r>
      <w:r w:rsidR="000A0E93">
        <w:t>O</w:t>
      </w:r>
      <w:r>
        <w:t>rientación</w:t>
      </w:r>
    </w:p>
    <w:p w14:paraId="6A799423" w14:textId="5A8F736D" w:rsidR="0049019C" w:rsidRDefault="00CD0EAF">
      <w:pPr>
        <w:pStyle w:val="NormalIndented"/>
      </w:pPr>
      <w:r>
        <w:t>El Comité CEDAW ha expresado preocupación a Estados donde hay una falta de directrices sobre procedimientos de aborto seguro,</w:t>
      </w:r>
      <w:r>
        <w:rPr>
          <w:rStyle w:val="EndnoteReference"/>
        </w:rPr>
        <w:endnoteReference w:id="635"/>
      </w:r>
      <w:r>
        <w:t xml:space="preserve"> </w:t>
      </w:r>
      <w:r w:rsidR="00C6179A">
        <w:t xml:space="preserve">incluyendo </w:t>
      </w:r>
      <w:r>
        <w:t xml:space="preserve">falta de acceso al aborto debido a la ausencia de directrices </w:t>
      </w:r>
      <w:r w:rsidR="00C6179A">
        <w:t xml:space="preserve">señalando </w:t>
      </w:r>
      <w:r>
        <w:t>cu</w:t>
      </w:r>
      <w:r w:rsidR="00C6179A">
        <w:t>á</w:t>
      </w:r>
      <w:r>
        <w:t>ndo las mujeres pueden obtener y l</w:t>
      </w:r>
      <w:r w:rsidR="00C6179A">
        <w:t>a</w:t>
      </w:r>
      <w:r>
        <w:t xml:space="preserve">s </w:t>
      </w:r>
      <w:r w:rsidR="00C6179A">
        <w:t xml:space="preserve">y los </w:t>
      </w:r>
      <w:r>
        <w:t>profesionales médicos pueden realizar abortos legales.</w:t>
      </w:r>
      <w:r>
        <w:rPr>
          <w:rStyle w:val="EndnoteReference"/>
        </w:rPr>
        <w:endnoteReference w:id="636"/>
      </w:r>
      <w:r>
        <w:t xml:space="preserve"> Se </w:t>
      </w:r>
      <w:r w:rsidR="00C6179A">
        <w:t xml:space="preserve">ha </w:t>
      </w:r>
      <w:r>
        <w:t>recomenda</w:t>
      </w:r>
      <w:r w:rsidR="00C6179A">
        <w:t>do</w:t>
      </w:r>
      <w:r>
        <w:t xml:space="preserve"> que los Estados adopten directrices claras sobre el aborto legal,</w:t>
      </w:r>
      <w:r>
        <w:rPr>
          <w:rStyle w:val="EndnoteReference"/>
        </w:rPr>
        <w:endnoteReference w:id="637"/>
      </w:r>
      <w:r>
        <w:t xml:space="preserve"> difund</w:t>
      </w:r>
      <w:r w:rsidR="00C6179A">
        <w:t>an</w:t>
      </w:r>
      <w:r>
        <w:t xml:space="preserve"> </w:t>
      </w:r>
      <w:r w:rsidR="00C6179A">
        <w:t xml:space="preserve">estas directrices </w:t>
      </w:r>
      <w:r>
        <w:t>ampliamente entre el público y capacit</w:t>
      </w:r>
      <w:r w:rsidR="00C6179A">
        <w:t>en</w:t>
      </w:r>
      <w:r>
        <w:t xml:space="preserve"> a profesionales de la salud </w:t>
      </w:r>
      <w:r w:rsidR="00C6179A">
        <w:t>sobre ello</w:t>
      </w:r>
      <w:r>
        <w:t>.</w:t>
      </w:r>
      <w:r>
        <w:rPr>
          <w:rStyle w:val="EndnoteReference"/>
        </w:rPr>
        <w:endnoteReference w:id="638"/>
      </w:r>
      <w:r>
        <w:t xml:space="preserve"> Se </w:t>
      </w:r>
      <w:r w:rsidR="00C6179A">
        <w:t xml:space="preserve">ha </w:t>
      </w:r>
      <w:r>
        <w:t>recomenda</w:t>
      </w:r>
      <w:r w:rsidR="00C6179A">
        <w:t>do</w:t>
      </w:r>
      <w:r>
        <w:t xml:space="preserve"> además por lo menos </w:t>
      </w:r>
      <w:r w:rsidR="00C6179A">
        <w:t xml:space="preserve">a </w:t>
      </w:r>
      <w:r>
        <w:t xml:space="preserve">un </w:t>
      </w:r>
      <w:r w:rsidR="00C6179A">
        <w:t>E</w:t>
      </w:r>
      <w:r>
        <w:t>stado que elabore directrices y ofre</w:t>
      </w:r>
      <w:r w:rsidR="00C6179A">
        <w:t>zca</w:t>
      </w:r>
      <w:r>
        <w:t xml:space="preserve"> capacitación </w:t>
      </w:r>
      <w:r w:rsidR="00C6179A">
        <w:t xml:space="preserve">en derechos humanos </w:t>
      </w:r>
      <w:r>
        <w:t>a profesionales médicos acerca de su obligación de respetar la privacidad y confidencialidad en el contexto de salud sexual y reproductiva.</w:t>
      </w:r>
      <w:r>
        <w:rPr>
          <w:rStyle w:val="EndnoteReference"/>
        </w:rPr>
        <w:endnoteReference w:id="639"/>
      </w:r>
      <w:r>
        <w:t xml:space="preserve"> El Comité también </w:t>
      </w:r>
      <w:r w:rsidR="00C6179A">
        <w:t xml:space="preserve">ha </w:t>
      </w:r>
      <w:r>
        <w:t>recomenda</w:t>
      </w:r>
      <w:r w:rsidR="00C6179A">
        <w:t>do</w:t>
      </w:r>
      <w:r>
        <w:t xml:space="preserve"> </w:t>
      </w:r>
      <w:r w:rsidR="00C6179A">
        <w:t xml:space="preserve">a </w:t>
      </w:r>
      <w:r>
        <w:t xml:space="preserve">al menos un </w:t>
      </w:r>
      <w:r w:rsidR="00C6179A">
        <w:t>E</w:t>
      </w:r>
      <w:r>
        <w:t>stado que desarroll</w:t>
      </w:r>
      <w:r w:rsidR="00C6179A">
        <w:t>e</w:t>
      </w:r>
      <w:r>
        <w:t xml:space="preserve"> </w:t>
      </w:r>
      <w:r w:rsidR="00C6179A">
        <w:t>estándare</w:t>
      </w:r>
      <w:r>
        <w:t>s médic</w:t>
      </w:r>
      <w:r w:rsidR="00C6179A">
        <w:t>o</w:t>
      </w:r>
      <w:r>
        <w:t>s que dej</w:t>
      </w:r>
      <w:r w:rsidR="00C6179A">
        <w:t>e</w:t>
      </w:r>
      <w:r>
        <w:t>n clar</w:t>
      </w:r>
      <w:r w:rsidR="00C6179A">
        <w:t>o</w:t>
      </w:r>
      <w:r>
        <w:t xml:space="preserve"> que el aborto es legal en casos de violación e incesto.</w:t>
      </w:r>
      <w:r>
        <w:rPr>
          <w:rStyle w:val="EndnoteReference"/>
        </w:rPr>
        <w:endnoteReference w:id="640"/>
      </w:r>
      <w:r>
        <w:t xml:space="preserve"> Además ha pedido </w:t>
      </w:r>
      <w:r w:rsidR="00C6179A">
        <w:t xml:space="preserve">a </w:t>
      </w:r>
      <w:r>
        <w:t xml:space="preserve">al menos un </w:t>
      </w:r>
      <w:r w:rsidR="00C6179A">
        <w:t>E</w:t>
      </w:r>
      <w:r>
        <w:t xml:space="preserve">stado </w:t>
      </w:r>
      <w:r w:rsidR="00C6179A">
        <w:t>implement</w:t>
      </w:r>
      <w:r>
        <w:t>ar las directrices existentes sobre el acceso al aborto seguro y servicios post</w:t>
      </w:r>
      <w:r w:rsidR="00C6179A">
        <w:t xml:space="preserve">eriores al </w:t>
      </w:r>
      <w:r>
        <w:t xml:space="preserve">aborto y capacitar a profesionales médicos </w:t>
      </w:r>
      <w:r w:rsidR="00C6179A">
        <w:t xml:space="preserve">sobre </w:t>
      </w:r>
      <w:r>
        <w:t xml:space="preserve">sus obligaciones </w:t>
      </w:r>
      <w:r w:rsidR="00C6179A">
        <w:t>en</w:t>
      </w:r>
      <w:r>
        <w:t xml:space="preserve"> este </w:t>
      </w:r>
      <w:r w:rsidR="00C6179A">
        <w:t>a</w:t>
      </w:r>
      <w:r>
        <w:t>specto.</w:t>
      </w:r>
      <w:r>
        <w:rPr>
          <w:rStyle w:val="EndnoteReference"/>
        </w:rPr>
        <w:endnoteReference w:id="641"/>
      </w:r>
    </w:p>
    <w:p w14:paraId="695F9559" w14:textId="07C720E9" w:rsidR="0049019C" w:rsidRDefault="00CD0EAF">
      <w:pPr>
        <w:pStyle w:val="Heading4"/>
      </w:pPr>
      <w:r>
        <w:t xml:space="preserve">Aborto </w:t>
      </w:r>
      <w:r w:rsidR="00915B90">
        <w:t>S</w:t>
      </w:r>
      <w:r>
        <w:t>electivo</w:t>
      </w:r>
    </w:p>
    <w:p w14:paraId="53390350" w14:textId="24AE8941" w:rsidR="0049019C" w:rsidRDefault="00CD0EAF">
      <w:pPr>
        <w:pStyle w:val="NormalIndented"/>
      </w:pPr>
      <w:r>
        <w:t>El Comité CEDAW ha expresado preocupación por las altas tasas de abortos sexo-selectivos que ocurre</w:t>
      </w:r>
      <w:r w:rsidR="00915B90">
        <w:t>n</w:t>
      </w:r>
      <w:r>
        <w:t xml:space="preserve"> en muchos Estados,</w:t>
      </w:r>
      <w:r>
        <w:rPr>
          <w:rStyle w:val="EndnoteReference"/>
        </w:rPr>
        <w:endnoteReference w:id="642"/>
      </w:r>
      <w:r>
        <w:t xml:space="preserve"> dando por resultado con frecuencia preferencias </w:t>
      </w:r>
      <w:r w:rsidR="00915B90">
        <w:t xml:space="preserve">sobre los </w:t>
      </w:r>
      <w:r>
        <w:t>hijo</w:t>
      </w:r>
      <w:r w:rsidR="00915B90">
        <w:t>s</w:t>
      </w:r>
      <w:r>
        <w:t>.</w:t>
      </w:r>
      <w:r>
        <w:rPr>
          <w:rStyle w:val="EndnoteReference"/>
        </w:rPr>
        <w:endnoteReference w:id="643"/>
      </w:r>
      <w:r>
        <w:t xml:space="preserve"> Ha dicho que estas prácticas devalúan a las mujeres y violan sus derechos humanos.</w:t>
      </w:r>
      <w:r>
        <w:rPr>
          <w:rStyle w:val="EndnoteReference"/>
        </w:rPr>
        <w:endnoteReference w:id="644"/>
      </w:r>
      <w:r>
        <w:t xml:space="preserve"> </w:t>
      </w:r>
      <w:r w:rsidR="00915B90">
        <w:t>El</w:t>
      </w:r>
      <w:r>
        <w:t xml:space="preserve"> Comi</w:t>
      </w:r>
      <w:r w:rsidR="00915B90">
        <w:t>té</w:t>
      </w:r>
      <w:r>
        <w:t xml:space="preserve"> también ha expresado preocupación por una ley estatal que criminaliza a las mujeres que se ven presionadas a buscar abortos sexo-selectivos.</w:t>
      </w:r>
      <w:r>
        <w:rPr>
          <w:rStyle w:val="EndnoteReference"/>
        </w:rPr>
        <w:endnoteReference w:id="645"/>
      </w:r>
      <w:r>
        <w:t xml:space="preserve"> El Comité ha pedido </w:t>
      </w:r>
      <w:r w:rsidR="00915B90">
        <w:t xml:space="preserve">a </w:t>
      </w:r>
      <w:r>
        <w:t xml:space="preserve">al menos un </w:t>
      </w:r>
      <w:r w:rsidR="00915B90">
        <w:t>E</w:t>
      </w:r>
      <w:r>
        <w:t>stado hacer cumplir la prohibición de aborto</w:t>
      </w:r>
      <w:r w:rsidR="00915B90">
        <w:t>s</w:t>
      </w:r>
      <w:r>
        <w:t xml:space="preserve"> sexo-selectivo</w:t>
      </w:r>
      <w:r w:rsidR="00915B90">
        <w:t>s</w:t>
      </w:r>
      <w:r>
        <w:t xml:space="preserve"> y el infanticidio femenino a través de procedimientos legales justos</w:t>
      </w:r>
      <w:r>
        <w:rPr>
          <w:rStyle w:val="EndnoteReference"/>
        </w:rPr>
        <w:endnoteReference w:id="646"/>
      </w:r>
      <w:r>
        <w:t xml:space="preserve"> y </w:t>
      </w:r>
      <w:r w:rsidR="00915B90">
        <w:t xml:space="preserve">a </w:t>
      </w:r>
      <w:r>
        <w:t>otr</w:t>
      </w:r>
      <w:r w:rsidR="00915B90">
        <w:t>o</w:t>
      </w:r>
      <w:r>
        <w:t xml:space="preserve"> abordar las causas de las preferencias </w:t>
      </w:r>
      <w:r w:rsidR="00915B90">
        <w:t xml:space="preserve">sobre los </w:t>
      </w:r>
      <w:r>
        <w:t>hijo</w:t>
      </w:r>
      <w:r w:rsidR="00915B90">
        <w:t>s</w:t>
      </w:r>
      <w:r>
        <w:t>, particularmente en las zonas rurales.</w:t>
      </w:r>
      <w:r>
        <w:rPr>
          <w:rStyle w:val="EndnoteReference"/>
        </w:rPr>
        <w:endnoteReference w:id="647"/>
      </w:r>
      <w:r>
        <w:t xml:space="preserve"> También ha pedido </w:t>
      </w:r>
      <w:r w:rsidR="00915B90">
        <w:t xml:space="preserve">a </w:t>
      </w:r>
      <w:r>
        <w:t xml:space="preserve">al menos un </w:t>
      </w:r>
      <w:r w:rsidR="00915B90">
        <w:t>E</w:t>
      </w:r>
      <w:r>
        <w:t xml:space="preserve">stado que tome medidas para evitar la práctica del aborto sexo-selectivo, resultante de la determinación </w:t>
      </w:r>
      <w:r w:rsidR="00915B90">
        <w:t xml:space="preserve">prenatal </w:t>
      </w:r>
      <w:r>
        <w:t>del sexo.</w:t>
      </w:r>
      <w:r>
        <w:rPr>
          <w:rStyle w:val="EndnoteReference"/>
        </w:rPr>
        <w:endnoteReference w:id="648"/>
      </w:r>
      <w:r>
        <w:t xml:space="preserve"> Además ha pedido </w:t>
      </w:r>
      <w:r w:rsidR="00915B90">
        <w:t xml:space="preserve">a </w:t>
      </w:r>
      <w:r>
        <w:t xml:space="preserve">al menos un </w:t>
      </w:r>
      <w:r w:rsidR="00915B90">
        <w:t>E</w:t>
      </w:r>
      <w:r>
        <w:t>stado hacer cumplir la prohibición de aborto sexo-selectivo, establec</w:t>
      </w:r>
      <w:r w:rsidR="00915B90">
        <w:t>iendo</w:t>
      </w:r>
      <w:r>
        <w:t xml:space="preserve"> salvaguardias para asegurar que las mujeres que se ven presionadas </w:t>
      </w:r>
      <w:r w:rsidR="00915B90">
        <w:t xml:space="preserve">por </w:t>
      </w:r>
      <w:r>
        <w:t>abortos sexo-selectivos no s</w:t>
      </w:r>
      <w:r w:rsidR="00915B90">
        <w:t>ea</w:t>
      </w:r>
      <w:r>
        <w:t>n criminalizadas.</w:t>
      </w:r>
      <w:r>
        <w:rPr>
          <w:rStyle w:val="EndnoteReference"/>
        </w:rPr>
        <w:endnoteReference w:id="649"/>
      </w:r>
    </w:p>
    <w:p w14:paraId="50EA91F5" w14:textId="70785087" w:rsidR="0049019C" w:rsidRDefault="00CD0EAF">
      <w:pPr>
        <w:pStyle w:val="Heading4"/>
      </w:pPr>
      <w:r>
        <w:t xml:space="preserve">Recolección de </w:t>
      </w:r>
      <w:r w:rsidR="00747FA2">
        <w:t>D</w:t>
      </w:r>
      <w:r>
        <w:t xml:space="preserve">atos y </w:t>
      </w:r>
      <w:r w:rsidR="00747FA2">
        <w:t>E</w:t>
      </w:r>
      <w:r>
        <w:t>stadísticas</w:t>
      </w:r>
    </w:p>
    <w:p w14:paraId="24B2F461" w14:textId="2EEA5F12" w:rsidR="0049019C" w:rsidRDefault="00CD0EAF">
      <w:pPr>
        <w:pStyle w:val="NormalIndented"/>
      </w:pPr>
      <w:r>
        <w:t>El Comité CEDAW ha expresado preocupación por la falta de datos sobre el aborto inseguro e ilegal,</w:t>
      </w:r>
      <w:r>
        <w:rPr>
          <w:rStyle w:val="EndnoteReference"/>
        </w:rPr>
        <w:endnoteReference w:id="650"/>
      </w:r>
      <w:r>
        <w:t xml:space="preserve"> instando a los Estados a recopilar datos d</w:t>
      </w:r>
      <w:r w:rsidR="00747FA2">
        <w:t>esagreg</w:t>
      </w:r>
      <w:r>
        <w:t>ados sobre este tema y cómo afecta a la salud de la</w:t>
      </w:r>
      <w:r w:rsidR="00747FA2">
        <w:t>s</w:t>
      </w:r>
      <w:r>
        <w:t xml:space="preserve"> mujer</w:t>
      </w:r>
      <w:r w:rsidR="00747FA2">
        <w:t>es</w:t>
      </w:r>
      <w:r>
        <w:t>, incluyendo la mortalidad materna.</w:t>
      </w:r>
      <w:r>
        <w:rPr>
          <w:rStyle w:val="EndnoteReference"/>
        </w:rPr>
        <w:endnoteReference w:id="651"/>
      </w:r>
      <w:r>
        <w:t xml:space="preserve"> Ha también expres</w:t>
      </w:r>
      <w:r w:rsidR="00747FA2">
        <w:t>ado</w:t>
      </w:r>
      <w:r>
        <w:t xml:space="preserve"> preocupación a por lo menos dos Estados por falta de datos desagregados sobre el aborto en general, aparentemente en el contexto del aborto utiliza</w:t>
      </w:r>
      <w:r w:rsidR="00747FA2">
        <w:t>do</w:t>
      </w:r>
      <w:r>
        <w:t xml:space="preserve"> como principal método de anticoncepción.</w:t>
      </w:r>
      <w:r>
        <w:rPr>
          <w:rStyle w:val="EndnoteReference"/>
        </w:rPr>
        <w:endnoteReference w:id="652"/>
      </w:r>
      <w:r>
        <w:t xml:space="preserve"> Ha solicitado que los Estados proporcion</w:t>
      </w:r>
      <w:r w:rsidR="00747FA2">
        <w:t>e</w:t>
      </w:r>
      <w:r>
        <w:t>n datos sobre el número de abortos y abortos inseguros, desglosados por edad y residencia urbana o rural.</w:t>
      </w:r>
      <w:r>
        <w:rPr>
          <w:rStyle w:val="EndnoteReference"/>
        </w:rPr>
        <w:endnoteReference w:id="653"/>
      </w:r>
      <w:r>
        <w:t xml:space="preserve"> También ha solicitado </w:t>
      </w:r>
      <w:r w:rsidR="00747FA2">
        <w:t xml:space="preserve">a los </w:t>
      </w:r>
      <w:r>
        <w:t>Estados llevar a cabo investigaciones sobre aborto inseguro y su impacto en la salud de la</w:t>
      </w:r>
      <w:r w:rsidR="00747FA2">
        <w:t>s</w:t>
      </w:r>
      <w:r>
        <w:t xml:space="preserve"> mujer</w:t>
      </w:r>
      <w:r w:rsidR="00747FA2">
        <w:t>es</w:t>
      </w:r>
      <w:r>
        <w:t>.</w:t>
      </w:r>
      <w:r>
        <w:rPr>
          <w:rStyle w:val="EndnoteReference"/>
        </w:rPr>
        <w:endnoteReference w:id="654"/>
      </w:r>
    </w:p>
    <w:p w14:paraId="7C4C7660" w14:textId="77777777" w:rsidR="00E02A34" w:rsidRDefault="00E02A34">
      <w:pPr>
        <w:spacing w:after="0" w:line="240" w:lineRule="auto"/>
        <w:ind w:left="0" w:right="0"/>
        <w:jc w:val="left"/>
        <w:rPr>
          <w:rFonts w:ascii="Franklin Gothic Heavy" w:eastAsiaTheme="majorEastAsia" w:hAnsi="Franklin Gothic Heavy" w:cstheme="majorBidi"/>
          <w:caps/>
          <w:color w:val="7E599A"/>
          <w:spacing w:val="0"/>
          <w:sz w:val="25"/>
          <w:szCs w:val="22"/>
          <w14:ligatures w14:val="standard"/>
        </w:rPr>
      </w:pPr>
      <w:bookmarkStart w:id="58" w:name="_Toc498590713"/>
      <w:r>
        <w:br w:type="page"/>
      </w:r>
    </w:p>
    <w:p w14:paraId="3CDE2C99" w14:textId="7AF74CDB" w:rsidR="0049019C" w:rsidRPr="004B2C96" w:rsidRDefault="00CD0EAF">
      <w:pPr>
        <w:pStyle w:val="Heading3"/>
      </w:pPr>
      <w:r w:rsidRPr="004B2C96">
        <w:lastRenderedPageBreak/>
        <w:t xml:space="preserve">Acceso a la información, bienes y servicios sobre </w:t>
      </w:r>
      <w:bookmarkEnd w:id="58"/>
      <w:r w:rsidR="00747FA2" w:rsidRPr="004B2C96">
        <w:t>ANTICONCEPTIVOS</w:t>
      </w:r>
    </w:p>
    <w:p w14:paraId="6917947C" w14:textId="5BF83528" w:rsidR="0049019C" w:rsidRDefault="00CD0EAF">
      <w:pPr>
        <w:pStyle w:val="AccountabilitySubtitle3"/>
        <w:rPr>
          <w:color w:val="auto"/>
          <w:u w:val="none"/>
        </w:rPr>
      </w:pPr>
      <w:r>
        <w:rPr>
          <w:color w:val="auto"/>
          <w:u w:val="none"/>
        </w:rPr>
        <w:t xml:space="preserve">El Comité </w:t>
      </w:r>
      <w:r w:rsidR="00747FA2">
        <w:rPr>
          <w:color w:val="auto"/>
          <w:u w:val="none"/>
        </w:rPr>
        <w:t xml:space="preserve">CEDAW </w:t>
      </w:r>
      <w:r>
        <w:rPr>
          <w:color w:val="auto"/>
          <w:u w:val="none"/>
        </w:rPr>
        <w:t xml:space="preserve">ha expresado </w:t>
      </w:r>
      <w:r w:rsidR="005E55D7">
        <w:rPr>
          <w:color w:val="auto"/>
          <w:u w:val="none"/>
        </w:rPr>
        <w:t xml:space="preserve">consistentemente </w:t>
      </w:r>
      <w:r>
        <w:rPr>
          <w:color w:val="auto"/>
          <w:u w:val="none"/>
        </w:rPr>
        <w:t>su preocupación a Estados donde el uso de anticonceptivos modernos en</w:t>
      </w:r>
      <w:r w:rsidR="005E55D7">
        <w:rPr>
          <w:color w:val="auto"/>
          <w:u w:val="none"/>
        </w:rPr>
        <w:t>tre</w:t>
      </w:r>
      <w:r>
        <w:rPr>
          <w:color w:val="auto"/>
          <w:u w:val="none"/>
        </w:rPr>
        <w:t xml:space="preserve"> mujeres es limitado,</w:t>
      </w:r>
      <w:r>
        <w:rPr>
          <w:rStyle w:val="EndnoteReference"/>
          <w:color w:val="auto"/>
          <w:u w:val="none"/>
        </w:rPr>
        <w:endnoteReference w:id="655"/>
      </w:r>
      <w:r>
        <w:rPr>
          <w:color w:val="auto"/>
          <w:u w:val="none"/>
        </w:rPr>
        <w:t xml:space="preserve"> particular</w:t>
      </w:r>
      <w:r w:rsidR="005E55D7">
        <w:rPr>
          <w:color w:val="auto"/>
          <w:u w:val="none"/>
        </w:rPr>
        <w:t>mente</w:t>
      </w:r>
      <w:r>
        <w:rPr>
          <w:color w:val="auto"/>
          <w:u w:val="none"/>
        </w:rPr>
        <w:t xml:space="preserve"> para los grupos desfavorecidos de mujeres incluyendo a las mujeres con discapacidad,</w:t>
      </w:r>
      <w:r>
        <w:rPr>
          <w:rStyle w:val="EndnoteReference"/>
          <w:color w:val="auto"/>
          <w:u w:val="none"/>
        </w:rPr>
        <w:endnoteReference w:id="656"/>
      </w:r>
      <w:r>
        <w:rPr>
          <w:color w:val="auto"/>
          <w:u w:val="none"/>
        </w:rPr>
        <w:t xml:space="preserve"> y sobre la falta de disponibilidad, a</w:t>
      </w:r>
      <w:r w:rsidR="005E55D7">
        <w:rPr>
          <w:color w:val="auto"/>
          <w:u w:val="none"/>
        </w:rPr>
        <w:t>s</w:t>
      </w:r>
      <w:r>
        <w:rPr>
          <w:color w:val="auto"/>
          <w:u w:val="none"/>
        </w:rPr>
        <w:t>e</w:t>
      </w:r>
      <w:r w:rsidR="005E55D7">
        <w:rPr>
          <w:color w:val="auto"/>
          <w:u w:val="none"/>
        </w:rPr>
        <w:t>qu</w:t>
      </w:r>
      <w:r>
        <w:rPr>
          <w:color w:val="auto"/>
          <w:u w:val="none"/>
        </w:rPr>
        <w:t>ibilidad y el acceso a los anticonceptivos en general,</w:t>
      </w:r>
      <w:r>
        <w:rPr>
          <w:rStyle w:val="EndnoteReference"/>
          <w:color w:val="000000" w:themeColor="text1"/>
          <w:u w:val="none"/>
        </w:rPr>
        <w:endnoteReference w:id="657"/>
      </w:r>
      <w:r>
        <w:rPr>
          <w:color w:val="auto"/>
          <w:u w:val="none"/>
        </w:rPr>
        <w:t xml:space="preserve"> </w:t>
      </w:r>
      <w:r w:rsidR="005E55D7">
        <w:rPr>
          <w:color w:val="auto"/>
          <w:u w:val="none"/>
        </w:rPr>
        <w:t>incluyendo</w:t>
      </w:r>
      <w:r>
        <w:rPr>
          <w:color w:val="auto"/>
          <w:u w:val="none"/>
        </w:rPr>
        <w:t xml:space="preserve"> zonas rurales y remotas.</w:t>
      </w:r>
      <w:r>
        <w:rPr>
          <w:rStyle w:val="EndnoteReference"/>
          <w:color w:val="auto"/>
          <w:u w:val="none"/>
        </w:rPr>
        <w:endnoteReference w:id="658"/>
      </w:r>
      <w:r>
        <w:rPr>
          <w:color w:val="auto"/>
          <w:u w:val="none"/>
        </w:rPr>
        <w:t xml:space="preserve"> También ha expresado preocupación a los Estados por el uso predominante de una forma de anticoncepción</w:t>
      </w:r>
      <w:r w:rsidR="008612A8">
        <w:rPr>
          <w:color w:val="auto"/>
          <w:u w:val="none"/>
        </w:rPr>
        <w:t xml:space="preserve"> </w:t>
      </w:r>
      <w:r w:rsidR="000D6B82">
        <w:t>—</w:t>
      </w:r>
      <w:r>
        <w:rPr>
          <w:color w:val="auto"/>
          <w:u w:val="none"/>
        </w:rPr>
        <w:t xml:space="preserve"> incluyendo dispositivos intrauterinos</w:t>
      </w:r>
      <w:r>
        <w:rPr>
          <w:rStyle w:val="EndnoteReference"/>
          <w:color w:val="auto"/>
          <w:u w:val="none"/>
        </w:rPr>
        <w:endnoteReference w:id="659"/>
      </w:r>
      <w:r>
        <w:rPr>
          <w:color w:val="auto"/>
          <w:u w:val="none"/>
        </w:rPr>
        <w:t xml:space="preserve"> o esterilización</w:t>
      </w:r>
      <w:r>
        <w:rPr>
          <w:rStyle w:val="EndnoteReference"/>
          <w:color w:val="auto"/>
          <w:u w:val="none"/>
        </w:rPr>
        <w:endnoteReference w:id="660"/>
      </w:r>
      <w:r w:rsidR="008612A8">
        <w:rPr>
          <w:color w:val="auto"/>
          <w:u w:val="none"/>
        </w:rPr>
        <w:t xml:space="preserve"> </w:t>
      </w:r>
      <w:r w:rsidR="00DC00CA">
        <w:rPr>
          <w:color w:val="auto"/>
          <w:u w:val="none"/>
        </w:rPr>
        <w:t xml:space="preserve"> </w:t>
      </w:r>
      <w:r>
        <w:rPr>
          <w:color w:val="auto"/>
          <w:u w:val="none"/>
        </w:rPr>
        <w:t>— y por la falta de disponibilidad de una amplia gama de anticonceptivos,</w:t>
      </w:r>
      <w:r>
        <w:rPr>
          <w:rStyle w:val="EndnoteReference"/>
          <w:color w:val="auto"/>
          <w:u w:val="none"/>
        </w:rPr>
        <w:endnoteReference w:id="661"/>
      </w:r>
      <w:r>
        <w:rPr>
          <w:color w:val="auto"/>
          <w:u w:val="none"/>
        </w:rPr>
        <w:t xml:space="preserve"> incluyendo métodos reversibles de anticoncepción.</w:t>
      </w:r>
      <w:r>
        <w:rPr>
          <w:rStyle w:val="EndnoteReference"/>
          <w:color w:val="auto"/>
          <w:u w:val="none"/>
        </w:rPr>
        <w:endnoteReference w:id="662"/>
      </w:r>
      <w:r>
        <w:rPr>
          <w:color w:val="auto"/>
          <w:u w:val="none"/>
        </w:rPr>
        <w:t xml:space="preserve"> El Comité además ha expresado preocupación por requisitos </w:t>
      </w:r>
      <w:r w:rsidR="005E55D7">
        <w:rPr>
          <w:color w:val="auto"/>
          <w:u w:val="none"/>
        </w:rPr>
        <w:t xml:space="preserve">de consentimiento conyugal </w:t>
      </w:r>
      <w:r>
        <w:rPr>
          <w:color w:val="auto"/>
          <w:u w:val="none"/>
        </w:rPr>
        <w:t>para acceder a anticonceptivos</w:t>
      </w:r>
      <w:r>
        <w:rPr>
          <w:rStyle w:val="EndnoteReference"/>
          <w:color w:val="auto"/>
          <w:u w:val="none"/>
        </w:rPr>
        <w:endnoteReference w:id="663"/>
      </w:r>
      <w:r>
        <w:rPr>
          <w:color w:val="auto"/>
          <w:u w:val="none"/>
        </w:rPr>
        <w:t xml:space="preserve"> y además ha expresado preocupación a</w:t>
      </w:r>
      <w:r w:rsidR="005E55D7">
        <w:rPr>
          <w:color w:val="auto"/>
          <w:u w:val="none"/>
        </w:rPr>
        <w:t xml:space="preserve"> a</w:t>
      </w:r>
      <w:r>
        <w:rPr>
          <w:color w:val="auto"/>
          <w:u w:val="none"/>
        </w:rPr>
        <w:t>l</w:t>
      </w:r>
      <w:r w:rsidR="005E55D7">
        <w:rPr>
          <w:color w:val="auto"/>
          <w:u w:val="none"/>
        </w:rPr>
        <w:t xml:space="preserve"> menos un</w:t>
      </w:r>
      <w:r>
        <w:rPr>
          <w:color w:val="auto"/>
          <w:u w:val="none"/>
        </w:rPr>
        <w:t xml:space="preserve"> </w:t>
      </w:r>
      <w:r w:rsidR="005E55D7">
        <w:rPr>
          <w:color w:val="auto"/>
          <w:u w:val="none"/>
        </w:rPr>
        <w:t>E</w:t>
      </w:r>
      <w:r>
        <w:rPr>
          <w:color w:val="auto"/>
          <w:u w:val="none"/>
        </w:rPr>
        <w:t xml:space="preserve">stado por prohibiciones locales sobre el acceso a los anticonceptivos modernos, a pesar de legislación </w:t>
      </w:r>
      <w:r w:rsidR="005E55D7">
        <w:rPr>
          <w:color w:val="auto"/>
          <w:u w:val="none"/>
        </w:rPr>
        <w:t xml:space="preserve">nacional </w:t>
      </w:r>
      <w:r>
        <w:rPr>
          <w:color w:val="auto"/>
          <w:u w:val="none"/>
        </w:rPr>
        <w:t>que permite este acceso.</w:t>
      </w:r>
      <w:r>
        <w:rPr>
          <w:rStyle w:val="EndnoteReference"/>
          <w:color w:val="auto"/>
          <w:u w:val="none"/>
        </w:rPr>
        <w:endnoteReference w:id="664"/>
      </w:r>
      <w:r>
        <w:rPr>
          <w:color w:val="auto"/>
          <w:u w:val="none"/>
        </w:rPr>
        <w:t xml:space="preserve"> Cada vez más ha expresado su preocupación a los Estados sobre la asequibilidad de los anticonceptivos, incluyendo la falta de distribución gratuita</w:t>
      </w:r>
      <w:r>
        <w:rPr>
          <w:rStyle w:val="EndnoteReference"/>
          <w:color w:val="auto"/>
          <w:u w:val="none"/>
        </w:rPr>
        <w:endnoteReference w:id="665"/>
      </w:r>
      <w:r>
        <w:rPr>
          <w:color w:val="auto"/>
          <w:u w:val="none"/>
        </w:rPr>
        <w:t xml:space="preserve"> y falta de cobertura de anticoncepción bajo seguro </w:t>
      </w:r>
      <w:r w:rsidR="005E55D7">
        <w:rPr>
          <w:color w:val="auto"/>
          <w:u w:val="none"/>
        </w:rPr>
        <w:t>público de salud</w:t>
      </w:r>
      <w:r>
        <w:rPr>
          <w:color w:val="auto"/>
          <w:u w:val="none"/>
        </w:rPr>
        <w:t>.</w:t>
      </w:r>
      <w:r>
        <w:rPr>
          <w:rStyle w:val="EndnoteReference"/>
          <w:color w:val="auto"/>
          <w:u w:val="none"/>
        </w:rPr>
        <w:endnoteReference w:id="666"/>
      </w:r>
      <w:r>
        <w:rPr>
          <w:color w:val="auto"/>
          <w:u w:val="none"/>
        </w:rPr>
        <w:t xml:space="preserve"> </w:t>
      </w:r>
      <w:r w:rsidR="005E55D7">
        <w:rPr>
          <w:color w:val="auto"/>
          <w:u w:val="none"/>
        </w:rPr>
        <w:t xml:space="preserve">Además </w:t>
      </w:r>
      <w:r>
        <w:rPr>
          <w:color w:val="auto"/>
          <w:u w:val="none"/>
        </w:rPr>
        <w:t>ha expresado preocupación a</w:t>
      </w:r>
      <w:r w:rsidR="005E55D7">
        <w:rPr>
          <w:color w:val="auto"/>
          <w:u w:val="none"/>
        </w:rPr>
        <w:t xml:space="preserve"> a</w:t>
      </w:r>
      <w:r>
        <w:rPr>
          <w:color w:val="auto"/>
          <w:u w:val="none"/>
        </w:rPr>
        <w:t>l</w:t>
      </w:r>
      <w:r w:rsidR="005E55D7">
        <w:rPr>
          <w:color w:val="auto"/>
          <w:u w:val="none"/>
        </w:rPr>
        <w:t xml:space="preserve"> menos</w:t>
      </w:r>
      <w:r>
        <w:rPr>
          <w:color w:val="auto"/>
          <w:u w:val="none"/>
        </w:rPr>
        <w:t xml:space="preserve"> </w:t>
      </w:r>
      <w:r w:rsidR="005E55D7">
        <w:rPr>
          <w:color w:val="auto"/>
          <w:u w:val="none"/>
        </w:rPr>
        <w:t>un E</w:t>
      </w:r>
      <w:r>
        <w:rPr>
          <w:color w:val="auto"/>
          <w:u w:val="none"/>
        </w:rPr>
        <w:t xml:space="preserve">stado por sesgos en la profesión médica contra el uso de anticonceptivos modernos y el ejercicio de la objeción de conciencia </w:t>
      </w:r>
      <w:r w:rsidR="005E55D7">
        <w:rPr>
          <w:color w:val="auto"/>
          <w:u w:val="none"/>
        </w:rPr>
        <w:t>por</w:t>
      </w:r>
      <w:r>
        <w:rPr>
          <w:color w:val="auto"/>
          <w:u w:val="none"/>
        </w:rPr>
        <w:t xml:space="preserve"> profesionales de la salud, evitando así </w:t>
      </w:r>
      <w:r w:rsidR="005E55D7">
        <w:rPr>
          <w:color w:val="auto"/>
          <w:u w:val="none"/>
        </w:rPr>
        <w:t xml:space="preserve">que </w:t>
      </w:r>
      <w:r>
        <w:rPr>
          <w:color w:val="auto"/>
          <w:u w:val="none"/>
        </w:rPr>
        <w:t>las mujeres tengan acceso a anticonceptivos.</w:t>
      </w:r>
      <w:r>
        <w:rPr>
          <w:rStyle w:val="EndnoteReference"/>
          <w:color w:val="auto"/>
          <w:u w:val="none"/>
        </w:rPr>
        <w:endnoteReference w:id="667"/>
      </w:r>
    </w:p>
    <w:p w14:paraId="7BE52FE5" w14:textId="5C1C1FD0" w:rsidR="0049019C" w:rsidRDefault="00CD0EAF">
      <w:r>
        <w:t>El Comité CEDAW ha pedido a los Estados aumentar la disponibilidad y accesibilidad de una amplia gama de métodos anticonceptivos modernos para todas las mujeres y niñas adolescentes,</w:t>
      </w:r>
      <w:r>
        <w:rPr>
          <w:rStyle w:val="EndnoteReference"/>
        </w:rPr>
        <w:endnoteReference w:id="668"/>
      </w:r>
      <w:r>
        <w:t xml:space="preserve"> particularmente en las zonas rurales.</w:t>
      </w:r>
      <w:r>
        <w:rPr>
          <w:rStyle w:val="EndnoteReference"/>
        </w:rPr>
        <w:endnoteReference w:id="669"/>
      </w:r>
      <w:r>
        <w:t xml:space="preserve"> En particular, se recomienda que los Estados garanti</w:t>
      </w:r>
      <w:r w:rsidR="005E55D7">
        <w:t>cen</w:t>
      </w:r>
      <w:r>
        <w:t xml:space="preserve"> </w:t>
      </w:r>
      <w:r w:rsidR="001B1892">
        <w:t xml:space="preserve">acceso </w:t>
      </w:r>
      <w:r>
        <w:t>asequible</w:t>
      </w:r>
      <w:r>
        <w:rPr>
          <w:rStyle w:val="EndnoteReference"/>
        </w:rPr>
        <w:endnoteReference w:id="670"/>
      </w:r>
      <w:r>
        <w:t xml:space="preserve"> </w:t>
      </w:r>
      <w:r w:rsidR="001B1892">
        <w:t>o</w:t>
      </w:r>
      <w:r>
        <w:t xml:space="preserve"> </w:t>
      </w:r>
      <w:r w:rsidR="008612A8">
        <w:t>gratis</w:t>
      </w:r>
      <w:r>
        <w:rPr>
          <w:rStyle w:val="EndnoteReference"/>
        </w:rPr>
        <w:endnoteReference w:id="671"/>
      </w:r>
      <w:r>
        <w:t xml:space="preserve"> a anticonceptivos, incluyendo </w:t>
      </w:r>
      <w:r w:rsidR="001B1892">
        <w:t xml:space="preserve">para </w:t>
      </w:r>
      <w:r>
        <w:t>adolescentes,</w:t>
      </w:r>
      <w:r>
        <w:rPr>
          <w:rStyle w:val="EndnoteReference"/>
        </w:rPr>
        <w:endnoteReference w:id="672"/>
      </w:r>
      <w:r>
        <w:t xml:space="preserve"> e independientemente de su condición de discapacidad,</w:t>
      </w:r>
      <w:r>
        <w:rPr>
          <w:rStyle w:val="EndnoteReference"/>
        </w:rPr>
        <w:endnoteReference w:id="673"/>
      </w:r>
      <w:r>
        <w:t xml:space="preserve"> estado migrante o refugiado,</w:t>
      </w:r>
      <w:r>
        <w:rPr>
          <w:rStyle w:val="EndnoteReference"/>
        </w:rPr>
        <w:endnoteReference w:id="674"/>
      </w:r>
      <w:r>
        <w:t xml:space="preserve"> VIH,</w:t>
      </w:r>
      <w:r>
        <w:rPr>
          <w:rStyle w:val="EndnoteReference"/>
        </w:rPr>
        <w:endnoteReference w:id="675"/>
      </w:r>
      <w:r w:rsidR="00F82D5D">
        <w:t xml:space="preserve"> </w:t>
      </w:r>
      <w:r>
        <w:t>estado civil, ubicación geográfica o condición de minoría.</w:t>
      </w:r>
      <w:r>
        <w:rPr>
          <w:rStyle w:val="EndnoteReference"/>
        </w:rPr>
        <w:endnoteReference w:id="676"/>
      </w:r>
      <w:r>
        <w:t xml:space="preserve"> Específicamente </w:t>
      </w:r>
      <w:r w:rsidR="001B1892">
        <w:t xml:space="preserve">ha </w:t>
      </w:r>
      <w:r>
        <w:t>recomenda</w:t>
      </w:r>
      <w:r w:rsidR="001B1892">
        <w:t>do</w:t>
      </w:r>
      <w:r>
        <w:t xml:space="preserve"> que los Estados asegur</w:t>
      </w:r>
      <w:r w:rsidR="001B1892">
        <w:t>e</w:t>
      </w:r>
      <w:r>
        <w:t>n el acceso a los anticonceptivos modernos asequibles y seguros para reducir la dependencia en la esterilización como método de anticoncepción.</w:t>
      </w:r>
      <w:r>
        <w:rPr>
          <w:rStyle w:val="EndnoteReference"/>
        </w:rPr>
        <w:endnoteReference w:id="677"/>
      </w:r>
      <w:r>
        <w:t xml:space="preserve"> El Comité ha recomendado que los Estados garanti</w:t>
      </w:r>
      <w:r w:rsidR="001B1892">
        <w:t>cen</w:t>
      </w:r>
      <w:r>
        <w:t xml:space="preserve"> </w:t>
      </w:r>
      <w:r w:rsidR="001B1892">
        <w:t xml:space="preserve">el </w:t>
      </w:r>
      <w:r>
        <w:t>acceso y asequibilidad subsidia</w:t>
      </w:r>
      <w:r w:rsidR="001B1892">
        <w:t>ndo</w:t>
      </w:r>
      <w:r>
        <w:t xml:space="preserve"> los anticonceptivos modernos,</w:t>
      </w:r>
      <w:r>
        <w:rPr>
          <w:rStyle w:val="EndnoteReference"/>
        </w:rPr>
        <w:endnoteReference w:id="678"/>
      </w:r>
      <w:r>
        <w:t xml:space="preserve"> asegura</w:t>
      </w:r>
      <w:r w:rsidR="001B1892">
        <w:t>ndo</w:t>
      </w:r>
      <w:r>
        <w:t xml:space="preserve"> las asignaciones presupuestarias necesarias para anticoncep</w:t>
      </w:r>
      <w:r w:rsidR="001B1892">
        <w:t>tivos</w:t>
      </w:r>
      <w:r>
        <w:t>,</w:t>
      </w:r>
      <w:r>
        <w:rPr>
          <w:rStyle w:val="EndnoteReference"/>
        </w:rPr>
        <w:endnoteReference w:id="679"/>
      </w:r>
      <w:r>
        <w:t xml:space="preserve"> cubr</w:t>
      </w:r>
      <w:r w:rsidR="001B1892">
        <w:t>ie</w:t>
      </w:r>
      <w:r>
        <w:t>n</w:t>
      </w:r>
      <w:r w:rsidR="001B1892">
        <w:t>do</w:t>
      </w:r>
      <w:r>
        <w:t xml:space="preserve"> los costos en </w:t>
      </w:r>
      <w:r w:rsidR="001B1892">
        <w:t xml:space="preserve">seguro </w:t>
      </w:r>
      <w:r>
        <w:t>públic</w:t>
      </w:r>
      <w:r w:rsidR="001B1892">
        <w:t>o de salud</w:t>
      </w:r>
      <w:r>
        <w:t>,</w:t>
      </w:r>
      <w:r>
        <w:rPr>
          <w:rStyle w:val="EndnoteReference"/>
        </w:rPr>
        <w:endnoteReference w:id="680"/>
      </w:r>
      <w:r>
        <w:t xml:space="preserve"> </w:t>
      </w:r>
      <w:r w:rsidR="001B1892">
        <w:t>e</w:t>
      </w:r>
      <w:r>
        <w:t xml:space="preserve"> incluyendo anticonceptivos en la lista de medicamentos</w:t>
      </w:r>
      <w:r w:rsidR="001B1892" w:rsidRPr="001B1892">
        <w:t xml:space="preserve"> </w:t>
      </w:r>
      <w:r w:rsidR="001B1892">
        <w:t>esenciales del Estado</w:t>
      </w:r>
      <w:r>
        <w:t>.</w:t>
      </w:r>
      <w:r>
        <w:rPr>
          <w:rStyle w:val="EndnoteReference"/>
        </w:rPr>
        <w:endnoteReference w:id="681"/>
      </w:r>
      <w:r>
        <w:t xml:space="preserve"> También ha recomendado a por lo menos un </w:t>
      </w:r>
      <w:r w:rsidR="001B1892">
        <w:t>E</w:t>
      </w:r>
      <w:r>
        <w:t>stado que no requier</w:t>
      </w:r>
      <w:r w:rsidR="001B1892">
        <w:t>a</w:t>
      </w:r>
      <w:r>
        <w:t xml:space="preserve"> consentimiento c</w:t>
      </w:r>
      <w:r w:rsidR="001B1892">
        <w:t>o</w:t>
      </w:r>
      <w:r>
        <w:t>nyug</w:t>
      </w:r>
      <w:r w:rsidR="001B1892">
        <w:t>al</w:t>
      </w:r>
      <w:r>
        <w:t xml:space="preserve"> para la esterilización</w:t>
      </w:r>
      <w:r>
        <w:rPr>
          <w:rStyle w:val="EndnoteReference"/>
        </w:rPr>
        <w:endnoteReference w:id="682"/>
      </w:r>
      <w:r>
        <w:t xml:space="preserve"> y que otro </w:t>
      </w:r>
      <w:r w:rsidR="001B1892">
        <w:t xml:space="preserve">asegure </w:t>
      </w:r>
      <w:r>
        <w:t xml:space="preserve">que </w:t>
      </w:r>
      <w:r w:rsidR="001B1892">
        <w:t xml:space="preserve">los </w:t>
      </w:r>
      <w:r>
        <w:t xml:space="preserve">anticonceptivos modernos </w:t>
      </w:r>
      <w:r w:rsidR="001B1892">
        <w:t xml:space="preserve">estén disponibles </w:t>
      </w:r>
      <w:r>
        <w:t>a las mujeres en la práctica sin el consentimiento conyugal.</w:t>
      </w:r>
      <w:r>
        <w:rPr>
          <w:rStyle w:val="EndnoteReference"/>
        </w:rPr>
        <w:endnoteReference w:id="683"/>
      </w:r>
    </w:p>
    <w:p w14:paraId="0C816DD2" w14:textId="46C51C9B" w:rsidR="0049019C" w:rsidRDefault="00CD0EAF">
      <w:pPr>
        <w:pStyle w:val="Heading4"/>
      </w:pPr>
      <w:r>
        <w:t xml:space="preserve">Información sobre </w:t>
      </w:r>
      <w:r w:rsidR="001B1892">
        <w:t>A</w:t>
      </w:r>
      <w:r>
        <w:t>nticonceptivos</w:t>
      </w:r>
    </w:p>
    <w:p w14:paraId="6BB85B5A" w14:textId="3F934861" w:rsidR="0049019C" w:rsidRDefault="00CD0EAF">
      <w:pPr>
        <w:pStyle w:val="NormalIndented"/>
      </w:pPr>
      <w:r>
        <w:t>El Comité CEDAW ha expresado preocupación por la falta de acceso a información precisa y basada en evidencia sobre planificación familiar y los tipos y efectos de los anticonceptivos disponibles al público.</w:t>
      </w:r>
      <w:r>
        <w:rPr>
          <w:rStyle w:val="EndnoteReference"/>
        </w:rPr>
        <w:endnoteReference w:id="684"/>
      </w:r>
      <w:r>
        <w:t xml:space="preserve"> También ha expresado su preocupación </w:t>
      </w:r>
      <w:r w:rsidR="001B1794">
        <w:t xml:space="preserve">a </w:t>
      </w:r>
      <w:r>
        <w:t xml:space="preserve">al menos </w:t>
      </w:r>
      <w:r w:rsidR="001B1794">
        <w:t xml:space="preserve">un Estado </w:t>
      </w:r>
      <w:r>
        <w:t>sobre la baja calidad de consejería en planificación familiar</w:t>
      </w:r>
      <w:r>
        <w:rPr>
          <w:rStyle w:val="EndnoteReference"/>
        </w:rPr>
        <w:endnoteReference w:id="685"/>
      </w:r>
      <w:r>
        <w:t xml:space="preserve"> y a otro Estado sobre una campaña estatal para influir negativamente en </w:t>
      </w:r>
      <w:r w:rsidR="001B1794">
        <w:t xml:space="preserve">la opinión </w:t>
      </w:r>
      <w:r>
        <w:t>pública sobre anticoncep</w:t>
      </w:r>
      <w:r w:rsidR="001B1794">
        <w:t>tivos</w:t>
      </w:r>
      <w:r>
        <w:t>.</w:t>
      </w:r>
      <w:r>
        <w:rPr>
          <w:rStyle w:val="EndnoteReference"/>
        </w:rPr>
        <w:endnoteReference w:id="686"/>
      </w:r>
      <w:r w:rsidR="001B1794">
        <w:t xml:space="preserve"> E</w:t>
      </w:r>
      <w:r>
        <w:t xml:space="preserve">n al menos un </w:t>
      </w:r>
      <w:r w:rsidR="001B1794">
        <w:t>E</w:t>
      </w:r>
      <w:r>
        <w:t xml:space="preserve">stado </w:t>
      </w:r>
      <w:r w:rsidR="001B1794">
        <w:t xml:space="preserve">ha </w:t>
      </w:r>
      <w:r>
        <w:t>también atribu</w:t>
      </w:r>
      <w:r w:rsidR="001B1794">
        <w:t>ido</w:t>
      </w:r>
      <w:r>
        <w:t xml:space="preserve"> las bajas tasas de uso de anticonceptivos a la falta de información.</w:t>
      </w:r>
      <w:r>
        <w:rPr>
          <w:rStyle w:val="EndnoteReference"/>
        </w:rPr>
        <w:endnoteReference w:id="687"/>
      </w:r>
      <w:r>
        <w:t xml:space="preserve"> El Comité ha recomendado que los Estados reali</w:t>
      </w:r>
      <w:r w:rsidR="001B1794">
        <w:t>ce</w:t>
      </w:r>
      <w:r>
        <w:t>n campañas de sensibilización y asegur</w:t>
      </w:r>
      <w:r w:rsidR="00121766">
        <w:t>e</w:t>
      </w:r>
      <w:r>
        <w:t>n la difusión de información sobre los anticonceptivos modernos,</w:t>
      </w:r>
      <w:r>
        <w:rPr>
          <w:rStyle w:val="EndnoteReference"/>
        </w:rPr>
        <w:endnoteReference w:id="688"/>
      </w:r>
      <w:r>
        <w:t xml:space="preserve"> </w:t>
      </w:r>
      <w:r w:rsidR="00121766">
        <w:t>c</w:t>
      </w:r>
      <w:r>
        <w:t>es</w:t>
      </w:r>
      <w:r w:rsidR="00121766">
        <w:t>en</w:t>
      </w:r>
      <w:r>
        <w:t xml:space="preserve"> campañas para influir negativamente </w:t>
      </w:r>
      <w:r w:rsidR="00121766">
        <w:t xml:space="preserve">en </w:t>
      </w:r>
      <w:r>
        <w:t>opiniones sobre anticoncep</w:t>
      </w:r>
      <w:r w:rsidR="00121766">
        <w:t>tivos</w:t>
      </w:r>
      <w:r>
        <w:t>,</w:t>
      </w:r>
      <w:r>
        <w:rPr>
          <w:rStyle w:val="EndnoteReference"/>
        </w:rPr>
        <w:endnoteReference w:id="689"/>
      </w:r>
      <w:r>
        <w:t xml:space="preserve"> y aument</w:t>
      </w:r>
      <w:r w:rsidR="00121766">
        <w:t>en</w:t>
      </w:r>
      <w:r>
        <w:t xml:space="preserve"> el acceso a la información basada en evidencia sobre la planificación familiar para todos, incluyendo niñas y niños.</w:t>
      </w:r>
      <w:r>
        <w:rPr>
          <w:rStyle w:val="EndnoteReference"/>
        </w:rPr>
        <w:endnoteReference w:id="690"/>
      </w:r>
      <w:r>
        <w:t xml:space="preserve"> El Comité ha pedido </w:t>
      </w:r>
      <w:r w:rsidR="00121766">
        <w:t>ade</w:t>
      </w:r>
      <w:r>
        <w:t xml:space="preserve">más por lo menos </w:t>
      </w:r>
      <w:r w:rsidR="00121766">
        <w:t xml:space="preserve">a </w:t>
      </w:r>
      <w:r>
        <w:t xml:space="preserve">un </w:t>
      </w:r>
      <w:r w:rsidR="00121766">
        <w:t>E</w:t>
      </w:r>
      <w:r>
        <w:t>stado proporcionar información y educación sobre los anticonceptivos modernos para superar los estereotipos, malentendidos y estigma sobre su uso.</w:t>
      </w:r>
      <w:r>
        <w:rPr>
          <w:rStyle w:val="EndnoteReference"/>
        </w:rPr>
        <w:endnoteReference w:id="691"/>
      </w:r>
      <w:r>
        <w:t xml:space="preserve"> También ha recomendado que los Estados asegur</w:t>
      </w:r>
      <w:r w:rsidR="00121766">
        <w:t>e</w:t>
      </w:r>
      <w:r>
        <w:t>n el acceso a información sobre anticoncep</w:t>
      </w:r>
      <w:r w:rsidR="00121766">
        <w:t>tivos</w:t>
      </w:r>
      <w:r>
        <w:t xml:space="preserve"> y salud sexual y reproductiva en formatos accesibles.</w:t>
      </w:r>
      <w:r>
        <w:rPr>
          <w:rStyle w:val="EndnoteReference"/>
        </w:rPr>
        <w:endnoteReference w:id="692"/>
      </w:r>
    </w:p>
    <w:p w14:paraId="6F090A14" w14:textId="104C93EC" w:rsidR="0049019C" w:rsidRDefault="00CD0EAF">
      <w:pPr>
        <w:pStyle w:val="Heading4"/>
      </w:pPr>
      <w:r>
        <w:t xml:space="preserve">Anticonceptivos de </w:t>
      </w:r>
      <w:r w:rsidR="00121766">
        <w:t>E</w:t>
      </w:r>
      <w:r>
        <w:t>mergencia</w:t>
      </w:r>
    </w:p>
    <w:p w14:paraId="20E1634E" w14:textId="2C18AF89" w:rsidR="0049019C" w:rsidRDefault="00CD0EAF">
      <w:pPr>
        <w:pStyle w:val="NormalIndented"/>
      </w:pPr>
      <w:r>
        <w:t>El Comité CEDAW ha expresado preocupación a varios Estados por la falta de disponibilidad y accesibilidad de la anticoncepción de emergencia.</w:t>
      </w:r>
      <w:r>
        <w:rPr>
          <w:rStyle w:val="EndnoteReference"/>
        </w:rPr>
        <w:endnoteReference w:id="693"/>
      </w:r>
      <w:r>
        <w:t xml:space="preserve"> En particular ha expresado preocupación donde se </w:t>
      </w:r>
      <w:r w:rsidR="0017633A">
        <w:t xml:space="preserve">ha </w:t>
      </w:r>
      <w:r>
        <w:t>prohibi</w:t>
      </w:r>
      <w:r w:rsidR="0017633A">
        <w:t>do</w:t>
      </w:r>
      <w:r>
        <w:t xml:space="preserve"> la distribución gratuita de la anticoncepción de emergencia, </w:t>
      </w:r>
      <w:r w:rsidR="0017633A">
        <w:t xml:space="preserve">incluyendo </w:t>
      </w:r>
      <w:r>
        <w:t>en casos de abuso sexual,</w:t>
      </w:r>
      <w:r>
        <w:rPr>
          <w:rStyle w:val="EndnoteReference"/>
        </w:rPr>
        <w:endnoteReference w:id="694"/>
      </w:r>
      <w:r>
        <w:t xml:space="preserve"> o donde las mujeres que son víctimas de violencia sexual no tienen acceso a la anticoncepción de emergencia.</w:t>
      </w:r>
      <w:r>
        <w:rPr>
          <w:rStyle w:val="EndnoteReference"/>
        </w:rPr>
        <w:endnoteReference w:id="695"/>
      </w:r>
      <w:r>
        <w:t xml:space="preserve"> También ha expresado </w:t>
      </w:r>
      <w:r>
        <w:lastRenderedPageBreak/>
        <w:t xml:space="preserve">preocupación a un </w:t>
      </w:r>
      <w:r w:rsidR="0017633A">
        <w:t>E</w:t>
      </w:r>
      <w:r>
        <w:t xml:space="preserve">stado por las normas culturales que obstaculizan el acceso a los anticonceptivos, incluidos anticonceptivos de emergencia, para las niñas, debido a normas tradicionales </w:t>
      </w:r>
      <w:r w:rsidR="0017633A">
        <w:t xml:space="preserve">en las </w:t>
      </w:r>
      <w:r>
        <w:t>que las niñas no deben ser sexualmente activas.</w:t>
      </w:r>
      <w:r>
        <w:rPr>
          <w:rStyle w:val="EndnoteReference"/>
        </w:rPr>
        <w:endnoteReference w:id="696"/>
      </w:r>
    </w:p>
    <w:p w14:paraId="285431E1" w14:textId="6DA73328" w:rsidR="0049019C" w:rsidRDefault="00CD0EAF">
      <w:pPr>
        <w:pStyle w:val="NormalIndented"/>
      </w:pPr>
      <w:r>
        <w:t xml:space="preserve">El Comité CEDAW constantemente pide a los Estados </w:t>
      </w:r>
      <w:r w:rsidR="0017633A">
        <w:t>asegurar que</w:t>
      </w:r>
      <w:r>
        <w:t xml:space="preserve"> las mujeres tengan acceso a anticoncepción de emergencia</w:t>
      </w:r>
      <w:r>
        <w:rPr>
          <w:rStyle w:val="EndnoteReference"/>
        </w:rPr>
        <w:endnoteReference w:id="697"/>
      </w:r>
      <w:r>
        <w:t xml:space="preserve"> y satisfacer la necesidad insatisfecha de anticoncepción de emergencia.</w:t>
      </w:r>
      <w:r>
        <w:rPr>
          <w:rStyle w:val="EndnoteReference"/>
        </w:rPr>
        <w:endnoteReference w:id="698"/>
      </w:r>
      <w:r w:rsidR="00F82D5D">
        <w:t xml:space="preserve"> </w:t>
      </w:r>
      <w:r>
        <w:t>También ha pedido a los Estados asegurar que la anticoncepción de emergencia est</w:t>
      </w:r>
      <w:r w:rsidR="0017633A">
        <w:t>é</w:t>
      </w:r>
      <w:r>
        <w:t xml:space="preserve"> disponible como parte de un paquete más amplio de información</w:t>
      </w:r>
      <w:r w:rsidR="0017633A">
        <w:t>,</w:t>
      </w:r>
      <w:r>
        <w:t xml:space="preserve"> </w:t>
      </w:r>
      <w:r w:rsidR="0017633A">
        <w:t xml:space="preserve">bienes y servicios </w:t>
      </w:r>
      <w:r>
        <w:t>sobre salud sexual y reproductiva</w:t>
      </w:r>
      <w:r>
        <w:rPr>
          <w:rStyle w:val="EndnoteReference"/>
        </w:rPr>
        <w:endnoteReference w:id="699"/>
      </w:r>
      <w:r>
        <w:t xml:space="preserve"> y como una forma de reducir embarazos no deseados y tempranos.</w:t>
      </w:r>
      <w:r>
        <w:rPr>
          <w:rStyle w:val="EndnoteReference"/>
        </w:rPr>
        <w:endnoteReference w:id="700"/>
      </w:r>
      <w:r>
        <w:t xml:space="preserve"> Se llama </w:t>
      </w:r>
      <w:r w:rsidR="0017633A">
        <w:t>ade</w:t>
      </w:r>
      <w:r>
        <w:t xml:space="preserve">más </w:t>
      </w:r>
      <w:r w:rsidR="0017633A">
        <w:t xml:space="preserve">a </w:t>
      </w:r>
      <w:r>
        <w:t>al menos un</w:t>
      </w:r>
      <w:r w:rsidR="0017633A">
        <w:t xml:space="preserve"> E</w:t>
      </w:r>
      <w:r>
        <w:t xml:space="preserve">stado para asegurar que la anticoncepción de emergencia </w:t>
      </w:r>
      <w:r w:rsidR="0017633A">
        <w:t xml:space="preserve">sea </w:t>
      </w:r>
      <w:r>
        <w:t>distribuida libremente dentro del sistema de salud pública, particularmente para las víctimas de abuso sexual,</w:t>
      </w:r>
      <w:r>
        <w:rPr>
          <w:rStyle w:val="EndnoteReference"/>
        </w:rPr>
        <w:endnoteReference w:id="701"/>
      </w:r>
      <w:r>
        <w:t xml:space="preserve"> y en otro Estado para eliminar el requisito de la prescripción para anticoncepción de emergencia.</w:t>
      </w:r>
      <w:r>
        <w:rPr>
          <w:rStyle w:val="EndnoteReference"/>
        </w:rPr>
        <w:endnoteReference w:id="702"/>
      </w:r>
      <w:r>
        <w:t xml:space="preserve"> El Comité también ha pedido </w:t>
      </w:r>
      <w:r w:rsidR="0017633A">
        <w:t xml:space="preserve">a </w:t>
      </w:r>
      <w:r>
        <w:t xml:space="preserve">al menos un </w:t>
      </w:r>
      <w:r w:rsidR="0017633A">
        <w:t>E</w:t>
      </w:r>
      <w:r>
        <w:t xml:space="preserve">stado asegurar que su Ministerio de </w:t>
      </w:r>
      <w:r w:rsidR="0017633A">
        <w:t>S</w:t>
      </w:r>
      <w:r>
        <w:t>alud promueve y concientiza sobre anticoncepción de emergencia.</w:t>
      </w:r>
      <w:r>
        <w:rPr>
          <w:rStyle w:val="EndnoteReference"/>
        </w:rPr>
        <w:endnoteReference w:id="703"/>
      </w:r>
    </w:p>
    <w:p w14:paraId="4393B6B2" w14:textId="3FAFD59C" w:rsidR="0049019C" w:rsidRDefault="00CD0EAF">
      <w:pPr>
        <w:pStyle w:val="Heading4"/>
      </w:pPr>
      <w:r>
        <w:t xml:space="preserve">El </w:t>
      </w:r>
      <w:r w:rsidR="0017633A">
        <w:t>A</w:t>
      </w:r>
      <w:r>
        <w:t xml:space="preserve">borto como </w:t>
      </w:r>
      <w:r w:rsidR="0017633A">
        <w:t>M</w:t>
      </w:r>
      <w:r>
        <w:t xml:space="preserve">étodo </w:t>
      </w:r>
      <w:r w:rsidR="0017633A">
        <w:t>A</w:t>
      </w:r>
      <w:r>
        <w:t>nticonceptivo</w:t>
      </w:r>
    </w:p>
    <w:p w14:paraId="3A2E17C3" w14:textId="7A533BFD" w:rsidR="0049019C" w:rsidRDefault="00CD0EAF">
      <w:pPr>
        <w:pStyle w:val="NormalIndented"/>
      </w:pPr>
      <w:r>
        <w:t>En varios casos, el Comité CEDAW ha expresado preocupación a Estados por las altas tasas de aborto y el aparente uso de aborto como un método principal de control de la natalidad o planificación familiar,</w:t>
      </w:r>
      <w:r>
        <w:rPr>
          <w:rStyle w:val="EndnoteReference"/>
        </w:rPr>
        <w:endnoteReference w:id="704"/>
      </w:r>
      <w:r>
        <w:t xml:space="preserve">  especialmente para las mujeres jóvenes y adolescentes.</w:t>
      </w:r>
      <w:r>
        <w:rPr>
          <w:rStyle w:val="EndnoteReference"/>
        </w:rPr>
        <w:endnoteReference w:id="705"/>
      </w:r>
      <w:r>
        <w:t xml:space="preserve"> Ha atribuido el uso del aborto como un método de control de natalidad a la </w:t>
      </w:r>
      <w:r w:rsidR="00015D58">
        <w:t xml:space="preserve">insuficiente </w:t>
      </w:r>
      <w:r>
        <w:t>disponibilidad</w:t>
      </w:r>
      <w:r w:rsidR="00015D58">
        <w:t>,</w:t>
      </w:r>
      <w:r>
        <w:t xml:space="preserve"> conocimiento y uso de anticonceptivos modernos.</w:t>
      </w:r>
      <w:r>
        <w:rPr>
          <w:rStyle w:val="EndnoteReference"/>
        </w:rPr>
        <w:endnoteReference w:id="706"/>
      </w:r>
      <w:r>
        <w:t xml:space="preserve"> </w:t>
      </w:r>
    </w:p>
    <w:p w14:paraId="17CD6C4C" w14:textId="68ECF810" w:rsidR="0049019C" w:rsidRDefault="00CD0EAF">
      <w:pPr>
        <w:pStyle w:val="NormalIndented"/>
      </w:pPr>
      <w:r>
        <w:t>El Comité ha pedido a los Estados prevenir el uso del aborto como un método de anticoncepción</w:t>
      </w:r>
      <w:r>
        <w:rPr>
          <w:rStyle w:val="EndnoteReference"/>
        </w:rPr>
        <w:endnoteReference w:id="707"/>
      </w:r>
      <w:r>
        <w:t xml:space="preserve"> y aumentar el acceso a los anticonceptivos modernos asequible</w:t>
      </w:r>
      <w:r w:rsidR="00015D58">
        <w:t>s</w:t>
      </w:r>
      <w:r>
        <w:t>,</w:t>
      </w:r>
      <w:r>
        <w:rPr>
          <w:rStyle w:val="EndnoteReference"/>
        </w:rPr>
        <w:endnoteReference w:id="708"/>
      </w:r>
      <w:r>
        <w:t xml:space="preserve"> incluyendo anticoncepción de emergencia,</w:t>
      </w:r>
      <w:r>
        <w:rPr>
          <w:rStyle w:val="EndnoteReference"/>
        </w:rPr>
        <w:endnoteReference w:id="709"/>
      </w:r>
      <w:r>
        <w:t xml:space="preserve"> para prevenir embarazos no deseados y reducir la dependencia sobre el aborto como medio de planificación familiar. También ha pedido a los Estados garantizar el acceso a la educación apropiada para la edad, información y consejería en salud sexual y reproductiva y los derechos como un medio de prevención del embarazo temprano,</w:t>
      </w:r>
      <w:r>
        <w:rPr>
          <w:rStyle w:val="EndnoteReference"/>
        </w:rPr>
        <w:endnoteReference w:id="710"/>
      </w:r>
      <w:r>
        <w:t xml:space="preserve"> fomentando el uso de anticonceptivos para planificación familiar,</w:t>
      </w:r>
      <w:r>
        <w:rPr>
          <w:rStyle w:val="EndnoteReference"/>
        </w:rPr>
        <w:endnoteReference w:id="711"/>
      </w:r>
      <w:r>
        <w:t xml:space="preserve"> y desalenta</w:t>
      </w:r>
      <w:r w:rsidR="00015D58">
        <w:t>ndo</w:t>
      </w:r>
      <w:r>
        <w:t xml:space="preserve"> el uso del aborto como un método de control de la natalidad.</w:t>
      </w:r>
      <w:r>
        <w:rPr>
          <w:rStyle w:val="EndnoteReference"/>
        </w:rPr>
        <w:endnoteReference w:id="712"/>
      </w:r>
      <w:r>
        <w:t xml:space="preserve"> </w:t>
      </w:r>
    </w:p>
    <w:p w14:paraId="756DEB92" w14:textId="35554851" w:rsidR="0049019C" w:rsidRPr="001261E1" w:rsidRDefault="00CD0EAF" w:rsidP="001261E1">
      <w:pPr>
        <w:pStyle w:val="Heading3"/>
      </w:pPr>
      <w:bookmarkStart w:id="59" w:name="_Toc498590714"/>
      <w:r w:rsidRPr="001261E1">
        <w:t>Salud materna</w:t>
      </w:r>
      <w:bookmarkEnd w:id="59"/>
    </w:p>
    <w:p w14:paraId="53CED271" w14:textId="574B960C" w:rsidR="0049019C" w:rsidRDefault="00CD0EAF">
      <w:r>
        <w:t xml:space="preserve">El Comité CEDAW ha expresado preocupación a varios Estados por falta de acceso a servicios de salud materna y los </w:t>
      </w:r>
      <w:r w:rsidR="00CC51AB">
        <w:t xml:space="preserve">pobres </w:t>
      </w:r>
      <w:r>
        <w:t>resultados de salud materna de las mujeres. Por ejemplo, ha expresado preocupación por las altas tasas de embarazo no deseado en varios Estados</w:t>
      </w:r>
      <w:r>
        <w:rPr>
          <w:rStyle w:val="EndnoteReference"/>
        </w:rPr>
        <w:endnoteReference w:id="713"/>
      </w:r>
      <w:r>
        <w:t xml:space="preserve"> y falta de acceso a los servicios de parto integral,</w:t>
      </w:r>
      <w:r>
        <w:rPr>
          <w:rStyle w:val="EndnoteReference"/>
        </w:rPr>
        <w:endnoteReference w:id="714"/>
      </w:r>
      <w:r>
        <w:t xml:space="preserve">  incluyendo servicios de </w:t>
      </w:r>
      <w:r w:rsidR="00CC51AB">
        <w:t>o</w:t>
      </w:r>
      <w:r>
        <w:t>bstetricia y atención pre y postnatal.</w:t>
      </w:r>
      <w:r>
        <w:rPr>
          <w:rStyle w:val="EndnoteReference"/>
        </w:rPr>
        <w:endnoteReference w:id="715"/>
      </w:r>
      <w:r>
        <w:t xml:space="preserve"> En particular, ha expresado preocupación a Estados por la falta de personal capacitado en la salud materna.</w:t>
      </w:r>
      <w:r>
        <w:rPr>
          <w:rStyle w:val="EndnoteReference"/>
        </w:rPr>
        <w:endnoteReference w:id="716"/>
      </w:r>
      <w:r>
        <w:t xml:space="preserve"> También ha expresado preocupación a</w:t>
      </w:r>
      <w:r w:rsidR="00CC51AB">
        <w:t xml:space="preserve"> al menos un</w:t>
      </w:r>
      <w:r>
        <w:t xml:space="preserve"> </w:t>
      </w:r>
      <w:r w:rsidR="00CC51AB">
        <w:t>E</w:t>
      </w:r>
      <w:r>
        <w:t xml:space="preserve">stado por presupuesto </w:t>
      </w:r>
      <w:r w:rsidR="00CC51AB">
        <w:t xml:space="preserve">insuficiente </w:t>
      </w:r>
      <w:r>
        <w:t>para la atención de salud materna</w:t>
      </w:r>
      <w:r>
        <w:rPr>
          <w:rStyle w:val="EndnoteReference"/>
        </w:rPr>
        <w:endnoteReference w:id="717"/>
      </w:r>
      <w:r>
        <w:t xml:space="preserve"> y a los Estados sobre la falta de servicios obstétricos adecuados, particularmente en zonas rurales y remotas.</w:t>
      </w:r>
      <w:r>
        <w:rPr>
          <w:rStyle w:val="EndnoteReference"/>
        </w:rPr>
        <w:endnoteReference w:id="718"/>
      </w:r>
      <w:r>
        <w:t xml:space="preserve"> Además, el Comité ha expresado preocupación </w:t>
      </w:r>
      <w:r w:rsidR="00CC51AB">
        <w:t xml:space="preserve">respecto a </w:t>
      </w:r>
      <w:r>
        <w:t xml:space="preserve">al menos un </w:t>
      </w:r>
      <w:r w:rsidR="00CC51AB">
        <w:t>E</w:t>
      </w:r>
      <w:r>
        <w:t>stado sobre el acceso condicional a beneficios para la salud materna que excluyen a algunas mujeres.</w:t>
      </w:r>
      <w:r>
        <w:rPr>
          <w:rStyle w:val="EndnoteReference"/>
        </w:rPr>
        <w:endnoteReference w:id="719"/>
      </w:r>
      <w:r>
        <w:t xml:space="preserve"> Además ha expresado preocupación a</w:t>
      </w:r>
      <w:r w:rsidR="00CC51AB">
        <w:t xml:space="preserve"> a</w:t>
      </w:r>
      <w:r>
        <w:t>l</w:t>
      </w:r>
      <w:r w:rsidR="00CC51AB">
        <w:t xml:space="preserve"> menos</w:t>
      </w:r>
      <w:r>
        <w:t xml:space="preserve"> </w:t>
      </w:r>
      <w:r w:rsidR="00CC51AB">
        <w:t>un E</w:t>
      </w:r>
      <w:r>
        <w:t>stado por altas tasas de prolapso uterino.</w:t>
      </w:r>
      <w:r>
        <w:rPr>
          <w:rStyle w:val="EndnoteReference"/>
        </w:rPr>
        <w:endnoteReference w:id="720"/>
      </w:r>
    </w:p>
    <w:p w14:paraId="0D26261E" w14:textId="04BA1EA7" w:rsidR="0049019C" w:rsidRDefault="00CD0EAF">
      <w:r>
        <w:t>El Comité CEDAW ha recomendado que los Estados garanti</w:t>
      </w:r>
      <w:r w:rsidR="00CC51AB">
        <w:t>cen</w:t>
      </w:r>
      <w:r>
        <w:t xml:space="preserve"> la accesibilidad, disponibilidad y asequibilidad de los servicios de salud sexual y reproductiva, incluyendo servicios de planificación familiar para reducir las tasas de embarazo no deseado.</w:t>
      </w:r>
      <w:r>
        <w:rPr>
          <w:rStyle w:val="EndnoteReference"/>
        </w:rPr>
        <w:endnoteReference w:id="721"/>
      </w:r>
      <w:r>
        <w:t xml:space="preserve"> También ha recomendado que los Estados asegur</w:t>
      </w:r>
      <w:r w:rsidR="00CC51AB">
        <w:t>e</w:t>
      </w:r>
      <w:r>
        <w:t xml:space="preserve">n el acceso a servicios obstétricos integrales en todo el </w:t>
      </w:r>
      <w:r w:rsidR="00CC51AB">
        <w:t>E</w:t>
      </w:r>
      <w:r>
        <w:t>stado, incluso en zonas remotas y rurales.</w:t>
      </w:r>
      <w:r>
        <w:rPr>
          <w:rStyle w:val="EndnoteReference"/>
        </w:rPr>
        <w:endnoteReference w:id="722"/>
      </w:r>
      <w:r>
        <w:t xml:space="preserve"> El Comité ha recomendado </w:t>
      </w:r>
      <w:r w:rsidR="00CC51AB">
        <w:t>ade</w:t>
      </w:r>
      <w:r>
        <w:t xml:space="preserve">más </w:t>
      </w:r>
      <w:r w:rsidR="00CC51AB">
        <w:t xml:space="preserve">a </w:t>
      </w:r>
      <w:r>
        <w:t xml:space="preserve">por lo menos un </w:t>
      </w:r>
      <w:r w:rsidR="00CC51AB">
        <w:t xml:space="preserve">Estado </w:t>
      </w:r>
      <w:r>
        <w:t>aument</w:t>
      </w:r>
      <w:r w:rsidR="00CC51AB">
        <w:t>ar</w:t>
      </w:r>
      <w:r>
        <w:t xml:space="preserve"> el presupuesto </w:t>
      </w:r>
      <w:r w:rsidR="00CC51AB">
        <w:t>para</w:t>
      </w:r>
      <w:r>
        <w:t xml:space="preserve"> servicios de salud materna y la capacitación del personal de salud, parteras especialmente, para garantizar el acceso a los servicios obstétricos esenciales.</w:t>
      </w:r>
      <w:r>
        <w:rPr>
          <w:rStyle w:val="EndnoteReference"/>
        </w:rPr>
        <w:endnoteReference w:id="723"/>
      </w:r>
      <w:r>
        <w:t xml:space="preserve"> Se </w:t>
      </w:r>
      <w:r w:rsidR="00CC51AB">
        <w:t xml:space="preserve">ha </w:t>
      </w:r>
      <w:r>
        <w:t>recomenda</w:t>
      </w:r>
      <w:r w:rsidR="00CC51AB">
        <w:t>do</w:t>
      </w:r>
      <w:r>
        <w:t xml:space="preserve"> </w:t>
      </w:r>
      <w:r w:rsidR="00CC51AB">
        <w:t xml:space="preserve">a </w:t>
      </w:r>
      <w:r>
        <w:t xml:space="preserve">al menos un </w:t>
      </w:r>
      <w:r w:rsidR="00CC51AB">
        <w:t>E</w:t>
      </w:r>
      <w:r>
        <w:t>stado modificar las políticas de salud reproductiva con el fin de aumentar el acceso a servicios de salud materna, elimina</w:t>
      </w:r>
      <w:r w:rsidR="00CC51AB">
        <w:t>ndo</w:t>
      </w:r>
      <w:r>
        <w:t xml:space="preserve"> las disparidades entre zonas rurales y urbanas y eliminan</w:t>
      </w:r>
      <w:r w:rsidR="00CC51AB">
        <w:t>do</w:t>
      </w:r>
      <w:r>
        <w:t xml:space="preserve"> las </w:t>
      </w:r>
      <w:r>
        <w:lastRenderedPageBreak/>
        <w:t xml:space="preserve">condiciones para acceder a los beneficios </w:t>
      </w:r>
      <w:r w:rsidR="00F46962">
        <w:t xml:space="preserve">de </w:t>
      </w:r>
      <w:r>
        <w:t>la salud materna.</w:t>
      </w:r>
      <w:r>
        <w:rPr>
          <w:rStyle w:val="EndnoteReference"/>
        </w:rPr>
        <w:endnoteReference w:id="724"/>
      </w:r>
      <w:r>
        <w:t xml:space="preserve"> Para reducir las tasas de prolapso uterino, el Comité también </w:t>
      </w:r>
      <w:r w:rsidR="00F46962">
        <w:t xml:space="preserve">ha </w:t>
      </w:r>
      <w:r>
        <w:t>recomenda</w:t>
      </w:r>
      <w:r w:rsidR="00F46962">
        <w:t>do</w:t>
      </w:r>
      <w:r>
        <w:t xml:space="preserve"> </w:t>
      </w:r>
      <w:r w:rsidR="00F46962">
        <w:t xml:space="preserve">a </w:t>
      </w:r>
      <w:r>
        <w:t xml:space="preserve">al menos un </w:t>
      </w:r>
      <w:r w:rsidR="00F46962">
        <w:t>E</w:t>
      </w:r>
      <w:r>
        <w:t xml:space="preserve">stado garantizar el acceso a servicios de planificación familiar, capacitación bajo el programa de maternidad </w:t>
      </w:r>
      <w:r w:rsidR="00F46962">
        <w:t xml:space="preserve">segura, </w:t>
      </w:r>
      <w:r>
        <w:t>y cirugías correctivas con adecuado seguimiento.</w:t>
      </w:r>
      <w:r>
        <w:rPr>
          <w:rStyle w:val="EndnoteReference"/>
        </w:rPr>
        <w:endnoteReference w:id="725"/>
      </w:r>
    </w:p>
    <w:p w14:paraId="52DCAAA9" w14:textId="5412F32E" w:rsidR="0049019C" w:rsidRDefault="00CD0EAF">
      <w:r>
        <w:t xml:space="preserve">El Comité CEDAW también ha expresado preocupación donde se limita la autonomía de las mujeres en el contexto de la salud materna. Por ejemplo, el Comité ha expresado preocupación por lo menos </w:t>
      </w:r>
      <w:r w:rsidR="00F46962">
        <w:t xml:space="preserve">a </w:t>
      </w:r>
      <w:r>
        <w:t xml:space="preserve">un </w:t>
      </w:r>
      <w:r w:rsidR="00F46962">
        <w:t>E</w:t>
      </w:r>
      <w:r>
        <w:t xml:space="preserve">stado sobre los altos índices de cesáreas </w:t>
      </w:r>
      <w:r w:rsidR="00F46962">
        <w:t>realizadas</w:t>
      </w:r>
      <w:r>
        <w:t xml:space="preserve"> en hospitales públicos y privados, sin justificación médica.</w:t>
      </w:r>
      <w:r>
        <w:rPr>
          <w:rStyle w:val="EndnoteReference"/>
        </w:rPr>
        <w:endnoteReference w:id="726"/>
      </w:r>
      <w:r>
        <w:t xml:space="preserve"> El Comité además ha expresado preocupación a Estados por limitaciones </w:t>
      </w:r>
      <w:r w:rsidR="00F46962">
        <w:t xml:space="preserve">que </w:t>
      </w:r>
      <w:r>
        <w:t>ponen en opciones de salud reproductiva de las mujeres en el contexto de la salud materna,</w:t>
      </w:r>
      <w:r>
        <w:rPr>
          <w:rStyle w:val="EndnoteReference"/>
        </w:rPr>
        <w:endnoteReference w:id="727"/>
      </w:r>
      <w:r>
        <w:t xml:space="preserve"> incluyendo restricciones desproporcionadas en partos domiciliarios</w:t>
      </w:r>
      <w:r>
        <w:rPr>
          <w:rStyle w:val="EndnoteReference"/>
        </w:rPr>
        <w:endnoteReference w:id="728"/>
      </w:r>
      <w:r>
        <w:t xml:space="preserve"> y el uso excesivo de </w:t>
      </w:r>
      <w:r w:rsidR="00F46962">
        <w:t>partos</w:t>
      </w:r>
      <w:r w:rsidR="00F46962" w:rsidDel="00F46962">
        <w:t xml:space="preserve"> </w:t>
      </w:r>
      <w:r w:rsidR="00F46962">
        <w:t xml:space="preserve">exageradamente </w:t>
      </w:r>
      <w:r>
        <w:t>medicaliz</w:t>
      </w:r>
      <w:r w:rsidR="00F46962">
        <w:t>a</w:t>
      </w:r>
      <w:r>
        <w:t>d</w:t>
      </w:r>
      <w:r w:rsidR="00F46962">
        <w:t>os</w:t>
      </w:r>
      <w:r>
        <w:t xml:space="preserve"> y cesáreas.</w:t>
      </w:r>
      <w:r>
        <w:rPr>
          <w:rStyle w:val="EndnoteReference"/>
        </w:rPr>
        <w:endnoteReference w:id="729"/>
      </w:r>
      <w:r>
        <w:t xml:space="preserve"> También ha expresado su preocupación a</w:t>
      </w:r>
      <w:r w:rsidR="00F46962">
        <w:t xml:space="preserve"> al menos un</w:t>
      </w:r>
      <w:r>
        <w:t xml:space="preserve"> </w:t>
      </w:r>
      <w:r w:rsidR="00F46962">
        <w:t>E</w:t>
      </w:r>
      <w:r>
        <w:t xml:space="preserve">stado </w:t>
      </w:r>
      <w:r w:rsidR="00F46962">
        <w:t xml:space="preserve">sobre </w:t>
      </w:r>
      <w:r>
        <w:t>separación innecesaria de las mujeres y recién nacidos, frecuente us</w:t>
      </w:r>
      <w:r w:rsidR="00F46962">
        <w:t>o</w:t>
      </w:r>
      <w:r>
        <w:t xml:space="preserve"> de las episiotomías y las restricciones innecesarias sobre la utilización de parteras.</w:t>
      </w:r>
      <w:r>
        <w:rPr>
          <w:rStyle w:val="EndnoteReference"/>
        </w:rPr>
        <w:endnoteReference w:id="730"/>
      </w:r>
      <w:r>
        <w:t xml:space="preserve"> </w:t>
      </w:r>
    </w:p>
    <w:p w14:paraId="7373AACD" w14:textId="637F9C3C" w:rsidR="0049019C" w:rsidRDefault="00CD0EAF">
      <w:r>
        <w:t xml:space="preserve">Para abordar estas preocupaciones, el Comité CEDAW ha recomendado </w:t>
      </w:r>
      <w:r w:rsidR="00F46962">
        <w:t xml:space="preserve">a </w:t>
      </w:r>
      <w:r>
        <w:t>al menos un</w:t>
      </w:r>
      <w:r w:rsidR="00F46962">
        <w:t xml:space="preserve"> E</w:t>
      </w:r>
      <w:r>
        <w:t xml:space="preserve">stado reducir la tasa de cesáreas </w:t>
      </w:r>
      <w:r w:rsidR="00F46962">
        <w:t>capacitando al</w:t>
      </w:r>
      <w:r>
        <w:t xml:space="preserve"> personal salud en métodos de parto natural y la introducción de controles estrictos sobre las indicaciones médicas para cesáreas.</w:t>
      </w:r>
      <w:r>
        <w:rPr>
          <w:rStyle w:val="EndnoteReference"/>
        </w:rPr>
        <w:endnoteReference w:id="731"/>
      </w:r>
      <w:r>
        <w:t xml:space="preserve"> También se </w:t>
      </w:r>
      <w:r w:rsidR="00F46962">
        <w:t xml:space="preserve">ha </w:t>
      </w:r>
      <w:r>
        <w:t>recomenda</w:t>
      </w:r>
      <w:r w:rsidR="00F46962">
        <w:t>do</w:t>
      </w:r>
      <w:r>
        <w:t xml:space="preserve"> </w:t>
      </w:r>
      <w:r w:rsidR="00F46962">
        <w:t xml:space="preserve">a </w:t>
      </w:r>
      <w:r>
        <w:t xml:space="preserve">al menos un </w:t>
      </w:r>
      <w:r w:rsidR="00F46962">
        <w:t>E</w:t>
      </w:r>
      <w:r>
        <w:t xml:space="preserve">stado desarrollar un protocolo de atención obstétrica normal que evita </w:t>
      </w:r>
      <w:r w:rsidR="00F46962">
        <w:t xml:space="preserve">el </w:t>
      </w:r>
      <w:r>
        <w:t>tratamiento médico innecesario, asegura el consentimiento informado</w:t>
      </w:r>
      <w:r w:rsidR="00F46962">
        <w:t>,</w:t>
      </w:r>
      <w:r>
        <w:t xml:space="preserve"> y establece un mecanismo para monitorear los servicios de salud materna.</w:t>
      </w:r>
      <w:r>
        <w:rPr>
          <w:rStyle w:val="EndnoteReference"/>
        </w:rPr>
        <w:endnoteReference w:id="732"/>
      </w:r>
      <w:r>
        <w:t xml:space="preserve"> También se </w:t>
      </w:r>
      <w:r w:rsidR="00F46962">
        <w:t xml:space="preserve">ha </w:t>
      </w:r>
      <w:r>
        <w:t>recomenda</w:t>
      </w:r>
      <w:r w:rsidR="00F46962">
        <w:t>do</w:t>
      </w:r>
      <w:r>
        <w:t xml:space="preserve"> que los Estados tomen medidas para garantizar elecciones de salud materna para las mujeres, incluyendo partos domiciliarios y </w:t>
      </w:r>
      <w:r w:rsidR="00F46962">
        <w:t>el uso</w:t>
      </w:r>
      <w:r>
        <w:t xml:space="preserve"> de parteras,</w:t>
      </w:r>
      <w:r>
        <w:rPr>
          <w:rStyle w:val="EndnoteReference"/>
        </w:rPr>
        <w:endnoteReference w:id="733"/>
      </w:r>
      <w:r>
        <w:t xml:space="preserve"> y asegurar el consentimiento informado para las mujeres en el contexto de los procedimientos médicos relacionados con el nacimiento.</w:t>
      </w:r>
      <w:r>
        <w:rPr>
          <w:rStyle w:val="EndnoteReference"/>
        </w:rPr>
        <w:endnoteReference w:id="734"/>
      </w:r>
      <w:r>
        <w:t xml:space="preserve"> </w:t>
      </w:r>
    </w:p>
    <w:p w14:paraId="53D3FCD3" w14:textId="3256E4D2" w:rsidR="0049019C" w:rsidRDefault="00CD0EAF">
      <w:pPr>
        <w:pStyle w:val="Heading4"/>
      </w:pPr>
      <w:r>
        <w:t xml:space="preserve">Mortalidad </w:t>
      </w:r>
      <w:r w:rsidR="004655FC">
        <w:t>M</w:t>
      </w:r>
      <w:r>
        <w:t>aterna</w:t>
      </w:r>
    </w:p>
    <w:p w14:paraId="6A0D0D85" w14:textId="22C04A3B" w:rsidR="0049019C" w:rsidRDefault="00CD0EAF">
      <w:pPr>
        <w:pStyle w:val="NormalIndented"/>
      </w:pPr>
      <w:r>
        <w:t>El Comité CEDAW ha cons</w:t>
      </w:r>
      <w:r w:rsidR="004655FC">
        <w:t>isten</w:t>
      </w:r>
      <w:r>
        <w:t xml:space="preserve">temente </w:t>
      </w:r>
      <w:r w:rsidR="004655FC">
        <w:t xml:space="preserve">expresado </w:t>
      </w:r>
      <w:r>
        <w:t>preocup</w:t>
      </w:r>
      <w:r w:rsidR="004655FC">
        <w:t>ación</w:t>
      </w:r>
      <w:r>
        <w:t xml:space="preserve"> a Estados </w:t>
      </w:r>
      <w:r w:rsidR="004655FC">
        <w:t xml:space="preserve">por los </w:t>
      </w:r>
      <w:r>
        <w:t>altos índices de mortalidad materna,</w:t>
      </w:r>
      <w:r>
        <w:rPr>
          <w:rStyle w:val="EndnoteReference"/>
        </w:rPr>
        <w:endnoteReference w:id="735"/>
      </w:r>
      <w:r>
        <w:t xml:space="preserve"> entre grupos desfavorecidos</w:t>
      </w:r>
      <w:r w:rsidR="004655FC">
        <w:t xml:space="preserve"> de mujeres</w:t>
      </w:r>
      <w:r>
        <w:rPr>
          <w:rStyle w:val="EndnoteReference"/>
        </w:rPr>
        <w:endnoteReference w:id="736"/>
      </w:r>
      <w:r>
        <w:t xml:space="preserve"> y mujeres rurales.</w:t>
      </w:r>
      <w:r>
        <w:rPr>
          <w:rStyle w:val="EndnoteReference"/>
        </w:rPr>
        <w:endnoteReference w:id="737"/>
      </w:r>
      <w:r>
        <w:t xml:space="preserve"> El Comité ha vinculado la mortalidad materna al aborto inseguro,</w:t>
      </w:r>
      <w:r>
        <w:rPr>
          <w:rStyle w:val="EndnoteReference"/>
        </w:rPr>
        <w:endnoteReference w:id="738"/>
      </w:r>
      <w:r>
        <w:t xml:space="preserve"> las complicaciones obstétricas, la mutilación genital femenina,</w:t>
      </w:r>
      <w:r>
        <w:rPr>
          <w:rStyle w:val="EndnoteReference"/>
        </w:rPr>
        <w:endnoteReference w:id="739"/>
      </w:r>
      <w:r>
        <w:t xml:space="preserve"> </w:t>
      </w:r>
      <w:r w:rsidR="004655FC">
        <w:t xml:space="preserve">el </w:t>
      </w:r>
      <w:r>
        <w:t>embarazo temprano,</w:t>
      </w:r>
      <w:r>
        <w:rPr>
          <w:rStyle w:val="EndnoteReference"/>
        </w:rPr>
        <w:endnoteReference w:id="740"/>
      </w:r>
      <w:r>
        <w:t xml:space="preserve"> atención prenatal inadecuada,</w:t>
      </w:r>
      <w:r>
        <w:rPr>
          <w:rStyle w:val="EndnoteReference"/>
        </w:rPr>
        <w:endnoteReference w:id="741"/>
      </w:r>
      <w:r>
        <w:t xml:space="preserve"> falta de asistentes de parto capacitados,</w:t>
      </w:r>
      <w:r>
        <w:rPr>
          <w:rStyle w:val="EndnoteReference"/>
        </w:rPr>
        <w:endnoteReference w:id="742"/>
      </w:r>
      <w:r>
        <w:t xml:space="preserve"> y la falta de nutrición.</w:t>
      </w:r>
      <w:r>
        <w:rPr>
          <w:rStyle w:val="EndnoteReference"/>
        </w:rPr>
        <w:endnoteReference w:id="743"/>
      </w:r>
      <w:r>
        <w:t xml:space="preserve"> En al menos un </w:t>
      </w:r>
      <w:r w:rsidR="004655FC">
        <w:t>E</w:t>
      </w:r>
      <w:r>
        <w:t xml:space="preserve">stado, ha atribuido la mortalidad materna a la falta de acceso a la atención post-aborto, incluyendo la falta de servicios de alta calidad </w:t>
      </w:r>
      <w:r w:rsidR="004655FC">
        <w:t>p</w:t>
      </w:r>
      <w:r>
        <w:t>a</w:t>
      </w:r>
      <w:r w:rsidR="004655FC">
        <w:t>ra</w:t>
      </w:r>
      <w:r>
        <w:t xml:space="preserve"> </w:t>
      </w:r>
      <w:r w:rsidR="004655FC">
        <w:t xml:space="preserve">atender </w:t>
      </w:r>
      <w:r>
        <w:t>las complicaciones</w:t>
      </w:r>
      <w:r w:rsidR="004655FC">
        <w:t xml:space="preserve"> </w:t>
      </w:r>
      <w:r>
        <w:t>del aborto inseguro.</w:t>
      </w:r>
      <w:r>
        <w:rPr>
          <w:rStyle w:val="EndnoteReference"/>
        </w:rPr>
        <w:endnoteReference w:id="744"/>
      </w:r>
      <w:r>
        <w:t xml:space="preserve"> El Comité además ha expresado preocupación a por lo menos un </w:t>
      </w:r>
      <w:r w:rsidR="004655FC">
        <w:t>E</w:t>
      </w:r>
      <w:r>
        <w:t>stado sobre un aumento de la mortalidad materna durante el brote de Ébola.</w:t>
      </w:r>
      <w:r>
        <w:rPr>
          <w:rStyle w:val="EndnoteReference"/>
        </w:rPr>
        <w:endnoteReference w:id="745"/>
      </w:r>
      <w:r>
        <w:t xml:space="preserve"> Ha expresado su preocupación </w:t>
      </w:r>
      <w:r w:rsidR="004655FC">
        <w:t>a</w:t>
      </w:r>
      <w:r>
        <w:t xml:space="preserve"> al menos </w:t>
      </w:r>
      <w:r w:rsidR="004655FC">
        <w:t xml:space="preserve">un Estado </w:t>
      </w:r>
      <w:r>
        <w:t>por falta de un mecanismo universal y exacta información sobre muertes maternas</w:t>
      </w:r>
      <w:r>
        <w:rPr>
          <w:rStyle w:val="EndnoteReference"/>
        </w:rPr>
        <w:endnoteReference w:id="746"/>
      </w:r>
      <w:r>
        <w:t xml:space="preserve"> y a otro Estado sobre las discrepancias entre las estadísticas oficiales y estimaciones internacionales sobre la mortalidad materna.</w:t>
      </w:r>
      <w:r>
        <w:rPr>
          <w:rStyle w:val="EndnoteReference"/>
        </w:rPr>
        <w:endnoteReference w:id="747"/>
      </w:r>
      <w:r>
        <w:t xml:space="preserve"> El Comité además ha expresado preocupación a Estados por falta de datos sobre mortalidad materna,</w:t>
      </w:r>
      <w:r>
        <w:rPr>
          <w:rStyle w:val="EndnoteReference"/>
        </w:rPr>
        <w:endnoteReference w:id="748"/>
      </w:r>
      <w:r>
        <w:t xml:space="preserve"> como resultado del aborto inseguro</w:t>
      </w:r>
      <w:r>
        <w:rPr>
          <w:rStyle w:val="EndnoteReference"/>
        </w:rPr>
        <w:endnoteReference w:id="749"/>
      </w:r>
      <w:r>
        <w:t xml:space="preserve"> y también expresó su preocupación a</w:t>
      </w:r>
      <w:r w:rsidR="004655FC">
        <w:t xml:space="preserve"> al menos un</w:t>
      </w:r>
      <w:r>
        <w:t xml:space="preserve"> </w:t>
      </w:r>
      <w:r w:rsidR="004655FC">
        <w:t>E</w:t>
      </w:r>
      <w:r>
        <w:t>stado por disparidades en las tasas de mortalidad materna entre zonas urbanas y rurales.</w:t>
      </w:r>
      <w:r>
        <w:rPr>
          <w:rStyle w:val="EndnoteReference"/>
        </w:rPr>
        <w:endnoteReference w:id="750"/>
      </w:r>
    </w:p>
    <w:p w14:paraId="737A0887" w14:textId="47D84917" w:rsidR="0049019C" w:rsidRDefault="00CD0EAF">
      <w:pPr>
        <w:pStyle w:val="NormalIndented"/>
      </w:pPr>
      <w:r>
        <w:t>El Comité CEDAW ha recomendado que, con el fin de reducir la mortalidad materna, los Estados debe</w:t>
      </w:r>
      <w:r w:rsidR="004655FC">
        <w:t>rían</w:t>
      </w:r>
      <w:r>
        <w:t xml:space="preserve"> mejorar acceso a atención prenatal y postnatal de </w:t>
      </w:r>
      <w:r w:rsidR="004655FC">
        <w:t xml:space="preserve">buena </w:t>
      </w:r>
      <w:r>
        <w:t xml:space="preserve">calidad, </w:t>
      </w:r>
      <w:r w:rsidR="004655FC">
        <w:t>servicios de emer</w:t>
      </w:r>
      <w:r>
        <w:t>gencias obstétricas y parteras calificad</w:t>
      </w:r>
      <w:r w:rsidR="004655FC">
        <w:t>a</w:t>
      </w:r>
      <w:r>
        <w:t>s,</w:t>
      </w:r>
      <w:r>
        <w:rPr>
          <w:rStyle w:val="EndnoteReference"/>
        </w:rPr>
        <w:endnoteReference w:id="751"/>
      </w:r>
      <w:r>
        <w:t xml:space="preserve"> y garantizar el acceso al aborto seguro,</w:t>
      </w:r>
      <w:r>
        <w:rPr>
          <w:rStyle w:val="EndnoteReference"/>
        </w:rPr>
        <w:endnoteReference w:id="752"/>
      </w:r>
      <w:r>
        <w:t xml:space="preserve"> </w:t>
      </w:r>
      <w:r w:rsidR="004655FC">
        <w:t>atención posterior al</w:t>
      </w:r>
      <w:r>
        <w:t xml:space="preserve"> aborto,</w:t>
      </w:r>
      <w:r>
        <w:rPr>
          <w:rStyle w:val="EndnoteReference"/>
        </w:rPr>
        <w:endnoteReference w:id="753"/>
      </w:r>
      <w:r>
        <w:t xml:space="preserve"> y servicios integrales de anticonceptivos.</w:t>
      </w:r>
      <w:r>
        <w:rPr>
          <w:rStyle w:val="EndnoteReference"/>
        </w:rPr>
        <w:endnoteReference w:id="754"/>
      </w:r>
      <w:r>
        <w:t xml:space="preserve"> En particular </w:t>
      </w:r>
      <w:r w:rsidR="004655FC">
        <w:t>ha</w:t>
      </w:r>
      <w:r>
        <w:t xml:space="preserve"> recomenda</w:t>
      </w:r>
      <w:r w:rsidR="004655FC">
        <w:t>do</w:t>
      </w:r>
      <w:r>
        <w:t xml:space="preserve"> que los Estados </w:t>
      </w:r>
      <w:r w:rsidR="004655FC">
        <w:t>implementen</w:t>
      </w:r>
      <w:r>
        <w:t xml:space="preserve"> la </w:t>
      </w:r>
      <w:r w:rsidR="004655FC">
        <w:t>Guía T</w:t>
      </w:r>
      <w:r>
        <w:t>écnica del ACNUDH sobre la mortalidad materna y derechos humanos</w:t>
      </w:r>
      <w:r>
        <w:rPr>
          <w:rStyle w:val="FootnoteReference"/>
        </w:rPr>
        <w:footnoteReference w:id="7"/>
      </w:r>
      <w:r>
        <w:t>.</w:t>
      </w:r>
      <w:r>
        <w:rPr>
          <w:rStyle w:val="EndnoteReference"/>
        </w:rPr>
        <w:endnoteReference w:id="755"/>
      </w:r>
      <w:r>
        <w:t xml:space="preserve"> El Comité ha recomendado además que los Estados desarrollen planes para reducir la mortalidad materna</w:t>
      </w:r>
      <w:r>
        <w:rPr>
          <w:rStyle w:val="EndnoteReference"/>
        </w:rPr>
        <w:endnoteReference w:id="756"/>
      </w:r>
      <w:r>
        <w:t xml:space="preserve"> y </w:t>
      </w:r>
      <w:r w:rsidR="00255A50">
        <w:t xml:space="preserve">a </w:t>
      </w:r>
      <w:r>
        <w:t xml:space="preserve">por lo menos un </w:t>
      </w:r>
      <w:r w:rsidR="00255A50">
        <w:t>E</w:t>
      </w:r>
      <w:r>
        <w:t>stado establecer un mecanismo ef</w:t>
      </w:r>
      <w:r w:rsidR="00255A50">
        <w:t>ectivo</w:t>
      </w:r>
      <w:r>
        <w:t xml:space="preserve"> para el seguimiento de las muertes maternas que ocurren en centros de salud públicos y privado</w:t>
      </w:r>
      <w:r w:rsidR="00255A50">
        <w:t>s</w:t>
      </w:r>
      <w:r>
        <w:t xml:space="preserve"> como en los hogares y en el camino a servicios de salud.</w:t>
      </w:r>
      <w:r>
        <w:rPr>
          <w:rStyle w:val="EndnoteReference"/>
        </w:rPr>
        <w:endnoteReference w:id="757"/>
      </w:r>
      <w:r>
        <w:t xml:space="preserve"> También ha recomendado </w:t>
      </w:r>
      <w:r w:rsidR="00255A50">
        <w:t xml:space="preserve">a </w:t>
      </w:r>
      <w:r>
        <w:t xml:space="preserve">un </w:t>
      </w:r>
      <w:r w:rsidR="00255A50">
        <w:t>E</w:t>
      </w:r>
      <w:r>
        <w:t>stado hacer frente a la mortalidad materna proporcionando información precisa sobre l</w:t>
      </w:r>
      <w:r w:rsidR="00255A50">
        <w:t>os índices de</w:t>
      </w:r>
      <w:r>
        <w:t xml:space="preserve"> prevalencia, definición y medición de la mortalidad materna.</w:t>
      </w:r>
      <w:r>
        <w:rPr>
          <w:rStyle w:val="EndnoteReference"/>
        </w:rPr>
        <w:endnoteReference w:id="758"/>
      </w:r>
      <w:r>
        <w:t xml:space="preserve"> El Comité ha pedido </w:t>
      </w:r>
      <w:r w:rsidR="00255A50">
        <w:t>ade</w:t>
      </w:r>
      <w:r>
        <w:t xml:space="preserve">más a por lo menos un </w:t>
      </w:r>
      <w:r w:rsidR="00255A50">
        <w:t>E</w:t>
      </w:r>
      <w:r>
        <w:t>stado llevar a cabo un estudio sobre el aborto ilegal e inseguro y su impacto en la vida y la salud de las mujeres, especialmente mortalidad</w:t>
      </w:r>
      <w:r w:rsidR="00255A50">
        <w:t xml:space="preserve"> materna</w:t>
      </w:r>
      <w:r>
        <w:t xml:space="preserve">, </w:t>
      </w:r>
      <w:r w:rsidR="00255A50">
        <w:lastRenderedPageBreak/>
        <w:t xml:space="preserve">para </w:t>
      </w:r>
      <w:r>
        <w:t>utilizar</w:t>
      </w:r>
      <w:r w:rsidR="00255A50">
        <w:t>lo</w:t>
      </w:r>
      <w:r>
        <w:t xml:space="preserve"> como base de la legislación y la política,</w:t>
      </w:r>
      <w:r>
        <w:rPr>
          <w:rStyle w:val="EndnoteReference"/>
        </w:rPr>
        <w:endnoteReference w:id="759"/>
      </w:r>
      <w:r>
        <w:t xml:space="preserve"> y ha pedido a por lo menos otro Estado reunir estadísticas generales sobre la morbilidad materna.</w:t>
      </w:r>
      <w:r>
        <w:rPr>
          <w:rStyle w:val="EndnoteReference"/>
        </w:rPr>
        <w:endnoteReference w:id="760"/>
      </w:r>
    </w:p>
    <w:p w14:paraId="1F555D0D" w14:textId="52D851D9" w:rsidR="0049019C" w:rsidRDefault="00CD0EAF">
      <w:pPr>
        <w:pStyle w:val="Heading4"/>
      </w:pPr>
      <w:r>
        <w:t xml:space="preserve">Embarazo </w:t>
      </w:r>
      <w:r w:rsidR="00255A50">
        <w:t>P</w:t>
      </w:r>
      <w:r>
        <w:t>reco</w:t>
      </w:r>
      <w:r w:rsidR="00255A50">
        <w:t>z o Temprano</w:t>
      </w:r>
    </w:p>
    <w:p w14:paraId="23D5AE5C" w14:textId="50631F28" w:rsidR="0049019C" w:rsidRDefault="00CD0EAF">
      <w:pPr>
        <w:pStyle w:val="NormalIndented"/>
      </w:pPr>
      <w:r>
        <w:t>El Comité CEDAW con frecuencia ha expresado preocupación por las altas tasas de embarazo adolescente o temprano,</w:t>
      </w:r>
      <w:r>
        <w:rPr>
          <w:rStyle w:val="EndnoteReference"/>
        </w:rPr>
        <w:endnoteReference w:id="761"/>
      </w:r>
      <w:r>
        <w:t xml:space="preserve"> </w:t>
      </w:r>
      <w:r w:rsidR="00255A50">
        <w:t xml:space="preserve">incluyendo </w:t>
      </w:r>
      <w:r>
        <w:t>en territorios de ultramar del país</w:t>
      </w:r>
      <w:r>
        <w:rPr>
          <w:rStyle w:val="EndnoteReference"/>
        </w:rPr>
        <w:endnoteReference w:id="762"/>
      </w:r>
      <w:r>
        <w:t xml:space="preserve"> y en las zonas afectadas por el conflicto,</w:t>
      </w:r>
      <w:r>
        <w:rPr>
          <w:rStyle w:val="EndnoteReference"/>
        </w:rPr>
        <w:endnoteReference w:id="763"/>
      </w:r>
      <w:r>
        <w:t xml:space="preserve">  atribu</w:t>
      </w:r>
      <w:r w:rsidR="00255A50">
        <w:t>yendo</w:t>
      </w:r>
      <w:r>
        <w:t xml:space="preserve"> a veces </w:t>
      </w:r>
      <w:r w:rsidR="00255A50">
        <w:t xml:space="preserve">el </w:t>
      </w:r>
      <w:r>
        <w:t>embarazo temprano a la falta de acceso a la planificación familiar</w:t>
      </w:r>
      <w:r>
        <w:rPr>
          <w:rStyle w:val="EndnoteReference"/>
        </w:rPr>
        <w:endnoteReference w:id="764"/>
      </w:r>
      <w:r>
        <w:t xml:space="preserve"> o altas tasas de abuso y violencia sexual.</w:t>
      </w:r>
      <w:r>
        <w:rPr>
          <w:rStyle w:val="EndnoteReference"/>
        </w:rPr>
        <w:endnoteReference w:id="765"/>
      </w:r>
      <w:r>
        <w:t xml:space="preserve"> El Comité ha expresado preocupación en particular a un </w:t>
      </w:r>
      <w:r w:rsidR="008D3454">
        <w:t>E</w:t>
      </w:r>
      <w:r>
        <w:t>stado por altos niveles del aborto inseguro como resultado del embarazo temprano</w:t>
      </w:r>
      <w:r>
        <w:rPr>
          <w:rStyle w:val="EndnoteReference"/>
        </w:rPr>
        <w:endnoteReference w:id="766"/>
      </w:r>
      <w:r>
        <w:t xml:space="preserve"> y a otro Estados sobre la mortalidad materna por embarazo temprano.</w:t>
      </w:r>
      <w:r>
        <w:rPr>
          <w:rStyle w:val="EndnoteReference"/>
        </w:rPr>
        <w:endnoteReference w:id="767"/>
      </w:r>
      <w:r>
        <w:t xml:space="preserve"> Ha observado que la falta de acceso a los anticonceptivos modernos contribuye a embarazos tempranos y no deseados,</w:t>
      </w:r>
      <w:r>
        <w:rPr>
          <w:rStyle w:val="EndnoteReference"/>
        </w:rPr>
        <w:endnoteReference w:id="768"/>
      </w:r>
      <w:r>
        <w:t xml:space="preserve"> y que la fístula obstétrica también resulta de embarazos preco</w:t>
      </w:r>
      <w:r w:rsidR="008D3454">
        <w:t>ces</w:t>
      </w:r>
      <w:r>
        <w:t xml:space="preserve"> y frecuentes.</w:t>
      </w:r>
      <w:r>
        <w:rPr>
          <w:rStyle w:val="EndnoteReference"/>
        </w:rPr>
        <w:endnoteReference w:id="769"/>
      </w:r>
      <w:r>
        <w:t xml:space="preserve"> </w:t>
      </w:r>
    </w:p>
    <w:p w14:paraId="1915CBDC" w14:textId="11DA6C15" w:rsidR="0049019C" w:rsidRDefault="00CD0EAF">
      <w:pPr>
        <w:pStyle w:val="NormalIndented"/>
      </w:pPr>
      <w:r>
        <w:t>El Comité CEDAW ha recomendado que los Estados redu</w:t>
      </w:r>
      <w:r w:rsidR="008D3454">
        <w:t>zcan</w:t>
      </w:r>
      <w:r>
        <w:t xml:space="preserve"> las tasas de embarazo adolescente asegurando que adolescentes y mujeres jóvenes, incluyendo grupos desfavorecidos</w:t>
      </w:r>
      <w:r w:rsidR="008D3454" w:rsidRPr="008D3454">
        <w:t xml:space="preserve"> </w:t>
      </w:r>
      <w:r w:rsidR="008D3454">
        <w:t>de mujeres,</w:t>
      </w:r>
      <w:r>
        <w:rPr>
          <w:rStyle w:val="EndnoteReference"/>
        </w:rPr>
        <w:endnoteReference w:id="770"/>
      </w:r>
      <w:r>
        <w:t xml:space="preserve"> t</w:t>
      </w:r>
      <w:r w:rsidR="008D3454">
        <w:t>enga</w:t>
      </w:r>
      <w:r>
        <w:t>n acceso a servicios de salud sexual y reproductiva a</w:t>
      </w:r>
      <w:r w:rsidR="008D3454">
        <w:t>s</w:t>
      </w:r>
      <w:r>
        <w:t>e</w:t>
      </w:r>
      <w:r w:rsidR="008D3454">
        <w:t>qu</w:t>
      </w:r>
      <w:r>
        <w:t>ibles,</w:t>
      </w:r>
      <w:r>
        <w:rPr>
          <w:rStyle w:val="EndnoteReference"/>
        </w:rPr>
        <w:endnoteReference w:id="771"/>
      </w:r>
      <w:r>
        <w:t xml:space="preserve"> incluyendo anticonceptivos modernos</w:t>
      </w:r>
      <w:r>
        <w:rPr>
          <w:rStyle w:val="EndnoteReference"/>
        </w:rPr>
        <w:endnoteReference w:id="772"/>
      </w:r>
      <w:r>
        <w:t xml:space="preserve"> y aborto seguro.</w:t>
      </w:r>
      <w:r>
        <w:rPr>
          <w:rStyle w:val="EndnoteReference"/>
        </w:rPr>
        <w:endnoteReference w:id="773"/>
      </w:r>
      <w:r>
        <w:t xml:space="preserve"> También ha recomendado que los Estados redu</w:t>
      </w:r>
      <w:r w:rsidR="008D3454">
        <w:t>zcan</w:t>
      </w:r>
      <w:r>
        <w:t xml:space="preserve"> las tasas de embarazo precoz garantizando el acceso a la educación apropiada para la edad en </w:t>
      </w:r>
      <w:r w:rsidR="008D3454">
        <w:t xml:space="preserve">derechos y </w:t>
      </w:r>
      <w:r>
        <w:t>salud sexual y reproductiva.</w:t>
      </w:r>
      <w:r>
        <w:rPr>
          <w:rStyle w:val="EndnoteReference"/>
        </w:rPr>
        <w:endnoteReference w:id="774"/>
      </w:r>
      <w:r>
        <w:t xml:space="preserve"> En particular se </w:t>
      </w:r>
      <w:r w:rsidR="008D3454">
        <w:t xml:space="preserve">ha </w:t>
      </w:r>
      <w:r>
        <w:t>recomenda</w:t>
      </w:r>
      <w:r w:rsidR="008D3454">
        <w:t>do</w:t>
      </w:r>
      <w:r>
        <w:t xml:space="preserve"> </w:t>
      </w:r>
      <w:r w:rsidR="008D3454">
        <w:t xml:space="preserve">a </w:t>
      </w:r>
      <w:r>
        <w:t>al menos un</w:t>
      </w:r>
      <w:r w:rsidR="008D3454">
        <w:t xml:space="preserve"> Estado</w:t>
      </w:r>
      <w:r>
        <w:t xml:space="preserve"> investiga</w:t>
      </w:r>
      <w:r w:rsidR="008D3454">
        <w:t>r</w:t>
      </w:r>
      <w:r>
        <w:t xml:space="preserve"> sobre las causas de las altas tasas de embarazo adolescente.</w:t>
      </w:r>
      <w:r>
        <w:rPr>
          <w:rStyle w:val="EndnoteReference"/>
        </w:rPr>
        <w:endnoteReference w:id="775"/>
      </w:r>
      <w:r>
        <w:t xml:space="preserve"> </w:t>
      </w:r>
    </w:p>
    <w:p w14:paraId="7F4A45A5" w14:textId="3B282E10" w:rsidR="0049019C" w:rsidRDefault="00CD0EAF">
      <w:pPr>
        <w:pStyle w:val="NormalIndented"/>
      </w:pPr>
      <w:r>
        <w:t>El Comité CEDAW también ha expresado preocupación por las implicaciones del embarazo precoz en la salud y la educación de las niñas,</w:t>
      </w:r>
      <w:r>
        <w:rPr>
          <w:rStyle w:val="EndnoteReference"/>
        </w:rPr>
        <w:endnoteReference w:id="776"/>
      </w:r>
      <w:r>
        <w:t xml:space="preserve"> incluyendo </w:t>
      </w:r>
      <w:r w:rsidR="008D3454">
        <w:t xml:space="preserve">altas </w:t>
      </w:r>
      <w:r>
        <w:t xml:space="preserve">tasas de deserción de secundaria </w:t>
      </w:r>
      <w:r w:rsidR="008D3454">
        <w:t xml:space="preserve">de </w:t>
      </w:r>
      <w:r>
        <w:t xml:space="preserve">las </w:t>
      </w:r>
      <w:r w:rsidR="008D3454">
        <w:t xml:space="preserve">niñas </w:t>
      </w:r>
      <w:r>
        <w:t>embarazadas,</w:t>
      </w:r>
      <w:r>
        <w:rPr>
          <w:rStyle w:val="EndnoteReference"/>
        </w:rPr>
        <w:endnoteReference w:id="777"/>
      </w:r>
      <w:r>
        <w:t xml:space="preserve">  especialmente para las niñas en zonas rurales y de minorías étnicas.</w:t>
      </w:r>
      <w:r>
        <w:rPr>
          <w:rStyle w:val="EndnoteReference"/>
        </w:rPr>
        <w:endnoteReference w:id="778"/>
      </w:r>
      <w:r>
        <w:t xml:space="preserve"> A</w:t>
      </w:r>
      <w:r w:rsidR="008D3454">
        <w:t xml:space="preserve"> a</w:t>
      </w:r>
      <w:r>
        <w:t xml:space="preserve">l menos un </w:t>
      </w:r>
      <w:r w:rsidR="008D3454">
        <w:t>E</w:t>
      </w:r>
      <w:r>
        <w:t xml:space="preserve">stado, el Comité </w:t>
      </w:r>
      <w:r w:rsidR="008D3454">
        <w:t xml:space="preserve">le </w:t>
      </w:r>
      <w:r>
        <w:t>ha expresado preocupación acerca de</w:t>
      </w:r>
      <w:r w:rsidR="008D3454">
        <w:t xml:space="preserve"> pruebas forzadas de</w:t>
      </w:r>
      <w:r>
        <w:t xml:space="preserve"> embarazo en las escuelas y la expulsión de niñas embarazadas de la escuela.</w:t>
      </w:r>
      <w:r>
        <w:rPr>
          <w:rStyle w:val="EndnoteReference"/>
        </w:rPr>
        <w:endnoteReference w:id="779"/>
      </w:r>
      <w:r>
        <w:t xml:space="preserve"> El Comité ha recomendado </w:t>
      </w:r>
      <w:r w:rsidR="008D3454">
        <w:t xml:space="preserve">a </w:t>
      </w:r>
      <w:r>
        <w:t xml:space="preserve">los Estados reducir </w:t>
      </w:r>
      <w:r w:rsidR="008D3454">
        <w:t xml:space="preserve">la </w:t>
      </w:r>
      <w:r>
        <w:t xml:space="preserve">deserción escolar </w:t>
      </w:r>
      <w:r w:rsidR="008D3454">
        <w:t xml:space="preserve">adolescente </w:t>
      </w:r>
      <w:r>
        <w:t>debido al embarazo implementa</w:t>
      </w:r>
      <w:r w:rsidR="008D3454">
        <w:t>ndo</w:t>
      </w:r>
      <w:r>
        <w:t xml:space="preserve"> estrategias ef</w:t>
      </w:r>
      <w:r w:rsidR="008D3454">
        <w:t>ectiva</w:t>
      </w:r>
      <w:r>
        <w:t>s para abordar el embarazo adolescen</w:t>
      </w:r>
      <w:r w:rsidR="008D3454">
        <w:t>te</w:t>
      </w:r>
      <w:r>
        <w:t xml:space="preserve"> y facilitar </w:t>
      </w:r>
      <w:r w:rsidR="008D3454">
        <w:t xml:space="preserve">la </w:t>
      </w:r>
      <w:r>
        <w:t>reinserción de jóvenes madres en la escuela,</w:t>
      </w:r>
      <w:r>
        <w:rPr>
          <w:rStyle w:val="EndnoteReference"/>
        </w:rPr>
        <w:endnoteReference w:id="780"/>
      </w:r>
      <w:r>
        <w:t xml:space="preserve"> estableci</w:t>
      </w:r>
      <w:r w:rsidR="008D3454">
        <w:t>endo</w:t>
      </w:r>
      <w:r>
        <w:t xml:space="preserve"> o </w:t>
      </w:r>
      <w:r w:rsidR="008D3454">
        <w:t>haciendo cumplir la</w:t>
      </w:r>
      <w:r>
        <w:t xml:space="preserve"> política sobre el tema,</w:t>
      </w:r>
      <w:r>
        <w:rPr>
          <w:rStyle w:val="EndnoteReference"/>
        </w:rPr>
        <w:endnoteReference w:id="781"/>
      </w:r>
      <w:r>
        <w:t xml:space="preserve">  crea</w:t>
      </w:r>
      <w:r w:rsidR="008D3454">
        <w:t>ndo</w:t>
      </w:r>
      <w:r>
        <w:t xml:space="preserve"> mecanismos de vigilancia y </w:t>
      </w:r>
      <w:r w:rsidR="008D3454">
        <w:t xml:space="preserve">creando </w:t>
      </w:r>
      <w:r>
        <w:t>conciencia</w:t>
      </w:r>
      <w:r w:rsidR="008D3454">
        <w:t xml:space="preserve"> entre</w:t>
      </w:r>
      <w:r>
        <w:t xml:space="preserve"> las niñas y sus padres sobre la importancia de la educación,</w:t>
      </w:r>
      <w:r>
        <w:rPr>
          <w:rStyle w:val="EndnoteReference"/>
        </w:rPr>
        <w:endnoteReference w:id="782"/>
      </w:r>
      <w:r>
        <w:t xml:space="preserve"> y reduci</w:t>
      </w:r>
      <w:r w:rsidR="008D3454">
        <w:t>endo</w:t>
      </w:r>
      <w:r>
        <w:t xml:space="preserve"> el estigma que rodea </w:t>
      </w:r>
      <w:r w:rsidR="008D3454">
        <w:t>el</w:t>
      </w:r>
      <w:r>
        <w:t xml:space="preserve"> embarazo en la adolescencia.</w:t>
      </w:r>
      <w:r>
        <w:rPr>
          <w:rStyle w:val="EndnoteReference"/>
        </w:rPr>
        <w:endnoteReference w:id="783"/>
      </w:r>
      <w:r>
        <w:t xml:space="preserve"> También </w:t>
      </w:r>
      <w:r w:rsidR="008D3454">
        <w:t xml:space="preserve">ha </w:t>
      </w:r>
      <w:r>
        <w:t>recomenda</w:t>
      </w:r>
      <w:r w:rsidR="008D3454">
        <w:t>do</w:t>
      </w:r>
      <w:r>
        <w:t xml:space="preserve"> que al menos un </w:t>
      </w:r>
      <w:r w:rsidR="008D3454">
        <w:t>E</w:t>
      </w:r>
      <w:r>
        <w:t>stado ces</w:t>
      </w:r>
      <w:r w:rsidR="008D3454">
        <w:t>e</w:t>
      </w:r>
      <w:r>
        <w:t xml:space="preserve"> la práctica de pruebas </w:t>
      </w:r>
      <w:r w:rsidR="008D3454">
        <w:t xml:space="preserve">forzadas de embarazo </w:t>
      </w:r>
      <w:r>
        <w:t>en las escuelas y la expulsión de niñas embarazadas de la escuela.</w:t>
      </w:r>
      <w:r>
        <w:rPr>
          <w:rStyle w:val="EndnoteReference"/>
        </w:rPr>
        <w:endnoteReference w:id="784"/>
      </w:r>
    </w:p>
    <w:p w14:paraId="54F4418C" w14:textId="0F4A8ECD" w:rsidR="0049019C" w:rsidRPr="004B2C96" w:rsidRDefault="00CD0EAF">
      <w:pPr>
        <w:pStyle w:val="Heading3"/>
      </w:pPr>
      <w:bookmarkStart w:id="60" w:name="_Toc498590715"/>
      <w:r w:rsidRPr="004B2C96">
        <w:t>educación</w:t>
      </w:r>
      <w:r w:rsidR="005053D2" w:rsidRPr="004B2C96">
        <w:t xml:space="preserve"> Sexual </w:t>
      </w:r>
      <w:r w:rsidRPr="004B2C96">
        <w:t>y</w:t>
      </w:r>
      <w:r w:rsidR="005053D2" w:rsidRPr="004B2C96">
        <w:t xml:space="preserve"> TOMA DE </w:t>
      </w:r>
      <w:r w:rsidRPr="004B2C96">
        <w:t>conciencia</w:t>
      </w:r>
      <w:bookmarkEnd w:id="60"/>
    </w:p>
    <w:p w14:paraId="02EA0EFD" w14:textId="7A691CE1" w:rsidR="0049019C" w:rsidRDefault="00CD0EAF">
      <w:r>
        <w:t>El Comité CEDAW cons</w:t>
      </w:r>
      <w:r w:rsidR="005053D2">
        <w:t>is</w:t>
      </w:r>
      <w:r>
        <w:t>t</w:t>
      </w:r>
      <w:r w:rsidR="005053D2">
        <w:t>en</w:t>
      </w:r>
      <w:r>
        <w:t xml:space="preserve">temente pide a los Estados proporcionar educación en derechos y salud sexual y reproductiva </w:t>
      </w:r>
      <w:r w:rsidR="005053D2">
        <w:t xml:space="preserve">adecuada a la edad </w:t>
      </w:r>
      <w:r>
        <w:t>como parte de l</w:t>
      </w:r>
      <w:r w:rsidR="005053D2">
        <w:t>a currícula escolar</w:t>
      </w:r>
      <w:r>
        <w:t>,</w:t>
      </w:r>
      <w:r>
        <w:rPr>
          <w:rStyle w:val="EndnoteReference"/>
        </w:rPr>
        <w:endnoteReference w:id="785"/>
      </w:r>
      <w:r>
        <w:t xml:space="preserve"> </w:t>
      </w:r>
      <w:r w:rsidR="005053D2">
        <w:t xml:space="preserve">incluyendo </w:t>
      </w:r>
      <w:r>
        <w:t>en escuelas vocacionales,</w:t>
      </w:r>
      <w:r>
        <w:rPr>
          <w:rStyle w:val="EndnoteReference"/>
        </w:rPr>
        <w:endnoteReference w:id="786"/>
      </w:r>
      <w:r>
        <w:t xml:space="preserve"> escuelas primarias,</w:t>
      </w:r>
      <w:r>
        <w:rPr>
          <w:rStyle w:val="EndnoteReference"/>
        </w:rPr>
        <w:endnoteReference w:id="787"/>
      </w:r>
      <w:r w:rsidR="00F82D5D">
        <w:t xml:space="preserve"> </w:t>
      </w:r>
      <w:r>
        <w:t>y a las mujeres y los hombres fuera de la escuela.</w:t>
      </w:r>
      <w:r>
        <w:rPr>
          <w:rStyle w:val="EndnoteReference"/>
        </w:rPr>
        <w:endnoteReference w:id="788"/>
      </w:r>
      <w:r>
        <w:t xml:space="preserve"> Se ha encontrado que esta educación debe incluir no sólo información sobre reproducción, anticoncepción y prevención de infecciones de transmisión sexual y embarazo precoz, sino también información sobre las relaciones de género</w:t>
      </w:r>
      <w:r>
        <w:rPr>
          <w:rStyle w:val="EndnoteReference"/>
        </w:rPr>
        <w:endnoteReference w:id="789"/>
      </w:r>
      <w:r>
        <w:t xml:space="preserve"> comportamiento sexual responsable,</w:t>
      </w:r>
      <w:r>
        <w:rPr>
          <w:rStyle w:val="EndnoteReference"/>
        </w:rPr>
        <w:endnoteReference w:id="790"/>
      </w:r>
      <w:r>
        <w:t xml:space="preserve"> la igualdad</w:t>
      </w:r>
      <w:r w:rsidR="005053D2">
        <w:t xml:space="preserve"> de género</w:t>
      </w:r>
      <w:r>
        <w:t>, el respeto y la lucha contra la violencia de género.</w:t>
      </w:r>
      <w:r>
        <w:rPr>
          <w:rStyle w:val="EndnoteReference"/>
        </w:rPr>
        <w:endnoteReference w:id="791"/>
      </w:r>
      <w:r>
        <w:t xml:space="preserve"> El Comité también ha recomendado que esta educación se bas</w:t>
      </w:r>
      <w:r w:rsidR="005053D2">
        <w:t>e</w:t>
      </w:r>
      <w:r>
        <w:t xml:space="preserve"> en </w:t>
      </w:r>
      <w:r w:rsidR="005053D2">
        <w:t>estándare</w:t>
      </w:r>
      <w:r>
        <w:t>s de derechos humanos y la evidencia científica.</w:t>
      </w:r>
      <w:r>
        <w:rPr>
          <w:rStyle w:val="EndnoteReference"/>
        </w:rPr>
        <w:endnoteReference w:id="792"/>
      </w:r>
      <w:r>
        <w:t xml:space="preserve"> Además, el Comité ha recomendado que los Estados </w:t>
      </w:r>
      <w:r w:rsidR="005053D2">
        <w:t xml:space="preserve">brinden </w:t>
      </w:r>
      <w:r>
        <w:t>las directrices operativas y la formación a docentes sobre educación sexual adecuad</w:t>
      </w:r>
      <w:r w:rsidR="005053D2">
        <w:t>a</w:t>
      </w:r>
      <w:r>
        <w:t xml:space="preserve"> a la edad</w:t>
      </w:r>
      <w:r>
        <w:rPr>
          <w:rStyle w:val="EndnoteReference"/>
        </w:rPr>
        <w:endnoteReference w:id="793"/>
      </w:r>
      <w:r>
        <w:t xml:space="preserve"> y proporcion</w:t>
      </w:r>
      <w:r w:rsidR="005053D2">
        <w:t>en</w:t>
      </w:r>
      <w:r>
        <w:t xml:space="preserve"> educación sobre salud sexual y reproductiva de manera sensible al género.</w:t>
      </w:r>
      <w:r>
        <w:rPr>
          <w:rStyle w:val="EndnoteReference"/>
        </w:rPr>
        <w:endnoteReference w:id="794"/>
      </w:r>
    </w:p>
    <w:p w14:paraId="065DE05C" w14:textId="536DC573" w:rsidR="0049019C" w:rsidRDefault="00CD0EAF" w:rsidP="000D30E9">
      <w:pPr>
        <w:pStyle w:val="NormalIndented"/>
      </w:pPr>
      <w:r>
        <w:t xml:space="preserve">El Comité CEDAW también ha pedido a los Estados emprender campañas </w:t>
      </w:r>
      <w:r w:rsidR="005053D2">
        <w:t xml:space="preserve">para la toma de conciencia </w:t>
      </w:r>
      <w:r>
        <w:t>que combat</w:t>
      </w:r>
      <w:r w:rsidR="005053D2">
        <w:t>an</w:t>
      </w:r>
      <w:r>
        <w:t xml:space="preserve"> la influencia negativa de las actitudes habituales y tradicionales hacia las mujeres, incluyendo aquellas basadas en la religión, que puede limitar la autonomía de las mujeres y su ejercicio de de los derechos sexuales y reproductivos.</w:t>
      </w:r>
      <w:r>
        <w:rPr>
          <w:rStyle w:val="EndnoteReference"/>
        </w:rPr>
        <w:endnoteReference w:id="795"/>
      </w:r>
      <w:r>
        <w:t xml:space="preserve"> También se </w:t>
      </w:r>
      <w:r w:rsidR="005053D2">
        <w:t xml:space="preserve">ha </w:t>
      </w:r>
      <w:r>
        <w:t>recomenda</w:t>
      </w:r>
      <w:r w:rsidR="005053D2">
        <w:t>do</w:t>
      </w:r>
      <w:r>
        <w:t xml:space="preserve"> </w:t>
      </w:r>
      <w:r w:rsidR="005053D2">
        <w:t xml:space="preserve">a </w:t>
      </w:r>
      <w:r>
        <w:t xml:space="preserve">al menos un </w:t>
      </w:r>
      <w:r w:rsidR="005053D2">
        <w:t>E</w:t>
      </w:r>
      <w:r>
        <w:t xml:space="preserve">stado crear conciencia acerca de los anticonceptivos, los riesgos del aborto inseguro y </w:t>
      </w:r>
      <w:r w:rsidR="005053D2">
        <w:t xml:space="preserve">los </w:t>
      </w:r>
      <w:r>
        <w:t>derechos de salud reproductiva de las mujeres.</w:t>
      </w:r>
      <w:r>
        <w:rPr>
          <w:rStyle w:val="EndnoteReference"/>
        </w:rPr>
        <w:endnoteReference w:id="796"/>
      </w:r>
    </w:p>
    <w:p w14:paraId="520BA10D" w14:textId="77777777" w:rsidR="0049019C" w:rsidRPr="004B2C96" w:rsidRDefault="00CD0EAF">
      <w:pPr>
        <w:pStyle w:val="Heading3"/>
      </w:pPr>
      <w:bookmarkStart w:id="61" w:name="_Toc498590716"/>
      <w:r w:rsidRPr="004B2C96">
        <w:lastRenderedPageBreak/>
        <w:t>Esterilización forzada y aborto forzado</w:t>
      </w:r>
      <w:bookmarkEnd w:id="61"/>
    </w:p>
    <w:p w14:paraId="431C1BB9" w14:textId="65F5753F" w:rsidR="0049019C" w:rsidRDefault="00CD0EAF">
      <w:pPr>
        <w:pStyle w:val="AccountabilitySubtitle3"/>
        <w:rPr>
          <w:color w:val="auto"/>
          <w:u w:val="none"/>
        </w:rPr>
      </w:pPr>
      <w:r>
        <w:rPr>
          <w:color w:val="auto"/>
          <w:u w:val="none"/>
        </w:rPr>
        <w:t xml:space="preserve">El Comité CEDAW ha expresado preocupación a los Estados acerca de los procedimientos </w:t>
      </w:r>
      <w:r w:rsidR="00406525">
        <w:rPr>
          <w:color w:val="auto"/>
          <w:u w:val="none"/>
        </w:rPr>
        <w:t xml:space="preserve">forzados </w:t>
      </w:r>
      <w:r>
        <w:rPr>
          <w:color w:val="auto"/>
          <w:u w:val="none"/>
        </w:rPr>
        <w:t xml:space="preserve">de salud reproductiva realizados sobre mujeres y niñas, especialmente niñas de los grupos desfavorecidos o vulnerables. Por ejemplo, en ocasiones ha expresado preocupación a Estados acerca de la esterilización forzada y el aborto </w:t>
      </w:r>
      <w:r w:rsidR="00406525">
        <w:rPr>
          <w:color w:val="auto"/>
          <w:u w:val="none"/>
        </w:rPr>
        <w:t xml:space="preserve">forzado </w:t>
      </w:r>
      <w:r>
        <w:rPr>
          <w:color w:val="auto"/>
          <w:u w:val="none"/>
        </w:rPr>
        <w:t>de las mujeres con discapacidad.</w:t>
      </w:r>
      <w:r>
        <w:rPr>
          <w:rStyle w:val="EndnoteReference"/>
          <w:color w:val="auto"/>
          <w:u w:val="none"/>
        </w:rPr>
        <w:endnoteReference w:id="797"/>
      </w:r>
      <w:r>
        <w:rPr>
          <w:color w:val="auto"/>
          <w:u w:val="none"/>
        </w:rPr>
        <w:t xml:space="preserve"> En particular, el Comité ha expresado preocupación por legislación en al menos un </w:t>
      </w:r>
      <w:r w:rsidR="00406525">
        <w:rPr>
          <w:color w:val="auto"/>
          <w:u w:val="none"/>
        </w:rPr>
        <w:t>E</w:t>
      </w:r>
      <w:r>
        <w:rPr>
          <w:color w:val="auto"/>
          <w:u w:val="none"/>
        </w:rPr>
        <w:t>stado diseñad</w:t>
      </w:r>
      <w:r w:rsidR="00406525">
        <w:rPr>
          <w:color w:val="auto"/>
          <w:u w:val="none"/>
        </w:rPr>
        <w:t>a</w:t>
      </w:r>
      <w:r>
        <w:rPr>
          <w:color w:val="auto"/>
          <w:u w:val="none"/>
        </w:rPr>
        <w:t xml:space="preserve"> para prevenir el nacimiento de niños con discapacidad o enfermedades, </w:t>
      </w:r>
      <w:r w:rsidR="00406525">
        <w:rPr>
          <w:color w:val="auto"/>
          <w:u w:val="none"/>
        </w:rPr>
        <w:t xml:space="preserve">llevando </w:t>
      </w:r>
      <w:r>
        <w:rPr>
          <w:color w:val="auto"/>
          <w:u w:val="none"/>
        </w:rPr>
        <w:t>a la esterilización forzada de mujeres con discapacidad sin ninguna reparación,</w:t>
      </w:r>
      <w:r>
        <w:rPr>
          <w:rStyle w:val="EndnoteReference"/>
          <w:color w:val="auto"/>
          <w:u w:val="none"/>
        </w:rPr>
        <w:endnoteReference w:id="798"/>
      </w:r>
      <w:r>
        <w:rPr>
          <w:color w:val="auto"/>
          <w:u w:val="none"/>
        </w:rPr>
        <w:t xml:space="preserve"> y sobre el alto número de esterilizaciones de mujeres con discapacidad intelectual o psicosocial en otro Estado.</w:t>
      </w:r>
      <w:r>
        <w:rPr>
          <w:rStyle w:val="EndnoteReference"/>
          <w:color w:val="auto"/>
          <w:u w:val="none"/>
        </w:rPr>
        <w:endnoteReference w:id="799"/>
      </w:r>
      <w:r>
        <w:rPr>
          <w:color w:val="auto"/>
          <w:u w:val="none"/>
        </w:rPr>
        <w:t xml:space="preserve"> El Comité ha pedido al menos dos Estados adoptar legislación que protege a las mujeres con discapacidad de ser esterilizadas sin su consentimiento.</w:t>
      </w:r>
      <w:r>
        <w:rPr>
          <w:rStyle w:val="EndnoteReference"/>
          <w:color w:val="auto"/>
          <w:u w:val="none"/>
        </w:rPr>
        <w:endnoteReference w:id="800"/>
      </w:r>
      <w:r>
        <w:rPr>
          <w:color w:val="auto"/>
          <w:u w:val="none"/>
        </w:rPr>
        <w:t xml:space="preserve"> </w:t>
      </w:r>
    </w:p>
    <w:p w14:paraId="166A2358" w14:textId="149FE042" w:rsidR="0049019C" w:rsidRDefault="00CD0EAF">
      <w:pPr>
        <w:pStyle w:val="AccountabilitySubtitle3"/>
      </w:pPr>
      <w:r>
        <w:rPr>
          <w:color w:val="auto"/>
          <w:u w:val="none"/>
        </w:rPr>
        <w:t>El Comité CEDAW también ha expresado preocupación por las políticas de población que pueden limitar la fertilidad de las mujeres,</w:t>
      </w:r>
      <w:r>
        <w:rPr>
          <w:rStyle w:val="EndnoteReference"/>
          <w:color w:val="auto"/>
          <w:u w:val="none"/>
        </w:rPr>
        <w:endnoteReference w:id="801"/>
      </w:r>
      <w:r>
        <w:rPr>
          <w:color w:val="auto"/>
          <w:u w:val="none"/>
        </w:rPr>
        <w:t xml:space="preserve"> particular</w:t>
      </w:r>
      <w:r w:rsidR="00406525">
        <w:rPr>
          <w:color w:val="auto"/>
          <w:u w:val="none"/>
        </w:rPr>
        <w:t>mente</w:t>
      </w:r>
      <w:r>
        <w:rPr>
          <w:color w:val="auto"/>
          <w:u w:val="none"/>
        </w:rPr>
        <w:t xml:space="preserve"> mujeres</w:t>
      </w:r>
      <w:r w:rsidR="00406525">
        <w:rPr>
          <w:color w:val="auto"/>
          <w:u w:val="none"/>
        </w:rPr>
        <w:t xml:space="preserve"> de la minoría</w:t>
      </w:r>
      <w:r>
        <w:rPr>
          <w:color w:val="auto"/>
          <w:u w:val="none"/>
        </w:rPr>
        <w:t>, inclu</w:t>
      </w:r>
      <w:r w:rsidR="00406525">
        <w:rPr>
          <w:color w:val="auto"/>
          <w:u w:val="none"/>
        </w:rPr>
        <w:t>yendo</w:t>
      </w:r>
      <w:r>
        <w:rPr>
          <w:color w:val="auto"/>
          <w:u w:val="none"/>
        </w:rPr>
        <w:t xml:space="preserve"> las políticas sobre el número máximo de niños y los requisitos para el espaciamiento de los nacimientos.</w:t>
      </w:r>
      <w:r>
        <w:rPr>
          <w:rStyle w:val="EndnoteReference"/>
          <w:color w:val="auto"/>
          <w:u w:val="none"/>
        </w:rPr>
        <w:endnoteReference w:id="802"/>
      </w:r>
      <w:r>
        <w:rPr>
          <w:color w:val="auto"/>
          <w:u w:val="none"/>
        </w:rPr>
        <w:t xml:space="preserve"> Además ha expresado su preocupación a al menos un Estado acerca del alto número de abortos forzados registrados entre las mujeres</w:t>
      </w:r>
      <w:r>
        <w:rPr>
          <w:rStyle w:val="EndnoteReference"/>
          <w:color w:val="auto"/>
          <w:u w:val="none"/>
        </w:rPr>
        <w:endnoteReference w:id="803"/>
      </w:r>
      <w:r>
        <w:rPr>
          <w:color w:val="auto"/>
          <w:u w:val="none"/>
        </w:rPr>
        <w:t xml:space="preserve">  y a otro sobre denuncias generales de esterilización forzada.</w:t>
      </w:r>
      <w:r>
        <w:rPr>
          <w:rStyle w:val="EndnoteReference"/>
          <w:color w:val="auto"/>
          <w:u w:val="none"/>
        </w:rPr>
        <w:endnoteReference w:id="804"/>
      </w:r>
      <w:r>
        <w:rPr>
          <w:color w:val="auto"/>
          <w:u w:val="none"/>
        </w:rPr>
        <w:t xml:space="preserve"> El Comité también ha expresado preocupación a por lo menos dos Estados sobre </w:t>
      </w:r>
      <w:r w:rsidR="00406525">
        <w:rPr>
          <w:color w:val="auto"/>
          <w:u w:val="none"/>
        </w:rPr>
        <w:t>requerimientos</w:t>
      </w:r>
      <w:r>
        <w:rPr>
          <w:color w:val="auto"/>
          <w:u w:val="none"/>
        </w:rPr>
        <w:t xml:space="preserve"> </w:t>
      </w:r>
      <w:r w:rsidR="00406525">
        <w:rPr>
          <w:color w:val="auto"/>
          <w:u w:val="none"/>
        </w:rPr>
        <w:t>hacia</w:t>
      </w:r>
      <w:r>
        <w:rPr>
          <w:color w:val="auto"/>
          <w:u w:val="none"/>
        </w:rPr>
        <w:t xml:space="preserve"> las personas transexuales de demostrar su infertilidad o someterse a una esterilización para obtener el reconocimiento legal de su género.</w:t>
      </w:r>
      <w:r>
        <w:rPr>
          <w:rStyle w:val="EndnoteReference"/>
          <w:color w:val="auto"/>
          <w:u w:val="none"/>
        </w:rPr>
        <w:endnoteReference w:id="805"/>
      </w:r>
      <w:r>
        <w:rPr>
          <w:color w:val="auto"/>
          <w:u w:val="none"/>
        </w:rPr>
        <w:t xml:space="preserve"> </w:t>
      </w:r>
      <w:r w:rsidR="00406525">
        <w:rPr>
          <w:color w:val="auto"/>
          <w:u w:val="none"/>
        </w:rPr>
        <w:t>Asimismo</w:t>
      </w:r>
      <w:r>
        <w:rPr>
          <w:color w:val="auto"/>
          <w:u w:val="none"/>
        </w:rPr>
        <w:t xml:space="preserve"> ha expresado su preocupación a por lo menos dos Estados sobre la esterilización involuntaria de mujeres con VIH.</w:t>
      </w:r>
      <w:r>
        <w:rPr>
          <w:rStyle w:val="EndnoteReference"/>
          <w:color w:val="auto"/>
          <w:u w:val="none"/>
        </w:rPr>
        <w:endnoteReference w:id="806"/>
      </w:r>
      <w:r>
        <w:rPr>
          <w:color w:val="auto"/>
          <w:u w:val="none"/>
        </w:rPr>
        <w:t xml:space="preserve"> </w:t>
      </w:r>
      <w:r w:rsidR="00406525">
        <w:rPr>
          <w:color w:val="auto"/>
          <w:u w:val="none"/>
        </w:rPr>
        <w:t xml:space="preserve">También ha expresado </w:t>
      </w:r>
      <w:r>
        <w:rPr>
          <w:color w:val="auto"/>
          <w:u w:val="none"/>
        </w:rPr>
        <w:t>su preocupación por la falta de una ley de protección de las mujeres ante la esterilización o el aborto forzados.</w:t>
      </w:r>
      <w:r>
        <w:rPr>
          <w:rStyle w:val="EndnoteReference"/>
          <w:color w:val="auto"/>
          <w:u w:val="none"/>
        </w:rPr>
        <w:endnoteReference w:id="807"/>
      </w:r>
      <w:r>
        <w:rPr>
          <w:color w:val="auto"/>
          <w:u w:val="none"/>
        </w:rPr>
        <w:t xml:space="preserve"> </w:t>
      </w:r>
    </w:p>
    <w:p w14:paraId="5C3EA647" w14:textId="7FD19274" w:rsidR="0049019C" w:rsidRDefault="00CD0EAF">
      <w:pPr>
        <w:pStyle w:val="Heading4"/>
      </w:pPr>
      <w:r>
        <w:t xml:space="preserve">Capacidad </w:t>
      </w:r>
      <w:r w:rsidR="00AA3F17">
        <w:t>J</w:t>
      </w:r>
      <w:r>
        <w:t xml:space="preserve">urídica y </w:t>
      </w:r>
      <w:r w:rsidR="00AA3F17">
        <w:t>C</w:t>
      </w:r>
      <w:r>
        <w:t xml:space="preserve">onsentimiento </w:t>
      </w:r>
      <w:r w:rsidR="00AA3F17">
        <w:t>I</w:t>
      </w:r>
      <w:r>
        <w:t>nformado</w:t>
      </w:r>
    </w:p>
    <w:p w14:paraId="76A9669B" w14:textId="29D729F5" w:rsidR="0049019C" w:rsidRDefault="00CD0EAF">
      <w:pPr>
        <w:pStyle w:val="NormalIndented"/>
      </w:pPr>
      <w:r>
        <w:t>El Comité CEDAW ha expresado su preocupación por lo menos a dos Estados donde las mujeres con discapacidad intelectual y psicosocial pueden ser privadas de capacidad jurídica</w:t>
      </w:r>
      <w:r>
        <w:rPr>
          <w:rStyle w:val="EndnoteReference"/>
        </w:rPr>
        <w:endnoteReference w:id="808"/>
      </w:r>
      <w:r>
        <w:t xml:space="preserve"> y esterilizadas sin su consentimiento.</w:t>
      </w:r>
      <w:r>
        <w:rPr>
          <w:rStyle w:val="EndnoteReference"/>
        </w:rPr>
        <w:endnoteReference w:id="809"/>
      </w:r>
      <w:r>
        <w:t xml:space="preserve"> También ha expresado preocupación por la legislación de al menos un Estado que permite a los tribunales limitar la capacidad jurídica de las mujeres y las niñas con discapacidad intelectual o psicosocial, incluso en cuestiones relacionadas con la familia y los derechos reproductivos.</w:t>
      </w:r>
      <w:r>
        <w:rPr>
          <w:rStyle w:val="EndnoteReference"/>
        </w:rPr>
        <w:endnoteReference w:id="810"/>
      </w:r>
      <w:r>
        <w:t xml:space="preserve"> El Comité además ha expresado preocupación por la legislación de al menos un Estado que permite a un tercero dar su consentimiento para la esterilización o contracepción de una mujer con discapacidad mental, si ella es </w:t>
      </w:r>
      <w:r w:rsidR="00AA3F17">
        <w:t xml:space="preserve">considerada </w:t>
      </w:r>
      <w:r>
        <w:t>incapaz de expresar su consentimiento</w:t>
      </w:r>
      <w:r>
        <w:rPr>
          <w:rStyle w:val="EndnoteReference"/>
        </w:rPr>
        <w:endnoteReference w:id="811"/>
      </w:r>
      <w:r>
        <w:t xml:space="preserve"> y a otro Estado sobre la legislación que permite la esterilización forzada y el aborto de las mujeres con discapacidad intelectual sin autorización judicial.</w:t>
      </w:r>
      <w:r>
        <w:rPr>
          <w:rStyle w:val="EndnoteReference"/>
        </w:rPr>
        <w:endnoteReference w:id="812"/>
      </w:r>
    </w:p>
    <w:p w14:paraId="2BFB4982" w14:textId="3E715DCB" w:rsidR="0049019C" w:rsidRDefault="00CD0EAF">
      <w:pPr>
        <w:pStyle w:val="NormalIndented"/>
      </w:pPr>
      <w:r>
        <w:t>El Comité CEDAW le ha declarado a al menos un Estado que las decisiones acerca de la esterilización y el uso de l</w:t>
      </w:r>
      <w:r w:rsidR="00AA3F17">
        <w:t xml:space="preserve">os anticonceptivos </w:t>
      </w:r>
      <w:r>
        <w:t>debe</w:t>
      </w:r>
      <w:r w:rsidR="00AA3F17">
        <w:t>rían</w:t>
      </w:r>
      <w:r>
        <w:t xml:space="preserve"> basarse en un consentimiento totalmente libre </w:t>
      </w:r>
      <w:r w:rsidR="00AA3F17">
        <w:t>e</w:t>
      </w:r>
      <w:r>
        <w:t xml:space="preserve"> informado y la voluntad de la mujer o niña a tratar.</w:t>
      </w:r>
      <w:r>
        <w:rPr>
          <w:rStyle w:val="EndnoteReference"/>
        </w:rPr>
        <w:endnoteReference w:id="813"/>
      </w:r>
      <w:r>
        <w:t xml:space="preserve"> Ha llamado a los Estados asegurar que </w:t>
      </w:r>
      <w:r w:rsidR="00AA3F17">
        <w:t xml:space="preserve">el consentimiento informado se obtenga </w:t>
      </w:r>
      <w:r>
        <w:t>antes de la esterilización,</w:t>
      </w:r>
      <w:r>
        <w:rPr>
          <w:rStyle w:val="EndnoteReference"/>
        </w:rPr>
        <w:endnoteReference w:id="814"/>
      </w:r>
      <w:r>
        <w:t xml:space="preserve"> adoptando las medidas necesarias para obtener un consentimiento </w:t>
      </w:r>
      <w:r w:rsidR="00AA3F17">
        <w:t xml:space="preserve">libre, preveio e </w:t>
      </w:r>
      <w:r>
        <w:t xml:space="preserve">informado </w:t>
      </w:r>
      <w:r w:rsidR="00AA3F17">
        <w:t xml:space="preserve">para </w:t>
      </w:r>
      <w:r>
        <w:t>la esterilización</w:t>
      </w:r>
      <w:r>
        <w:rPr>
          <w:rStyle w:val="EndnoteReference"/>
        </w:rPr>
        <w:endnoteReference w:id="815"/>
      </w:r>
      <w:r>
        <w:t xml:space="preserve"> que </w:t>
      </w:r>
      <w:r w:rsidR="00AA3F17">
        <w:t>incluya</w:t>
      </w:r>
      <w:r>
        <w:t xml:space="preserve"> la </w:t>
      </w:r>
      <w:r w:rsidR="00AA3F17">
        <w:t xml:space="preserve">notificación a las mujeres de </w:t>
      </w:r>
      <w:r>
        <w:t xml:space="preserve">información </w:t>
      </w:r>
      <w:r w:rsidR="00AA3F17">
        <w:t>sobre</w:t>
      </w:r>
      <w:r>
        <w:t xml:space="preserve"> las consecuencias permanentes, riesgos y alternativas a la esterilización</w:t>
      </w:r>
      <w:r w:rsidR="00AA3F17">
        <w:t>,</w:t>
      </w:r>
      <w:r>
        <w:rPr>
          <w:rStyle w:val="EndnoteReference"/>
        </w:rPr>
        <w:endnoteReference w:id="816"/>
      </w:r>
      <w:r>
        <w:t xml:space="preserve"> además de un período de reflexión </w:t>
      </w:r>
      <w:r w:rsidR="00AA3F17">
        <w:t>sobre</w:t>
      </w:r>
      <w:r>
        <w:t xml:space="preserve"> la decisión.</w:t>
      </w:r>
      <w:r>
        <w:rPr>
          <w:rStyle w:val="EndnoteReference"/>
        </w:rPr>
        <w:endnoteReference w:id="817"/>
      </w:r>
      <w:r>
        <w:t xml:space="preserve"> El Comité también apela a los Estados para que deroguen la legislación que permite que las mujeres </w:t>
      </w:r>
      <w:r w:rsidR="00AA3F17">
        <w:t xml:space="preserve">con </w:t>
      </w:r>
      <w:r>
        <w:t>discapaci</w:t>
      </w:r>
      <w:r w:rsidR="00AA3F17">
        <w:t>dad</w:t>
      </w:r>
      <w:r>
        <w:t>, incluyendo aquellas con una capacidad legal limitada o privadas de ella, sean esterilizadas sin su consentimiento</w:t>
      </w:r>
      <w:r>
        <w:rPr>
          <w:rStyle w:val="EndnoteReference"/>
        </w:rPr>
        <w:endnoteReference w:id="818"/>
      </w:r>
      <w:r>
        <w:t xml:space="preserve"> y en caso contrario asegurar que el aborto y la esterilización de mujeres </w:t>
      </w:r>
      <w:r w:rsidR="00AA3F17">
        <w:t xml:space="preserve">con </w:t>
      </w:r>
      <w:r>
        <w:t>discapacida</w:t>
      </w:r>
      <w:r w:rsidR="00AA3F17">
        <w:t>d</w:t>
      </w:r>
      <w:r>
        <w:t xml:space="preserve"> se realice solamente con un consentimiento </w:t>
      </w:r>
      <w:r w:rsidR="00AA3F17">
        <w:t>libre</w:t>
      </w:r>
      <w:r>
        <w:t xml:space="preserve"> e informado.</w:t>
      </w:r>
      <w:r>
        <w:rPr>
          <w:rStyle w:val="EndnoteReference"/>
        </w:rPr>
        <w:endnoteReference w:id="819"/>
      </w:r>
      <w:r>
        <w:t xml:space="preserve"> El Comité ha recomendado </w:t>
      </w:r>
      <w:r w:rsidR="00AA3F17">
        <w:t>a</w:t>
      </w:r>
      <w:r>
        <w:t xml:space="preserve"> al menos un Estado asegur</w:t>
      </w:r>
      <w:r w:rsidR="00AA3F17">
        <w:t>ar</w:t>
      </w:r>
      <w:r>
        <w:t xml:space="preserve"> que en la práctica las mujeres </w:t>
      </w:r>
      <w:r w:rsidR="00AA3F17">
        <w:t xml:space="preserve">con </w:t>
      </w:r>
      <w:r>
        <w:t>discapaci</w:t>
      </w:r>
      <w:r w:rsidR="00AA3F17">
        <w:t>dad</w:t>
      </w:r>
      <w:r>
        <w:t xml:space="preserve"> que carezcan de capacidad legal no se sometan a esterilización no consentida y que el Estado apoye a las mujeres para que decidan si quieren dar consentimiento informado para la esterilización.</w:t>
      </w:r>
      <w:r>
        <w:rPr>
          <w:rStyle w:val="EndnoteReference"/>
        </w:rPr>
        <w:endnoteReference w:id="820"/>
      </w:r>
      <w:r>
        <w:t xml:space="preserve"> También ha pedido </w:t>
      </w:r>
      <w:r w:rsidRPr="00982B2F">
        <w:t xml:space="preserve">a un Estado que garantice el consentimiento informado de las mujeres embarazadas para abortar en casos de </w:t>
      </w:r>
      <w:r w:rsidR="00BD6A14" w:rsidRPr="00982B2F">
        <w:t>anomalías</w:t>
      </w:r>
      <w:r w:rsidR="006402C1" w:rsidRPr="00982B2F">
        <w:t xml:space="preserve"> </w:t>
      </w:r>
      <w:r w:rsidRPr="00982B2F">
        <w:t>fetal</w:t>
      </w:r>
      <w:r w:rsidR="006402C1" w:rsidRPr="00982B2F">
        <w:t>es</w:t>
      </w:r>
      <w:r w:rsidRPr="00982B2F">
        <w:t>.</w:t>
      </w:r>
      <w:r w:rsidRPr="00982B2F">
        <w:rPr>
          <w:rStyle w:val="EndnoteReference"/>
        </w:rPr>
        <w:endnoteReference w:id="821"/>
      </w:r>
      <w:r w:rsidRPr="00982B2F">
        <w:t xml:space="preserve"> El Comité</w:t>
      </w:r>
      <w:r>
        <w:t xml:space="preserve"> además ha elogiado al menos a un Estado por distribuir muestras de formularios de consentimiento informado en idiomas minoritarios con el fin de asegurar el consentimiento informado.</w:t>
      </w:r>
      <w:r>
        <w:rPr>
          <w:rStyle w:val="EndnoteReference"/>
        </w:rPr>
        <w:endnoteReference w:id="822"/>
      </w:r>
    </w:p>
    <w:p w14:paraId="46F6ABD7" w14:textId="4D287522" w:rsidR="0049019C" w:rsidRDefault="00CD0EAF">
      <w:pPr>
        <w:pStyle w:val="Heading4"/>
      </w:pPr>
      <w:r>
        <w:lastRenderedPageBreak/>
        <w:t>Obligaciones de Debida</w:t>
      </w:r>
      <w:r w:rsidR="00BD6A14" w:rsidRPr="00BD6A14">
        <w:t xml:space="preserve"> </w:t>
      </w:r>
      <w:r w:rsidR="00BD6A14">
        <w:t>Diligencia</w:t>
      </w:r>
      <w:r>
        <w:t xml:space="preserve"> </w:t>
      </w:r>
    </w:p>
    <w:p w14:paraId="120A7C39" w14:textId="41317A6B" w:rsidR="0049019C" w:rsidRDefault="00CD0EAF">
      <w:pPr>
        <w:pStyle w:val="NormalIndented"/>
      </w:pPr>
      <w:r>
        <w:t xml:space="preserve">El Comité CEDAW ha expresado su preocupación por lo menos a un </w:t>
      </w:r>
      <w:r w:rsidR="00D97855">
        <w:t>E</w:t>
      </w:r>
      <w:r>
        <w:t>stado donde no había ninguna supervisión sistemática de la legislación que prohibiese la esterilización forzada.</w:t>
      </w:r>
      <w:r>
        <w:rPr>
          <w:rStyle w:val="EndnoteReference"/>
        </w:rPr>
        <w:endnoteReference w:id="823"/>
      </w:r>
      <w:r>
        <w:t xml:space="preserve"> También ha expresado preocupación a por lo menos un </w:t>
      </w:r>
      <w:r w:rsidR="00D97855">
        <w:t>E</w:t>
      </w:r>
      <w:r>
        <w:t>stado donde no se ha llevado a cabo ninguna investigación efectiva sobre las denuncias de esterilización forzada para poner en marcha una política de población de Estado.</w:t>
      </w:r>
      <w:r>
        <w:rPr>
          <w:rStyle w:val="EndnoteReference"/>
        </w:rPr>
        <w:endnoteReference w:id="824"/>
      </w:r>
    </w:p>
    <w:p w14:paraId="038D7B37" w14:textId="1E27FAA8" w:rsidR="0049019C" w:rsidRDefault="00CD0EAF">
      <w:pPr>
        <w:pStyle w:val="NormalIndented"/>
      </w:pPr>
      <w:r>
        <w:t>El Comité CEDAW apela a los Estados para garantizar investigaci</w:t>
      </w:r>
      <w:r w:rsidR="00D97855">
        <w:t>o</w:t>
      </w:r>
      <w:r>
        <w:t>n</w:t>
      </w:r>
      <w:r w:rsidR="00D97855">
        <w:t>es</w:t>
      </w:r>
      <w:r>
        <w:t xml:space="preserve"> ef</w:t>
      </w:r>
      <w:r w:rsidR="00D97855">
        <w:t>ectivas</w:t>
      </w:r>
      <w:r>
        <w:t xml:space="preserve"> de las denuncias de esterilización forzada</w:t>
      </w:r>
      <w:r>
        <w:rPr>
          <w:rStyle w:val="EndnoteReference"/>
        </w:rPr>
        <w:endnoteReference w:id="825"/>
      </w:r>
      <w:r>
        <w:t xml:space="preserve"> y de aborto forzado,</w:t>
      </w:r>
      <w:r>
        <w:rPr>
          <w:rStyle w:val="EndnoteReference"/>
        </w:rPr>
        <w:endnoteReference w:id="826"/>
      </w:r>
      <w:r>
        <w:t xml:space="preserve"> incluyendo las presentadas en </w:t>
      </w:r>
      <w:r w:rsidR="00D97855">
        <w:t xml:space="preserve">instituciones </w:t>
      </w:r>
      <w:r>
        <w:t>médic</w:t>
      </w:r>
      <w:r w:rsidR="00D97855">
        <w:t>a</w:t>
      </w:r>
      <w:r>
        <w:t>s.</w:t>
      </w:r>
      <w:r>
        <w:rPr>
          <w:rStyle w:val="EndnoteReference"/>
        </w:rPr>
        <w:endnoteReference w:id="827"/>
      </w:r>
      <w:r>
        <w:t xml:space="preserve"> También ha apelado a al menos un </w:t>
      </w:r>
      <w:r w:rsidR="00D97855">
        <w:t>E</w:t>
      </w:r>
      <w:r>
        <w:t xml:space="preserve">stado para garantizar un </w:t>
      </w:r>
      <w:r w:rsidR="00D97855">
        <w:t xml:space="preserve">monitoreo </w:t>
      </w:r>
      <w:r>
        <w:t>efectivo de los centros médicos que realizan procedimientos de esterilización para que los realicen conforme a la legislación nacional y prohíban la esterilización forzada.</w:t>
      </w:r>
      <w:r>
        <w:rPr>
          <w:rStyle w:val="EndnoteReference"/>
        </w:rPr>
        <w:endnoteReference w:id="828"/>
      </w:r>
      <w:r>
        <w:t xml:space="preserve"> El Comité además ha recomendado que los Estados lleven a cabo un estudio de los últimos incidentes de esterilización forzada de personas con discapacidad</w:t>
      </w:r>
      <w:r>
        <w:rPr>
          <w:rStyle w:val="EndnoteReference"/>
        </w:rPr>
        <w:endnoteReference w:id="829"/>
      </w:r>
      <w:r>
        <w:t xml:space="preserve"> y de mujeres con VIH</w:t>
      </w:r>
      <w:r>
        <w:rPr>
          <w:rStyle w:val="EndnoteReference"/>
        </w:rPr>
        <w:endnoteReference w:id="830"/>
      </w:r>
      <w:r>
        <w:t xml:space="preserve"> y que por lo menos un Estado establezca un comité independiente para investigar los daños causados por la esterilización involuntaria y hacerlos llegar a víctimas potenciales.</w:t>
      </w:r>
      <w:r>
        <w:rPr>
          <w:rStyle w:val="EndnoteReference"/>
        </w:rPr>
        <w:endnoteReference w:id="831"/>
      </w:r>
      <w:r>
        <w:t xml:space="preserve"> Además ha pedido a los Estados que </w:t>
      </w:r>
      <w:r w:rsidR="0082259D">
        <w:t xml:space="preserve">procesen </w:t>
      </w:r>
      <w:r>
        <w:t xml:space="preserve">y </w:t>
      </w:r>
      <w:r w:rsidR="0082259D">
        <w:t xml:space="preserve">sancionen </w:t>
      </w:r>
      <w:r>
        <w:t>a los autores de esterilización forzada, bajo coacción o no consentida.</w:t>
      </w:r>
      <w:r>
        <w:rPr>
          <w:rStyle w:val="EndnoteReference"/>
        </w:rPr>
        <w:endnoteReference w:id="832"/>
      </w:r>
      <w:r>
        <w:t xml:space="preserve"> </w:t>
      </w:r>
    </w:p>
    <w:p w14:paraId="0F1CC8EC" w14:textId="77777777" w:rsidR="0049019C" w:rsidRDefault="00CD0EAF">
      <w:pPr>
        <w:pStyle w:val="Heading4"/>
      </w:pPr>
      <w:r>
        <w:t>Formación y Orientación</w:t>
      </w:r>
    </w:p>
    <w:p w14:paraId="74AB0EC4" w14:textId="3D6FC50C" w:rsidR="0049019C" w:rsidRDefault="00CD0EAF">
      <w:pPr>
        <w:pStyle w:val="NormalIndented"/>
      </w:pPr>
      <w:r>
        <w:t>El Comité CEDAW ha recomendado que al menos un Estado establezca formación regular para el personal de centros médicos públicos y privados sobre cómo asegurar el consentimiento informado en procedimientos de salud reproductiva, incluyendo la esterilización.</w:t>
      </w:r>
      <w:r>
        <w:rPr>
          <w:rStyle w:val="EndnoteReference"/>
        </w:rPr>
        <w:endnoteReference w:id="833"/>
      </w:r>
      <w:r>
        <w:t xml:space="preserve"> También ha recomendado </w:t>
      </w:r>
      <w:r w:rsidR="0082259D">
        <w:t xml:space="preserve">a </w:t>
      </w:r>
      <w:r>
        <w:t>al menos un</w:t>
      </w:r>
      <w:r w:rsidR="0082259D">
        <w:t xml:space="preserve"> Estado capacitar</w:t>
      </w:r>
      <w:r>
        <w:t xml:space="preserve"> </w:t>
      </w:r>
      <w:r w:rsidR="0082259D">
        <w:t>al personal de salud</w:t>
      </w:r>
      <w:r>
        <w:t xml:space="preserve"> </w:t>
      </w:r>
      <w:r w:rsidR="0082259D">
        <w:t>para</w:t>
      </w:r>
      <w:r>
        <w:t xml:space="preserve"> crear conciencia sobre los prejuicios hacia las mujeres con discapacidad, con el fin de erradicar la esterilización forzada,</w:t>
      </w:r>
      <w:r>
        <w:rPr>
          <w:rStyle w:val="EndnoteReference"/>
        </w:rPr>
        <w:endnoteReference w:id="834"/>
      </w:r>
      <w:r>
        <w:t xml:space="preserve"> y que otro Estado disponga una formación obligatoria a funcionarios</w:t>
      </w:r>
      <w:r w:rsidR="0082259D">
        <w:t xml:space="preserve"> y funcionarias</w:t>
      </w:r>
      <w:r>
        <w:t xml:space="preserve"> de planificación familiar en cuestiones de género.</w:t>
      </w:r>
      <w:r>
        <w:rPr>
          <w:rStyle w:val="EndnoteReference"/>
        </w:rPr>
        <w:endnoteReference w:id="835"/>
      </w:r>
    </w:p>
    <w:p w14:paraId="19CEA210" w14:textId="7A58BB8C" w:rsidR="0049019C" w:rsidRDefault="00CD0EAF">
      <w:pPr>
        <w:pStyle w:val="Heading4"/>
      </w:pPr>
      <w:r>
        <w:t xml:space="preserve">Recursos y </w:t>
      </w:r>
      <w:r w:rsidR="0082259D">
        <w:t>Reparaciones</w:t>
      </w:r>
    </w:p>
    <w:p w14:paraId="60B8DAA9" w14:textId="1FAF86B1" w:rsidR="0049019C" w:rsidRDefault="00CD0EAF">
      <w:pPr>
        <w:pStyle w:val="NormalIndented"/>
      </w:pPr>
      <w:r>
        <w:t xml:space="preserve">El Comité CEDAW ha expresado preocupación por lo menos a un Estado donde los tribunales han rechazado las solicitudes de indemnización a víctimas de esterilización forzada, debido a una interpretación restrictiva de la ley </w:t>
      </w:r>
      <w:r w:rsidRPr="00BD6A14">
        <w:t>de prescripción.</w:t>
      </w:r>
      <w:r w:rsidRPr="00BD6A14">
        <w:rPr>
          <w:rStyle w:val="EndnoteReference"/>
        </w:rPr>
        <w:endnoteReference w:id="836"/>
      </w:r>
      <w:r>
        <w:t xml:space="preserve"> El Comité además ha expresado preocupación por la falta de conciencia en al menos un Estado entre la minoría de mujeres sobre sus derechos y formas </w:t>
      </w:r>
      <w:r w:rsidR="0082259D">
        <w:t>de reparación</w:t>
      </w:r>
      <w:r>
        <w:t xml:space="preserve"> por esterilización forzada.</w:t>
      </w:r>
      <w:r>
        <w:rPr>
          <w:rStyle w:val="EndnoteReference"/>
        </w:rPr>
        <w:endnoteReference w:id="837"/>
      </w:r>
      <w:r>
        <w:t xml:space="preserve"> Ha expresado su preocupación al mismo Estado acerca de los dilatados procedimientos judiciales para casos de esterilización forzada, indicando la incapacidad del sistema judicial para proporcionar </w:t>
      </w:r>
      <w:r w:rsidR="0082259D">
        <w:t xml:space="preserve">reparaciones </w:t>
      </w:r>
      <w:r>
        <w:t>en el plazo correspondiente.</w:t>
      </w:r>
      <w:r>
        <w:rPr>
          <w:rStyle w:val="EndnoteReference"/>
        </w:rPr>
        <w:endnoteReference w:id="838"/>
      </w:r>
      <w:r>
        <w:t xml:space="preserve"> Además, ha expresado su preocupación a al menos un Estado por el hecho de que las víctimas de esterilización forzada no hayan sido indemnizadas.</w:t>
      </w:r>
      <w:r>
        <w:rPr>
          <w:rStyle w:val="EndnoteReference"/>
        </w:rPr>
        <w:endnoteReference w:id="839"/>
      </w:r>
    </w:p>
    <w:p w14:paraId="5132A655" w14:textId="694E0E37" w:rsidR="0049019C" w:rsidRDefault="00CD0EAF">
      <w:pPr>
        <w:pStyle w:val="NormalIndented"/>
      </w:pPr>
      <w:r>
        <w:t xml:space="preserve">El Comité CEDAW ha recomendado </w:t>
      </w:r>
      <w:r w:rsidR="0082259D">
        <w:t>a</w:t>
      </w:r>
      <w:r>
        <w:t xml:space="preserve"> al menos un Estado facilit</w:t>
      </w:r>
      <w:r w:rsidR="0082259D">
        <w:t>ar</w:t>
      </w:r>
      <w:r>
        <w:t xml:space="preserve"> asistencia legal a las víctimas de esterilización forzada.</w:t>
      </w:r>
      <w:r>
        <w:rPr>
          <w:rStyle w:val="EndnoteReference"/>
        </w:rPr>
        <w:endnoteReference w:id="840"/>
      </w:r>
      <w:r>
        <w:t xml:space="preserve"> También ha recomendado que los Estados proporcionen a las víctimas de esterilización forzada una indemnización que incluya una compensación y servicios de rehabilitación.</w:t>
      </w:r>
      <w:r>
        <w:rPr>
          <w:rStyle w:val="EndnoteReference"/>
        </w:rPr>
        <w:endnoteReference w:id="841"/>
      </w:r>
      <w:r>
        <w:t xml:space="preserve"> También ha pedido a al menos un Estado estable</w:t>
      </w:r>
      <w:r w:rsidR="0082259D">
        <w:t>cer</w:t>
      </w:r>
      <w:r>
        <w:t xml:space="preserve"> un mecanismo especial de compensación para las víctimas</w:t>
      </w:r>
      <w:r>
        <w:rPr>
          <w:rStyle w:val="EndnoteReference"/>
        </w:rPr>
        <w:endnoteReference w:id="842"/>
      </w:r>
      <w:r>
        <w:t xml:space="preserve"> y que extienda el estatuto de limitaciones para reclamar una indemnización por esterilización forzada, para </w:t>
      </w:r>
      <w:r w:rsidR="0082259D">
        <w:t xml:space="preserve">asegurar </w:t>
      </w:r>
      <w:r>
        <w:t xml:space="preserve">que </w:t>
      </w:r>
      <w:r w:rsidR="0082259D">
        <w:t>cuente para el tiempo</w:t>
      </w:r>
      <w:r>
        <w:t xml:space="preserve"> </w:t>
      </w:r>
      <w:r w:rsidR="0082259D">
        <w:t>en el que se descubra la</w:t>
      </w:r>
      <w:r>
        <w:t xml:space="preserve"> verdadera importancia y consecuencias de la esterilización.</w:t>
      </w:r>
      <w:r>
        <w:rPr>
          <w:rStyle w:val="EndnoteReference"/>
        </w:rPr>
        <w:endnoteReference w:id="843"/>
      </w:r>
      <w:r>
        <w:t xml:space="preserve"> Además, </w:t>
      </w:r>
      <w:r w:rsidR="0082259D">
        <w:t xml:space="preserve">ha </w:t>
      </w:r>
      <w:r>
        <w:t>recomenda</w:t>
      </w:r>
      <w:r w:rsidR="0082259D">
        <w:t>do</w:t>
      </w:r>
      <w:r>
        <w:t xml:space="preserve"> que al menos un Estado conciencie a</w:t>
      </w:r>
      <w:r w:rsidR="0082259D">
        <w:t xml:space="preserve"> las mujeres</w:t>
      </w:r>
      <w:r>
        <w:t xml:space="preserve"> de </w:t>
      </w:r>
      <w:r w:rsidR="0082259D">
        <w:t xml:space="preserve">las minorías </w:t>
      </w:r>
      <w:r>
        <w:t xml:space="preserve">sobre cómo ser </w:t>
      </w:r>
      <w:r w:rsidR="0082259D">
        <w:t xml:space="preserve">reparadas </w:t>
      </w:r>
      <w:r>
        <w:t xml:space="preserve">por esterilización forzada, incluyendo violaciones ocurridas </w:t>
      </w:r>
      <w:r w:rsidR="0082259D">
        <w:t>en el pasado</w:t>
      </w:r>
      <w:r>
        <w:t>,</w:t>
      </w:r>
      <w:r>
        <w:rPr>
          <w:rStyle w:val="EndnoteReference"/>
        </w:rPr>
        <w:endnoteReference w:id="844"/>
      </w:r>
      <w:r>
        <w:t xml:space="preserve"> y otorgar una indemnización p</w:t>
      </w:r>
      <w:r w:rsidR="005E012A">
        <w:t>ronta</w:t>
      </w:r>
      <w:r>
        <w:t>, íntegra y adecuada a las víctimas de esterilización forzada.</w:t>
      </w:r>
      <w:r>
        <w:rPr>
          <w:rStyle w:val="EndnoteReference"/>
        </w:rPr>
        <w:endnoteReference w:id="845"/>
      </w:r>
    </w:p>
    <w:p w14:paraId="39636D3F" w14:textId="2954A7CB" w:rsidR="0049019C" w:rsidRPr="004B2C96" w:rsidRDefault="00CD0EAF" w:rsidP="00515135">
      <w:pPr>
        <w:pStyle w:val="Heading2"/>
        <w:rPr>
          <w:b w:val="0"/>
        </w:rPr>
      </w:pPr>
      <w:bookmarkStart w:id="62" w:name="_Toc5974924"/>
      <w:r w:rsidRPr="004B2C96">
        <w:rPr>
          <w:b w:val="0"/>
        </w:rPr>
        <w:t>Denuncias Individuales</w:t>
      </w:r>
      <w:bookmarkEnd w:id="62"/>
    </w:p>
    <w:p w14:paraId="0BAA3E07" w14:textId="77777777" w:rsidR="0049019C" w:rsidRPr="0017576F" w:rsidRDefault="00CD0EAF" w:rsidP="00753A59">
      <w:pPr>
        <w:pStyle w:val="Heading3GeneralComments"/>
      </w:pPr>
      <w:r w:rsidRPr="0017576F">
        <w:t>A.S. v. Hungría (2006)</w:t>
      </w:r>
    </w:p>
    <w:p w14:paraId="16DFBE41" w14:textId="75411274" w:rsidR="0049019C" w:rsidRDefault="00CD0EAF" w:rsidP="001261E1">
      <w:pPr>
        <w:pStyle w:val="indentedafterbulletp"/>
      </w:pPr>
      <w:r>
        <w:t xml:space="preserve">A.S., una mujer húngara </w:t>
      </w:r>
      <w:r w:rsidR="00821B7C">
        <w:t>romaní</w:t>
      </w:r>
      <w:r>
        <w:t xml:space="preserve">, fue esterilizada por el personal médico de un hospital húngaro durante una cesárea de emergencia, después de que el feto </w:t>
      </w:r>
      <w:r w:rsidR="005E012A">
        <w:t>había</w:t>
      </w:r>
      <w:r>
        <w:t xml:space="preserve"> muerto en el útero.</w:t>
      </w:r>
      <w:r>
        <w:rPr>
          <w:rStyle w:val="EndnoteReference"/>
        </w:rPr>
        <w:endnoteReference w:id="846"/>
      </w:r>
      <w:r>
        <w:t xml:space="preserve"> A.S. reclamó que ella nunca habría </w:t>
      </w:r>
      <w:r>
        <w:lastRenderedPageBreak/>
        <w:t>consentido la esterilización</w:t>
      </w:r>
      <w:r w:rsidR="005E012A">
        <w:t>, ella</w:t>
      </w:r>
      <w:r>
        <w:t xml:space="preserve"> </w:t>
      </w:r>
      <w:r w:rsidR="005E012A">
        <w:t>n</w:t>
      </w:r>
      <w:r>
        <w:t>o entendía los formularios que le pedían que firmarse y se encontraba en una situación de emergencia cuando los firmó.</w:t>
      </w:r>
      <w:r>
        <w:rPr>
          <w:rStyle w:val="EndnoteReference"/>
        </w:rPr>
        <w:endnoteReference w:id="847"/>
      </w:r>
      <w:r>
        <w:t xml:space="preserve"> El Comité CEDAW detectó que Hungría había violado varios derechos de A.S., incluyendo su derecho a la información para tomar una decisión informada,</w:t>
      </w:r>
      <w:r>
        <w:rPr>
          <w:rStyle w:val="EndnoteReference"/>
        </w:rPr>
        <w:endnoteReference w:id="848"/>
      </w:r>
      <w:r>
        <w:t xml:space="preserve"> el derecho de consentimiento informado implícito en el derecho </w:t>
      </w:r>
      <w:r w:rsidR="005E012A">
        <w:t>a</w:t>
      </w:r>
      <w:r>
        <w:t xml:space="preserve"> </w:t>
      </w:r>
      <w:r w:rsidR="005E012A">
        <w:t xml:space="preserve">atención </w:t>
      </w:r>
      <w:r>
        <w:t>médica aceptable,</w:t>
      </w:r>
      <w:r>
        <w:rPr>
          <w:rStyle w:val="EndnoteReference"/>
        </w:rPr>
        <w:endnoteReference w:id="849"/>
      </w:r>
      <w:r>
        <w:t xml:space="preserve"> y el derecho a decidir el número y </w:t>
      </w:r>
      <w:r w:rsidR="005E012A">
        <w:t>espaciamiento entre</w:t>
      </w:r>
      <w:r>
        <w:t xml:space="preserve"> sus hijos.</w:t>
      </w:r>
      <w:r>
        <w:rPr>
          <w:rStyle w:val="EndnoteReference"/>
        </w:rPr>
        <w:endnoteReference w:id="850"/>
      </w:r>
      <w:r>
        <w:t xml:space="preserve"> El Comité recomend</w:t>
      </w:r>
      <w:r w:rsidR="005E012A">
        <w:t>ó</w:t>
      </w:r>
      <w:r>
        <w:t xml:space="preserve"> que Hungría modifique su legislación y directrices sobre el consentimiento informado en la esterilización para adaptarse y cumplir </w:t>
      </w:r>
      <w:r w:rsidR="005E012A">
        <w:t xml:space="preserve">estándares de </w:t>
      </w:r>
      <w:r>
        <w:t xml:space="preserve">derechos humanos y </w:t>
      </w:r>
      <w:r w:rsidR="005E012A">
        <w:t>médicos</w:t>
      </w:r>
      <w:r>
        <w:t xml:space="preserve">, así como </w:t>
      </w:r>
      <w:r w:rsidR="005E012A">
        <w:t>monitorear</w:t>
      </w:r>
      <w:r>
        <w:t xml:space="preserve"> centros </w:t>
      </w:r>
      <w:r w:rsidR="005E012A">
        <w:t xml:space="preserve">de salud para asegurar </w:t>
      </w:r>
      <w:r>
        <w:t xml:space="preserve">que las esterilizaciones </w:t>
      </w:r>
      <w:r w:rsidR="005E012A">
        <w:t>no sean realizadas sin</w:t>
      </w:r>
      <w:r>
        <w:t xml:space="preserve"> consentimiento informado</w:t>
      </w:r>
      <w:r w:rsidR="005E012A">
        <w:t>,</w:t>
      </w:r>
      <w:r>
        <w:t xml:space="preserve"> y </w:t>
      </w:r>
      <w:r w:rsidR="005E012A">
        <w:t xml:space="preserve">con </w:t>
      </w:r>
      <w:r>
        <w:t xml:space="preserve">las correspondientes </w:t>
      </w:r>
      <w:r w:rsidR="005E012A">
        <w:t>sanciones cuando estos</w:t>
      </w:r>
      <w:r>
        <w:t xml:space="preserve"> derechos</w:t>
      </w:r>
      <w:r w:rsidR="005E012A">
        <w:t xml:space="preserve"> son vulnerados</w:t>
      </w:r>
      <w:r>
        <w:t>.</w:t>
      </w:r>
      <w:r>
        <w:rPr>
          <w:rStyle w:val="EndnoteReference"/>
        </w:rPr>
        <w:endnoteReference w:id="851"/>
      </w:r>
    </w:p>
    <w:p w14:paraId="302005CF" w14:textId="77777777" w:rsidR="0049019C" w:rsidRPr="0017576F" w:rsidRDefault="00CD0EAF" w:rsidP="00753A59">
      <w:pPr>
        <w:pStyle w:val="Heading3GeneralComments"/>
      </w:pPr>
      <w:r w:rsidRPr="0017576F">
        <w:t>L.C. v. Perú (2011)</w:t>
      </w:r>
    </w:p>
    <w:p w14:paraId="25299E97" w14:textId="0C7C34FC" w:rsidR="0049019C" w:rsidRDefault="00CD0EAF" w:rsidP="001261E1">
      <w:pPr>
        <w:pStyle w:val="indentedafterbulletp"/>
      </w:pPr>
      <w:r>
        <w:t xml:space="preserve">L.C. </w:t>
      </w:r>
      <w:r w:rsidR="005E012A">
        <w:t xml:space="preserve">fue </w:t>
      </w:r>
      <w:r>
        <w:t>abus</w:t>
      </w:r>
      <w:r w:rsidR="005E012A">
        <w:t>ada</w:t>
      </w:r>
      <w:r>
        <w:t xml:space="preserve"> sexual</w:t>
      </w:r>
      <w:r w:rsidR="005E012A">
        <w:t>mente</w:t>
      </w:r>
      <w:r>
        <w:t xml:space="preserve"> cuando tenía 11 años </w:t>
      </w:r>
      <w:r w:rsidR="005E012A">
        <w:t>por</w:t>
      </w:r>
      <w:r>
        <w:t xml:space="preserve"> un hombre de 34 años y quedó embarazada a los 13 a consecuencia de este abuso,</w:t>
      </w:r>
      <w:r>
        <w:rPr>
          <w:rStyle w:val="EndnoteReference"/>
        </w:rPr>
        <w:endnoteReference w:id="852"/>
      </w:r>
      <w:r>
        <w:t xml:space="preserve"> lo que le causó angustia mental y en última instancia le condujo a un intento de suicidio.</w:t>
      </w:r>
      <w:r>
        <w:rPr>
          <w:rStyle w:val="EndnoteReference"/>
        </w:rPr>
        <w:endnoteReference w:id="853"/>
      </w:r>
      <w:r>
        <w:t xml:space="preserve"> Tras dicho intento, L.C. necesitó cirugía espinal urgente, pero el hospital no realizaría la cirugía si ella seguía embarazada y no se le practica</w:t>
      </w:r>
      <w:r w:rsidR="00AA62B7">
        <w:t>ría</w:t>
      </w:r>
      <w:r>
        <w:t xml:space="preserve"> un aborto legal, l</w:t>
      </w:r>
      <w:r w:rsidR="00AA62B7">
        <w:t>levando a L.C. a sufrir</w:t>
      </w:r>
      <w:r>
        <w:t xml:space="preserve"> lesiones permanentes.</w:t>
      </w:r>
      <w:r>
        <w:rPr>
          <w:rStyle w:val="EndnoteReference"/>
        </w:rPr>
        <w:endnoteReference w:id="854"/>
      </w:r>
      <w:r>
        <w:t xml:space="preserve"> El Comité CEDAW </w:t>
      </w:r>
      <w:r w:rsidR="00AA62B7">
        <w:t xml:space="preserve">encontró </w:t>
      </w:r>
      <w:r>
        <w:t xml:space="preserve">que Perú había violado los derechos </w:t>
      </w:r>
      <w:r w:rsidR="00AA62B7">
        <w:t xml:space="preserve">a la salud </w:t>
      </w:r>
      <w:r>
        <w:t>de L.C.</w:t>
      </w:r>
      <w:r w:rsidR="00AA62B7">
        <w:t>,</w:t>
      </w:r>
      <w:r>
        <w:t xml:space="preserve"> </w:t>
      </w:r>
      <w:r w:rsidR="00AA62B7">
        <w:t>a estar</w:t>
      </w:r>
      <w:r>
        <w:t xml:space="preserve"> libre de discriminación y estereotipos de género y el derecho a un recurso ef</w:t>
      </w:r>
      <w:r w:rsidR="00AA62B7">
        <w:t>ectivo</w:t>
      </w:r>
      <w:r>
        <w:t xml:space="preserve"> cuando se le negó el acceso a lo que debería haber sido un aborto legal en estas circunstancias en Perú.</w:t>
      </w:r>
      <w:r>
        <w:rPr>
          <w:rStyle w:val="EndnoteReference"/>
        </w:rPr>
        <w:endnoteReference w:id="855"/>
      </w:r>
      <w:r>
        <w:t xml:space="preserve"> En particular, el Comité detectó que cuando un Estado legaliza el aborto</w:t>
      </w:r>
      <w:r w:rsidR="00AA62B7">
        <w:t>,</w:t>
      </w:r>
      <w:r>
        <w:t xml:space="preserve"> debe proporcionar un marco jurídico a través del cual las mujeres puedan ejercer su derecho de acceso al aborto.</w:t>
      </w:r>
      <w:r>
        <w:rPr>
          <w:rStyle w:val="EndnoteReference"/>
        </w:rPr>
        <w:endnoteReference w:id="856"/>
      </w:r>
      <w:r>
        <w:t xml:space="preserve"> Además, el caso de L.C. era el de una menor de edad y víctima de abuso sexual, lo que agravaba los efectos de salud física y mental </w:t>
      </w:r>
      <w:r w:rsidR="00AA62B7">
        <w:t xml:space="preserve">de continuar el </w:t>
      </w:r>
      <w:r>
        <w:t>embarazo.</w:t>
      </w:r>
      <w:r>
        <w:rPr>
          <w:rStyle w:val="EndnoteReference"/>
        </w:rPr>
        <w:endnoteReference w:id="857"/>
      </w:r>
      <w:r>
        <w:t xml:space="preserve"> Entre muchas otras recomendaciones, el Comité le sugirió a Perú evalua</w:t>
      </w:r>
      <w:r w:rsidR="00AA62B7">
        <w:t>r</w:t>
      </w:r>
      <w:r>
        <w:t xml:space="preserve"> su legislación para establecer un sistema que permita el acceso al aborto a mujeres cuya salud física o mental se haya visto dañada, así como despenalizar el aborto en casos de abuso sexual.</w:t>
      </w:r>
      <w:r>
        <w:rPr>
          <w:rStyle w:val="EndnoteReference"/>
        </w:rPr>
        <w:endnoteReference w:id="858"/>
      </w:r>
    </w:p>
    <w:p w14:paraId="02F0100F" w14:textId="77777777" w:rsidR="0049019C" w:rsidRPr="0017576F" w:rsidRDefault="00CD0EAF" w:rsidP="00753A59">
      <w:pPr>
        <w:pStyle w:val="Heading3GeneralComments"/>
      </w:pPr>
      <w:r w:rsidRPr="0017576F">
        <w:t>Alyne da Silva Pimentel v. Brasil (2011)</w:t>
      </w:r>
    </w:p>
    <w:p w14:paraId="102DAC11" w14:textId="066C5543" w:rsidR="0049019C" w:rsidRDefault="00CD0EAF" w:rsidP="001261E1">
      <w:pPr>
        <w:pStyle w:val="indentedafterbulletp"/>
      </w:pPr>
      <w:r>
        <w:t>Alyne da Silva Pimentel Teixeira fue un</w:t>
      </w:r>
      <w:r w:rsidR="00AA62B7">
        <w:t>a</w:t>
      </w:r>
      <w:r>
        <w:t xml:space="preserve"> embarazada de nacionalidad brasileña y ascendencia africana que sufrió complicaciones en el embarazo y, debido a </w:t>
      </w:r>
      <w:r w:rsidR="00AA62B7">
        <w:t>una atención</w:t>
      </w:r>
      <w:r>
        <w:t xml:space="preserve"> insuficiente, murió tras el parto de un</w:t>
      </w:r>
      <w:r w:rsidR="00F4475C">
        <w:t xml:space="preserve"> feto nacido muerto</w:t>
      </w:r>
      <w:r>
        <w:t>.</w:t>
      </w:r>
      <w:r>
        <w:rPr>
          <w:rStyle w:val="EndnoteReference"/>
        </w:rPr>
        <w:endnoteReference w:id="859"/>
      </w:r>
      <w:r>
        <w:t xml:space="preserve"> Bajo estas circunstancias, el Comité CEDAW declaró que Brasil había violado el derecho a la vida y a la salud de Alyne.</w:t>
      </w:r>
      <w:r>
        <w:rPr>
          <w:rStyle w:val="EndnoteReference"/>
        </w:rPr>
        <w:endnoteReference w:id="860"/>
      </w:r>
      <w:r>
        <w:t xml:space="preserve"> El Comité resaltó que la </w:t>
      </w:r>
      <w:r w:rsidR="00F4475C">
        <w:t xml:space="preserve">denegación </w:t>
      </w:r>
      <w:r>
        <w:t xml:space="preserve">de los servicios </w:t>
      </w:r>
      <w:r w:rsidR="00F4475C">
        <w:t xml:space="preserve">de salud </w:t>
      </w:r>
      <w:r>
        <w:t>neces</w:t>
      </w:r>
      <w:r w:rsidR="00F4475C">
        <w:t>ari</w:t>
      </w:r>
      <w:r>
        <w:t>os por Alyne derivan de la falta de una política debidamente financiada y orientada en pro de la salud de la</w:t>
      </w:r>
      <w:r w:rsidR="00F4475C">
        <w:t>s</w:t>
      </w:r>
      <w:r>
        <w:t xml:space="preserve"> mujer</w:t>
      </w:r>
      <w:r w:rsidR="00F4475C">
        <w:t>es</w:t>
      </w:r>
      <w:r>
        <w:t xml:space="preserve">, lo que </w:t>
      </w:r>
      <w:r w:rsidR="00F4475C">
        <w:t>impacta desproporcional</w:t>
      </w:r>
      <w:r>
        <w:t>mente en una maternidad saludable.</w:t>
      </w:r>
      <w:r>
        <w:rPr>
          <w:rStyle w:val="EndnoteReference"/>
        </w:rPr>
        <w:endnoteReference w:id="861"/>
      </w:r>
      <w:r>
        <w:t xml:space="preserve"> El Comité consideró además que Alyne había sido objeto de discriminación múltiple en la prestación de </w:t>
      </w:r>
      <w:r w:rsidR="00F4475C">
        <w:t>la atención de la salud</w:t>
      </w:r>
      <w:r>
        <w:t xml:space="preserve"> debido a su género, su ascendencia africana y sus antecedentes socioeconómicos.</w:t>
      </w:r>
      <w:r>
        <w:rPr>
          <w:rStyle w:val="EndnoteReference"/>
        </w:rPr>
        <w:endnoteReference w:id="862"/>
      </w:r>
      <w:r>
        <w:t xml:space="preserve"> Como resultado, el Comité ha recomendado, entre otras acciones, que Brasil reduzca la mortalidad materna evitable implementando una política nacional al respecto y proporcionando formación profesional adecuada a</w:t>
      </w:r>
      <w:r w:rsidR="00F4475C">
        <w:t xml:space="preserve">l personal de salud </w:t>
      </w:r>
      <w:r>
        <w:t>(particularmente en los derechos de salud reproductiva de las mujeres), inclu</w:t>
      </w:r>
      <w:r w:rsidR="00F4475C">
        <w:t>yendo</w:t>
      </w:r>
      <w:r>
        <w:t xml:space="preserve"> </w:t>
      </w:r>
      <w:r w:rsidR="00F4475C">
        <w:t>la atención</w:t>
      </w:r>
      <w:r>
        <w:t xml:space="preserve"> de emergencia.</w:t>
      </w:r>
      <w:r>
        <w:rPr>
          <w:rStyle w:val="EndnoteReference"/>
        </w:rPr>
        <w:endnoteReference w:id="863"/>
      </w:r>
    </w:p>
    <w:p w14:paraId="6E745BE8" w14:textId="2B4D01CD" w:rsidR="0049019C" w:rsidRPr="004B2C96" w:rsidRDefault="00F4475C" w:rsidP="00515135">
      <w:pPr>
        <w:pStyle w:val="Heading2"/>
        <w:rPr>
          <w:b w:val="0"/>
        </w:rPr>
      </w:pPr>
      <w:bookmarkStart w:id="63" w:name="_Toc5974925"/>
      <w:r w:rsidRPr="004B2C96">
        <w:rPr>
          <w:b w:val="0"/>
        </w:rPr>
        <w:t xml:space="preserve">Vacíos </w:t>
      </w:r>
      <w:r w:rsidR="00CD0EAF" w:rsidRPr="004B2C96">
        <w:rPr>
          <w:b w:val="0"/>
        </w:rPr>
        <w:t>en l</w:t>
      </w:r>
      <w:r w:rsidRPr="004B2C96">
        <w:rPr>
          <w:b w:val="0"/>
        </w:rPr>
        <w:t>o</w:t>
      </w:r>
      <w:r w:rsidR="00CD0EAF" w:rsidRPr="004B2C96">
        <w:rPr>
          <w:b w:val="0"/>
        </w:rPr>
        <w:t xml:space="preserve">s </w:t>
      </w:r>
      <w:r w:rsidRPr="004B2C96">
        <w:rPr>
          <w:b w:val="0"/>
        </w:rPr>
        <w:t>Estándares</w:t>
      </w:r>
      <w:bookmarkEnd w:id="63"/>
    </w:p>
    <w:p w14:paraId="0BC50022" w14:textId="7EC7C490" w:rsidR="0049019C" w:rsidRDefault="00CD0EAF">
      <w:r>
        <w:t>Debido a lo anteriormente comentado sobre los derechos de las mujeres con discapacidad, todo ello incluido en su Recomendación General N</w:t>
      </w:r>
      <w:r w:rsidR="009149EC">
        <w:t>o.</w:t>
      </w:r>
      <w:r>
        <w:t xml:space="preserve"> 18 sobre mujeres con discapacidad, el Comité CEDAW se encuentra bien situado para abordar las barreras que las mujeres y niñas con discapacidad </w:t>
      </w:r>
      <w:r w:rsidR="00F4475C">
        <w:t>experimentan</w:t>
      </w:r>
      <w:r>
        <w:t xml:space="preserve"> para ejercer sus derechos sexuales y reproductivos. Aunque ha expresado frecuentemente su preocupación a distintos Estados por </w:t>
      </w:r>
      <w:r w:rsidR="00F4475C">
        <w:t>barreras para</w:t>
      </w:r>
      <w:r>
        <w:t xml:space="preserve"> acce</w:t>
      </w:r>
      <w:r w:rsidR="00F4475C">
        <w:t>der</w:t>
      </w:r>
      <w:r>
        <w:t xml:space="preserve"> a información sobre salud sexual y reproductiva y sobre los servicios para mujeres y niñas </w:t>
      </w:r>
      <w:r w:rsidR="00F4475C">
        <w:t xml:space="preserve">con </w:t>
      </w:r>
      <w:r>
        <w:t>discapaci</w:t>
      </w:r>
      <w:r w:rsidR="00F4475C">
        <w:t>d</w:t>
      </w:r>
      <w:r>
        <w:t>ad, el Comité debe</w:t>
      </w:r>
      <w:r w:rsidR="00F4475C">
        <w:t>ría</w:t>
      </w:r>
      <w:r>
        <w:t xml:space="preserve"> con mayor cons</w:t>
      </w:r>
      <w:r w:rsidR="00F4475C">
        <w:t>is</w:t>
      </w:r>
      <w:r>
        <w:t>t</w:t>
      </w:r>
      <w:r w:rsidR="00F4475C">
        <w:t>e</w:t>
      </w:r>
      <w:r>
        <w:t>ncia</w:t>
      </w:r>
      <w:r w:rsidR="00F4475C">
        <w:t xml:space="preserve"> hacer eso,</w:t>
      </w:r>
      <w:r>
        <w:t xml:space="preserve"> </w:t>
      </w:r>
      <w:r w:rsidR="00F4475C">
        <w:t xml:space="preserve">ya que </w:t>
      </w:r>
      <w:r>
        <w:t xml:space="preserve">estas barreras existen en muchos Estados del mundo. </w:t>
      </w:r>
      <w:r w:rsidR="00F4475C">
        <w:t>E</w:t>
      </w:r>
      <w:r>
        <w:t>l Comité debería pedir</w:t>
      </w:r>
      <w:r w:rsidR="00F4475C">
        <w:t xml:space="preserve"> más consistentemente</w:t>
      </w:r>
      <w:r>
        <w:t xml:space="preserve"> información sobre la salud sexual y reproductiva y sobre los derechos de las mujeres con discapacidad a través de su lista de cuestiones</w:t>
      </w:r>
      <w:r w:rsidR="00F4475C">
        <w:t>, previa a las evaluaciones</w:t>
      </w:r>
      <w:r>
        <w:t>.</w:t>
      </w:r>
    </w:p>
    <w:p w14:paraId="423D5397" w14:textId="22D8EF64" w:rsidR="0049019C" w:rsidRDefault="00CD0EAF">
      <w:r>
        <w:lastRenderedPageBreak/>
        <w:t xml:space="preserve">Aunque el Comité CEDAW ha abordado frecuentemente los casos de esterilización forzada, contracepción y aborto en mujeres </w:t>
      </w:r>
      <w:r w:rsidR="00F4475C">
        <w:t>y</w:t>
      </w:r>
      <w:r>
        <w:t xml:space="preserve"> niñas con discapacidad en las observaciones finales, sus recomendaciones a los Estados no han calado tanto como las que hizo sobre </w:t>
      </w:r>
      <w:r w:rsidR="003C2BAB">
        <w:t xml:space="preserve">esterilización forzadas de mujeres </w:t>
      </w:r>
      <w:r w:rsidR="00821B7C">
        <w:t>romaníes</w:t>
      </w:r>
      <w:r>
        <w:t xml:space="preserve"> y otra minoría de mujeres. Por ejemplo, el Comité aún no ha </w:t>
      </w:r>
      <w:r w:rsidR="003C2BAB">
        <w:t xml:space="preserve">recomendado </w:t>
      </w:r>
      <w:r>
        <w:t xml:space="preserve">con exactitud a los Estados acerca de las </w:t>
      </w:r>
      <w:r w:rsidR="003C2BAB">
        <w:t>reparaciones</w:t>
      </w:r>
      <w:r>
        <w:t xml:space="preserve">, incluyendo compensación económica, para mujeres con discapacidad víctimas de prácticas </w:t>
      </w:r>
      <w:r w:rsidR="003C2BAB">
        <w:t xml:space="preserve">forzadas </w:t>
      </w:r>
      <w:r>
        <w:t xml:space="preserve">de </w:t>
      </w:r>
      <w:r w:rsidR="003C2BAB">
        <w:t xml:space="preserve">salud </w:t>
      </w:r>
      <w:r>
        <w:t>reproduc</w:t>
      </w:r>
      <w:r w:rsidR="003C2BAB">
        <w:t>tiva</w:t>
      </w:r>
      <w:r>
        <w:t xml:space="preserve">. Los abogados </w:t>
      </w:r>
      <w:r w:rsidR="003C2BAB">
        <w:t xml:space="preserve">y las abogadas </w:t>
      </w:r>
      <w:r>
        <w:t xml:space="preserve">deberían considerar exponer sus recomendaciones al Comité CEDAW tras las observaciones finales emitidas a los Estados acerca de la esterilización forzada de </w:t>
      </w:r>
      <w:r w:rsidR="003C2BAB">
        <w:t xml:space="preserve">mujeres </w:t>
      </w:r>
      <w:r w:rsidR="00821B7C">
        <w:t>romaníes</w:t>
      </w:r>
      <w:r>
        <w:t xml:space="preserve"> y otra minoría de mujeres.</w:t>
      </w:r>
    </w:p>
    <w:p w14:paraId="10BE4EAB" w14:textId="5C2B2780" w:rsidR="0049019C" w:rsidRDefault="00CD0EAF">
      <w:r>
        <w:t xml:space="preserve">Además, el Comité CEDAW debería </w:t>
      </w:r>
      <w:r w:rsidR="003C2BAB">
        <w:t>considerar</w:t>
      </w:r>
      <w:r>
        <w:t xml:space="preserve"> m</w:t>
      </w:r>
      <w:r w:rsidR="003C2BAB">
        <w:t>ás consistentemente hacer</w:t>
      </w:r>
      <w:r>
        <w:t xml:space="preserve"> hincapié en cómo los estereotipos</w:t>
      </w:r>
      <w:r w:rsidR="003C2BAB" w:rsidRPr="003C2BAB">
        <w:t xml:space="preserve"> </w:t>
      </w:r>
      <w:r w:rsidR="003C2BAB">
        <w:t>sobre mujeres y niñas con discapacidad</w:t>
      </w:r>
      <w:r>
        <w:t xml:space="preserve">, basados en discriminación interseccional de género y discapacidad, impactan en </w:t>
      </w:r>
      <w:r w:rsidR="003C2BAB">
        <w:t>su</w:t>
      </w:r>
      <w:r>
        <w:t xml:space="preserve">s derechos sexuales y reproductivos. En particular, como el Comité </w:t>
      </w:r>
      <w:hyperlink w:anchor="CRPD" w:history="1">
        <w:r>
          <w:rPr>
            <w:rStyle w:val="Hyperlink"/>
          </w:rPr>
          <w:t>CDPD</w:t>
        </w:r>
      </w:hyperlink>
      <w:r>
        <w:t xml:space="preserve"> ha encontrado, percepciones erróneas sobre la sexualidad de las mujeres con discapacidad y sobre su capacidad para ser buen</w:t>
      </w:r>
      <w:r w:rsidR="003C2BAB">
        <w:t>a</w:t>
      </w:r>
      <w:r>
        <w:t xml:space="preserve">s </w:t>
      </w:r>
      <w:r w:rsidR="003C2BAB">
        <w:t xml:space="preserve">madres </w:t>
      </w:r>
      <w:r>
        <w:t xml:space="preserve">influyen en la información de salud sexual y reproductiva y servicios que reciben y las formas en que </w:t>
      </w:r>
      <w:r w:rsidR="003C2BAB">
        <w:t>el personal</w:t>
      </w:r>
      <w:r>
        <w:t xml:space="preserve"> de salud y otros </w:t>
      </w:r>
      <w:r w:rsidR="003C2BAB">
        <w:t xml:space="preserve">las </w:t>
      </w:r>
      <w:r>
        <w:t>tratan en estos contextos. El Comité CEDAW debe</w:t>
      </w:r>
      <w:r w:rsidR="003C2BAB">
        <w:t>ría</w:t>
      </w:r>
      <w:r>
        <w:t xml:space="preserve"> reconocer que sin una adecuada información y servicios para asegurar su autonomía sexual y reproductiva, las mujeres con discapacidad puede</w:t>
      </w:r>
      <w:r w:rsidR="003C2BAB">
        <w:t>n</w:t>
      </w:r>
      <w:r>
        <w:t xml:space="preserve"> ser más </w:t>
      </w:r>
      <w:r w:rsidR="003C2BAB">
        <w:t xml:space="preserve">sujetas a </w:t>
      </w:r>
      <w:r>
        <w:t>procedimientos de salud reproductiva forzada o bajo coacción, ser más vulnerables a violencia sexual y abuso</w:t>
      </w:r>
      <w:r w:rsidR="003C2BAB">
        <w:t xml:space="preserve">, </w:t>
      </w:r>
      <w:r>
        <w:t xml:space="preserve">y </w:t>
      </w:r>
      <w:r w:rsidR="003C2BAB">
        <w:t xml:space="preserve">ser dendegada </w:t>
      </w:r>
      <w:r>
        <w:t>la capacidad de decidir sobre el número y espaciamiento de sus hijos.</w:t>
      </w:r>
    </w:p>
    <w:p w14:paraId="70C928E7" w14:textId="5D759845" w:rsidR="0049019C" w:rsidRDefault="00CD0EAF" w:rsidP="0052428A">
      <w:pPr>
        <w:pStyle w:val="Heading1"/>
      </w:pPr>
      <w:bookmarkStart w:id="64" w:name="_Comité_de_los_1"/>
      <w:bookmarkStart w:id="65" w:name="_Toc5974926"/>
      <w:bookmarkStart w:id="66" w:name="CRC"/>
      <w:bookmarkEnd w:id="64"/>
      <w:r>
        <w:lastRenderedPageBreak/>
        <w:t>Comité de los Derechos del Niño</w:t>
      </w:r>
      <w:bookmarkEnd w:id="65"/>
      <w:r>
        <w:t xml:space="preserve"> </w:t>
      </w:r>
      <w:bookmarkEnd w:id="66"/>
    </w:p>
    <w:p w14:paraId="00D7D2A9" w14:textId="7E02540C" w:rsidR="0049019C" w:rsidRDefault="00CD0EAF">
      <w:r>
        <w:t xml:space="preserve">El Comité sobre los </w:t>
      </w:r>
      <w:r w:rsidR="00565988">
        <w:t>D</w:t>
      </w:r>
      <w:r>
        <w:t xml:space="preserve">erechos del </w:t>
      </w:r>
      <w:r w:rsidR="00565988">
        <w:t>N</w:t>
      </w:r>
      <w:r>
        <w:t>iño (Comité</w:t>
      </w:r>
      <w:r w:rsidR="009940D6">
        <w:t xml:space="preserve"> C</w:t>
      </w:r>
      <w:r w:rsidR="00565988">
        <w:t>DN</w:t>
      </w:r>
      <w:r>
        <w:t xml:space="preserve">) </w:t>
      </w:r>
      <w:r w:rsidR="00565988">
        <w:t>monitore</w:t>
      </w:r>
      <w:r>
        <w:t xml:space="preserve">a las obligaciones del </w:t>
      </w:r>
      <w:r w:rsidR="00565988">
        <w:t>E</w:t>
      </w:r>
      <w:r>
        <w:t xml:space="preserve">stado bajo la Convención sobre los </w:t>
      </w:r>
      <w:r w:rsidR="00565988">
        <w:t>D</w:t>
      </w:r>
      <w:r>
        <w:t xml:space="preserve">erechos del </w:t>
      </w:r>
      <w:r w:rsidR="00565988">
        <w:t>N</w:t>
      </w:r>
      <w:r>
        <w:t>iño (</w:t>
      </w:r>
      <w:r w:rsidR="009940D6">
        <w:t>C</w:t>
      </w:r>
      <w:r w:rsidR="00565988">
        <w:t>DN</w:t>
      </w:r>
      <w:r>
        <w:t xml:space="preserve">). A través de sus </w:t>
      </w:r>
      <w:r w:rsidR="00565988">
        <w:t>Observaciones G</w:t>
      </w:r>
      <w:r>
        <w:t xml:space="preserve">enerales y </w:t>
      </w:r>
      <w:r w:rsidR="00565988">
        <w:t>O</w:t>
      </w:r>
      <w:r>
        <w:t xml:space="preserve">bservaciones </w:t>
      </w:r>
      <w:r w:rsidR="00565988">
        <w:t>F</w:t>
      </w:r>
      <w:r>
        <w:t>inales, el Comité C</w:t>
      </w:r>
      <w:r w:rsidR="00565988">
        <w:t>DN</w:t>
      </w:r>
      <w:r>
        <w:t xml:space="preserve"> con frecuencia </w:t>
      </w:r>
      <w:r w:rsidR="00565988">
        <w:t xml:space="preserve">llama la atención sobre la </w:t>
      </w:r>
      <w:r>
        <w:t>salud sexual y reproductiva y los derechos de los niños</w:t>
      </w:r>
      <w:r w:rsidR="00565988">
        <w:t>, niñas</w:t>
      </w:r>
      <w:r>
        <w:t xml:space="preserve"> y las madres con los Estados, </w:t>
      </w:r>
      <w:r w:rsidR="00565988">
        <w:t xml:space="preserve">incluyendo </w:t>
      </w:r>
      <w:r>
        <w:t xml:space="preserve">en particular los </w:t>
      </w:r>
      <w:r w:rsidR="00565988">
        <w:t>A</w:t>
      </w:r>
      <w:r>
        <w:t xml:space="preserve">rtículos 6 (derecho a la vida) y 24 (derecho a la salud). En cuanto a los derechos de los niños </w:t>
      </w:r>
      <w:r w:rsidR="00565988">
        <w:t xml:space="preserve">y niñas </w:t>
      </w:r>
      <w:r>
        <w:t xml:space="preserve">con discapacidad, el Comité ha examinado también la salud sexual y reproductiva y derechos bajo el </w:t>
      </w:r>
      <w:r w:rsidR="00565988">
        <w:t>A</w:t>
      </w:r>
      <w:r>
        <w:t xml:space="preserve">rtículo 23 (derechos de los niños </w:t>
      </w:r>
      <w:r w:rsidR="00565988">
        <w:t xml:space="preserve">y niñas </w:t>
      </w:r>
      <w:r>
        <w:t xml:space="preserve">con discapacidad). Aunque menos frecuentemente citado en el contexto de los derechos sexuales y reproductivos, </w:t>
      </w:r>
      <w:r w:rsidR="00565988">
        <w:t>A</w:t>
      </w:r>
      <w:r>
        <w:t>rtículos 2 (</w:t>
      </w:r>
      <w:r w:rsidR="00565988">
        <w:t xml:space="preserve">libre de </w:t>
      </w:r>
      <w:r>
        <w:t>discriminación), 3 (interés superior del niño), 12 (respeto de la opinión del niño), 13 (libertad de expresión), 16 (privacidad) y 29 (educación) son también aplicable</w:t>
      </w:r>
      <w:r w:rsidR="00565988">
        <w:t>s</w:t>
      </w:r>
      <w:r>
        <w:t>. A partir de 2016, el Comité C</w:t>
      </w:r>
      <w:r w:rsidR="00565988">
        <w:t>DN</w:t>
      </w:r>
      <w:r>
        <w:t xml:space="preserve"> comenzó </w:t>
      </w:r>
      <w:r w:rsidR="00565988">
        <w:t xml:space="preserve">a </w:t>
      </w:r>
      <w:r>
        <w:t>cita</w:t>
      </w:r>
      <w:r w:rsidR="00565988">
        <w:t>r</w:t>
      </w:r>
      <w:r>
        <w:t xml:space="preserve"> </w:t>
      </w:r>
      <w:r w:rsidR="00565988">
        <w:t xml:space="preserve">no solo </w:t>
      </w:r>
      <w:r>
        <w:t xml:space="preserve">las normas de derechos humanos, sino también las disposiciones pertinentes de los </w:t>
      </w:r>
      <w:r w:rsidR="00565988">
        <w:t>O</w:t>
      </w:r>
      <w:r>
        <w:t xml:space="preserve">bjetivos de </w:t>
      </w:r>
      <w:r w:rsidR="00565988">
        <w:t>D</w:t>
      </w:r>
      <w:r>
        <w:t xml:space="preserve">esarrollo </w:t>
      </w:r>
      <w:r w:rsidR="00565988">
        <w:t>S</w:t>
      </w:r>
      <w:r>
        <w:t>ostenible de las Naciones Unidas (ODS)</w:t>
      </w:r>
      <w:r>
        <w:rPr>
          <w:rStyle w:val="FootnoteReference"/>
        </w:rPr>
        <w:footnoteReference w:id="8"/>
      </w:r>
      <w:r>
        <w:t xml:space="preserve"> al hacer recomendaciones a los Estados sobre cuestiones de salud y derechos sexuales y reproductiv</w:t>
      </w:r>
      <w:r w:rsidR="00565988">
        <w:t>o</w:t>
      </w:r>
      <w:r>
        <w:t>s.</w:t>
      </w:r>
      <w:r>
        <w:rPr>
          <w:rStyle w:val="EndnoteReference"/>
        </w:rPr>
        <w:endnoteReference w:id="864"/>
      </w:r>
    </w:p>
    <w:p w14:paraId="331512B7" w14:textId="235A71A3" w:rsidR="0049019C" w:rsidRPr="004B2C96" w:rsidRDefault="00565988" w:rsidP="00515135">
      <w:pPr>
        <w:pStyle w:val="Heading2"/>
        <w:rPr>
          <w:b w:val="0"/>
        </w:rPr>
      </w:pPr>
      <w:bookmarkStart w:id="67" w:name="_Toc5974927"/>
      <w:r w:rsidRPr="004B2C96">
        <w:rPr>
          <w:b w:val="0"/>
        </w:rPr>
        <w:t>Observacioness G</w:t>
      </w:r>
      <w:r w:rsidR="00CD0EAF" w:rsidRPr="004B2C96">
        <w:rPr>
          <w:b w:val="0"/>
        </w:rPr>
        <w:t>enerales</w:t>
      </w:r>
      <w:bookmarkEnd w:id="67"/>
    </w:p>
    <w:p w14:paraId="0A9D6F58" w14:textId="50CCB7BB" w:rsidR="0049019C" w:rsidRPr="007D743F" w:rsidRDefault="00CD0EAF" w:rsidP="00753A59">
      <w:pPr>
        <w:pStyle w:val="Heading3GeneralComments"/>
      </w:pPr>
      <w:r w:rsidRPr="007D743F">
        <w:t xml:space="preserve">Observación </w:t>
      </w:r>
      <w:r w:rsidR="00A25828">
        <w:t>G</w:t>
      </w:r>
      <w:r w:rsidRPr="007D743F">
        <w:t>eneral N</w:t>
      </w:r>
      <w:r w:rsidR="00565988" w:rsidRPr="007D743F">
        <w:t>o.</w:t>
      </w:r>
      <w:r w:rsidRPr="007D743F">
        <w:t xml:space="preserve"> 3</w:t>
      </w:r>
      <w:r w:rsidR="00F503AD" w:rsidRPr="007D743F">
        <w:t>:</w:t>
      </w:r>
      <w:r w:rsidRPr="007D743F">
        <w:t xml:space="preserve"> El VIH/SIDA y los derechos del niño</w:t>
      </w:r>
      <w:r w:rsidR="00565988" w:rsidRPr="007D743F">
        <w:t xml:space="preserve"> (2003)</w:t>
      </w:r>
    </w:p>
    <w:p w14:paraId="2DFCF71F" w14:textId="45937134" w:rsidR="0049019C" w:rsidRDefault="00CD0EAF" w:rsidP="001261E1">
      <w:pPr>
        <w:pStyle w:val="indentedafterbulletp"/>
      </w:pPr>
      <w:r>
        <w:t xml:space="preserve">En su Observación General </w:t>
      </w:r>
      <w:r w:rsidR="00F503AD">
        <w:t>N</w:t>
      </w:r>
      <w:r>
        <w:t>o. 3, el Comité C</w:t>
      </w:r>
      <w:r w:rsidR="00F503AD">
        <w:t>DN</w:t>
      </w:r>
      <w:r>
        <w:t xml:space="preserve"> acentúa la necesidad de los Estados </w:t>
      </w:r>
      <w:r w:rsidR="00F503AD">
        <w:t>de</w:t>
      </w:r>
      <w:r>
        <w:t xml:space="preserve"> proporcionar servicios de salud amig</w:t>
      </w:r>
      <w:r w:rsidR="00F503AD">
        <w:t>ables para</w:t>
      </w:r>
      <w:r>
        <w:t xml:space="preserve"> adolescentes, como medio de tratamiento y la prevención del VIH/SIDA.</w:t>
      </w:r>
      <w:r>
        <w:rPr>
          <w:rStyle w:val="EndnoteReference"/>
        </w:rPr>
        <w:endnoteReference w:id="865"/>
      </w:r>
      <w:r>
        <w:t xml:space="preserve"> El Comité alienta a los Estados para proveer servicios de salud que respeten plenamente los derechos del niño </w:t>
      </w:r>
      <w:r w:rsidR="00F503AD">
        <w:t xml:space="preserve">y niña </w:t>
      </w:r>
      <w:r>
        <w:t xml:space="preserve">a la </w:t>
      </w:r>
      <w:r w:rsidR="00F503AD">
        <w:t>privac</w:t>
      </w:r>
      <w:r>
        <w:t xml:space="preserve">idad y no discriminación, incluyendo los servicios </w:t>
      </w:r>
      <w:r w:rsidR="00F503AD">
        <w:t xml:space="preserve">confidenciales </w:t>
      </w:r>
      <w:r>
        <w:t>de salud sexual y reproductiva y anticonceptivos de bajo costo.</w:t>
      </w:r>
      <w:r>
        <w:rPr>
          <w:rStyle w:val="EndnoteReference"/>
        </w:rPr>
        <w:endnoteReference w:id="866"/>
      </w:r>
      <w:r>
        <w:t xml:space="preserve"> También se pide a los Estados asegurar que los servicios relacionados con el VIH son proporcionados</w:t>
      </w:r>
      <w:r w:rsidR="00F503AD">
        <w:t xml:space="preserve"> con</w:t>
      </w:r>
      <w:r>
        <w:t xml:space="preserve"> l</w:t>
      </w:r>
      <w:r w:rsidR="00F503AD">
        <w:t>os</w:t>
      </w:r>
      <w:r>
        <w:t xml:space="preserve"> </w:t>
      </w:r>
      <w:r w:rsidR="00F503AD">
        <w:t xml:space="preserve">máximos recursos </w:t>
      </w:r>
      <w:r>
        <w:t>posible</w:t>
      </w:r>
      <w:r w:rsidR="00F503AD">
        <w:t>s</w:t>
      </w:r>
      <w:r>
        <w:t xml:space="preserve"> y son accesibles a todos los niños</w:t>
      </w:r>
      <w:r w:rsidR="00F503AD">
        <w:t xml:space="preserve"> y niñas</w:t>
      </w:r>
      <w:r>
        <w:t xml:space="preserve">, incluyendo a niños </w:t>
      </w:r>
      <w:r w:rsidR="00F503AD">
        <w:t xml:space="preserve">y niñas </w:t>
      </w:r>
      <w:r>
        <w:t>con discapacidad.</w:t>
      </w:r>
      <w:r>
        <w:rPr>
          <w:rStyle w:val="EndnoteReference"/>
        </w:rPr>
        <w:endnoteReference w:id="867"/>
      </w:r>
    </w:p>
    <w:p w14:paraId="2CB831BA" w14:textId="2443AA68" w:rsidR="0049019C" w:rsidRPr="007D743F" w:rsidRDefault="00CD0EAF" w:rsidP="00753A59">
      <w:pPr>
        <w:pStyle w:val="Heading3GeneralComments"/>
      </w:pPr>
      <w:r w:rsidRPr="007D743F">
        <w:t xml:space="preserve">Observación </w:t>
      </w:r>
      <w:r w:rsidR="00F503AD" w:rsidRPr="007D743F">
        <w:t>G</w:t>
      </w:r>
      <w:r w:rsidRPr="007D743F">
        <w:t>eneral N</w:t>
      </w:r>
      <w:r w:rsidR="00F503AD" w:rsidRPr="007D743F">
        <w:t>o.</w:t>
      </w:r>
      <w:r w:rsidRPr="007D743F">
        <w:t xml:space="preserve"> 4</w:t>
      </w:r>
      <w:r w:rsidR="00F503AD" w:rsidRPr="007D743F">
        <w:t>:</w:t>
      </w:r>
      <w:r w:rsidRPr="007D743F">
        <w:t xml:space="preserve"> La salud y el desarrollo de los </w:t>
      </w:r>
      <w:r w:rsidR="00F503AD" w:rsidRPr="007D743F">
        <w:t xml:space="preserve">y las </w:t>
      </w:r>
      <w:r w:rsidRPr="007D743F">
        <w:t>adolescentes en el contexto de la Convención sobre los Derechos del Niño</w:t>
      </w:r>
      <w:r w:rsidR="00F503AD" w:rsidRPr="007D743F">
        <w:t xml:space="preserve"> (2003)</w:t>
      </w:r>
    </w:p>
    <w:p w14:paraId="2A8B4E71" w14:textId="52F5255F" w:rsidR="0049019C" w:rsidRDefault="00CD0EAF" w:rsidP="007D743F">
      <w:pPr>
        <w:pStyle w:val="indentedafterbulletp"/>
      </w:pPr>
      <w:r>
        <w:t xml:space="preserve">En su </w:t>
      </w:r>
      <w:r w:rsidR="00F503AD">
        <w:t xml:space="preserve">Observación </w:t>
      </w:r>
      <w:r>
        <w:t xml:space="preserve">General </w:t>
      </w:r>
      <w:r w:rsidR="00F503AD">
        <w:t>N</w:t>
      </w:r>
      <w:r>
        <w:t>o. 4, el Comité C</w:t>
      </w:r>
      <w:r w:rsidR="00F503AD">
        <w:t>DN</w:t>
      </w:r>
      <w:r>
        <w:t xml:space="preserve"> observa que </w:t>
      </w:r>
      <w:r w:rsidR="00F503AD">
        <w:t xml:space="preserve">los </w:t>
      </w:r>
      <w:r>
        <w:t>Estados debe</w:t>
      </w:r>
      <w:r w:rsidR="00F503AD">
        <w:t>rían</w:t>
      </w:r>
      <w:r>
        <w:t xml:space="preserve"> proveer acceso a información de salud sexual y reproductiva a adolescentes, incluida la información sobre planificación familiar, anticonceptivos, los peligros de los embarazos precoces y la prevención enfermedades de transmisión sexual, como parte del derecho a la salud, independientemente de si los </w:t>
      </w:r>
      <w:r w:rsidR="00F503AD">
        <w:t xml:space="preserve">y las </w:t>
      </w:r>
      <w:r>
        <w:t>adolescentes están casad</w:t>
      </w:r>
      <w:r w:rsidR="00F503AD">
        <w:t>o</w:t>
      </w:r>
      <w:r>
        <w:t xml:space="preserve">s </w:t>
      </w:r>
      <w:r w:rsidR="00F503AD">
        <w:t xml:space="preserve">o casados </w:t>
      </w:r>
      <w:r>
        <w:t xml:space="preserve">y sin la </w:t>
      </w:r>
      <w:r w:rsidRPr="007D743F">
        <w:t>necesidad</w:t>
      </w:r>
      <w:r>
        <w:t xml:space="preserve"> de</w:t>
      </w:r>
      <w:r w:rsidR="00F503AD">
        <w:t>l consentimiento</w:t>
      </w:r>
      <w:r>
        <w:t xml:space="preserve"> pa</w:t>
      </w:r>
      <w:r w:rsidR="00F503AD">
        <w:t>rental</w:t>
      </w:r>
      <w:r>
        <w:t xml:space="preserve"> o del tutor.</w:t>
      </w:r>
      <w:r>
        <w:rPr>
          <w:rStyle w:val="EndnoteReference"/>
        </w:rPr>
        <w:endnoteReference w:id="868"/>
      </w:r>
      <w:r>
        <w:t xml:space="preserve"> El Comité insta a los Estados Partes a: </w:t>
      </w:r>
      <w:r w:rsidR="00F503AD" w:rsidRPr="0017576F">
        <w:rPr>
          <w:lang w:val="es-CO"/>
        </w:rPr>
        <w:t>“</w:t>
      </w:r>
      <w:r>
        <w:t xml:space="preserve">a) elaborar y ejecutar programas que proporcionen acceso a los servicios de salud sexual y reproductiva, incluida la planificación familiar, los </w:t>
      </w:r>
      <w:r w:rsidR="00CD202E">
        <w:t>anti</w:t>
      </w:r>
      <w:r>
        <w:t xml:space="preserve">conceptivos y las </w:t>
      </w:r>
      <w:r w:rsidR="00CD202E">
        <w:t xml:space="preserve">servicios de </w:t>
      </w:r>
      <w:r>
        <w:t>abort</w:t>
      </w:r>
      <w:r w:rsidR="00CD202E">
        <w:t>o segur</w:t>
      </w:r>
      <w:r>
        <w:t xml:space="preserve">o cuando el aborto no esté prohibido por la ley, y a cuidados y </w:t>
      </w:r>
      <w:r w:rsidR="00CD202E">
        <w:t xml:space="preserve">consejería integrales </w:t>
      </w:r>
      <w:r>
        <w:t>y adecuados en materia de obstetricia; b) promover las actitudes positivas y de apoyo a la maternidad de las adolescentes por parte de sus madres y padres; y c) elaborar políticas que permitan continuar su educación.</w:t>
      </w:r>
      <w:r w:rsidR="00CD202E">
        <w:t>”</w:t>
      </w:r>
      <w:r>
        <w:rPr>
          <w:rStyle w:val="EndnoteReference"/>
        </w:rPr>
        <w:endnoteReference w:id="869"/>
      </w:r>
    </w:p>
    <w:p w14:paraId="4F87C674" w14:textId="47358D1A" w:rsidR="0049019C" w:rsidRPr="0017576F" w:rsidRDefault="00CD202E" w:rsidP="00753A59">
      <w:pPr>
        <w:pStyle w:val="Heading3GeneralComments"/>
      </w:pPr>
      <w:r w:rsidRPr="0017576F">
        <w:t>Observación G</w:t>
      </w:r>
      <w:r w:rsidR="00CD0EAF" w:rsidRPr="0017576F">
        <w:t xml:space="preserve">eneral </w:t>
      </w:r>
      <w:r w:rsidRPr="0017576F">
        <w:t>N</w:t>
      </w:r>
      <w:r w:rsidR="00CD0EAF" w:rsidRPr="0017576F">
        <w:t xml:space="preserve">o. 7: Implementación de los derechos del niño </w:t>
      </w:r>
      <w:r w:rsidRPr="0017576F">
        <w:t xml:space="preserve">y niña </w:t>
      </w:r>
      <w:r w:rsidR="00CD0EAF" w:rsidRPr="0017576F">
        <w:t>en la primera infancia (2005)</w:t>
      </w:r>
    </w:p>
    <w:p w14:paraId="59DDDDAF" w14:textId="0831D9A2" w:rsidR="00753A59" w:rsidRDefault="00CD0EAF" w:rsidP="001261E1">
      <w:pPr>
        <w:pStyle w:val="indentedafterbulletp"/>
      </w:pPr>
      <w:r>
        <w:t xml:space="preserve">En su </w:t>
      </w:r>
      <w:r w:rsidR="00CD202E">
        <w:t xml:space="preserve">Observación </w:t>
      </w:r>
      <w:r>
        <w:t xml:space="preserve">General </w:t>
      </w:r>
      <w:r w:rsidR="00CD202E">
        <w:t>N</w:t>
      </w:r>
      <w:r>
        <w:t>o. 7, el Comité C</w:t>
      </w:r>
      <w:r w:rsidR="00CD202E">
        <w:t>DN</w:t>
      </w:r>
      <w:r>
        <w:t xml:space="preserve"> recomienda que los Estados garanti</w:t>
      </w:r>
      <w:r w:rsidR="00CD202E">
        <w:t>cen</w:t>
      </w:r>
      <w:r>
        <w:t xml:space="preserve"> que las mujeres embarazadas y nuevas madres y sus bebés tengan acceso a cuidado necesario pre y post natal, como un medio de garantizar el derecho a la vida y demás derechos de sus hijos.</w:t>
      </w:r>
      <w:r>
        <w:rPr>
          <w:rStyle w:val="EndnoteReference"/>
        </w:rPr>
        <w:endnoteReference w:id="870"/>
      </w:r>
      <w:r>
        <w:t xml:space="preserve"> </w:t>
      </w:r>
    </w:p>
    <w:p w14:paraId="7B76DDA3" w14:textId="77777777" w:rsidR="00753A59" w:rsidRDefault="00753A59">
      <w:pPr>
        <w:spacing w:after="0" w:line="240" w:lineRule="auto"/>
        <w:ind w:left="0" w:right="0"/>
        <w:jc w:val="left"/>
        <w:rPr>
          <w:szCs w:val="22"/>
        </w:rPr>
      </w:pPr>
      <w:r>
        <w:br w:type="page"/>
      </w:r>
    </w:p>
    <w:p w14:paraId="045C5619" w14:textId="651755F9" w:rsidR="0049019C" w:rsidRPr="00753A59" w:rsidRDefault="00CD0EAF" w:rsidP="00753A59">
      <w:pPr>
        <w:pStyle w:val="Heading3GeneralComments"/>
        <w:ind w:right="-306"/>
        <w:rPr>
          <w:spacing w:val="-3"/>
        </w:rPr>
      </w:pPr>
      <w:r w:rsidRPr="00753A59">
        <w:rPr>
          <w:spacing w:val="-3"/>
        </w:rPr>
        <w:lastRenderedPageBreak/>
        <w:t xml:space="preserve">Observación General No. 9: Los derechos de los niños </w:t>
      </w:r>
      <w:r w:rsidR="00CD202E" w:rsidRPr="00753A59">
        <w:rPr>
          <w:spacing w:val="-3"/>
        </w:rPr>
        <w:t xml:space="preserve">y niñas </w:t>
      </w:r>
      <w:r w:rsidRPr="00753A59">
        <w:rPr>
          <w:spacing w:val="-3"/>
        </w:rPr>
        <w:t>con discapacidad</w:t>
      </w:r>
      <w:r w:rsidR="00CD202E" w:rsidRPr="00753A59">
        <w:rPr>
          <w:spacing w:val="-3"/>
        </w:rPr>
        <w:t xml:space="preserve"> (2006)</w:t>
      </w:r>
    </w:p>
    <w:p w14:paraId="20C6497D" w14:textId="68A31B30" w:rsidR="0049019C" w:rsidRDefault="00CD0EAF" w:rsidP="001261E1">
      <w:pPr>
        <w:pStyle w:val="indentedafterbulletp"/>
      </w:pPr>
      <w:r>
        <w:t xml:space="preserve">En su </w:t>
      </w:r>
      <w:r w:rsidR="00CD202E">
        <w:t>Observación</w:t>
      </w:r>
      <w:r>
        <w:t xml:space="preserve"> General </w:t>
      </w:r>
      <w:r w:rsidR="00CD202E">
        <w:t>N</w:t>
      </w:r>
      <w:r>
        <w:t>o. 9, el Comité C</w:t>
      </w:r>
      <w:r w:rsidR="00CD202E">
        <w:t>DN</w:t>
      </w:r>
      <w:r>
        <w:t xml:space="preserve"> señala que, durante la adolescencia, los niños </w:t>
      </w:r>
      <w:r w:rsidR="00CD202E">
        <w:t xml:space="preserve">y niñas con </w:t>
      </w:r>
      <w:r>
        <w:t>discapa</w:t>
      </w:r>
      <w:r w:rsidR="00CD202E">
        <w:t>cidad</w:t>
      </w:r>
      <w:r>
        <w:t xml:space="preserve"> enfrentan retos relativos a establecer relaciones con sus </w:t>
      </w:r>
      <w:r w:rsidR="00CD202E">
        <w:t xml:space="preserve">pares </w:t>
      </w:r>
      <w:r>
        <w:t>y su propia salud reproductiva.</w:t>
      </w:r>
      <w:r>
        <w:rPr>
          <w:rStyle w:val="EndnoteReference"/>
        </w:rPr>
        <w:endnoteReference w:id="871"/>
      </w:r>
      <w:r>
        <w:t xml:space="preserve"> En particular, el Comité plantea preocupaciones sobre la esterilización forzada de niños con discapacidad, particularmente niñas, que viola sus derechos a la integridad física y que tiene implicaciones a largo plazo para la salud física y mental.</w:t>
      </w:r>
      <w:r>
        <w:rPr>
          <w:rStyle w:val="EndnoteReference"/>
        </w:rPr>
        <w:endnoteReference w:id="872"/>
      </w:r>
      <w:r>
        <w:t xml:space="preserve"> Recomienda que los </w:t>
      </w:r>
      <w:r w:rsidR="00CD202E">
        <w:t xml:space="preserve">y las </w:t>
      </w:r>
      <w:r>
        <w:t>adolescentes con discapacida</w:t>
      </w:r>
      <w:r w:rsidR="00CD202E">
        <w:t>d</w:t>
      </w:r>
      <w:r>
        <w:t xml:space="preserve"> </w:t>
      </w:r>
      <w:r w:rsidR="00CD202E">
        <w:t xml:space="preserve">sean atendidos </w:t>
      </w:r>
      <w:r>
        <w:t>con información específica de la discapacidad, orientación y consejería relacionadas con su salud, incluyendo salud sexual y reproductiva.</w:t>
      </w:r>
      <w:r>
        <w:rPr>
          <w:rStyle w:val="EndnoteReference"/>
        </w:rPr>
        <w:endnoteReference w:id="873"/>
      </w:r>
      <w:r>
        <w:t xml:space="preserve"> El Comité también recomienda que los Estados proh</w:t>
      </w:r>
      <w:r w:rsidR="00CD202E">
        <w:t>íban</w:t>
      </w:r>
      <w:r>
        <w:t xml:space="preserve"> la esterilización forzada de niños </w:t>
      </w:r>
      <w:r w:rsidR="00CD202E">
        <w:t xml:space="preserve">y niñas </w:t>
      </w:r>
      <w:r>
        <w:t>por motivos de discapacidad.</w:t>
      </w:r>
      <w:r>
        <w:rPr>
          <w:rStyle w:val="EndnoteReference"/>
        </w:rPr>
        <w:endnoteReference w:id="874"/>
      </w:r>
    </w:p>
    <w:p w14:paraId="3939BDD7" w14:textId="0B3D2048" w:rsidR="0049019C" w:rsidRPr="0017576F" w:rsidRDefault="004C7390" w:rsidP="00753A59">
      <w:pPr>
        <w:pStyle w:val="Heading3GeneralComments"/>
        <w:rPr>
          <w:lang w:val="es-CO"/>
        </w:rPr>
      </w:pPr>
      <w:r w:rsidRPr="0017576F">
        <w:t>Observación General No. 11</w:t>
      </w:r>
      <w:r w:rsidR="00CD0EAF" w:rsidRPr="0017576F">
        <w:rPr>
          <w:lang w:val="es-CO"/>
        </w:rPr>
        <w:t xml:space="preserve">: </w:t>
      </w:r>
      <w:r w:rsidR="00CD202E" w:rsidRPr="0017576F">
        <w:rPr>
          <w:lang w:val="es-CO"/>
        </w:rPr>
        <w:t>Niñas y niños i</w:t>
      </w:r>
      <w:r w:rsidR="00CD0EAF" w:rsidRPr="0017576F">
        <w:rPr>
          <w:lang w:val="es-CO"/>
        </w:rPr>
        <w:t>nd</w:t>
      </w:r>
      <w:r w:rsidR="00CD202E" w:rsidRPr="0017576F">
        <w:rPr>
          <w:lang w:val="es-CO"/>
        </w:rPr>
        <w:t>í</w:t>
      </w:r>
      <w:r w:rsidR="00CD0EAF" w:rsidRPr="0017576F">
        <w:rPr>
          <w:lang w:val="es-CO"/>
        </w:rPr>
        <w:t>gen</w:t>
      </w:r>
      <w:r w:rsidR="00CD202E" w:rsidRPr="0017576F">
        <w:rPr>
          <w:lang w:val="es-CO"/>
        </w:rPr>
        <w:t>a</w:t>
      </w:r>
      <w:r w:rsidR="00CD0EAF" w:rsidRPr="0017576F">
        <w:rPr>
          <w:lang w:val="es-CO"/>
        </w:rPr>
        <w:t xml:space="preserve">s </w:t>
      </w:r>
      <w:r w:rsidR="00CD202E" w:rsidRPr="0017576F">
        <w:rPr>
          <w:lang w:val="es-CO"/>
        </w:rPr>
        <w:t xml:space="preserve">y sus derechos al amparo de la </w:t>
      </w:r>
      <w:r w:rsidR="00CD0EAF" w:rsidRPr="0017576F">
        <w:rPr>
          <w:lang w:val="es-CO"/>
        </w:rPr>
        <w:t>Conven</w:t>
      </w:r>
      <w:r w:rsidR="00CD202E" w:rsidRPr="0017576F">
        <w:rPr>
          <w:lang w:val="es-CO"/>
        </w:rPr>
        <w:t>c</w:t>
      </w:r>
      <w:r w:rsidR="00CD0EAF" w:rsidRPr="0017576F">
        <w:rPr>
          <w:lang w:val="es-CO"/>
        </w:rPr>
        <w:t>i</w:t>
      </w:r>
      <w:r w:rsidR="00CD202E" w:rsidRPr="0017576F">
        <w:rPr>
          <w:lang w:val="es-CO"/>
        </w:rPr>
        <w:t>ó</w:t>
      </w:r>
      <w:r w:rsidR="00CD0EAF" w:rsidRPr="0017576F">
        <w:rPr>
          <w:lang w:val="es-CO"/>
        </w:rPr>
        <w:t>n (2009)</w:t>
      </w:r>
    </w:p>
    <w:p w14:paraId="3CE9281B" w14:textId="430C2EA4" w:rsidR="0049019C" w:rsidRDefault="00CD0EAF" w:rsidP="001261E1">
      <w:pPr>
        <w:pStyle w:val="indentedafterbulletp"/>
      </w:pPr>
      <w:r>
        <w:t>El Comité C</w:t>
      </w:r>
      <w:r w:rsidR="00CD202E">
        <w:t>DN</w:t>
      </w:r>
      <w:r>
        <w:t xml:space="preserve"> aborda brevemente la salud sexual y reproductiva y los derechos en su </w:t>
      </w:r>
      <w:r w:rsidR="00CD202E">
        <w:t xml:space="preserve">Observación </w:t>
      </w:r>
      <w:r>
        <w:t xml:space="preserve">General </w:t>
      </w:r>
      <w:r w:rsidR="004C7390">
        <w:t>N</w:t>
      </w:r>
      <w:r>
        <w:t>o. 11, recomendando que los Estados consider</w:t>
      </w:r>
      <w:r w:rsidR="004C7390">
        <w:t>en</w:t>
      </w:r>
      <w:r>
        <w:t xml:space="preserve"> estrategias específicas para que adolescentes indígenas tengan acceso a información sexual y reproductiva y los servicios.</w:t>
      </w:r>
      <w:r>
        <w:rPr>
          <w:rStyle w:val="EndnoteReference"/>
          <w:rFonts w:cs="Times New Roman"/>
        </w:rPr>
        <w:endnoteReference w:id="875"/>
      </w:r>
    </w:p>
    <w:p w14:paraId="3C8C7142" w14:textId="09DA74DA" w:rsidR="0049019C" w:rsidRPr="0017576F" w:rsidRDefault="004C7390" w:rsidP="00753A59">
      <w:pPr>
        <w:pStyle w:val="Heading3GeneralComments"/>
        <w:rPr>
          <w:lang w:val="es-CO"/>
        </w:rPr>
      </w:pPr>
      <w:r w:rsidRPr="0017576F">
        <w:t>Observación General No. 12</w:t>
      </w:r>
      <w:r w:rsidR="00CD0EAF" w:rsidRPr="0017576F">
        <w:rPr>
          <w:lang w:val="es-CO"/>
        </w:rPr>
        <w:t xml:space="preserve">: </w:t>
      </w:r>
      <w:r w:rsidRPr="0017576F">
        <w:rPr>
          <w:lang w:val="es-CO"/>
        </w:rPr>
        <w:t xml:space="preserve">El derecho del niño y niña a ser oído </w:t>
      </w:r>
      <w:r w:rsidR="00CD0EAF" w:rsidRPr="0017576F">
        <w:rPr>
          <w:lang w:val="es-CO"/>
        </w:rPr>
        <w:t>(2009)</w:t>
      </w:r>
    </w:p>
    <w:p w14:paraId="59F253D2" w14:textId="504C6109" w:rsidR="0049019C" w:rsidRDefault="00CD0EAF" w:rsidP="001261E1">
      <w:pPr>
        <w:pStyle w:val="indentedafterbulletp"/>
      </w:pPr>
      <w:r>
        <w:t xml:space="preserve">En su Observación General </w:t>
      </w:r>
      <w:r w:rsidR="004C7390">
        <w:t>N</w:t>
      </w:r>
      <w:r>
        <w:t>o. 12, el Comité C</w:t>
      </w:r>
      <w:r w:rsidR="004C7390">
        <w:t>DN</w:t>
      </w:r>
      <w:r>
        <w:t xml:space="preserve"> considera que los niños </w:t>
      </w:r>
      <w:r w:rsidR="004C7390">
        <w:t xml:space="preserve">y niñas </w:t>
      </w:r>
      <w:r>
        <w:t xml:space="preserve">tienen derecho a participar en la toma de decisiones sobre su cuidado de salud individual y en la promoción de salud y bienestar para los niños </w:t>
      </w:r>
      <w:r w:rsidR="004C7390">
        <w:t xml:space="preserve">y niñas </w:t>
      </w:r>
      <w:r>
        <w:t>en general, en consonancia con su</w:t>
      </w:r>
      <w:r w:rsidR="004C7390">
        <w:t>s</w:t>
      </w:r>
      <w:r>
        <w:t xml:space="preserve"> capacidades</w:t>
      </w:r>
      <w:r w:rsidR="004C7390">
        <w:t xml:space="preserve"> evolutivas</w:t>
      </w:r>
      <w:r>
        <w:t>.</w:t>
      </w:r>
      <w:r>
        <w:rPr>
          <w:rStyle w:val="EndnoteReference"/>
          <w:rFonts w:cs="Times New Roman"/>
        </w:rPr>
        <w:endnoteReference w:id="876"/>
      </w:r>
      <w:r>
        <w:t xml:space="preserve"> Este derecho incluye proporcionarles información acerca de tratamientos y sus efectos y resultados, incluyendo formatos accesibles a la discapacidad.</w:t>
      </w:r>
      <w:r>
        <w:rPr>
          <w:rStyle w:val="EndnoteReference"/>
          <w:rFonts w:cs="Times New Roman"/>
        </w:rPr>
        <w:endnoteReference w:id="877"/>
      </w:r>
      <w:r>
        <w:t xml:space="preserve"> También incluye acceso a </w:t>
      </w:r>
      <w:r w:rsidR="004C7390">
        <w:t xml:space="preserve">consejería médica </w:t>
      </w:r>
      <w:r>
        <w:t>confidencial sin consentimiento pa</w:t>
      </w:r>
      <w:r w:rsidR="004C7390">
        <w:t>rental</w:t>
      </w:r>
      <w:r>
        <w:t xml:space="preserve"> y sin un límite de edad donde sea necesario para proteger la seguridad de los niños</w:t>
      </w:r>
      <w:r w:rsidR="004C7390">
        <w:t xml:space="preserve"> y niñas</w:t>
      </w:r>
      <w:r>
        <w:t>, incluyendo la seguridad de la violencia en el hogar.</w:t>
      </w:r>
      <w:r>
        <w:rPr>
          <w:rStyle w:val="EndnoteReference"/>
          <w:rFonts w:cs="Times New Roman"/>
        </w:rPr>
        <w:endnoteReference w:id="878"/>
      </w:r>
      <w:r>
        <w:t xml:space="preserve"> El Comité recomienda que los Estados adopten legislación que transfiere el derecho a dar consentimiento médico a niños </w:t>
      </w:r>
      <w:r w:rsidR="004C7390">
        <w:t>y niñas</w:t>
      </w:r>
      <w:r w:rsidR="0017576F">
        <w:t xml:space="preserve"> </w:t>
      </w:r>
      <w:r>
        <w:t xml:space="preserve">a una edad apropiada, mientras que alenta a los Estados a garantizar que las opiniones de los niños </w:t>
      </w:r>
      <w:r w:rsidR="004C7390">
        <w:t xml:space="preserve">y niñas </w:t>
      </w:r>
      <w:r>
        <w:t xml:space="preserve">más pequeños que demuestran capacidad adecuada también </w:t>
      </w:r>
      <w:r w:rsidR="004C7390">
        <w:t xml:space="preserve">sean consideradas debidamente </w:t>
      </w:r>
      <w:r>
        <w:t>en decisiones de atención médica.</w:t>
      </w:r>
      <w:r>
        <w:rPr>
          <w:rStyle w:val="EndnoteReference"/>
          <w:rFonts w:cs="Times New Roman"/>
        </w:rPr>
        <w:endnoteReference w:id="879"/>
      </w:r>
      <w:r>
        <w:t xml:space="preserve"> </w:t>
      </w:r>
    </w:p>
    <w:p w14:paraId="06820362" w14:textId="4326197D" w:rsidR="0049019C" w:rsidRPr="0017576F" w:rsidRDefault="004C7390" w:rsidP="00753A59">
      <w:pPr>
        <w:pStyle w:val="Heading3GeneralComments"/>
      </w:pPr>
      <w:r w:rsidRPr="004C7390">
        <w:t xml:space="preserve">Observación </w:t>
      </w:r>
      <w:r w:rsidRPr="0017576F">
        <w:t>G</w:t>
      </w:r>
      <w:r w:rsidR="00CD0EAF" w:rsidRPr="0017576F">
        <w:t xml:space="preserve">eneral </w:t>
      </w:r>
      <w:r w:rsidRPr="0017576F">
        <w:t>N</w:t>
      </w:r>
      <w:r w:rsidR="00CD0EAF" w:rsidRPr="0017576F">
        <w:t xml:space="preserve">o. 13: El derecho del niño </w:t>
      </w:r>
      <w:r>
        <w:t xml:space="preserve">y niña </w:t>
      </w:r>
      <w:r w:rsidR="00CD0EAF" w:rsidRPr="0017576F">
        <w:t>a la libertad de todas las formas de violencia (2011)</w:t>
      </w:r>
    </w:p>
    <w:p w14:paraId="587374C9" w14:textId="0F7BE3E6" w:rsidR="0049019C" w:rsidRDefault="00CD0EAF" w:rsidP="001261E1">
      <w:pPr>
        <w:pStyle w:val="indentedafterbulletp"/>
      </w:pPr>
      <w:r>
        <w:t xml:space="preserve">En su Observación General </w:t>
      </w:r>
      <w:r w:rsidR="004C7390">
        <w:t>N</w:t>
      </w:r>
      <w:r>
        <w:t>o. 13, el Comité C</w:t>
      </w:r>
      <w:r w:rsidR="004C7390">
        <w:t>DN</w:t>
      </w:r>
      <w:r>
        <w:t xml:space="preserve"> clasifica esterilización forzada, especialmente de las niñas con discapacidad, como una forma de violencia física.</w:t>
      </w:r>
      <w:r>
        <w:rPr>
          <w:rStyle w:val="EndnoteReference"/>
        </w:rPr>
        <w:endnoteReference w:id="880"/>
      </w:r>
      <w:r>
        <w:t xml:space="preserve"> </w:t>
      </w:r>
      <w:r w:rsidR="004C7390">
        <w:t xml:space="preserve">El </w:t>
      </w:r>
      <w:r>
        <w:t>Comité C</w:t>
      </w:r>
      <w:r w:rsidR="004C7390">
        <w:t>DN</w:t>
      </w:r>
      <w:r>
        <w:t xml:space="preserve"> también reconoce los problemas de salud </w:t>
      </w:r>
      <w:r w:rsidR="004C7390">
        <w:t xml:space="preserve">física </w:t>
      </w:r>
      <w:r>
        <w:t>derivados de la violencia contra los niños</w:t>
      </w:r>
      <w:r w:rsidR="004C7390">
        <w:t xml:space="preserve"> y niñas</w:t>
      </w:r>
      <w:r>
        <w:t xml:space="preserve">, incluyendo infecciones de transmisión sexual y señala que dichas consecuencias </w:t>
      </w:r>
      <w:r w:rsidR="004C7390">
        <w:t xml:space="preserve">ponen </w:t>
      </w:r>
      <w:r>
        <w:t xml:space="preserve">en peligro "la supervivencia de </w:t>
      </w:r>
      <w:r w:rsidR="004C7390">
        <w:t>niños</w:t>
      </w:r>
      <w:r>
        <w:t xml:space="preserve"> y su </w:t>
      </w:r>
      <w:r w:rsidR="00234180" w:rsidRPr="0017576F">
        <w:rPr>
          <w:lang w:val="es-CO"/>
        </w:rPr>
        <w:t>‘</w:t>
      </w:r>
      <w:r w:rsidR="004C7390">
        <w:t xml:space="preserve">desarrollo </w:t>
      </w:r>
      <w:r>
        <w:t>físic</w:t>
      </w:r>
      <w:r w:rsidR="004C7390">
        <w:t>o</w:t>
      </w:r>
      <w:r>
        <w:t>, mental, espiritual, moral y social.</w:t>
      </w:r>
      <w:r w:rsidR="00234180">
        <w:t>’</w:t>
      </w:r>
      <w:r>
        <w:t>"</w:t>
      </w:r>
      <w:r>
        <w:rPr>
          <w:rStyle w:val="EndnoteReference"/>
        </w:rPr>
        <w:endnoteReference w:id="881"/>
      </w:r>
      <w:r>
        <w:t xml:space="preserve"> </w:t>
      </w:r>
    </w:p>
    <w:p w14:paraId="14D00203" w14:textId="5FF35A46" w:rsidR="0049019C" w:rsidRPr="0017576F" w:rsidRDefault="004C7390" w:rsidP="00753A59">
      <w:pPr>
        <w:pStyle w:val="Heading3GeneralComments"/>
      </w:pPr>
      <w:r w:rsidRPr="00234180">
        <w:t xml:space="preserve">Observación </w:t>
      </w:r>
      <w:r w:rsidRPr="0017576F">
        <w:t>G</w:t>
      </w:r>
      <w:r w:rsidR="00CD0EAF" w:rsidRPr="0017576F">
        <w:t xml:space="preserve">eneral </w:t>
      </w:r>
      <w:r w:rsidRPr="0017576F">
        <w:t>N</w:t>
      </w:r>
      <w:r w:rsidR="00CD0EAF" w:rsidRPr="0017576F">
        <w:t xml:space="preserve">o. 14: El derecho del niño </w:t>
      </w:r>
      <w:r w:rsidR="00234180" w:rsidRPr="00234180">
        <w:t>y niñ</w:t>
      </w:r>
      <w:r w:rsidR="00234180" w:rsidRPr="0017576F">
        <w:t xml:space="preserve">a </w:t>
      </w:r>
      <w:r w:rsidR="00CD0EAF" w:rsidRPr="0017576F">
        <w:t>a tener sus mejores intereses como una consideración primordial (2013)</w:t>
      </w:r>
    </w:p>
    <w:p w14:paraId="4B13986E" w14:textId="58B15EAB" w:rsidR="0049019C" w:rsidRDefault="00CD0EAF" w:rsidP="001261E1">
      <w:pPr>
        <w:pStyle w:val="indentedafterbulletp"/>
      </w:pPr>
      <w:r>
        <w:t>En su Observación General N</w:t>
      </w:r>
      <w:r w:rsidR="009149EC">
        <w:t>o.</w:t>
      </w:r>
      <w:r>
        <w:t xml:space="preserve"> 14, el Comité C</w:t>
      </w:r>
      <w:r w:rsidR="00234180">
        <w:t>DN</w:t>
      </w:r>
      <w:r>
        <w:t xml:space="preserve"> reitera que los Estados tienen la obligación de asegurar que todos los </w:t>
      </w:r>
      <w:r w:rsidR="00234180">
        <w:t xml:space="preserve">y las </w:t>
      </w:r>
      <w:r>
        <w:t xml:space="preserve">adolescentes, dentro y fuera de la escuela, tengan acceso a información adecuada que es esencial para su salud y desarrollo adecuado </w:t>
      </w:r>
      <w:r w:rsidR="00234180">
        <w:t>a fin de tomar apropiadas o</w:t>
      </w:r>
      <w:r>
        <w:t>pciones de  salud</w:t>
      </w:r>
      <w:r w:rsidR="00234180">
        <w:t xml:space="preserve"> y comportamiento</w:t>
      </w:r>
      <w:r>
        <w:t xml:space="preserve">, </w:t>
      </w:r>
      <w:r w:rsidR="00234180">
        <w:t xml:space="preserve">incluyendo </w:t>
      </w:r>
      <w:r>
        <w:t>lo relacionado con la salud sexual y reproductiva.</w:t>
      </w:r>
      <w:r>
        <w:rPr>
          <w:rStyle w:val="EndnoteReference"/>
        </w:rPr>
        <w:endnoteReference w:id="882"/>
      </w:r>
    </w:p>
    <w:p w14:paraId="239B25A9" w14:textId="1030B5DB" w:rsidR="0049019C" w:rsidRPr="0017576F" w:rsidRDefault="00234180" w:rsidP="00753A59">
      <w:pPr>
        <w:pStyle w:val="Heading3GeneralComments"/>
        <w:rPr>
          <w:lang w:val="es-CO"/>
        </w:rPr>
      </w:pPr>
      <w:r w:rsidRPr="0017576F">
        <w:t>Observación General No.</w:t>
      </w:r>
      <w:r w:rsidR="0017576F">
        <w:t xml:space="preserve"> </w:t>
      </w:r>
      <w:r w:rsidR="00CD0EAF" w:rsidRPr="0017576F">
        <w:rPr>
          <w:lang w:val="es-CO"/>
        </w:rPr>
        <w:t xml:space="preserve">15: </w:t>
      </w:r>
      <w:r w:rsidRPr="0017576F">
        <w:rPr>
          <w:lang w:val="es-CO"/>
        </w:rPr>
        <w:t>El derecho del niño y niña al disfrute del más alto estándar de la salud</w:t>
      </w:r>
      <w:r w:rsidR="00CD0EAF" w:rsidRPr="0017576F">
        <w:rPr>
          <w:lang w:val="es-CO"/>
        </w:rPr>
        <w:t xml:space="preserve"> (2013)</w:t>
      </w:r>
    </w:p>
    <w:p w14:paraId="39DD96D6" w14:textId="6B284447" w:rsidR="0049019C" w:rsidRDefault="00CD0EAF" w:rsidP="001261E1">
      <w:pPr>
        <w:pStyle w:val="indentedafterbulletp"/>
      </w:pPr>
      <w:r>
        <w:t>En su Observación General N</w:t>
      </w:r>
      <w:r w:rsidR="00234180">
        <w:t>o.</w:t>
      </w:r>
      <w:r>
        <w:t xml:space="preserve"> 15, el Comité C</w:t>
      </w:r>
      <w:r w:rsidR="00234180">
        <w:t>DN</w:t>
      </w:r>
      <w:r>
        <w:t xml:space="preserve"> considera que el derecho a la salud los niños </w:t>
      </w:r>
      <w:r w:rsidR="00234180">
        <w:t xml:space="preserve">y niñas </w:t>
      </w:r>
      <w:r>
        <w:t xml:space="preserve">incluyen la libertad sexual y reproductiva de tomar decisiones responsables, así como </w:t>
      </w:r>
      <w:r w:rsidR="00234180">
        <w:t xml:space="preserve">una </w:t>
      </w:r>
      <w:r>
        <w:t>obliga</w:t>
      </w:r>
      <w:r w:rsidR="00234180">
        <w:t>ción de</w:t>
      </w:r>
      <w:r>
        <w:t xml:space="preserve"> los Estados </w:t>
      </w:r>
      <w:r w:rsidR="00234180">
        <w:t>de</w:t>
      </w:r>
      <w:r>
        <w:t xml:space="preserve"> </w:t>
      </w:r>
      <w:r>
        <w:lastRenderedPageBreak/>
        <w:t xml:space="preserve">garantizar la igualdad de oportunidades para todos los niños </w:t>
      </w:r>
      <w:r w:rsidR="00234180">
        <w:t xml:space="preserve">y niñas a </w:t>
      </w:r>
      <w:r>
        <w:t>goza</w:t>
      </w:r>
      <w:r w:rsidR="00234180">
        <w:t>r</w:t>
      </w:r>
      <w:r>
        <w:t xml:space="preserve"> del derecho a salud al proporcionar acceso a una gama de </w:t>
      </w:r>
      <w:r w:rsidR="00234180">
        <w:t>instalaciones</w:t>
      </w:r>
      <w:r>
        <w:t>, bienes, información, servicios y condiciones que facilitan esta oportunidad.</w:t>
      </w:r>
      <w:r w:rsidRPr="0017576F">
        <w:rPr>
          <w:vertAlign w:val="superscript"/>
        </w:rPr>
        <w:endnoteReference w:id="883"/>
      </w:r>
      <w:r>
        <w:t xml:space="preserve"> Para ello, el Comité recomienda, entre otras acciones, que los Estados consideren que los niños </w:t>
      </w:r>
      <w:r w:rsidR="00234180">
        <w:t xml:space="preserve">y niñas </w:t>
      </w:r>
      <w:r>
        <w:t>recib</w:t>
      </w:r>
      <w:r w:rsidR="00234180">
        <w:t>an</w:t>
      </w:r>
      <w:r>
        <w:t xml:space="preserve"> ciertos tratamientos médicos y la información, incluyendo los servicios de salud sexual y reproductiva y educación, anticoncepción y aborto</w:t>
      </w:r>
      <w:r w:rsidR="00234180">
        <w:t xml:space="preserve"> seguro</w:t>
      </w:r>
      <w:r>
        <w:t>, sin necesidad de consentimiento de un padre</w:t>
      </w:r>
      <w:r w:rsidR="00234180">
        <w:t xml:space="preserve"> o madre</w:t>
      </w:r>
      <w:r>
        <w:t xml:space="preserve">, </w:t>
      </w:r>
      <w:r w:rsidR="00234180">
        <w:t xml:space="preserve">una persona </w:t>
      </w:r>
      <w:r>
        <w:t>tutor</w:t>
      </w:r>
      <w:r w:rsidR="00234180">
        <w:t>a</w:t>
      </w:r>
      <w:r>
        <w:t xml:space="preserve"> o cuidador</w:t>
      </w:r>
      <w:r w:rsidR="00234180">
        <w:t>a</w:t>
      </w:r>
      <w:r>
        <w:t>.</w:t>
      </w:r>
      <w:r>
        <w:rPr>
          <w:rStyle w:val="EndnoteReference"/>
        </w:rPr>
        <w:endnoteReference w:id="884"/>
      </w:r>
    </w:p>
    <w:p w14:paraId="145A5E76" w14:textId="2789A8E1" w:rsidR="0049019C" w:rsidRPr="0017576F" w:rsidRDefault="00234180" w:rsidP="00753A59">
      <w:pPr>
        <w:pStyle w:val="Heading3GeneralComments"/>
      </w:pPr>
      <w:r w:rsidRPr="0017576F">
        <w:t>Recomendación General/Observación G</w:t>
      </w:r>
      <w:r w:rsidR="00CD0EAF" w:rsidRPr="0017576F">
        <w:t>eneral</w:t>
      </w:r>
      <w:r w:rsidRPr="0017576F">
        <w:t xml:space="preserve"> Conjunta </w:t>
      </w:r>
      <w:r w:rsidR="00CD0EAF" w:rsidRPr="0017576F">
        <w:t>N</w:t>
      </w:r>
      <w:r w:rsidRPr="0017576F">
        <w:t>o.</w:t>
      </w:r>
      <w:r w:rsidR="00CD0EAF" w:rsidRPr="0017576F">
        <w:t xml:space="preserve"> 31 del Comité para la </w:t>
      </w:r>
      <w:r w:rsidRPr="0017576F">
        <w:t>E</w:t>
      </w:r>
      <w:r w:rsidR="00CD0EAF" w:rsidRPr="0017576F">
        <w:t xml:space="preserve">liminación de </w:t>
      </w:r>
      <w:r w:rsidRPr="0017576F">
        <w:t>D</w:t>
      </w:r>
      <w:r w:rsidR="00CD0EAF" w:rsidRPr="0017576F">
        <w:t xml:space="preserve">iscriminación contra las </w:t>
      </w:r>
      <w:r w:rsidRPr="0017576F">
        <w:t>M</w:t>
      </w:r>
      <w:r w:rsidR="00CD0EAF" w:rsidRPr="0017576F">
        <w:t xml:space="preserve">ujeres y </w:t>
      </w:r>
      <w:r w:rsidRPr="0017576F">
        <w:t>N</w:t>
      </w:r>
      <w:r w:rsidR="00CD0EAF" w:rsidRPr="0017576F">
        <w:t xml:space="preserve">o. 18 del Comité sobre los </w:t>
      </w:r>
      <w:r w:rsidRPr="0017576F">
        <w:t>D</w:t>
      </w:r>
      <w:r w:rsidR="00CD0EAF" w:rsidRPr="0017576F">
        <w:t xml:space="preserve">erechos del </w:t>
      </w:r>
      <w:r w:rsidRPr="0017576F">
        <w:t>N</w:t>
      </w:r>
      <w:r w:rsidR="00CD0EAF" w:rsidRPr="0017576F">
        <w:t xml:space="preserve">iño </w:t>
      </w:r>
      <w:r w:rsidRPr="0017576F">
        <w:t xml:space="preserve">sobre </w:t>
      </w:r>
      <w:r w:rsidR="00CD0EAF" w:rsidRPr="0017576F">
        <w:t>las prácticas perjudiciales (2014)</w:t>
      </w:r>
    </w:p>
    <w:p w14:paraId="4DDB14B0" w14:textId="1EE297FE" w:rsidR="0049019C" w:rsidRDefault="00CD0EAF" w:rsidP="001261E1">
      <w:pPr>
        <w:pStyle w:val="indentedafterbulletp"/>
      </w:pPr>
      <w:r>
        <w:t xml:space="preserve">En su </w:t>
      </w:r>
      <w:r w:rsidR="00CD202E">
        <w:t>Observación</w:t>
      </w:r>
      <w:r>
        <w:t xml:space="preserve"> General </w:t>
      </w:r>
      <w:r w:rsidR="00F43412">
        <w:t>C</w:t>
      </w:r>
      <w:r>
        <w:t>o</w:t>
      </w:r>
      <w:r w:rsidR="00F43412">
        <w:t>njunta</w:t>
      </w:r>
      <w:r>
        <w:t xml:space="preserve"> </w:t>
      </w:r>
      <w:r w:rsidR="00F43412">
        <w:t>No</w:t>
      </w:r>
      <w:r>
        <w:t>. 18, el C</w:t>
      </w:r>
      <w:r w:rsidR="00F43412">
        <w:t>DN</w:t>
      </w:r>
      <w:r>
        <w:t xml:space="preserve"> y </w:t>
      </w:r>
      <w:r w:rsidR="00F43412">
        <w:t>el C</w:t>
      </w:r>
      <w:r>
        <w:t>omité CEDAW encuentra</w:t>
      </w:r>
      <w:r w:rsidR="00E02C40">
        <w:t>n</w:t>
      </w:r>
      <w:r>
        <w:t xml:space="preserve"> que las mujeres y las adolescentes que han estado o están en riesgo de ser sometid</w:t>
      </w:r>
      <w:r w:rsidR="00F43412">
        <w:t>as</w:t>
      </w:r>
      <w:r>
        <w:t xml:space="preserve"> a prácticas nocivas enfrentan importantes riesgos para su salud sexual y reproductiva, particularmente en un contexto donde ya se encuentran con barreras para la toma de decisiones que se presentan por la falta de una adecuada información y servicios, incluidos </w:t>
      </w:r>
      <w:r w:rsidR="00F43412">
        <w:t xml:space="preserve">servicios </w:t>
      </w:r>
      <w:r>
        <w:t>amig</w:t>
      </w:r>
      <w:r w:rsidR="00F43412">
        <w:t>ables</w:t>
      </w:r>
      <w:r>
        <w:t xml:space="preserve"> </w:t>
      </w:r>
      <w:r w:rsidR="00F43412">
        <w:t>para</w:t>
      </w:r>
      <w:r>
        <w:t xml:space="preserve"> adolescentes.</w:t>
      </w:r>
      <w:r>
        <w:rPr>
          <w:rStyle w:val="EndnoteReference"/>
        </w:rPr>
        <w:endnoteReference w:id="885"/>
      </w:r>
      <w:r>
        <w:t xml:space="preserve"> Por consiguiente, </w:t>
      </w:r>
      <w:r w:rsidR="00E02C40">
        <w:t xml:space="preserve">los </w:t>
      </w:r>
      <w:r w:rsidR="00F43412">
        <w:t>Comité</w:t>
      </w:r>
      <w:r w:rsidR="00E02C40">
        <w:t>s</w:t>
      </w:r>
      <w:r w:rsidR="00F43412">
        <w:t xml:space="preserve"> encuentra</w:t>
      </w:r>
      <w:r w:rsidR="00E02C40">
        <w:t>n</w:t>
      </w:r>
      <w:r w:rsidR="00F43412">
        <w:t xml:space="preserve"> que </w:t>
      </w:r>
      <w:r>
        <w:t>es necesario prestar especial atención al acceso de las mujeres y los adolescentes a información fidedigna sobre la salud y los derechos sexuales y reproductivos, y sobre las consecuencias de las prácticas nocivas, así como al acceso a servicios adecuados y confidenciales.</w:t>
      </w:r>
      <w:r>
        <w:rPr>
          <w:rStyle w:val="EndnoteReference"/>
        </w:rPr>
        <w:endnoteReference w:id="886"/>
      </w:r>
      <w:r>
        <w:t xml:space="preserve"> Est</w:t>
      </w:r>
      <w:r w:rsidR="00F43412">
        <w:t>a</w:t>
      </w:r>
      <w:r>
        <w:t xml:space="preserve"> Recomendación General</w:t>
      </w:r>
      <w:r w:rsidR="00F43412">
        <w:t>/Observación General</w:t>
      </w:r>
      <w:r>
        <w:t xml:space="preserve"> </w:t>
      </w:r>
      <w:r w:rsidR="00F43412">
        <w:t>Conjunta</w:t>
      </w:r>
      <w:r w:rsidR="0017576F">
        <w:t xml:space="preserve"> </w:t>
      </w:r>
      <w:r>
        <w:t>se resume más arriba en la sección de Comité CEDAW.</w:t>
      </w:r>
    </w:p>
    <w:p w14:paraId="1905662B" w14:textId="2FB9B35E" w:rsidR="0049019C" w:rsidRPr="00085DA4" w:rsidRDefault="00F43412" w:rsidP="00753A59">
      <w:pPr>
        <w:pStyle w:val="Heading3GeneralComments"/>
      </w:pPr>
      <w:r w:rsidRPr="0017576F">
        <w:t>Observación</w:t>
      </w:r>
      <w:r w:rsidR="00CD0EAF" w:rsidRPr="00F43412">
        <w:t xml:space="preserve"> </w:t>
      </w:r>
      <w:r w:rsidRPr="00F43412">
        <w:t>G</w:t>
      </w:r>
      <w:r w:rsidR="00CD0EAF" w:rsidRPr="00F43412">
        <w:t xml:space="preserve">eneral </w:t>
      </w:r>
      <w:r w:rsidRPr="00F43412">
        <w:t>N</w:t>
      </w:r>
      <w:r w:rsidR="00CD0EAF" w:rsidRPr="00F43412">
        <w:t xml:space="preserve">o. 20: La </w:t>
      </w:r>
      <w:r w:rsidRPr="00F43412">
        <w:t>implement</w:t>
      </w:r>
      <w:r w:rsidR="00CD0EAF" w:rsidRPr="00F43412">
        <w:t xml:space="preserve">ación de los derechos del niño </w:t>
      </w:r>
      <w:r w:rsidRPr="00F43412">
        <w:t xml:space="preserve">y niña </w:t>
      </w:r>
      <w:r w:rsidR="00CD0EAF" w:rsidRPr="00F43412">
        <w:t>durante la adolescencia (2016)</w:t>
      </w:r>
    </w:p>
    <w:p w14:paraId="1F781E70" w14:textId="0CDB1DF5" w:rsidR="0049019C" w:rsidRDefault="00CD0EAF" w:rsidP="001261E1">
      <w:pPr>
        <w:pStyle w:val="indentedafterbulletp"/>
      </w:pPr>
      <w:r>
        <w:t xml:space="preserve">En su </w:t>
      </w:r>
      <w:r w:rsidR="00CD202E">
        <w:t>Observación</w:t>
      </w:r>
      <w:r>
        <w:t xml:space="preserve"> General </w:t>
      </w:r>
      <w:r w:rsidR="00F43412">
        <w:t>N</w:t>
      </w:r>
      <w:r>
        <w:t>o. 20, el Comité C</w:t>
      </w:r>
      <w:r w:rsidR="00F43412">
        <w:t>DN</w:t>
      </w:r>
      <w:r>
        <w:t xml:space="preserve"> considera que los </w:t>
      </w:r>
      <w:r w:rsidR="00F43412">
        <w:t xml:space="preserve">y las </w:t>
      </w:r>
      <w:r>
        <w:t xml:space="preserve">adolescentes tienen derecho a asumir </w:t>
      </w:r>
      <w:r w:rsidR="00F43412">
        <w:t>cada vez mayor</w:t>
      </w:r>
      <w:r>
        <w:t xml:space="preserve"> responsabilidad de sus vidas, y en cuanto a servicios de salud, esto significa </w:t>
      </w:r>
      <w:r w:rsidR="00F43412">
        <w:t xml:space="preserve">que </w:t>
      </w:r>
      <w:r>
        <w:t xml:space="preserve">tienen derecho a consejería médica confidencial sin necesidad de consentimiento </w:t>
      </w:r>
      <w:r w:rsidR="00F43412">
        <w:t xml:space="preserve">parental o </w:t>
      </w:r>
      <w:r>
        <w:t>del tutor.</w:t>
      </w:r>
      <w:r>
        <w:rPr>
          <w:rStyle w:val="EndnoteReference"/>
        </w:rPr>
        <w:endnoteReference w:id="887"/>
      </w:r>
      <w:r>
        <w:t xml:space="preserve"> El Comité encuentra </w:t>
      </w:r>
      <w:r w:rsidR="00F43412">
        <w:t>ade</w:t>
      </w:r>
      <w:r>
        <w:t xml:space="preserve">más que el consentimiento del adolescente </w:t>
      </w:r>
      <w:r w:rsidR="00F43412">
        <w:t xml:space="preserve">deberia obtenerse </w:t>
      </w:r>
      <w:r>
        <w:t xml:space="preserve">para cualquier procedimiento médico independientemente de si </w:t>
      </w:r>
      <w:r w:rsidR="00F43412">
        <w:t xml:space="preserve">el consentimiento </w:t>
      </w:r>
      <w:r>
        <w:t>pa</w:t>
      </w:r>
      <w:r w:rsidR="00F43412">
        <w:t>rental</w:t>
      </w:r>
      <w:r>
        <w:t xml:space="preserve"> o </w:t>
      </w:r>
      <w:r w:rsidR="00F43412">
        <w:t xml:space="preserve">del </w:t>
      </w:r>
      <w:r>
        <w:t>tutor se requiere; y los Estados debe</w:t>
      </w:r>
      <w:r w:rsidR="00F43412">
        <w:t>rían</w:t>
      </w:r>
      <w:r>
        <w:t xml:space="preserve"> garantizar una presunción legal que adolescentes pueden tomar sus propias decisiones en cuanto al acceso a bienes y servicios de salud sexual y reproductiva.</w:t>
      </w:r>
      <w:r>
        <w:rPr>
          <w:rStyle w:val="EndnoteReference"/>
        </w:rPr>
        <w:endnoteReference w:id="888"/>
      </w:r>
      <w:r>
        <w:t xml:space="preserve"> Sobre adolescentes con discapacidad en particular, el Comité observa que con frecuencia se les niega acceso a información de salud sexual y reproductiva y los servicios y puede</w:t>
      </w:r>
      <w:r w:rsidR="00F43412">
        <w:t>n</w:t>
      </w:r>
      <w:r>
        <w:t xml:space="preserve"> ser sometidos a esterilización forzada o anticoncepción</w:t>
      </w:r>
      <w:r w:rsidR="00F43412">
        <w:t xml:space="preserve"> forzada</w:t>
      </w:r>
      <w:r>
        <w:t>,</w:t>
      </w:r>
      <w:r>
        <w:rPr>
          <w:rStyle w:val="EndnoteReference"/>
        </w:rPr>
        <w:endnoteReference w:id="889"/>
      </w:r>
      <w:r>
        <w:t xml:space="preserve"> </w:t>
      </w:r>
      <w:r w:rsidR="00F43412">
        <w:t>ll</w:t>
      </w:r>
      <w:r>
        <w:t>a</w:t>
      </w:r>
      <w:r w:rsidR="00F43412">
        <w:t xml:space="preserve">mando a los </w:t>
      </w:r>
      <w:r>
        <w:t xml:space="preserve"> Estados a garantizar su igualdad de derechos, para proporcionarles oportunidades para tomar decisiones </w:t>
      </w:r>
      <w:r w:rsidR="00F43412">
        <w:t xml:space="preserve">con </w:t>
      </w:r>
      <w:r>
        <w:t>apoy</w:t>
      </w:r>
      <w:r w:rsidR="00F43412">
        <w:t>os</w:t>
      </w:r>
      <w:r>
        <w:t xml:space="preserve"> y garantizar su acceso a la educación sexual integral.</w:t>
      </w:r>
      <w:r>
        <w:rPr>
          <w:rStyle w:val="EndnoteReference"/>
        </w:rPr>
        <w:endnoteReference w:id="890"/>
      </w:r>
    </w:p>
    <w:p w14:paraId="71D7F22A" w14:textId="6B563FAE" w:rsidR="0049019C" w:rsidRPr="004B2C96" w:rsidRDefault="00CD0EAF" w:rsidP="00515135">
      <w:pPr>
        <w:pStyle w:val="Heading2"/>
        <w:rPr>
          <w:b w:val="0"/>
        </w:rPr>
      </w:pPr>
      <w:bookmarkStart w:id="68" w:name="_Toc5974928"/>
      <w:r w:rsidRPr="004B2C96">
        <w:rPr>
          <w:b w:val="0"/>
        </w:rPr>
        <w:t xml:space="preserve">Observaciones </w:t>
      </w:r>
      <w:r w:rsidR="00F43412" w:rsidRPr="004B2C96">
        <w:rPr>
          <w:b w:val="0"/>
        </w:rPr>
        <w:t>F</w:t>
      </w:r>
      <w:r w:rsidRPr="004B2C96">
        <w:rPr>
          <w:b w:val="0"/>
        </w:rPr>
        <w:t>inales</w:t>
      </w:r>
      <w:bookmarkEnd w:id="68"/>
    </w:p>
    <w:p w14:paraId="2B828CBD" w14:textId="09E1AED8" w:rsidR="0049019C" w:rsidRDefault="00CD0EAF" w:rsidP="000D30E9">
      <w:pPr>
        <w:pStyle w:val="NormalIndented"/>
      </w:pPr>
      <w:r>
        <w:t>Debido al gran número de observaciones</w:t>
      </w:r>
      <w:r w:rsidR="00D225FE">
        <w:t xml:space="preserve"> finales</w:t>
      </w:r>
      <w:r>
        <w:t xml:space="preserve"> que el Comité C</w:t>
      </w:r>
      <w:r w:rsidR="00D225FE">
        <w:t>DN</w:t>
      </w:r>
      <w:r>
        <w:t xml:space="preserve"> ha publicado sobre derechos y salud sexual y reproductiva, muchas de las secciones a continuación cita</w:t>
      </w:r>
      <w:r w:rsidR="00D225FE">
        <w:t>n</w:t>
      </w:r>
      <w:r>
        <w:t xml:space="preserve"> solamente una muestra representativa de las observaciones finales. Recomendamos que los defensores </w:t>
      </w:r>
      <w:r w:rsidR="00D225FE">
        <w:t xml:space="preserve">y las defensoras </w:t>
      </w:r>
      <w:r>
        <w:t xml:space="preserve">verifiquen las observaciones finales del Comité para su </w:t>
      </w:r>
      <w:r w:rsidR="00D225FE">
        <w:t>E</w:t>
      </w:r>
      <w:r>
        <w:t>stado en particular, que están disponibles en el sitio web de</w:t>
      </w:r>
      <w:r w:rsidR="00D225FE">
        <w:t>l</w:t>
      </w:r>
      <w:r>
        <w:t xml:space="preserve"> Comi</w:t>
      </w:r>
      <w:r w:rsidR="00D225FE">
        <w:t>té</w:t>
      </w:r>
      <w:r>
        <w:t>, con la información adicional pertinente.</w:t>
      </w:r>
    </w:p>
    <w:p w14:paraId="1111EF5C" w14:textId="77777777" w:rsidR="0049019C" w:rsidRPr="004B2C96" w:rsidRDefault="00CD0EAF">
      <w:pPr>
        <w:pStyle w:val="Heading3"/>
      </w:pPr>
      <w:bookmarkStart w:id="69" w:name="_Toc498590722"/>
      <w:r w:rsidRPr="004B2C96">
        <w:t>Acceso a la información y servicios sobre salud reproductiva</w:t>
      </w:r>
      <w:bookmarkEnd w:id="69"/>
    </w:p>
    <w:p w14:paraId="5AD478A9" w14:textId="4EF5D6B2" w:rsidR="0049019C" w:rsidRDefault="00CD0EAF" w:rsidP="0039777C">
      <w:r>
        <w:t xml:space="preserve">El </w:t>
      </w:r>
      <w:r w:rsidR="0039777C">
        <w:t>Comité C</w:t>
      </w:r>
      <w:r w:rsidR="00D225FE">
        <w:t>DN</w:t>
      </w:r>
      <w:r>
        <w:t xml:space="preserve"> siempre </w:t>
      </w:r>
      <w:r w:rsidR="00D225FE">
        <w:t xml:space="preserve">ha </w:t>
      </w:r>
      <w:r>
        <w:t>expres</w:t>
      </w:r>
      <w:r w:rsidR="00D225FE">
        <w:t>ado</w:t>
      </w:r>
      <w:r>
        <w:t xml:space="preserve"> </w:t>
      </w:r>
      <w:r w:rsidR="00D225FE">
        <w:t xml:space="preserve">frecuentemente </w:t>
      </w:r>
      <w:r>
        <w:t xml:space="preserve">su preocupación por la falta de acceso a la informacción sobre salud sexual y reproductiva y la falta de </w:t>
      </w:r>
      <w:r w:rsidR="00D225FE">
        <w:t xml:space="preserve">consejería confidencial </w:t>
      </w:r>
      <w:r>
        <w:t>y servicios para adolescentes,</w:t>
      </w:r>
      <w:r>
        <w:rPr>
          <w:rStyle w:val="EndnoteReference"/>
        </w:rPr>
        <w:endnoteReference w:id="891"/>
      </w:r>
      <w:r>
        <w:t xml:space="preserve"> incluso en zonas rurales,</w:t>
      </w:r>
      <w:r>
        <w:rPr>
          <w:rStyle w:val="EndnoteReference"/>
        </w:rPr>
        <w:endnoteReference w:id="892"/>
      </w:r>
      <w:r>
        <w:t xml:space="preserve"> debido al estigma y los condicionamientos sociales que acarrea este acceso,</w:t>
      </w:r>
      <w:r>
        <w:rPr>
          <w:rStyle w:val="EndnoteReference"/>
        </w:rPr>
        <w:endnoteReference w:id="893"/>
      </w:r>
      <w:r>
        <w:t xml:space="preserve"> los límites impuestos sobre los movimientos de mujeres y niñas,</w:t>
      </w:r>
      <w:r>
        <w:rPr>
          <w:rStyle w:val="EndnoteReference"/>
        </w:rPr>
        <w:endnoteReference w:id="894"/>
      </w:r>
      <w:r>
        <w:t xml:space="preserve"> y </w:t>
      </w:r>
      <w:r w:rsidR="00D225FE">
        <w:t xml:space="preserve">los requerimientos </w:t>
      </w:r>
      <w:r>
        <w:t xml:space="preserve"> de consentimiento parental </w:t>
      </w:r>
      <w:r w:rsidR="00D225FE">
        <w:t>o de</w:t>
      </w:r>
      <w:r w:rsidR="00B1184D">
        <w:t xml:space="preserve"> la</w:t>
      </w:r>
      <w:r w:rsidR="00D225FE">
        <w:t xml:space="preserve"> persona que es tutora </w:t>
      </w:r>
      <w:r>
        <w:t>para que las niñas solteras puedan acceder a estos servicios.</w:t>
      </w:r>
      <w:r>
        <w:rPr>
          <w:rStyle w:val="EndnoteReference"/>
        </w:rPr>
        <w:endnoteReference w:id="895"/>
      </w:r>
      <w:r>
        <w:t xml:space="preserve"> También se ha expresado </w:t>
      </w:r>
      <w:r>
        <w:lastRenderedPageBreak/>
        <w:t xml:space="preserve">preocupación por la falta de conocimiento sobre </w:t>
      </w:r>
      <w:r w:rsidR="00B1184D">
        <w:t xml:space="preserve">la </w:t>
      </w:r>
      <w:r>
        <w:t>salud entre adolescentes, incluidos los temas de salud sexual y reproductiva.</w:t>
      </w:r>
      <w:r>
        <w:rPr>
          <w:rStyle w:val="EndnoteReference"/>
        </w:rPr>
        <w:endnoteReference w:id="896"/>
      </w:r>
    </w:p>
    <w:p w14:paraId="5AA182B9" w14:textId="19F6DAEA" w:rsidR="0049019C" w:rsidRDefault="00CD0EAF">
      <w:r>
        <w:t xml:space="preserve">El </w:t>
      </w:r>
      <w:r w:rsidR="003F452C">
        <w:t>Comité C</w:t>
      </w:r>
      <w:r w:rsidR="00B1184D">
        <w:t>DN</w:t>
      </w:r>
      <w:r>
        <w:t xml:space="preserve"> ha </w:t>
      </w:r>
      <w:r w:rsidR="00B1184D">
        <w:t>consistentemente llama</w:t>
      </w:r>
      <w:r>
        <w:t xml:space="preserve">do </w:t>
      </w:r>
      <w:r w:rsidR="00B1184D">
        <w:t>a</w:t>
      </w:r>
      <w:r>
        <w:t xml:space="preserve"> los Estados </w:t>
      </w:r>
      <w:r w:rsidR="00B1184D">
        <w:t xml:space="preserve">a </w:t>
      </w:r>
      <w:r>
        <w:t>asegur</w:t>
      </w:r>
      <w:r w:rsidR="00B1184D">
        <w:t>ar</w:t>
      </w:r>
      <w:r>
        <w:t xml:space="preserve"> que los </w:t>
      </w:r>
      <w:r w:rsidR="00B1184D">
        <w:t xml:space="preserve">y las </w:t>
      </w:r>
      <w:r>
        <w:t xml:space="preserve">adolescentes tengan acceso a </w:t>
      </w:r>
      <w:r w:rsidR="00B1184D">
        <w:t xml:space="preserve">consejería </w:t>
      </w:r>
      <w:r>
        <w:t xml:space="preserve">confidencial y a servicios </w:t>
      </w:r>
      <w:r w:rsidR="00B1184D">
        <w:t>amigabl</w:t>
      </w:r>
      <w:r>
        <w:t>les para jóvenes sobre salud sexual y reproductiva.</w:t>
      </w:r>
      <w:r>
        <w:rPr>
          <w:rStyle w:val="EndnoteReference"/>
        </w:rPr>
        <w:endnoteReference w:id="897"/>
      </w:r>
      <w:r>
        <w:t xml:space="preserve"> Particularmente, en los últimos años, se ha solicitado a varios Estados que adopten políticas e implementen programas enfocados específicamente en la salud sexual y reproductiva de adolescentes</w:t>
      </w:r>
      <w:r>
        <w:rPr>
          <w:rStyle w:val="EndnoteReference"/>
        </w:rPr>
        <w:endnoteReference w:id="898"/>
      </w:r>
      <w:r>
        <w:t xml:space="preserve"> y que se asegure que los </w:t>
      </w:r>
      <w:r w:rsidR="00B1184D">
        <w:t xml:space="preserve">y las </w:t>
      </w:r>
      <w:r>
        <w:t>adolescentes estén involucrados en el desarrollo, la supervición y evaluación de leyes, políticas y programas sobre salud sexual y reproductiva, con el fin de asegurar que los programas atiendan sus necesidades y preocupaciones.</w:t>
      </w:r>
      <w:r>
        <w:rPr>
          <w:rStyle w:val="EndnoteReference"/>
        </w:rPr>
        <w:endnoteReference w:id="899"/>
      </w:r>
      <w:r>
        <w:t xml:space="preserve"> También se ha solicitado a al menos un Estado que se superen los tabúes y el estigma relacionados con la sexualidad adolescente, que suele dificultar el acceso a la información y los servicios sobre salud sexual y reproductiva, en pos de colocar el </w:t>
      </w:r>
      <w:r w:rsidR="00B1184D">
        <w:t xml:space="preserve">mejor interés </w:t>
      </w:r>
      <w:r>
        <w:t xml:space="preserve">de los </w:t>
      </w:r>
      <w:r w:rsidR="00B1184D">
        <w:t xml:space="preserve">y las </w:t>
      </w:r>
      <w:r>
        <w:t>adolescentes en el centro de las decisiones relacionadas con la salud.</w:t>
      </w:r>
      <w:r>
        <w:rPr>
          <w:rStyle w:val="EndnoteReference"/>
        </w:rPr>
        <w:endnoteReference w:id="900"/>
      </w:r>
      <w:r>
        <w:t xml:space="preserve"> </w:t>
      </w:r>
    </w:p>
    <w:p w14:paraId="64050468" w14:textId="7D1E9EC5" w:rsidR="0049019C" w:rsidRDefault="00CD0EAF">
      <w:pPr>
        <w:pStyle w:val="Heading4"/>
      </w:pPr>
      <w:r>
        <w:t xml:space="preserve">Discriminación en el </w:t>
      </w:r>
      <w:r w:rsidR="00B1184D">
        <w:t>A</w:t>
      </w:r>
      <w:r>
        <w:t xml:space="preserve">cceso a la </w:t>
      </w:r>
      <w:r w:rsidR="00B1184D">
        <w:t>A</w:t>
      </w:r>
      <w:r>
        <w:t xml:space="preserve">tención </w:t>
      </w:r>
      <w:r w:rsidR="00B1184D">
        <w:t>de la Salud</w:t>
      </w:r>
    </w:p>
    <w:p w14:paraId="434533D0" w14:textId="672082A6" w:rsidR="009E1FF9" w:rsidRDefault="00CD0EAF" w:rsidP="001261E1">
      <w:r>
        <w:t xml:space="preserve">El </w:t>
      </w:r>
      <w:r w:rsidR="009E1FF9">
        <w:t>Comité C</w:t>
      </w:r>
      <w:r w:rsidR="00B1184D">
        <w:t>DN</w:t>
      </w:r>
      <w:r>
        <w:t xml:space="preserve"> </w:t>
      </w:r>
      <w:r w:rsidR="00B1184D">
        <w:t xml:space="preserve">ha </w:t>
      </w:r>
      <w:r>
        <w:t>señal</w:t>
      </w:r>
      <w:r w:rsidR="00B1184D">
        <w:t>ado</w:t>
      </w:r>
      <w:r>
        <w:t xml:space="preserve"> a al menos dos Estados que l</w:t>
      </w:r>
      <w:r w:rsidR="009334B9">
        <w:t>as y l</w:t>
      </w:r>
      <w:r>
        <w:t xml:space="preserve">os trabajadores de la salud tienen actitudes discriminatorias hacia los </w:t>
      </w:r>
      <w:r w:rsidR="009334B9">
        <w:t xml:space="preserve">y las </w:t>
      </w:r>
      <w:r>
        <w:t>adolescentes, particularmente en la prestación de atención en salud sexual y reproductiva, lo cual dificulta el acceso a información y servicios.</w:t>
      </w:r>
      <w:r>
        <w:rPr>
          <w:rStyle w:val="EndnoteReference"/>
        </w:rPr>
        <w:endnoteReference w:id="901"/>
      </w:r>
      <w:r>
        <w:t xml:space="preserve"> También se ha expresado preocupación a por lo menos dos Estados por el hecho de que los padres deban acompañar a los niños </w:t>
      </w:r>
      <w:r w:rsidR="009334B9">
        <w:t xml:space="preserve">y niñas </w:t>
      </w:r>
      <w:r>
        <w:t>o dar consentimiento para que ellos</w:t>
      </w:r>
      <w:r w:rsidR="009334B9">
        <w:t xml:space="preserve"> y ellas</w:t>
      </w:r>
      <w:r>
        <w:t xml:space="preserve"> tengan acceso a atención </w:t>
      </w:r>
      <w:r w:rsidR="009334B9">
        <w:t xml:space="preserve">de la salud </w:t>
      </w:r>
      <w:r>
        <w:t>sexual y reproductiva.</w:t>
      </w:r>
      <w:r>
        <w:rPr>
          <w:rStyle w:val="EndnoteReference"/>
        </w:rPr>
        <w:endnoteReference w:id="902"/>
      </w:r>
      <w:r>
        <w:t xml:space="preserve"> En particular, se ha señalado que en al menos dos Estados, </w:t>
      </w:r>
      <w:r w:rsidR="009334B9">
        <w:t>discriminación y estigma existe alrededor d</w:t>
      </w:r>
      <w:r>
        <w:t>el embarazo adolescente</w:t>
      </w:r>
      <w:r w:rsidR="009334B9">
        <w:t>.</w:t>
      </w:r>
      <w:r>
        <w:rPr>
          <w:rStyle w:val="EndnoteReference"/>
        </w:rPr>
        <w:endnoteReference w:id="903"/>
      </w:r>
      <w:r>
        <w:t xml:space="preserve"> Además, el Comité ha llamado a los Estados a proteger a las niñas y adolescentes madres y a sus hijos de  discriminación</w:t>
      </w:r>
      <w:r>
        <w:rPr>
          <w:rStyle w:val="EndnoteReference"/>
        </w:rPr>
        <w:endnoteReference w:id="904"/>
      </w:r>
      <w:r>
        <w:t xml:space="preserve">  y, en al menos un caso, de violencia.</w:t>
      </w:r>
      <w:r>
        <w:rPr>
          <w:rStyle w:val="EndnoteReference"/>
        </w:rPr>
        <w:endnoteReference w:id="905"/>
      </w:r>
      <w:r>
        <w:t xml:space="preserve"> También ha señalado a al menos un Estado que con frecuencia no se consideran las opiniones de los niños </w:t>
      </w:r>
      <w:r w:rsidR="009334B9">
        <w:t xml:space="preserve">y niñas </w:t>
      </w:r>
      <w:r>
        <w:t>en relación con su salud sexual y reproductiva</w:t>
      </w:r>
      <w:r>
        <w:rPr>
          <w:rStyle w:val="EndnoteReference"/>
        </w:rPr>
        <w:endnoteReference w:id="906"/>
      </w:r>
      <w:r>
        <w:t xml:space="preserve"> y ha señalado a otro Estado que los niños </w:t>
      </w:r>
      <w:r w:rsidR="009334B9">
        <w:t xml:space="preserve">y niñas </w:t>
      </w:r>
      <w:r>
        <w:t xml:space="preserve">no tienen garantizado el derecho a la </w:t>
      </w:r>
      <w:r w:rsidR="009334B9">
        <w:t>privac</w:t>
      </w:r>
      <w:r>
        <w:t>idad cuando reciben servicios de salud sexual y reproductiva.</w:t>
      </w:r>
      <w:r>
        <w:rPr>
          <w:rStyle w:val="EndnoteReference"/>
        </w:rPr>
        <w:endnoteReference w:id="907"/>
      </w:r>
      <w:r>
        <w:t xml:space="preserve"> Además, el Comité ha expresado su preocupación a al menos un Estado por el hecho de que las cuestiones de salud reproductiva y sexual adolescente no han ganado aceptación cultural</w:t>
      </w:r>
      <w:r>
        <w:rPr>
          <w:rStyle w:val="EndnoteReference"/>
        </w:rPr>
        <w:endnoteReference w:id="908"/>
      </w:r>
      <w:r>
        <w:t xml:space="preserve"> y, en otro Estado, creencias y valores religiosos impiden el cumplimiento de los derechos reproductivos de mujeres y niñas.</w:t>
      </w:r>
      <w:r>
        <w:rPr>
          <w:rStyle w:val="EndnoteReference"/>
        </w:rPr>
        <w:endnoteReference w:id="909"/>
      </w:r>
    </w:p>
    <w:p w14:paraId="77ECE26C" w14:textId="5C2CA589" w:rsidR="002D624D" w:rsidRDefault="00CD0EAF" w:rsidP="001261E1">
      <w:r>
        <w:t xml:space="preserve">El </w:t>
      </w:r>
      <w:r w:rsidR="009E1FF9">
        <w:t>Comité C</w:t>
      </w:r>
      <w:r w:rsidR="009334B9">
        <w:t>DN</w:t>
      </w:r>
      <w:r>
        <w:t xml:space="preserve"> ha </w:t>
      </w:r>
      <w:r w:rsidR="009334B9">
        <w:t xml:space="preserve">solicitado </w:t>
      </w:r>
      <w:r>
        <w:t xml:space="preserve">que los Estados eliminen como requisito el consentimiento parental para el acceso a los servicios de salud, incluyendo aquellos de salud reproductiva y sexual, o que se baje el límite </w:t>
      </w:r>
      <w:r w:rsidR="009334B9">
        <w:t xml:space="preserve">de edad </w:t>
      </w:r>
      <w:r>
        <w:t>de este requisito,</w:t>
      </w:r>
      <w:r>
        <w:rPr>
          <w:rStyle w:val="EndnoteReference"/>
        </w:rPr>
        <w:endnoteReference w:id="910"/>
      </w:r>
      <w:r>
        <w:t xml:space="preserve"> en los casos en que es </w:t>
      </w:r>
      <w:r w:rsidR="009334B9">
        <w:t>el</w:t>
      </w:r>
      <w:r>
        <w:t xml:space="preserve"> mejor </w:t>
      </w:r>
      <w:r w:rsidR="009334B9">
        <w:t>interés d</w:t>
      </w:r>
      <w:r>
        <w:t>el niño</w:t>
      </w:r>
      <w:r w:rsidR="009334B9">
        <w:t xml:space="preserve"> o niña</w:t>
      </w:r>
      <w:r>
        <w:t>.</w:t>
      </w:r>
      <w:r>
        <w:rPr>
          <w:rStyle w:val="EndnoteReference"/>
        </w:rPr>
        <w:endnoteReference w:id="911"/>
      </w:r>
      <w:r>
        <w:t xml:space="preserve"> También se </w:t>
      </w:r>
      <w:r w:rsidR="009334B9">
        <w:t xml:space="preserve">ha </w:t>
      </w:r>
      <w:r>
        <w:t>solicit</w:t>
      </w:r>
      <w:r w:rsidR="009334B9">
        <w:t>ado</w:t>
      </w:r>
      <w:r>
        <w:t xml:space="preserve"> a al menos un Estado enfrentar las causas de los pobres resultados en salud sexual y reproductiva en adolescentes, tales como embarazo temprano y transmisión del VIH, además de la desigualdad de género, violencia sexual, prácticas dañinas, niñas </w:t>
      </w:r>
      <w:r w:rsidR="009334B9">
        <w:t>que no terminan la escuela,</w:t>
      </w:r>
      <w:r>
        <w:t xml:space="preserve"> y falta de acceso a la educación sexual.</w:t>
      </w:r>
      <w:r>
        <w:rPr>
          <w:rStyle w:val="EndnoteReference"/>
        </w:rPr>
        <w:endnoteReference w:id="912"/>
      </w:r>
      <w:r>
        <w:t xml:space="preserve"> Además se ha solicitado a al menos un Estado llevar a cabo campañas de sensibilización y programas educativos para combatir la marginación social y el estigma contra las mujeres y niñas que quedan embarazadas fuera del matrimonio.</w:t>
      </w:r>
      <w:r>
        <w:rPr>
          <w:rStyle w:val="EndnoteReference"/>
        </w:rPr>
        <w:endnoteReference w:id="913"/>
      </w:r>
      <w:r>
        <w:t xml:space="preserve"> El Comité también ha recomendado a un Estado que proporcione apoyo especial para niñas embarazadas, incluyendo apoyo de la comunidad y beneficios de seguridad social</w:t>
      </w:r>
      <w:r>
        <w:rPr>
          <w:rStyle w:val="EndnoteReference"/>
        </w:rPr>
        <w:endnoteReference w:id="914"/>
      </w:r>
      <w:r>
        <w:t xml:space="preserve"> y que el Estado combata la discriminación de adolescentes embarazadas y madres adolescentes a través del desarrollo e implementación de políticas sobre el tema.</w:t>
      </w:r>
      <w:r>
        <w:rPr>
          <w:rStyle w:val="EndnoteReference"/>
        </w:rPr>
        <w:endnoteReference w:id="915"/>
      </w:r>
      <w:r>
        <w:t xml:space="preserve"> Además se ha solicitado a un Estado adoptar leyes para proteger el derecho a la privacidad de los niños</w:t>
      </w:r>
      <w:r w:rsidR="009334B9">
        <w:t xml:space="preserve"> y niñas</w:t>
      </w:r>
      <w:r>
        <w:t>, inclu</w:t>
      </w:r>
      <w:r w:rsidR="009334B9">
        <w:t>yendo</w:t>
      </w:r>
      <w:r>
        <w:t xml:space="preserve"> cuando reciben servicios de salud sexual y reproductiva.</w:t>
      </w:r>
      <w:r>
        <w:rPr>
          <w:rStyle w:val="EndnoteReference"/>
        </w:rPr>
        <w:endnoteReference w:id="916"/>
      </w:r>
    </w:p>
    <w:p w14:paraId="31D9AFC6" w14:textId="6C17AAC0" w:rsidR="0049019C" w:rsidRDefault="00CD0EAF" w:rsidP="001261E1">
      <w:r>
        <w:t>E</w:t>
      </w:r>
      <w:r w:rsidR="002D624D">
        <w:t>l</w:t>
      </w:r>
      <w:r>
        <w:t xml:space="preserve"> </w:t>
      </w:r>
      <w:r w:rsidR="002D624D">
        <w:t>Comité C</w:t>
      </w:r>
      <w:r w:rsidR="009334B9">
        <w:t>DN</w:t>
      </w:r>
      <w:r>
        <w:t xml:space="preserve"> también ha expresado su preocupación por las desigualdades existentes en el acceso a los servicios de salud sexual y reproductiva para adolescentes de bajos recursos, madres adolescentes, huérfanos, niños </w:t>
      </w:r>
      <w:r w:rsidR="00D000D0">
        <w:t xml:space="preserve">y niñas </w:t>
      </w:r>
      <w:r>
        <w:t xml:space="preserve">con discapacidad y otros grupos adolescentes, haciendo un llamado a los Estados a enfocarse en estos </w:t>
      </w:r>
      <w:r w:rsidR="00D000D0">
        <w:t>grupo</w:t>
      </w:r>
      <w:r>
        <w:t>s en particular.</w:t>
      </w:r>
      <w:r>
        <w:rPr>
          <w:rStyle w:val="EndnoteReference"/>
        </w:rPr>
        <w:endnoteReference w:id="917"/>
      </w:r>
      <w:r>
        <w:t xml:space="preserve"> En particular, se ha expresado preocupación ante al menos un Estado por los niños </w:t>
      </w:r>
      <w:r w:rsidR="00D000D0">
        <w:t xml:space="preserve">o niñas </w:t>
      </w:r>
      <w:r>
        <w:t xml:space="preserve">que dejan de recibir servicios de salud reproductiva primarios debido al estereotipo de que no son </w:t>
      </w:r>
      <w:r>
        <w:lastRenderedPageBreak/>
        <w:t>sexualmente activos.</w:t>
      </w:r>
      <w:r>
        <w:rPr>
          <w:rStyle w:val="EndnoteReference"/>
        </w:rPr>
        <w:endnoteReference w:id="918"/>
      </w:r>
      <w:r>
        <w:t xml:space="preserve"> El Comité </w:t>
      </w:r>
      <w:r w:rsidR="00D000D0">
        <w:t xml:space="preserve">ha </w:t>
      </w:r>
      <w:r>
        <w:t>solicit</w:t>
      </w:r>
      <w:r w:rsidR="00D000D0">
        <w:t>ado</w:t>
      </w:r>
      <w:r>
        <w:t xml:space="preserve"> a al menos un </w:t>
      </w:r>
      <w:r w:rsidR="00D000D0">
        <w:t>E</w:t>
      </w:r>
      <w:r>
        <w:t>stado que asegure de que su política de salud sexual y reproductiva preste especial atención a las niñas con discapacidad.</w:t>
      </w:r>
      <w:r>
        <w:rPr>
          <w:rStyle w:val="EndnoteReference"/>
        </w:rPr>
        <w:endnoteReference w:id="919"/>
      </w:r>
    </w:p>
    <w:p w14:paraId="346F6FA1" w14:textId="77777777" w:rsidR="0049019C" w:rsidRPr="004B2C96" w:rsidRDefault="00CD0EAF">
      <w:pPr>
        <w:pStyle w:val="Heading3"/>
      </w:pPr>
      <w:bookmarkStart w:id="70" w:name="_Toc498590723"/>
      <w:r w:rsidRPr="004B2C96">
        <w:t>El aborto</w:t>
      </w:r>
      <w:bookmarkEnd w:id="70"/>
    </w:p>
    <w:p w14:paraId="321EAED7" w14:textId="35440818" w:rsidR="0049019C" w:rsidRDefault="00CD0EAF" w:rsidP="002D624D">
      <w:r>
        <w:t xml:space="preserve">El </w:t>
      </w:r>
      <w:r w:rsidR="002D624D">
        <w:t>Comité C</w:t>
      </w:r>
      <w:r w:rsidR="00292DAC">
        <w:t>DN</w:t>
      </w:r>
      <w:r>
        <w:t xml:space="preserve"> ha expresado con frecuencia su preocupación por las altas tasas de abortos inseguros, incluso entre adolescentes</w:t>
      </w:r>
      <w:r>
        <w:rPr>
          <w:rStyle w:val="EndnoteReference"/>
        </w:rPr>
        <w:endnoteReference w:id="920"/>
      </w:r>
      <w:r>
        <w:t xml:space="preserve"> y se ha remarcado que los abortos inseguros son una de las causas principales de mortalidad materna.</w:t>
      </w:r>
      <w:r>
        <w:rPr>
          <w:rStyle w:val="EndnoteReference"/>
        </w:rPr>
        <w:endnoteReference w:id="921"/>
      </w:r>
      <w:r>
        <w:t xml:space="preserve"> También se ha manifestado preocupación ante por lo menos un Estado por la estigmatización del embarazo fuera del matrimonio y las altas ta</w:t>
      </w:r>
      <w:r w:rsidR="00292DAC">
        <w:t>s</w:t>
      </w:r>
      <w:r>
        <w:t>as de abortos inseguros que conlleva.</w:t>
      </w:r>
      <w:r>
        <w:rPr>
          <w:rStyle w:val="EndnoteReference"/>
        </w:rPr>
        <w:endnoteReference w:id="922"/>
      </w:r>
      <w:r>
        <w:t xml:space="preserve"> El Comité </w:t>
      </w:r>
      <w:r w:rsidR="00292DAC">
        <w:t xml:space="preserve">ha </w:t>
      </w:r>
      <w:r>
        <w:t>recomend</w:t>
      </w:r>
      <w:r w:rsidR="00292DAC">
        <w:t>ado</w:t>
      </w:r>
      <w:r>
        <w:t xml:space="preserve"> a al menos un Estado que reduzca las instancias de aborto inseguro garantizando el acceso al aborto no punible, en particular para las niñas y víctimas de violación, sin la necesidad de que intervenga una corte</w:t>
      </w:r>
      <w:r w:rsidR="00292DAC">
        <w:t>,</w:t>
      </w:r>
      <w:r>
        <w:rPr>
          <w:rStyle w:val="EndnoteReference"/>
        </w:rPr>
        <w:endnoteReference w:id="923"/>
      </w:r>
      <w:r>
        <w:t xml:space="preserve"> </w:t>
      </w:r>
      <w:r w:rsidR="00292DAC">
        <w:t>y</w:t>
      </w:r>
      <w:r>
        <w:t xml:space="preserve"> a otro Estado se le recomendó reducir los abortos inseguros a través de la revisión de la legislación sobre aborto.</w:t>
      </w:r>
      <w:r>
        <w:rPr>
          <w:rStyle w:val="EndnoteReference"/>
        </w:rPr>
        <w:endnoteReference w:id="924"/>
      </w:r>
    </w:p>
    <w:p w14:paraId="7D1BC6A9" w14:textId="108E5F37" w:rsidR="0049019C" w:rsidRDefault="00292DAC">
      <w:pPr>
        <w:pStyle w:val="Heading4"/>
      </w:pPr>
      <w:r>
        <w:t>C</w:t>
      </w:r>
      <w:r w:rsidR="00CD0EAF">
        <w:t xml:space="preserve">riminalización </w:t>
      </w:r>
      <w:r>
        <w:t xml:space="preserve">del Aborto </w:t>
      </w:r>
      <w:r w:rsidR="00CD0EAF">
        <w:t xml:space="preserve">y </w:t>
      </w:r>
      <w:r>
        <w:t>L</w:t>
      </w:r>
      <w:r w:rsidR="00CD0EAF">
        <w:t xml:space="preserve">eyes </w:t>
      </w:r>
      <w:r>
        <w:t>R</w:t>
      </w:r>
      <w:r w:rsidR="00CD0EAF">
        <w:t>estrictivas</w:t>
      </w:r>
      <w:r>
        <w:t xml:space="preserve"> sobre Aborto</w:t>
      </w:r>
    </w:p>
    <w:p w14:paraId="1E94F9F3" w14:textId="4A38B32D" w:rsidR="0049019C" w:rsidRDefault="00CD0EAF" w:rsidP="001261E1">
      <w:r>
        <w:t xml:space="preserve">El </w:t>
      </w:r>
      <w:r w:rsidR="002D624D">
        <w:t>Comité C</w:t>
      </w:r>
      <w:r w:rsidR="00292DAC">
        <w:t>DN</w:t>
      </w:r>
      <w:r>
        <w:t xml:space="preserve"> ha expresado su preocupación por las </w:t>
      </w:r>
      <w:r w:rsidR="00292DAC">
        <w:t xml:space="preserve">leyes </w:t>
      </w:r>
      <w:r>
        <w:t>restrictivas de aborto</w:t>
      </w:r>
      <w:r>
        <w:rPr>
          <w:rStyle w:val="EndnoteReference"/>
        </w:rPr>
        <w:endnoteReference w:id="925"/>
      </w:r>
      <w:r>
        <w:t xml:space="preserve"> y </w:t>
      </w:r>
      <w:r w:rsidR="00292DAC">
        <w:t>los</w:t>
      </w:r>
      <w:r>
        <w:t xml:space="preserve"> abortos ilegales e inseguros en</w:t>
      </w:r>
      <w:r w:rsidR="00292DAC">
        <w:t>tre</w:t>
      </w:r>
      <w:r>
        <w:t xml:space="preserve"> adolescentes,</w:t>
      </w:r>
      <w:r>
        <w:rPr>
          <w:rStyle w:val="EndnoteReference"/>
        </w:rPr>
        <w:endnoteReference w:id="926"/>
      </w:r>
      <w:r>
        <w:t xml:space="preserve"> inclu</w:t>
      </w:r>
      <w:r w:rsidR="00292DAC">
        <w:t>yendo</w:t>
      </w:r>
      <w:r>
        <w:t xml:space="preserve"> cuando los </w:t>
      </w:r>
      <w:r w:rsidR="00292DAC">
        <w:t xml:space="preserve">y las </w:t>
      </w:r>
      <w:r>
        <w:t xml:space="preserve">adolescentes deben recurrir a abortos inseguros porque es ilegal o inaccesible, </w:t>
      </w:r>
      <w:r w:rsidR="00292DAC">
        <w:t>poniendo en</w:t>
      </w:r>
      <w:r>
        <w:t xml:space="preserve"> riesgo </w:t>
      </w:r>
      <w:r w:rsidR="00292DAC">
        <w:t>su</w:t>
      </w:r>
      <w:r>
        <w:t xml:space="preserve"> vida y salud.</w:t>
      </w:r>
      <w:r>
        <w:rPr>
          <w:rStyle w:val="EndnoteReference"/>
        </w:rPr>
        <w:endnoteReference w:id="927"/>
      </w:r>
      <w:r>
        <w:t xml:space="preserve"> Particularmente se ha expresado preocupación individualmente a algunos Estados por el hecho de que el aborto no sea accesible a las jóvenes solteras,</w:t>
      </w:r>
      <w:r>
        <w:rPr>
          <w:rStyle w:val="EndnoteReference"/>
        </w:rPr>
        <w:endnoteReference w:id="928"/>
      </w:r>
      <w:r>
        <w:t xml:space="preserve"> </w:t>
      </w:r>
      <w:r w:rsidR="00292DAC">
        <w:t>por</w:t>
      </w:r>
      <w:r>
        <w:t xml:space="preserve"> jóvenes </w:t>
      </w:r>
      <w:r w:rsidR="00292DAC">
        <w:t xml:space="preserve">que </w:t>
      </w:r>
      <w:r>
        <w:t>deb</w:t>
      </w:r>
      <w:r w:rsidR="00292DAC">
        <w:t>e</w:t>
      </w:r>
      <w:r>
        <w:t>n viajar a otro Estado para acceder a un aborto,</w:t>
      </w:r>
      <w:r>
        <w:rPr>
          <w:rStyle w:val="EndnoteReference"/>
        </w:rPr>
        <w:endnoteReference w:id="929"/>
      </w:r>
      <w:r>
        <w:t xml:space="preserve"> por</w:t>
      </w:r>
      <w:r w:rsidR="00292DAC">
        <w:t xml:space="preserve"> </w:t>
      </w:r>
      <w:r>
        <w:t>la criminalización del embarazo fuera del matrimonio, lo cual lleva a muchas jóvenes a recurrir a un aborto inseguro,</w:t>
      </w:r>
      <w:r>
        <w:rPr>
          <w:rStyle w:val="EndnoteReference"/>
        </w:rPr>
        <w:endnoteReference w:id="930"/>
      </w:r>
      <w:r>
        <w:t xml:space="preserve"> y por</w:t>
      </w:r>
      <w:r w:rsidR="00E02C40">
        <w:t xml:space="preserve"> </w:t>
      </w:r>
      <w:r>
        <w:t>la falta de acceso al aborto seguro que trae aparejado el abandono de bebés.</w:t>
      </w:r>
      <w:r>
        <w:rPr>
          <w:rStyle w:val="EndnoteReference"/>
        </w:rPr>
        <w:endnoteReference w:id="931"/>
      </w:r>
      <w:r>
        <w:t xml:space="preserve"> También se ha expresado preocupación ante por lo menos un Estado </w:t>
      </w:r>
      <w:r w:rsidR="00292DAC">
        <w:t>donde las</w:t>
      </w:r>
      <w:r>
        <w:t xml:space="preserve"> </w:t>
      </w:r>
      <w:r w:rsidR="00292DAC">
        <w:t>preferencia</w:t>
      </w:r>
      <w:r>
        <w:t>s de una niña por un aborto no fueron tenidos en cuenta sobre la opinión de sus padres o tutores.</w:t>
      </w:r>
      <w:r>
        <w:rPr>
          <w:rStyle w:val="EndnoteReference"/>
        </w:rPr>
        <w:endnoteReference w:id="932"/>
      </w:r>
      <w:r>
        <w:t xml:space="preserve"> El </w:t>
      </w:r>
      <w:r w:rsidR="002D624D">
        <w:t xml:space="preserve">Comité </w:t>
      </w:r>
      <w:r>
        <w:t>ha expresado su preocupación ante al menos un Estado por el hecho de que haya niñas que enfrentan cargos penales por haberse sometido a abortos ilegales.</w:t>
      </w:r>
      <w:r>
        <w:rPr>
          <w:rStyle w:val="EndnoteReference"/>
        </w:rPr>
        <w:endnoteReference w:id="933"/>
      </w:r>
    </w:p>
    <w:p w14:paraId="0DE4D33A" w14:textId="28556B36" w:rsidR="0049019C" w:rsidRDefault="00CD0EAF" w:rsidP="001261E1">
      <w:r>
        <w:t xml:space="preserve">El </w:t>
      </w:r>
      <w:r w:rsidR="002D624D">
        <w:t>Comité C</w:t>
      </w:r>
      <w:r w:rsidR="00292DAC">
        <w:t>DN</w:t>
      </w:r>
      <w:r>
        <w:t xml:space="preserve"> </w:t>
      </w:r>
      <w:r w:rsidR="00292DAC">
        <w:t>ha consistentemente llamado a</w:t>
      </w:r>
      <w:r>
        <w:t xml:space="preserve"> los Estados </w:t>
      </w:r>
      <w:r w:rsidR="00292DAC">
        <w:t xml:space="preserve">a </w:t>
      </w:r>
      <w:r>
        <w:t>rev</w:t>
      </w:r>
      <w:r w:rsidR="00292DAC">
        <w:t>isar</w:t>
      </w:r>
      <w:r>
        <w:t xml:space="preserve"> sus leyes sobre aborto y que las hagan menos restrictivas,</w:t>
      </w:r>
      <w:r>
        <w:rPr>
          <w:rStyle w:val="EndnoteReference"/>
        </w:rPr>
        <w:endnoteReference w:id="934"/>
      </w:r>
      <w:r>
        <w:t xml:space="preserve"> inclu</w:t>
      </w:r>
      <w:r w:rsidR="00292DAC">
        <w:t>yendo</w:t>
      </w:r>
      <w:r>
        <w:t xml:space="preserve"> garantiza</w:t>
      </w:r>
      <w:r w:rsidR="00000ACE">
        <w:t>r</w:t>
      </w:r>
      <w:r>
        <w:t xml:space="preserve"> que el aborto sea legal cuando el embarazo implica un riesgo de vida o salud para la j</w:t>
      </w:r>
      <w:r w:rsidR="00000ACE">
        <w:t>o</w:t>
      </w:r>
      <w:r>
        <w:t xml:space="preserve">ven embarazada, cuando hay </w:t>
      </w:r>
      <w:r w:rsidRPr="00982B2F">
        <w:t xml:space="preserve">una </w:t>
      </w:r>
      <w:r w:rsidR="00000ACE" w:rsidRPr="00982B2F">
        <w:t>a</w:t>
      </w:r>
      <w:r w:rsidR="00BD6A14" w:rsidRPr="00982B2F">
        <w:t>nomalía</w:t>
      </w:r>
      <w:r w:rsidR="00000ACE" w:rsidRPr="00982B2F">
        <w:t xml:space="preserve"> </w:t>
      </w:r>
      <w:r w:rsidRPr="00982B2F">
        <w:t>fetal o</w:t>
      </w:r>
      <w:r>
        <w:t xml:space="preserve"> en casos de violencia sexual.</w:t>
      </w:r>
      <w:r>
        <w:rPr>
          <w:rStyle w:val="EndnoteReference"/>
        </w:rPr>
        <w:endnoteReference w:id="935"/>
      </w:r>
      <w:r>
        <w:t xml:space="preserve"> Desde 2015 el </w:t>
      </w:r>
      <w:r w:rsidR="00000ACE">
        <w:t>C</w:t>
      </w:r>
      <w:r>
        <w:t>omité</w:t>
      </w:r>
      <w:r w:rsidR="00000ACE">
        <w:t xml:space="preserve"> CDN</w:t>
      </w:r>
      <w:r>
        <w:t xml:space="preserve"> también comenzó a </w:t>
      </w:r>
      <w:r w:rsidR="00000ACE">
        <w:t>exhortar a</w:t>
      </w:r>
      <w:r>
        <w:t xml:space="preserve"> los Estados </w:t>
      </w:r>
      <w:r w:rsidR="00000ACE">
        <w:t xml:space="preserve">que </w:t>
      </w:r>
      <w:r>
        <w:t xml:space="preserve">despenalicen el aborto en </w:t>
      </w:r>
      <w:r w:rsidR="00000ACE">
        <w:t xml:space="preserve">todas las </w:t>
      </w:r>
      <w:r>
        <w:t>circunstancia</w:t>
      </w:r>
      <w:r w:rsidR="00000ACE">
        <w:t>s</w:t>
      </w:r>
      <w:r>
        <w:t>.</w:t>
      </w:r>
      <w:r>
        <w:rPr>
          <w:rStyle w:val="EndnoteReference"/>
        </w:rPr>
        <w:endnoteReference w:id="936"/>
      </w:r>
      <w:r>
        <w:t xml:space="preserve"> En el caso de los adolescentes en particular, constantemente se llama a los Estados a garantizar el acceso al aborto seguro,</w:t>
      </w:r>
      <w:r>
        <w:rPr>
          <w:rStyle w:val="EndnoteReference"/>
        </w:rPr>
        <w:endnoteReference w:id="937"/>
      </w:r>
      <w:r>
        <w:t xml:space="preserve"> para actuar en pos del </w:t>
      </w:r>
      <w:r w:rsidR="00000ACE">
        <w:t xml:space="preserve">mejor interés </w:t>
      </w:r>
      <w:r>
        <w:t>de las adolescentes embarazadas,</w:t>
      </w:r>
      <w:r>
        <w:rPr>
          <w:rStyle w:val="EndnoteReference"/>
        </w:rPr>
        <w:endnoteReference w:id="938"/>
      </w:r>
      <w:r>
        <w:t xml:space="preserve"> y para asegurarse de que "la opinión del niño siempre es escuchada y respetada en las decisiones sobre aborto."</w:t>
      </w:r>
      <w:r>
        <w:rPr>
          <w:rStyle w:val="EndnoteReference"/>
        </w:rPr>
        <w:endnoteReference w:id="939"/>
      </w:r>
      <w:r>
        <w:t xml:space="preserve"> También se ha </w:t>
      </w:r>
      <w:r w:rsidR="00000ACE">
        <w:t xml:space="preserve">solicitado </w:t>
      </w:r>
      <w:r>
        <w:t xml:space="preserve">a al menos un Estado tomar medidas urgentes para reducir las muertes maternas </w:t>
      </w:r>
      <w:r w:rsidR="00000ACE">
        <w:t>por</w:t>
      </w:r>
      <w:r>
        <w:t xml:space="preserve"> aborto inseguro, inclu</w:t>
      </w:r>
      <w:r w:rsidR="00000ACE">
        <w:t xml:space="preserve">yendo </w:t>
      </w:r>
      <w:r>
        <w:t>asegura</w:t>
      </w:r>
      <w:r w:rsidR="00000ACE">
        <w:t>r</w:t>
      </w:r>
      <w:r>
        <w:t xml:space="preserve"> que el aborto y la atención postaborto sean accesibles tanto en </w:t>
      </w:r>
      <w:r w:rsidR="00000ACE">
        <w:t>la legislación</w:t>
      </w:r>
      <w:r>
        <w:t xml:space="preserve"> como en la práctica.</w:t>
      </w:r>
      <w:r>
        <w:rPr>
          <w:rStyle w:val="EndnoteReference"/>
        </w:rPr>
        <w:endnoteReference w:id="940"/>
      </w:r>
      <w:r>
        <w:t xml:space="preserve"> Por último, se ha solicitado a al menos un Estado que garantice que los </w:t>
      </w:r>
      <w:r w:rsidR="00000ACE">
        <w:t xml:space="preserve">y las </w:t>
      </w:r>
      <w:r>
        <w:t xml:space="preserve">adolescentes que quieran terminar sus embarazos reciban </w:t>
      </w:r>
      <w:r w:rsidR="00000ACE">
        <w:t xml:space="preserve">consejería </w:t>
      </w:r>
      <w:r>
        <w:t xml:space="preserve"> y apoyo adecuados a su edad, contexto y necesidades.</w:t>
      </w:r>
      <w:r>
        <w:rPr>
          <w:rStyle w:val="EndnoteReference"/>
        </w:rPr>
        <w:endnoteReference w:id="941"/>
      </w:r>
    </w:p>
    <w:p w14:paraId="63A8B19C" w14:textId="280FF6B6" w:rsidR="0049019C" w:rsidRDefault="00000ACE">
      <w:pPr>
        <w:pStyle w:val="Heading4"/>
      </w:pPr>
      <w:r>
        <w:t>Barreras P</w:t>
      </w:r>
      <w:r w:rsidR="00CD0EAF">
        <w:t>ráctic</w:t>
      </w:r>
      <w:r>
        <w:t>a</w:t>
      </w:r>
      <w:r w:rsidR="00CD0EAF">
        <w:t xml:space="preserve">s y </w:t>
      </w:r>
      <w:r>
        <w:t>P</w:t>
      </w:r>
      <w:r w:rsidR="00CD0EAF">
        <w:t xml:space="preserve">rocedimentales para el </w:t>
      </w:r>
      <w:r>
        <w:t>A</w:t>
      </w:r>
      <w:r w:rsidR="00CD0EAF">
        <w:t xml:space="preserve">borto </w:t>
      </w:r>
    </w:p>
    <w:p w14:paraId="313C1BCE" w14:textId="229F0F54" w:rsidR="0049019C" w:rsidRDefault="00CD0EAF" w:rsidP="001261E1">
      <w:r>
        <w:t xml:space="preserve">El </w:t>
      </w:r>
      <w:r w:rsidR="002D624D">
        <w:t>Comité C</w:t>
      </w:r>
      <w:r w:rsidR="00000ACE">
        <w:t>DN</w:t>
      </w:r>
      <w:r>
        <w:t xml:space="preserve"> </w:t>
      </w:r>
      <w:r w:rsidR="00AD08ED">
        <w:t xml:space="preserve">ha </w:t>
      </w:r>
      <w:r w:rsidR="00000ACE">
        <w:t>m</w:t>
      </w:r>
      <w:r>
        <w:t>anifest</w:t>
      </w:r>
      <w:r w:rsidR="00AD08ED">
        <w:t>ado</w:t>
      </w:r>
      <w:r>
        <w:t xml:space="preserve"> su preocupación ante los Estados </w:t>
      </w:r>
      <w:r w:rsidR="00AD08ED">
        <w:t>donde hay</w:t>
      </w:r>
      <w:r>
        <w:t xml:space="preserve"> falta de acceso al aborto legal en la práctica,</w:t>
      </w:r>
      <w:r>
        <w:rPr>
          <w:rStyle w:val="EndnoteReference"/>
        </w:rPr>
        <w:endnoteReference w:id="942"/>
      </w:r>
      <w:r>
        <w:t xml:space="preserve"> inclu</w:t>
      </w:r>
      <w:r w:rsidR="00AD08ED">
        <w:t>yendo</w:t>
      </w:r>
      <w:r>
        <w:t xml:space="preserve"> </w:t>
      </w:r>
      <w:r w:rsidR="00AD08ED">
        <w:t>donde</w:t>
      </w:r>
      <w:r>
        <w:t xml:space="preserve"> el estigma social reduce el acceso al aborto legal para mujeres y niñas.</w:t>
      </w:r>
      <w:r>
        <w:rPr>
          <w:rStyle w:val="EndnoteReference"/>
        </w:rPr>
        <w:endnoteReference w:id="943"/>
      </w:r>
      <w:r>
        <w:t xml:space="preserve"> En particular, el Comité ha expresado su preocupación por la extensa duración de los procedimientos de autorización de abortos y por cómo esto limita el acceso al aborto de las niñas.</w:t>
      </w:r>
      <w:r>
        <w:rPr>
          <w:rStyle w:val="EndnoteReference"/>
        </w:rPr>
        <w:endnoteReference w:id="944"/>
      </w:r>
      <w:r>
        <w:t xml:space="preserve"> También ha expresado preocupación por las situaciones en que el consentimiento parental,</w:t>
      </w:r>
      <w:r>
        <w:rPr>
          <w:rStyle w:val="EndnoteReference"/>
        </w:rPr>
        <w:endnoteReference w:id="945"/>
      </w:r>
      <w:r>
        <w:t xml:space="preserve"> conyugal,</w:t>
      </w:r>
      <w:r>
        <w:rPr>
          <w:rStyle w:val="EndnoteReference"/>
        </w:rPr>
        <w:endnoteReference w:id="946"/>
      </w:r>
      <w:r>
        <w:t xml:space="preserve"> o la autorización judicial</w:t>
      </w:r>
      <w:r>
        <w:rPr>
          <w:rStyle w:val="EndnoteReference"/>
        </w:rPr>
        <w:endnoteReference w:id="947"/>
      </w:r>
      <w:r>
        <w:t xml:space="preserve"> son necesarios para acceder al aborto y se ha pedido a los Estados elimin</w:t>
      </w:r>
      <w:r w:rsidR="00AD08ED">
        <w:t>ar</w:t>
      </w:r>
      <w:r>
        <w:t xml:space="preserve"> estos requ</w:t>
      </w:r>
      <w:r w:rsidR="00AD08ED">
        <w:t>erimiento</w:t>
      </w:r>
      <w:r>
        <w:t>s.</w:t>
      </w:r>
      <w:r>
        <w:rPr>
          <w:rStyle w:val="EndnoteReference"/>
        </w:rPr>
        <w:endnoteReference w:id="948"/>
      </w:r>
      <w:r>
        <w:t xml:space="preserve"> Además, se ha solicitado a al menos un Estado garanti</w:t>
      </w:r>
      <w:r w:rsidR="00AD08ED">
        <w:t>zar</w:t>
      </w:r>
      <w:r>
        <w:t xml:space="preserve"> </w:t>
      </w:r>
      <w:r w:rsidR="00AD08ED">
        <w:t xml:space="preserve">que </w:t>
      </w:r>
      <w:r>
        <w:t xml:space="preserve">los </w:t>
      </w:r>
      <w:r w:rsidR="00AD08ED">
        <w:t xml:space="preserve">y las </w:t>
      </w:r>
      <w:r>
        <w:t>profesionales de la salud estén al tanto de que no precisan autorización judicial antes de practicar un aborto en niñas y víctimas de violación.</w:t>
      </w:r>
      <w:r>
        <w:rPr>
          <w:rStyle w:val="EndnoteReference"/>
        </w:rPr>
        <w:endnoteReference w:id="949"/>
      </w:r>
      <w:r>
        <w:t xml:space="preserve"> También se ha expresado preocupación por el alto costo de los servicios de aborto,</w:t>
      </w:r>
      <w:r>
        <w:rPr>
          <w:rStyle w:val="EndnoteReference"/>
        </w:rPr>
        <w:endnoteReference w:id="950"/>
      </w:r>
      <w:r>
        <w:t xml:space="preserve"> incluyendo los casos en que el aborto no está cubierto por el seguro médico</w:t>
      </w:r>
      <w:r w:rsidR="00AD08ED">
        <w:t xml:space="preserve"> público</w:t>
      </w:r>
      <w:r>
        <w:t>,</w:t>
      </w:r>
      <w:r>
        <w:rPr>
          <w:rStyle w:val="EndnoteReference"/>
        </w:rPr>
        <w:endnoteReference w:id="951"/>
      </w:r>
      <w:r>
        <w:t xml:space="preserve"> y se ha </w:t>
      </w:r>
      <w:r w:rsidR="00AD08ED">
        <w:t xml:space="preserve">solicitado </w:t>
      </w:r>
      <w:r>
        <w:t xml:space="preserve">ante al menos un Estado asegurar que el aborto esté cubierto por los sistemas </w:t>
      </w:r>
      <w:r>
        <w:lastRenderedPageBreak/>
        <w:t>de seguro público.</w:t>
      </w:r>
      <w:r>
        <w:rPr>
          <w:rStyle w:val="EndnoteReference"/>
        </w:rPr>
        <w:endnoteReference w:id="952"/>
      </w:r>
      <w:r>
        <w:t xml:space="preserve"> El Comité adicionalmente </w:t>
      </w:r>
      <w:r w:rsidR="00AD08ED">
        <w:t xml:space="preserve">ha </w:t>
      </w:r>
      <w:r>
        <w:t>expres</w:t>
      </w:r>
      <w:r w:rsidR="00AD08ED">
        <w:t>ado</w:t>
      </w:r>
      <w:r>
        <w:t xml:space="preserve"> su preocupación ante al menos un Estado por la desigualdad de acceso </w:t>
      </w:r>
      <w:r w:rsidR="00AD08ED">
        <w:t>a servicios de</w:t>
      </w:r>
      <w:r>
        <w:t xml:space="preserve"> aborto legal a nivel regional y llamó al Estado a rev</w:t>
      </w:r>
      <w:r w:rsidR="00C76234">
        <w:t>isa</w:t>
      </w:r>
      <w:r>
        <w:t xml:space="preserve">r su </w:t>
      </w:r>
      <w:r w:rsidR="00C76234">
        <w:t>C</w:t>
      </w:r>
      <w:r>
        <w:t xml:space="preserve">ódigo </w:t>
      </w:r>
      <w:r w:rsidR="00C76234">
        <w:t>P</w:t>
      </w:r>
      <w:r>
        <w:t>enal para evitar estas desigualdades.</w:t>
      </w:r>
      <w:r>
        <w:rPr>
          <w:rStyle w:val="EndnoteReference"/>
        </w:rPr>
        <w:endnoteReference w:id="953"/>
      </w:r>
      <w:r>
        <w:t xml:space="preserve"> También se </w:t>
      </w:r>
      <w:r w:rsidR="00C76234">
        <w:t xml:space="preserve">ha </w:t>
      </w:r>
      <w:r>
        <w:t>recomend</w:t>
      </w:r>
      <w:r w:rsidR="00C76234">
        <w:t>ado</w:t>
      </w:r>
      <w:r>
        <w:t xml:space="preserve"> a un Estado que </w:t>
      </w:r>
      <w:r w:rsidR="00C76234">
        <w:t>adopte una guía</w:t>
      </w:r>
      <w:r>
        <w:t xml:space="preserve"> para </w:t>
      </w:r>
      <w:r w:rsidR="00C76234">
        <w:t>a</w:t>
      </w:r>
      <w:r>
        <w:t>clar</w:t>
      </w:r>
      <w:r w:rsidR="00C76234">
        <w:t>ar</w:t>
      </w:r>
      <w:r>
        <w:t xml:space="preserve"> cu</w:t>
      </w:r>
      <w:r w:rsidR="00C76234">
        <w:t>a</w:t>
      </w:r>
      <w:r>
        <w:t>ndo l</w:t>
      </w:r>
      <w:r w:rsidR="00C76234">
        <w:t>as y l</w:t>
      </w:r>
      <w:r>
        <w:t>os médicos pueden practicar abortos legalmente, y garantice que las adolescentes y las mujeres adultas embarazadas puedan apelar la decisión de</w:t>
      </w:r>
      <w:r w:rsidR="00C76234">
        <w:t>l</w:t>
      </w:r>
      <w:r>
        <w:t xml:space="preserve"> doctor de negarles la posibilidad de abortar.</w:t>
      </w:r>
      <w:r>
        <w:rPr>
          <w:rStyle w:val="EndnoteReference"/>
        </w:rPr>
        <w:endnoteReference w:id="954"/>
      </w:r>
    </w:p>
    <w:p w14:paraId="242B2D03" w14:textId="6540FC02" w:rsidR="0049019C" w:rsidRDefault="00CD0EAF" w:rsidP="001261E1">
      <w:r>
        <w:t xml:space="preserve">El </w:t>
      </w:r>
      <w:r w:rsidR="00A448F2">
        <w:t>Comité C</w:t>
      </w:r>
      <w:r w:rsidR="00C76234">
        <w:t>DN</w:t>
      </w:r>
      <w:r>
        <w:t xml:space="preserve"> también </w:t>
      </w:r>
      <w:r w:rsidR="00C76234">
        <w:t xml:space="preserve">ha </w:t>
      </w:r>
      <w:r>
        <w:t>expres</w:t>
      </w:r>
      <w:r w:rsidR="00C76234">
        <w:t>ado</w:t>
      </w:r>
      <w:r>
        <w:t xml:space="preserve"> su preocupación ante al menos un Estado por los innecesarios </w:t>
      </w:r>
      <w:r w:rsidR="00C76234">
        <w:t xml:space="preserve">períodos </w:t>
      </w:r>
      <w:r>
        <w:t xml:space="preserve">de espera y </w:t>
      </w:r>
      <w:r w:rsidR="00C76234">
        <w:t>la consejería</w:t>
      </w:r>
      <w:r>
        <w:t xml:space="preserve"> obligatori</w:t>
      </w:r>
      <w:r w:rsidR="00C76234">
        <w:t>a</w:t>
      </w:r>
      <w:r>
        <w:t xml:space="preserve"> </w:t>
      </w:r>
      <w:r w:rsidR="00C76234">
        <w:t xml:space="preserve">para adolescentes </w:t>
      </w:r>
      <w:r>
        <w:t xml:space="preserve">antes de acceder al aborto, "que están pensados para disuadir a las jóvenes de abortar, a través de información médica </w:t>
      </w:r>
      <w:r w:rsidR="00C76234">
        <w:t>inexact</w:t>
      </w:r>
      <w:r>
        <w:t>a, confusa y prejuiciosa</w:t>
      </w:r>
      <w:r w:rsidR="00C42EC0">
        <w:t>.</w:t>
      </w:r>
      <w:r>
        <w:t>"</w:t>
      </w:r>
      <w:r>
        <w:rPr>
          <w:rStyle w:val="EndnoteReference"/>
        </w:rPr>
        <w:endnoteReference w:id="955"/>
      </w:r>
      <w:r>
        <w:t xml:space="preserve"> El Comité pidió a este Estado revo</w:t>
      </w:r>
      <w:r w:rsidR="00C76234">
        <w:t>car</w:t>
      </w:r>
      <w:r>
        <w:t xml:space="preserve"> los períodos obligatorios de espera y asegur</w:t>
      </w:r>
      <w:r w:rsidR="0010056B">
        <w:t>ar</w:t>
      </w:r>
      <w:r>
        <w:t xml:space="preserve"> que proveedores de salud den información precisa y no estigmatizante sobre </w:t>
      </w:r>
      <w:r w:rsidR="0010056B">
        <w:t>información d</w:t>
      </w:r>
      <w:r>
        <w:t>el aborto, garantizando el derecho a la confidencialidad de las niñas.</w:t>
      </w:r>
      <w:r>
        <w:rPr>
          <w:rStyle w:val="EndnoteReference"/>
        </w:rPr>
        <w:endnoteReference w:id="956"/>
      </w:r>
    </w:p>
    <w:p w14:paraId="40C89481" w14:textId="6A77F737" w:rsidR="0049019C" w:rsidRDefault="00CD0EAF" w:rsidP="001261E1">
      <w:r>
        <w:t xml:space="preserve">El </w:t>
      </w:r>
      <w:r w:rsidR="00A448F2">
        <w:t>Comité C</w:t>
      </w:r>
      <w:r w:rsidR="00C76234">
        <w:t>DN</w:t>
      </w:r>
      <w:r>
        <w:t xml:space="preserve"> remarcó a al menos dos Estados el hecho que regulan inadecuadamente el uso de la objeción de conciencia, lo cual lleva a la privación del acceso a la atención médica </w:t>
      </w:r>
      <w:r w:rsidR="0010056B">
        <w:t xml:space="preserve">necesaria </w:t>
      </w:r>
      <w:r>
        <w:t>en salud reproductiva para niñas adolescentes.</w:t>
      </w:r>
      <w:r>
        <w:rPr>
          <w:rStyle w:val="EndnoteReference"/>
        </w:rPr>
        <w:endnoteReference w:id="957"/>
      </w:r>
      <w:r>
        <w:t xml:space="preserve"> </w:t>
      </w:r>
      <w:r w:rsidR="0010056B">
        <w:t xml:space="preserve">En particular, </w:t>
      </w:r>
      <w:r>
        <w:t xml:space="preserve">ha expresado su preocupación ante por lo menos un </w:t>
      </w:r>
      <w:r w:rsidR="0010056B">
        <w:t>E</w:t>
      </w:r>
      <w:r>
        <w:t>stado en los casos en que las autoridades y el personal médico se negaron a</w:t>
      </w:r>
      <w:r w:rsidR="0010056B">
        <w:t xml:space="preserve"> implement</w:t>
      </w:r>
      <w:r>
        <w:t xml:space="preserve">ar una resolución judicial legalizando </w:t>
      </w:r>
      <w:r w:rsidR="0010056B">
        <w:t xml:space="preserve">el </w:t>
      </w:r>
      <w:r>
        <w:t>aborto.</w:t>
      </w:r>
      <w:r>
        <w:rPr>
          <w:rStyle w:val="EndnoteReference"/>
        </w:rPr>
        <w:endnoteReference w:id="958"/>
      </w:r>
      <w:r>
        <w:t xml:space="preserve"> A otro Estado se le sugirió prohibir la objeción </w:t>
      </w:r>
      <w:r w:rsidR="0010056B">
        <w:t xml:space="preserve">de </w:t>
      </w:r>
      <w:r>
        <w:t xml:space="preserve">conciencia a nivel institucional, como aquella ejercida en hospitales, </w:t>
      </w:r>
      <w:r w:rsidR="0010056B">
        <w:t>monitore</w:t>
      </w:r>
      <w:r>
        <w:t xml:space="preserve">ar el uso la objeción </w:t>
      </w:r>
      <w:r w:rsidR="0010056B">
        <w:t xml:space="preserve">de </w:t>
      </w:r>
      <w:r>
        <w:t xml:space="preserve">conciencia, y recolectar información sobre la práctica de la objeción </w:t>
      </w:r>
      <w:r w:rsidR="0010056B">
        <w:t xml:space="preserve">de </w:t>
      </w:r>
      <w:r>
        <w:t xml:space="preserve">conciencia y el acceso de las niñas a servicios </w:t>
      </w:r>
      <w:r w:rsidR="00913EF2">
        <w:t xml:space="preserve">legales </w:t>
      </w:r>
      <w:r>
        <w:t>de salud reproductiva.</w:t>
      </w:r>
      <w:r>
        <w:rPr>
          <w:rStyle w:val="EndnoteReference"/>
        </w:rPr>
        <w:endnoteReference w:id="959"/>
      </w:r>
      <w:r>
        <w:t xml:space="preserve"> También se ha solicitado a al menos un Estado establecer un mecanismo de supervisión para garantizar que las autoridades y el personal médico implementen el derecho al aborto y proporcion</w:t>
      </w:r>
      <w:r w:rsidR="00913EF2">
        <w:t>ar</w:t>
      </w:r>
      <w:r>
        <w:t xml:space="preserve"> acceso a la justicia a las niñas a las que le han denegado abortos, </w:t>
      </w:r>
      <w:r w:rsidR="00913EF2">
        <w:t>incluyendo</w:t>
      </w:r>
      <w:r>
        <w:t xml:space="preserve"> sanciones contra quienes niegan abortos.</w:t>
      </w:r>
      <w:r>
        <w:rPr>
          <w:rStyle w:val="EndnoteReference"/>
        </w:rPr>
        <w:endnoteReference w:id="960"/>
      </w:r>
    </w:p>
    <w:p w14:paraId="1C108DB2" w14:textId="17057CC6" w:rsidR="0049019C" w:rsidRDefault="00CD0EAF">
      <w:pPr>
        <w:pStyle w:val="Heading4"/>
      </w:pPr>
      <w:r>
        <w:t xml:space="preserve">Atención post </w:t>
      </w:r>
      <w:r w:rsidR="0010056B">
        <w:t>A</w:t>
      </w:r>
      <w:r>
        <w:t>borto</w:t>
      </w:r>
    </w:p>
    <w:p w14:paraId="43F174AC" w14:textId="3929196D" w:rsidR="0049019C" w:rsidRDefault="00913EF2" w:rsidP="001261E1">
      <w:r>
        <w:t>El</w:t>
      </w:r>
      <w:r w:rsidR="00CD0EAF">
        <w:t xml:space="preserve"> </w:t>
      </w:r>
      <w:r w:rsidR="002028B2">
        <w:t>Comité C</w:t>
      </w:r>
      <w:r>
        <w:t>DN</w:t>
      </w:r>
      <w:r w:rsidR="00CD0EAF">
        <w:t xml:space="preserve"> llama con frecuencia a los Estados a garantizar el acceso a servicios de atención post aborto para tratar posibles complicaciones en las adolescentes,</w:t>
      </w:r>
      <w:r w:rsidR="00CD0EAF">
        <w:rPr>
          <w:rStyle w:val="EndnoteReference"/>
        </w:rPr>
        <w:endnoteReference w:id="961"/>
      </w:r>
      <w:r w:rsidR="00CD0EAF">
        <w:t xml:space="preserve"> incluso </w:t>
      </w:r>
      <w:r>
        <w:t xml:space="preserve">donde </w:t>
      </w:r>
      <w:r w:rsidR="00CD0EAF">
        <w:t>el aborto</w:t>
      </w:r>
      <w:r w:rsidR="00721538">
        <w:t xml:space="preserve"> </w:t>
      </w:r>
      <w:r w:rsidR="00CD0EAF">
        <w:t>e</w:t>
      </w:r>
      <w:r w:rsidR="00721538">
        <w:t>s</w:t>
      </w:r>
      <w:r w:rsidR="00CD0EAF">
        <w:t xml:space="preserve"> ilegal,</w:t>
      </w:r>
      <w:r w:rsidR="00CD0EAF">
        <w:rPr>
          <w:rStyle w:val="EndnoteReference"/>
        </w:rPr>
        <w:endnoteReference w:id="962"/>
      </w:r>
      <w:r w:rsidR="00CD0EAF">
        <w:t xml:space="preserve"> y se ha solicitado a al menos un Estado que se ampl</w:t>
      </w:r>
      <w:r w:rsidR="00721538">
        <w:t>í</w:t>
      </w:r>
      <w:r w:rsidR="00CD0EAF">
        <w:t>e el acceso a la atención postaborto en los hospitales públicos.</w:t>
      </w:r>
      <w:r w:rsidR="00CD0EAF">
        <w:rPr>
          <w:rStyle w:val="EndnoteReference"/>
        </w:rPr>
        <w:endnoteReference w:id="963"/>
      </w:r>
    </w:p>
    <w:p w14:paraId="5D66BB50" w14:textId="1D68B903" w:rsidR="0049019C" w:rsidRDefault="00CD0EAF">
      <w:pPr>
        <w:pStyle w:val="Heading4"/>
      </w:pPr>
      <w:r>
        <w:t xml:space="preserve">Acceso a la información sobre </w:t>
      </w:r>
      <w:r w:rsidR="00913EF2">
        <w:t>A</w:t>
      </w:r>
      <w:r>
        <w:t>borto</w:t>
      </w:r>
    </w:p>
    <w:p w14:paraId="29B36489" w14:textId="7808E4EE" w:rsidR="0049019C" w:rsidRDefault="00CD0EAF" w:rsidP="001261E1">
      <w:r>
        <w:t xml:space="preserve">El </w:t>
      </w:r>
      <w:r w:rsidR="002028B2">
        <w:t>Comité C</w:t>
      </w:r>
      <w:r w:rsidR="00913EF2">
        <w:t>DN</w:t>
      </w:r>
      <w:r>
        <w:t xml:space="preserve"> ha expresado con frecuencia su preocupación por las bajas tasas de conocimiento en el público general sobre prácticas de aborto seguras.</w:t>
      </w:r>
      <w:r>
        <w:rPr>
          <w:rStyle w:val="EndnoteReference"/>
        </w:rPr>
        <w:endnoteReference w:id="964"/>
      </w:r>
      <w:r>
        <w:t xml:space="preserve"> Se </w:t>
      </w:r>
      <w:r w:rsidR="00721538">
        <w:t xml:space="preserve">ha </w:t>
      </w:r>
      <w:r>
        <w:t>recomenda</w:t>
      </w:r>
      <w:r w:rsidR="00721538">
        <w:t>do</w:t>
      </w:r>
      <w:r>
        <w:t xml:space="preserve"> que el Etado cree conciencia acerca de su legislación sobre aborto seguro entre adolescentes, para que puedan acceder a servicios de aborto seguro y reciban tratamiento por complicaciones tras un aborto inseguro.</w:t>
      </w:r>
      <w:r>
        <w:rPr>
          <w:rStyle w:val="EndnoteReference"/>
        </w:rPr>
        <w:endnoteReference w:id="965"/>
      </w:r>
    </w:p>
    <w:p w14:paraId="77FD3DA9" w14:textId="084387BC" w:rsidR="0049019C" w:rsidRDefault="00CD0EAF">
      <w:pPr>
        <w:pStyle w:val="Heading4"/>
      </w:pPr>
      <w:r>
        <w:t xml:space="preserve">Formación y </w:t>
      </w:r>
      <w:r w:rsidR="00721538">
        <w:t>O</w:t>
      </w:r>
      <w:r>
        <w:t>rientación</w:t>
      </w:r>
    </w:p>
    <w:p w14:paraId="585C5E99" w14:textId="43AAE923" w:rsidR="0049019C" w:rsidRDefault="002028B2" w:rsidP="001261E1">
      <w:r>
        <w:t>El Comité</w:t>
      </w:r>
      <w:r w:rsidR="00CD0EAF">
        <w:t xml:space="preserve"> </w:t>
      </w:r>
      <w:r w:rsidR="00721538">
        <w:t xml:space="preserve">CDN </w:t>
      </w:r>
      <w:r w:rsidR="00CD0EAF">
        <w:t>ha expresado preocupación por lo menos ante dos Estados que carecen de procedimientos claros para la realización de abortos legales, lo cual dificulta el acceso al aborto para adolescentes.</w:t>
      </w:r>
      <w:r w:rsidR="00CD0EAF">
        <w:rPr>
          <w:rStyle w:val="EndnoteReference"/>
        </w:rPr>
        <w:endnoteReference w:id="966"/>
      </w:r>
      <w:r w:rsidR="00CD0EAF">
        <w:t xml:space="preserve"> El Comité ha recomendado que los Estados proporcionen una orientación clara a proveedores de </w:t>
      </w:r>
      <w:r w:rsidR="00721538">
        <w:t>salud</w:t>
      </w:r>
      <w:r w:rsidR="00CD0EAF">
        <w:t xml:space="preserve"> sobre cuándo pueden realizar abortos y proporcionar atención post aborto legalmente.</w:t>
      </w:r>
      <w:r w:rsidR="00CD0EAF">
        <w:rPr>
          <w:rStyle w:val="EndnoteReference"/>
        </w:rPr>
        <w:endnoteReference w:id="967"/>
      </w:r>
      <w:r w:rsidR="00CD0EAF">
        <w:t xml:space="preserve"> También se ha recomendado a por lo menos un Estado que se desarrollen procedimientos claros para una interpretación uniforme y no restrictiva de las leyes sobre aborto.</w:t>
      </w:r>
      <w:r w:rsidR="00CD0EAF">
        <w:rPr>
          <w:rStyle w:val="EndnoteReference"/>
        </w:rPr>
        <w:endnoteReference w:id="968"/>
      </w:r>
      <w:r w:rsidR="00CD0EAF">
        <w:t xml:space="preserve"> Además, el Comité ha recomendado a al menos un Estado que se provea una orientación clara sobre confidencialidad para aquellos que se sometan a un aborto.</w:t>
      </w:r>
      <w:r w:rsidR="00CD0EAF">
        <w:rPr>
          <w:rStyle w:val="EndnoteReference"/>
        </w:rPr>
        <w:endnoteReference w:id="969"/>
      </w:r>
      <w:r w:rsidR="00CD0EAF">
        <w:t xml:space="preserve"> </w:t>
      </w:r>
    </w:p>
    <w:p w14:paraId="7EB10A71" w14:textId="3C1A51DB" w:rsidR="0049019C" w:rsidRDefault="00CD0EAF">
      <w:pPr>
        <w:pStyle w:val="Heading4"/>
      </w:pPr>
      <w:r>
        <w:t xml:space="preserve">Aborto </w:t>
      </w:r>
      <w:r w:rsidR="00721538">
        <w:t>S</w:t>
      </w:r>
      <w:r>
        <w:t>electivo</w:t>
      </w:r>
    </w:p>
    <w:p w14:paraId="07523921" w14:textId="079D4F34" w:rsidR="0049019C" w:rsidRDefault="00CD0EAF" w:rsidP="001261E1">
      <w:r>
        <w:t xml:space="preserve">El </w:t>
      </w:r>
      <w:r w:rsidR="00AA0656">
        <w:t>Comité C</w:t>
      </w:r>
      <w:r w:rsidR="00721538">
        <w:t>DN</w:t>
      </w:r>
      <w:r>
        <w:t xml:space="preserve"> ha expresado su preocupación a Estados donde las tasas de aborto selectivo en relación al sexo parecen ser altas,</w:t>
      </w:r>
      <w:r>
        <w:rPr>
          <w:rStyle w:val="EndnoteReference"/>
        </w:rPr>
        <w:endnoteReference w:id="970"/>
      </w:r>
      <w:r>
        <w:t xml:space="preserve"> incluso en las zonas rurales.</w:t>
      </w:r>
      <w:r>
        <w:rPr>
          <w:rStyle w:val="EndnoteReference"/>
        </w:rPr>
        <w:endnoteReference w:id="971"/>
      </w:r>
      <w:r>
        <w:t xml:space="preserve"> En particular, el Comité ha expresado su preocupación ante por lo menos un Estado donde es desigual o </w:t>
      </w:r>
      <w:r w:rsidR="00721538">
        <w:t>h</w:t>
      </w:r>
      <w:r>
        <w:t>a empeorado la proporción entre hombres y mujeres.</w:t>
      </w:r>
      <w:r>
        <w:rPr>
          <w:rStyle w:val="EndnoteReference"/>
        </w:rPr>
        <w:endnoteReference w:id="972"/>
      </w:r>
      <w:r>
        <w:t xml:space="preserve"> </w:t>
      </w:r>
      <w:r w:rsidR="0048083C">
        <w:t>El a</w:t>
      </w:r>
      <w:r>
        <w:t xml:space="preserve">borto sexo-selectivo </w:t>
      </w:r>
      <w:r w:rsidR="0048083C">
        <w:t xml:space="preserve">se </w:t>
      </w:r>
      <w:r>
        <w:t xml:space="preserve">ha atribuido a las preferencias </w:t>
      </w:r>
      <w:r w:rsidR="0048083C">
        <w:t>por</w:t>
      </w:r>
      <w:r>
        <w:t xml:space="preserve"> </w:t>
      </w:r>
      <w:r w:rsidR="0048083C">
        <w:t xml:space="preserve">el </w:t>
      </w:r>
      <w:r>
        <w:t>hijo y la condición desigual de las niñas.</w:t>
      </w:r>
      <w:r>
        <w:rPr>
          <w:rStyle w:val="EndnoteReference"/>
        </w:rPr>
        <w:endnoteReference w:id="973"/>
      </w:r>
    </w:p>
    <w:p w14:paraId="0955FCA8" w14:textId="18B1E549" w:rsidR="0049019C" w:rsidRDefault="00CD0EAF" w:rsidP="001261E1">
      <w:r>
        <w:lastRenderedPageBreak/>
        <w:t>El Comité C</w:t>
      </w:r>
      <w:r w:rsidR="0048083C">
        <w:t>DN</w:t>
      </w:r>
      <w:r>
        <w:t xml:space="preserve"> ha recomendado </w:t>
      </w:r>
      <w:r w:rsidR="0048083C">
        <w:t>a</w:t>
      </w:r>
      <w:r>
        <w:t xml:space="preserve"> al menos un </w:t>
      </w:r>
      <w:r w:rsidR="0048083C">
        <w:t>E</w:t>
      </w:r>
      <w:r>
        <w:t>stado aplicar la legislación sobre la discriminación de género y tomar medidas para prevenir y prohibir el aborto sexo-selectivo.</w:t>
      </w:r>
      <w:r>
        <w:rPr>
          <w:rStyle w:val="EndnoteReference"/>
        </w:rPr>
        <w:endnoteReference w:id="974"/>
      </w:r>
      <w:r>
        <w:t xml:space="preserve"> También ha recomendado que los Estados aborden la discriminación contra las mujeres y las niñas, inclu</w:t>
      </w:r>
      <w:r w:rsidR="0048083C">
        <w:t>yendo</w:t>
      </w:r>
      <w:r>
        <w:t xml:space="preserve"> las normas sociales y culturales que refuerzan la discriminación.</w:t>
      </w:r>
      <w:r>
        <w:rPr>
          <w:rStyle w:val="EndnoteReference"/>
        </w:rPr>
        <w:endnoteReference w:id="975"/>
      </w:r>
      <w:r>
        <w:t xml:space="preserve"> También </w:t>
      </w:r>
      <w:r w:rsidR="0048083C">
        <w:t xml:space="preserve">ha </w:t>
      </w:r>
      <w:r>
        <w:t>recomenda</w:t>
      </w:r>
      <w:r w:rsidR="0048083C">
        <w:t>do</w:t>
      </w:r>
      <w:r>
        <w:t xml:space="preserve"> que los Estados tomen </w:t>
      </w:r>
      <w:r w:rsidR="0048083C">
        <w:t xml:space="preserve">medidas </w:t>
      </w:r>
      <w:r>
        <w:t>inmediata</w:t>
      </w:r>
      <w:r w:rsidR="0048083C">
        <w:t>s,</w:t>
      </w:r>
      <w:r>
        <w:t xml:space="preserve"> legal</w:t>
      </w:r>
      <w:r w:rsidR="0048083C">
        <w:t>es</w:t>
      </w:r>
      <w:r>
        <w:t xml:space="preserve">, </w:t>
      </w:r>
      <w:r w:rsidR="0048083C">
        <w:t xml:space="preserve">de </w:t>
      </w:r>
      <w:r>
        <w:t>política y medidas de concienciación para prevenir el aborto sexo-selectivo.</w:t>
      </w:r>
      <w:r>
        <w:rPr>
          <w:rStyle w:val="EndnoteReference"/>
        </w:rPr>
        <w:endnoteReference w:id="976"/>
      </w:r>
      <w:r>
        <w:t xml:space="preserve"> El Comité también ha pedido al menos </w:t>
      </w:r>
      <w:r w:rsidR="0048083C">
        <w:t xml:space="preserve">a </w:t>
      </w:r>
      <w:r>
        <w:t xml:space="preserve">un </w:t>
      </w:r>
      <w:r w:rsidR="0048083C">
        <w:t>E</w:t>
      </w:r>
      <w:r>
        <w:t xml:space="preserve">stado garantizar el logro de una </w:t>
      </w:r>
      <w:r w:rsidR="0048083C">
        <w:t xml:space="preserve">tasa </w:t>
      </w:r>
      <w:r>
        <w:t xml:space="preserve">más equilibrada </w:t>
      </w:r>
      <w:r w:rsidR="0048083C">
        <w:t xml:space="preserve">en </w:t>
      </w:r>
      <w:r>
        <w:t xml:space="preserve">relación </w:t>
      </w:r>
      <w:r w:rsidR="0048083C">
        <w:t xml:space="preserve">al </w:t>
      </w:r>
      <w:r>
        <w:t xml:space="preserve">sexo </w:t>
      </w:r>
      <w:r w:rsidR="0048083C">
        <w:t>e implement</w:t>
      </w:r>
      <w:r>
        <w:t>ar la legislación vigente sobre aborto sexo-selectivo.</w:t>
      </w:r>
      <w:r>
        <w:rPr>
          <w:rStyle w:val="EndnoteReference"/>
        </w:rPr>
        <w:endnoteReference w:id="977"/>
      </w:r>
    </w:p>
    <w:p w14:paraId="6B4CC1EA" w14:textId="1F571699" w:rsidR="0049019C" w:rsidRDefault="00CD0EAF">
      <w:pPr>
        <w:pStyle w:val="Heading4"/>
      </w:pPr>
      <w:r>
        <w:t xml:space="preserve">Recolección de </w:t>
      </w:r>
      <w:r w:rsidR="0048083C">
        <w:t>Estadísticas y D</w:t>
      </w:r>
      <w:r>
        <w:t xml:space="preserve">atos </w:t>
      </w:r>
    </w:p>
    <w:p w14:paraId="2EF93A4D" w14:textId="2E188267" w:rsidR="0049019C" w:rsidRDefault="00CD0EAF">
      <w:pPr>
        <w:pStyle w:val="NormalIndented"/>
      </w:pPr>
      <w:r>
        <w:t>El Comité C</w:t>
      </w:r>
      <w:r w:rsidR="0048083C">
        <w:t>DN</w:t>
      </w:r>
      <w:r>
        <w:t xml:space="preserve"> ha expresado su preocupación cuando los Estados </w:t>
      </w:r>
      <w:r w:rsidR="0048083C">
        <w:t>ha</w:t>
      </w:r>
      <w:r>
        <w:t xml:space="preserve">n </w:t>
      </w:r>
      <w:r w:rsidR="0048083C">
        <w:t xml:space="preserve">tenido </w:t>
      </w:r>
      <w:r>
        <w:t>dat</w:t>
      </w:r>
      <w:r w:rsidR="0048083C">
        <w:t>a inadecuada</w:t>
      </w:r>
      <w:r>
        <w:t xml:space="preserve"> sobre salud sexual y reproductiva de adolescentes,</w:t>
      </w:r>
      <w:r>
        <w:rPr>
          <w:rStyle w:val="EndnoteReference"/>
        </w:rPr>
        <w:endnoteReference w:id="978"/>
      </w:r>
      <w:r>
        <w:t xml:space="preserve"> incluyendo el aborto y el aborto inseguro e ilegal.</w:t>
      </w:r>
      <w:r>
        <w:rPr>
          <w:rStyle w:val="EndnoteReference"/>
        </w:rPr>
        <w:endnoteReference w:id="979"/>
      </w:r>
      <w:r>
        <w:t xml:space="preserve"> Se </w:t>
      </w:r>
      <w:r w:rsidR="0048083C">
        <w:t xml:space="preserve">ha </w:t>
      </w:r>
      <w:r>
        <w:t>recomenda</w:t>
      </w:r>
      <w:r w:rsidR="0048083C">
        <w:t>do</w:t>
      </w:r>
      <w:r>
        <w:t xml:space="preserve"> que al menos un </w:t>
      </w:r>
      <w:r w:rsidR="0048083C">
        <w:t>E</w:t>
      </w:r>
      <w:r>
        <w:t>stado real</w:t>
      </w:r>
      <w:r w:rsidR="0048083C">
        <w:t>ice</w:t>
      </w:r>
      <w:r>
        <w:t xml:space="preserve"> una investigación profunda sobre el aborto inseguro, con el objetivo de desarrollar las políticas y leyes adecuadas para abordar la práctica.</w:t>
      </w:r>
      <w:r>
        <w:rPr>
          <w:rStyle w:val="EndnoteReference"/>
        </w:rPr>
        <w:endnoteReference w:id="980"/>
      </w:r>
      <w:r>
        <w:t xml:space="preserve"> El Comité también ha pedido al menos </w:t>
      </w:r>
      <w:r w:rsidR="0048083C">
        <w:t xml:space="preserve">a </w:t>
      </w:r>
      <w:r>
        <w:t xml:space="preserve">un </w:t>
      </w:r>
      <w:r w:rsidR="0048083C">
        <w:t>E</w:t>
      </w:r>
      <w:r>
        <w:t xml:space="preserve">stado recopilar datos sobre la práctica de la objeción de conciencia y acceso de las niñas a los servicios </w:t>
      </w:r>
      <w:r w:rsidR="0048083C">
        <w:t xml:space="preserve">legales </w:t>
      </w:r>
      <w:r>
        <w:t>de salud reproductiva.</w:t>
      </w:r>
      <w:r>
        <w:rPr>
          <w:rStyle w:val="EndnoteReference"/>
        </w:rPr>
        <w:endnoteReference w:id="981"/>
      </w:r>
    </w:p>
    <w:p w14:paraId="50A94811" w14:textId="46AB26C0" w:rsidR="0049019C" w:rsidRPr="004B2C96" w:rsidRDefault="00CD0EAF">
      <w:pPr>
        <w:pStyle w:val="Heading3"/>
      </w:pPr>
      <w:bookmarkStart w:id="71" w:name="_Toc498590724"/>
      <w:r w:rsidRPr="004B2C96">
        <w:t xml:space="preserve">Acceso a la información, bienes y servicios sobre </w:t>
      </w:r>
      <w:bookmarkEnd w:id="71"/>
      <w:r w:rsidR="0048083C" w:rsidRPr="004B2C96">
        <w:t>ANTICONCEPTIVOS</w:t>
      </w:r>
    </w:p>
    <w:p w14:paraId="41B51251" w14:textId="117CCB5C" w:rsidR="0049019C" w:rsidRDefault="00CD0EAF">
      <w:r>
        <w:t>El Comité C</w:t>
      </w:r>
      <w:r w:rsidR="00227F4C">
        <w:t>DN</w:t>
      </w:r>
      <w:r>
        <w:t xml:space="preserve"> con frecuencia ha expresado preocupación a Estados por falta de acceso a los anticonceptivos modernos para adolescentes</w:t>
      </w:r>
      <w:r>
        <w:rPr>
          <w:rStyle w:val="EndnoteReference"/>
        </w:rPr>
        <w:endnoteReference w:id="982"/>
      </w:r>
      <w:r>
        <w:t xml:space="preserve"> y bajas tasas de uso de anticonceptivos,</w:t>
      </w:r>
      <w:r>
        <w:rPr>
          <w:rStyle w:val="EndnoteReference"/>
        </w:rPr>
        <w:endnoteReference w:id="983"/>
      </w:r>
      <w:r>
        <w:t xml:space="preserve"> incluyendo porque los anticonceptivos son inasequibles,</w:t>
      </w:r>
      <w:r>
        <w:rPr>
          <w:rStyle w:val="EndnoteReference"/>
        </w:rPr>
        <w:endnoteReference w:id="984"/>
      </w:r>
      <w:r>
        <w:t xml:space="preserve"> el uso de anticonceptivos por adolescentes </w:t>
      </w:r>
      <w:r w:rsidR="0004666E">
        <w:t>está</w:t>
      </w:r>
      <w:r w:rsidR="007A3A76">
        <w:t xml:space="preserve"> </w:t>
      </w:r>
      <w:r>
        <w:t>estigmatiza</w:t>
      </w:r>
      <w:r w:rsidR="0004666E">
        <w:t>do,</w:t>
      </w:r>
      <w:r>
        <w:rPr>
          <w:rStyle w:val="EndnoteReference"/>
        </w:rPr>
        <w:endnoteReference w:id="985"/>
      </w:r>
      <w:r>
        <w:t xml:space="preserve"> o </w:t>
      </w:r>
      <w:r w:rsidR="0004666E">
        <w:t xml:space="preserve">el acceso a los anticonceptivos </w:t>
      </w:r>
      <w:r w:rsidR="007A3A76">
        <w:t>requ</w:t>
      </w:r>
      <w:r w:rsidR="0004666E">
        <w:t>i</w:t>
      </w:r>
      <w:r w:rsidR="007A3A76">
        <w:t>er</w:t>
      </w:r>
      <w:r w:rsidR="0004666E">
        <w:t>e</w:t>
      </w:r>
      <w:r w:rsidR="007A3A76">
        <w:t xml:space="preserve"> consentimiento de los padres.</w:t>
      </w:r>
      <w:r>
        <w:rPr>
          <w:rStyle w:val="EndnoteReference"/>
        </w:rPr>
        <w:endnoteReference w:id="986"/>
      </w:r>
      <w:r>
        <w:t xml:space="preserve"> También ha expresado su preocupación a</w:t>
      </w:r>
      <w:r w:rsidR="007A3A76">
        <w:t xml:space="preserve"> a</w:t>
      </w:r>
      <w:r>
        <w:t>l</w:t>
      </w:r>
      <w:r w:rsidR="007A3A76">
        <w:t xml:space="preserve"> menos un </w:t>
      </w:r>
      <w:r>
        <w:t xml:space="preserve"> </w:t>
      </w:r>
      <w:r w:rsidR="007A3A76">
        <w:t>E</w:t>
      </w:r>
      <w:r>
        <w:t xml:space="preserve">stado donde médicos no </w:t>
      </w:r>
      <w:r w:rsidR="007A3A76">
        <w:t xml:space="preserve">se </w:t>
      </w:r>
      <w:r>
        <w:t>adhieren a los protocolos de acceso a la anticoncepción, negando tal modo</w:t>
      </w:r>
      <w:r w:rsidR="007A3A76" w:rsidRPr="007A3A76">
        <w:t xml:space="preserve"> </w:t>
      </w:r>
      <w:r w:rsidR="007A3A76">
        <w:t>información y anticonceptivos</w:t>
      </w:r>
      <w:r>
        <w:t xml:space="preserve"> </w:t>
      </w:r>
      <w:r w:rsidR="007A3A76">
        <w:t xml:space="preserve">a </w:t>
      </w:r>
      <w:r>
        <w:t>adolescentes.</w:t>
      </w:r>
      <w:r>
        <w:rPr>
          <w:rStyle w:val="EndnoteReference"/>
        </w:rPr>
        <w:endnoteReference w:id="987"/>
      </w:r>
      <w:r>
        <w:t xml:space="preserve"> El Comité ha expresado </w:t>
      </w:r>
      <w:r w:rsidR="007A3A76">
        <w:t>ade</w:t>
      </w:r>
      <w:r>
        <w:t xml:space="preserve">más preocupación </w:t>
      </w:r>
      <w:r w:rsidR="007A3A76">
        <w:t xml:space="preserve">a </w:t>
      </w:r>
      <w:r>
        <w:t xml:space="preserve">al menos un </w:t>
      </w:r>
      <w:r w:rsidR="007A3A76">
        <w:t>E</w:t>
      </w:r>
      <w:r>
        <w:t xml:space="preserve">stado </w:t>
      </w:r>
      <w:r w:rsidR="007A3A76">
        <w:t xml:space="preserve">por </w:t>
      </w:r>
      <w:r>
        <w:t xml:space="preserve">el alto costo de </w:t>
      </w:r>
      <w:r w:rsidR="007A3A76">
        <w:t xml:space="preserve">los </w:t>
      </w:r>
      <w:r>
        <w:t>anticoncep</w:t>
      </w:r>
      <w:r w:rsidR="007A3A76">
        <w:t>tivos</w:t>
      </w:r>
      <w:r>
        <w:t xml:space="preserve"> y </w:t>
      </w:r>
      <w:r w:rsidR="007A3A76">
        <w:t>el hecho</w:t>
      </w:r>
      <w:r>
        <w:t xml:space="preserve"> que los anticonceptivos no son subvencionados.</w:t>
      </w:r>
      <w:r>
        <w:rPr>
          <w:rStyle w:val="EndnoteReference"/>
        </w:rPr>
        <w:endnoteReference w:id="988"/>
      </w:r>
      <w:r>
        <w:t xml:space="preserve"> En al menos un </w:t>
      </w:r>
      <w:r w:rsidR="007A3A76">
        <w:t>E</w:t>
      </w:r>
      <w:r>
        <w:t>stado, el Comité ha expresado preocupación sobre el uso generalizado de la esterilización femenina como un método de anticoncepción.</w:t>
      </w:r>
      <w:r>
        <w:rPr>
          <w:rStyle w:val="EndnoteReference"/>
        </w:rPr>
        <w:endnoteReference w:id="989"/>
      </w:r>
      <w:r>
        <w:t xml:space="preserve"> </w:t>
      </w:r>
    </w:p>
    <w:p w14:paraId="5BDD90FF" w14:textId="1C04F837" w:rsidR="0049019C" w:rsidRDefault="00CD0EAF">
      <w:r>
        <w:t>El Comité C</w:t>
      </w:r>
      <w:r w:rsidR="007A3A76">
        <w:t>DN</w:t>
      </w:r>
      <w:r>
        <w:t xml:space="preserve"> ha pedido a los Estados asegurar la disponibilidad de y acceso a información sobre métodos anticonceptivo</w:t>
      </w:r>
      <w:r w:rsidR="007A3A76">
        <w:t>s</w:t>
      </w:r>
      <w:r>
        <w:t xml:space="preserve"> y servicios,</w:t>
      </w:r>
      <w:r>
        <w:rPr>
          <w:rStyle w:val="EndnoteReference"/>
        </w:rPr>
        <w:endnoteReference w:id="990"/>
      </w:r>
      <w:r>
        <w:t xml:space="preserve"> entre ellos </w:t>
      </w:r>
      <w:r w:rsidR="007A3A76">
        <w:t xml:space="preserve">la no </w:t>
      </w:r>
      <w:r>
        <w:t>necesidad de consentimiento pa</w:t>
      </w:r>
      <w:r w:rsidR="007A3A76">
        <w:t>rental</w:t>
      </w:r>
      <w:r>
        <w:t>,</w:t>
      </w:r>
      <w:r>
        <w:rPr>
          <w:rStyle w:val="EndnoteReference"/>
        </w:rPr>
        <w:endnoteReference w:id="991"/>
      </w:r>
      <w:r>
        <w:t xml:space="preserve"> para las </w:t>
      </w:r>
      <w:r w:rsidR="007A3A76">
        <w:t xml:space="preserve">adolescentes </w:t>
      </w:r>
      <w:r>
        <w:t>solteras</w:t>
      </w:r>
      <w:r>
        <w:rPr>
          <w:rStyle w:val="EndnoteReference"/>
        </w:rPr>
        <w:endnoteReference w:id="992"/>
      </w:r>
      <w:r>
        <w:t xml:space="preserve"> y en las instituciones educativas.</w:t>
      </w:r>
      <w:r>
        <w:rPr>
          <w:rStyle w:val="EndnoteReference"/>
        </w:rPr>
        <w:endnoteReference w:id="993"/>
      </w:r>
      <w:r>
        <w:t xml:space="preserve"> Se </w:t>
      </w:r>
      <w:r w:rsidR="007A3A76">
        <w:t xml:space="preserve">ha </w:t>
      </w:r>
      <w:r>
        <w:t>recomenda</w:t>
      </w:r>
      <w:r w:rsidR="007A3A76">
        <w:t>do</w:t>
      </w:r>
      <w:r>
        <w:t xml:space="preserve"> que los Estados ofre</w:t>
      </w:r>
      <w:r w:rsidR="007A3A76">
        <w:t>zca</w:t>
      </w:r>
      <w:r>
        <w:t>n acceso a anticonceptivos gratis y asequible</w:t>
      </w:r>
      <w:r w:rsidR="007A3A76">
        <w:t>s</w:t>
      </w:r>
      <w:r>
        <w:t xml:space="preserve"> a los adolescentes,</w:t>
      </w:r>
      <w:r>
        <w:rPr>
          <w:rStyle w:val="EndnoteReference"/>
        </w:rPr>
        <w:endnoteReference w:id="994"/>
      </w:r>
      <w:r>
        <w:t xml:space="preserve"> incluyendo a través de subvenciones de</w:t>
      </w:r>
      <w:r w:rsidR="007A3A76">
        <w:t>l seguro</w:t>
      </w:r>
      <w:r>
        <w:t xml:space="preserve"> </w:t>
      </w:r>
      <w:r w:rsidR="007A3A76">
        <w:t xml:space="preserve">de </w:t>
      </w:r>
      <w:r>
        <w:t>salud pública,</w:t>
      </w:r>
      <w:r>
        <w:rPr>
          <w:rStyle w:val="EndnoteReference"/>
        </w:rPr>
        <w:endnoteReference w:id="995"/>
      </w:r>
      <w:r>
        <w:t xml:space="preserve"> y considerar la oferta de anticonceptivos en las escuelas.</w:t>
      </w:r>
      <w:r>
        <w:rPr>
          <w:rStyle w:val="EndnoteReference"/>
        </w:rPr>
        <w:endnoteReference w:id="996"/>
      </w:r>
      <w:r>
        <w:t xml:space="preserve"> El Comité también ha pedido </w:t>
      </w:r>
      <w:r w:rsidR="007A3A76">
        <w:t xml:space="preserve">a </w:t>
      </w:r>
      <w:r>
        <w:t xml:space="preserve">al menos un </w:t>
      </w:r>
      <w:r w:rsidR="007A3A76">
        <w:t>E</w:t>
      </w:r>
      <w:r>
        <w:t>stado proporcionar formación e información a proveedores de salud pública para mejorar su conocimiento sobre los anticonceptivos modernos, como un medio para ampliar el acceso.</w:t>
      </w:r>
      <w:r>
        <w:rPr>
          <w:rStyle w:val="EndnoteReference"/>
        </w:rPr>
        <w:endnoteReference w:id="997"/>
      </w:r>
      <w:r>
        <w:t xml:space="preserve"> El Comité además ha llamado a los Estados para llevar a cabo estudios sobre la salud de los </w:t>
      </w:r>
      <w:r w:rsidR="007A3A76">
        <w:t xml:space="preserve">y las </w:t>
      </w:r>
      <w:r>
        <w:t>adolescentes</w:t>
      </w:r>
      <w:r>
        <w:rPr>
          <w:rStyle w:val="EndnoteReference"/>
        </w:rPr>
        <w:endnoteReference w:id="998"/>
      </w:r>
      <w:r>
        <w:t xml:space="preserve"> y promover la aceptación de anticonceptivos en</w:t>
      </w:r>
      <w:r w:rsidR="00FD5079">
        <w:t>tre</w:t>
      </w:r>
      <w:r>
        <w:t xml:space="preserve"> hombres y niños.</w:t>
      </w:r>
      <w:r>
        <w:rPr>
          <w:rStyle w:val="EndnoteReference"/>
        </w:rPr>
        <w:endnoteReference w:id="999"/>
      </w:r>
      <w:r>
        <w:t xml:space="preserve">  </w:t>
      </w:r>
    </w:p>
    <w:p w14:paraId="354C3A40" w14:textId="7F1A4FEF" w:rsidR="0049019C" w:rsidRDefault="00CD0EAF">
      <w:pPr>
        <w:pStyle w:val="Heading4"/>
      </w:pPr>
      <w:r>
        <w:t xml:space="preserve">Información sobre </w:t>
      </w:r>
      <w:r w:rsidR="00FD5079">
        <w:t>A</w:t>
      </w:r>
      <w:r>
        <w:t>nticonceptivos</w:t>
      </w:r>
    </w:p>
    <w:p w14:paraId="4C5CFDF4" w14:textId="28D387CB" w:rsidR="0049019C" w:rsidRDefault="00CD0EAF">
      <w:pPr>
        <w:pStyle w:val="NormalIndented"/>
      </w:pPr>
      <w:r>
        <w:t>El Comité C</w:t>
      </w:r>
      <w:r w:rsidR="00FD5079">
        <w:t>DN</w:t>
      </w:r>
      <w:r>
        <w:t xml:space="preserve"> ha expresado preocupación a varios Estados sobre información e</w:t>
      </w:r>
      <w:r w:rsidR="00FD5079">
        <w:t>n</w:t>
      </w:r>
      <w:r>
        <w:t xml:space="preserve"> anticonceptivos, incluyendo </w:t>
      </w:r>
      <w:r w:rsidR="00FD5079">
        <w:t xml:space="preserve">la </w:t>
      </w:r>
      <w:r>
        <w:t>falta de conocimiento entre adolescentes de anticonceptivos modernos,</w:t>
      </w:r>
      <w:r>
        <w:rPr>
          <w:rStyle w:val="EndnoteReference"/>
        </w:rPr>
        <w:endnoteReference w:id="1000"/>
      </w:r>
      <w:r>
        <w:t xml:space="preserve"> falta de información disponible para adolescentes </w:t>
      </w:r>
      <w:r w:rsidR="00FD5079">
        <w:t>sobre</w:t>
      </w:r>
      <w:r>
        <w:t xml:space="preserve"> anticonceptivos,</w:t>
      </w:r>
      <w:r>
        <w:rPr>
          <w:rStyle w:val="EndnoteReference"/>
        </w:rPr>
        <w:endnoteReference w:id="1001"/>
      </w:r>
      <w:r>
        <w:t xml:space="preserve"> </w:t>
      </w:r>
      <w:r w:rsidR="00FD5079">
        <w:t>incluyendo</w:t>
      </w:r>
      <w:r>
        <w:t xml:space="preserve"> información precisa y objetiva,</w:t>
      </w:r>
      <w:r>
        <w:rPr>
          <w:rStyle w:val="EndnoteReference"/>
        </w:rPr>
        <w:endnoteReference w:id="1002"/>
      </w:r>
      <w:r>
        <w:t xml:space="preserve"> y requisitos de consentimiento de los padres para recibir información sobre anticonceptivos.</w:t>
      </w:r>
      <w:r>
        <w:rPr>
          <w:rStyle w:val="EndnoteReference"/>
        </w:rPr>
        <w:endnoteReference w:id="1003"/>
      </w:r>
      <w:r>
        <w:t xml:space="preserve"> Se </w:t>
      </w:r>
      <w:r w:rsidR="00FD5079">
        <w:t xml:space="preserve">ha </w:t>
      </w:r>
      <w:r>
        <w:t>recomenda</w:t>
      </w:r>
      <w:r w:rsidR="00FD5079">
        <w:t>do</w:t>
      </w:r>
      <w:r>
        <w:t xml:space="preserve"> que los Estados ha</w:t>
      </w:r>
      <w:r w:rsidR="00FD5079">
        <w:t>ga</w:t>
      </w:r>
      <w:r>
        <w:t>n esfuerzos para aumentar el conocimiento y acceso a anticonceptivos,</w:t>
      </w:r>
      <w:r>
        <w:rPr>
          <w:rStyle w:val="EndnoteReference"/>
        </w:rPr>
        <w:endnoteReference w:id="1004"/>
      </w:r>
      <w:r>
        <w:t xml:space="preserve"> especialmente para los niños,</w:t>
      </w:r>
      <w:r>
        <w:rPr>
          <w:rStyle w:val="EndnoteReference"/>
        </w:rPr>
        <w:endnoteReference w:id="1005"/>
      </w:r>
      <w:r>
        <w:t xml:space="preserve"> y que por lo menos un </w:t>
      </w:r>
      <w:r w:rsidR="00FD5079">
        <w:t>E</w:t>
      </w:r>
      <w:r>
        <w:t>stado llev</w:t>
      </w:r>
      <w:r w:rsidR="00FD5079">
        <w:t>e</w:t>
      </w:r>
      <w:r>
        <w:t xml:space="preserve"> a cabo campañas de </w:t>
      </w:r>
      <w:r w:rsidR="00FD5079">
        <w:t xml:space="preserve">toma de conciencia </w:t>
      </w:r>
      <w:r>
        <w:t>acerca de los anticonceptivos modernos.</w:t>
      </w:r>
      <w:r>
        <w:rPr>
          <w:rStyle w:val="EndnoteReference"/>
        </w:rPr>
        <w:endnoteReference w:id="1006"/>
      </w:r>
    </w:p>
    <w:p w14:paraId="757E5822" w14:textId="6FF2AE2C" w:rsidR="0049019C" w:rsidRDefault="00CD0EAF">
      <w:pPr>
        <w:pStyle w:val="Heading4"/>
      </w:pPr>
      <w:r>
        <w:t xml:space="preserve">Anticonceptivos de </w:t>
      </w:r>
      <w:r w:rsidR="00FD5079">
        <w:t>E</w:t>
      </w:r>
      <w:r>
        <w:t>mergencia</w:t>
      </w:r>
    </w:p>
    <w:p w14:paraId="4FEE63A4" w14:textId="0910D38A" w:rsidR="0049019C" w:rsidRDefault="00CD0EAF">
      <w:pPr>
        <w:pStyle w:val="NormalIndented"/>
      </w:pPr>
      <w:r>
        <w:t>El Comité C</w:t>
      </w:r>
      <w:r w:rsidR="00FD5079">
        <w:t>DN</w:t>
      </w:r>
      <w:r>
        <w:t xml:space="preserve"> ha expresado preocupación por la falta de acceso a la anticoncepción de emergencia para adolescentes,</w:t>
      </w:r>
      <w:r>
        <w:rPr>
          <w:rStyle w:val="EndnoteReference"/>
        </w:rPr>
        <w:endnoteReference w:id="1007"/>
      </w:r>
      <w:r>
        <w:t xml:space="preserve"> en particular para las víctimas de violación.</w:t>
      </w:r>
      <w:r>
        <w:rPr>
          <w:rStyle w:val="EndnoteReference"/>
        </w:rPr>
        <w:endnoteReference w:id="1008"/>
      </w:r>
      <w:r>
        <w:t xml:space="preserve"> También ha expresado su preocupación por lo </w:t>
      </w:r>
      <w:r>
        <w:lastRenderedPageBreak/>
        <w:t xml:space="preserve">menos </w:t>
      </w:r>
      <w:r w:rsidR="00FD5079">
        <w:t xml:space="preserve">a </w:t>
      </w:r>
      <w:r>
        <w:t xml:space="preserve">un </w:t>
      </w:r>
      <w:r w:rsidR="00FD5079">
        <w:t>E</w:t>
      </w:r>
      <w:r>
        <w:t>stado donde están prohibidos algunos tipos de anticoncepción de emergencia.</w:t>
      </w:r>
      <w:r>
        <w:rPr>
          <w:rStyle w:val="EndnoteReference"/>
        </w:rPr>
        <w:endnoteReference w:id="1009"/>
      </w:r>
      <w:r>
        <w:t xml:space="preserve"> El Comité ha recomendado que los Estados asegur</w:t>
      </w:r>
      <w:r w:rsidR="00FD5079">
        <w:t>e</w:t>
      </w:r>
      <w:r>
        <w:t>n el acceso a la anticoncepción de emergencia, incluyendo la anticoncepción de emergencia gratuita, junto a otros anticonceptivos modernos,</w:t>
      </w:r>
      <w:r>
        <w:rPr>
          <w:rStyle w:val="EndnoteReference"/>
        </w:rPr>
        <w:endnoteReference w:id="1010"/>
      </w:r>
      <w:r>
        <w:t xml:space="preserve"> y también ha pedido al menos </w:t>
      </w:r>
      <w:r w:rsidR="00FD5079">
        <w:t xml:space="preserve">a </w:t>
      </w:r>
      <w:r>
        <w:t xml:space="preserve">un </w:t>
      </w:r>
      <w:r w:rsidR="00FD5079">
        <w:t>E</w:t>
      </w:r>
      <w:r>
        <w:t xml:space="preserve">stado </w:t>
      </w:r>
      <w:r w:rsidR="00FD5079">
        <w:t>crear conciencia entre</w:t>
      </w:r>
      <w:r>
        <w:t xml:space="preserve"> las mujeres y las niñas acerca de su derecho a la anticoncepción de emergencia.</w:t>
      </w:r>
      <w:r>
        <w:rPr>
          <w:rStyle w:val="EndnoteReference"/>
        </w:rPr>
        <w:endnoteReference w:id="1011"/>
      </w:r>
      <w:r>
        <w:t xml:space="preserve"> También se </w:t>
      </w:r>
      <w:r w:rsidR="00FD5079">
        <w:t xml:space="preserve">ha </w:t>
      </w:r>
      <w:r>
        <w:t>recomenda</w:t>
      </w:r>
      <w:r w:rsidR="00FD5079">
        <w:t>do</w:t>
      </w:r>
      <w:r>
        <w:t xml:space="preserve"> </w:t>
      </w:r>
      <w:r w:rsidR="00FD5079">
        <w:t xml:space="preserve">a </w:t>
      </w:r>
      <w:r>
        <w:t xml:space="preserve">al menos un Estado asegurar que </w:t>
      </w:r>
      <w:r w:rsidR="00FD5079">
        <w:t xml:space="preserve">todos </w:t>
      </w:r>
      <w:r>
        <w:t xml:space="preserve">los anticonceptivos de emergencia </w:t>
      </w:r>
      <w:r w:rsidR="00FD5079">
        <w:t xml:space="preserve">están </w:t>
      </w:r>
      <w:r>
        <w:t>disponibles para adolescentes.</w:t>
      </w:r>
      <w:r>
        <w:rPr>
          <w:rStyle w:val="EndnoteReference"/>
        </w:rPr>
        <w:endnoteReference w:id="1012"/>
      </w:r>
      <w:r>
        <w:t xml:space="preserve"> </w:t>
      </w:r>
    </w:p>
    <w:p w14:paraId="39F13684" w14:textId="3F03775A" w:rsidR="0049019C" w:rsidRDefault="00CD0EAF">
      <w:pPr>
        <w:pStyle w:val="Heading4"/>
      </w:pPr>
      <w:r>
        <w:t xml:space="preserve">El </w:t>
      </w:r>
      <w:r w:rsidR="00FD5079">
        <w:t>A</w:t>
      </w:r>
      <w:r>
        <w:t xml:space="preserve">borto como </w:t>
      </w:r>
      <w:r w:rsidR="00FD5079">
        <w:t>M</w:t>
      </w:r>
      <w:r>
        <w:t xml:space="preserve">étodo </w:t>
      </w:r>
      <w:r w:rsidR="00FD5079">
        <w:t>A</w:t>
      </w:r>
      <w:r>
        <w:t>nticonceptivo</w:t>
      </w:r>
    </w:p>
    <w:p w14:paraId="27C347BC" w14:textId="21F0845F" w:rsidR="0049019C" w:rsidRDefault="00CD0EAF">
      <w:pPr>
        <w:pStyle w:val="NormalIndented"/>
      </w:pPr>
      <w:r>
        <w:t>El Comité C</w:t>
      </w:r>
      <w:r w:rsidR="00FD5079">
        <w:t>DN</w:t>
      </w:r>
      <w:r>
        <w:t xml:space="preserve"> ha expresado preocupación por las altas tasas de aborto legal en</w:t>
      </w:r>
      <w:r w:rsidR="00FD5079">
        <w:t>tre</w:t>
      </w:r>
      <w:r>
        <w:t xml:space="preserve"> adolescentes en algunos Estados</w:t>
      </w:r>
      <w:r>
        <w:rPr>
          <w:rStyle w:val="EndnoteReference"/>
        </w:rPr>
        <w:endnoteReference w:id="1013"/>
      </w:r>
      <w:r>
        <w:t xml:space="preserve"> y el </w:t>
      </w:r>
      <w:r w:rsidR="0004666E">
        <w:t xml:space="preserve">uso del </w:t>
      </w:r>
      <w:r>
        <w:t>aborto como un método de planificación familiar.</w:t>
      </w:r>
      <w:r>
        <w:rPr>
          <w:rStyle w:val="EndnoteReference"/>
        </w:rPr>
        <w:endnoteReference w:id="1014"/>
      </w:r>
      <w:r>
        <w:t xml:space="preserve"> Se </w:t>
      </w:r>
      <w:r w:rsidR="00FD5079">
        <w:t xml:space="preserve">ha </w:t>
      </w:r>
      <w:r>
        <w:t>recomenda</w:t>
      </w:r>
      <w:r w:rsidR="00FD5079">
        <w:t>do</w:t>
      </w:r>
      <w:r>
        <w:t xml:space="preserve"> </w:t>
      </w:r>
      <w:r w:rsidR="00FD5079">
        <w:t>a</w:t>
      </w:r>
      <w:r>
        <w:t xml:space="preserve"> los Estados reducir embarazos adolescentes y abortos legales entre adolescentes</w:t>
      </w:r>
      <w:r w:rsidR="00FD5079">
        <w:t>, creando conciencia</w:t>
      </w:r>
      <w:r>
        <w:t xml:space="preserve"> y ofrec</w:t>
      </w:r>
      <w:r w:rsidR="00FD5079">
        <w:t>iendo</w:t>
      </w:r>
      <w:r>
        <w:t xml:space="preserve"> información sobre salud sexual y reproductiva y aumenta</w:t>
      </w:r>
      <w:r w:rsidR="00FD5079">
        <w:t>ndo</w:t>
      </w:r>
      <w:r>
        <w:t xml:space="preserve"> el acceso a métodos anticonceptivos y </w:t>
      </w:r>
      <w:r w:rsidR="00FD5079">
        <w:t xml:space="preserve">a servicios </w:t>
      </w:r>
      <w:r>
        <w:t>confidencial</w:t>
      </w:r>
      <w:r w:rsidR="00FD5079">
        <w:t>es de</w:t>
      </w:r>
      <w:r>
        <w:t xml:space="preserve"> </w:t>
      </w:r>
      <w:r w:rsidR="00FD5079">
        <w:t xml:space="preserve">salud </w:t>
      </w:r>
      <w:r>
        <w:t>sexual y reproductiva.</w:t>
      </w:r>
      <w:r>
        <w:rPr>
          <w:rStyle w:val="EndnoteReference"/>
        </w:rPr>
        <w:endnoteReference w:id="1015"/>
      </w:r>
      <w:r>
        <w:t xml:space="preserve"> También se </w:t>
      </w:r>
      <w:r w:rsidR="00FD5079">
        <w:t xml:space="preserve">ha </w:t>
      </w:r>
      <w:r>
        <w:t>recomenda</w:t>
      </w:r>
      <w:r w:rsidR="00FD5079">
        <w:t>do</w:t>
      </w:r>
      <w:r>
        <w:t xml:space="preserve"> </w:t>
      </w:r>
      <w:r w:rsidR="00FD5079">
        <w:t xml:space="preserve">a </w:t>
      </w:r>
      <w:r>
        <w:t>al menos un Estado tom</w:t>
      </w:r>
      <w:r w:rsidR="00FD5079">
        <w:t>ar</w:t>
      </w:r>
      <w:r>
        <w:t xml:space="preserve"> medidas para garantizar que no se percibe el aborto como un método anticonceptivo.</w:t>
      </w:r>
      <w:r>
        <w:rPr>
          <w:rStyle w:val="EndnoteReference"/>
        </w:rPr>
        <w:endnoteReference w:id="1016"/>
      </w:r>
    </w:p>
    <w:p w14:paraId="6A9594AA" w14:textId="77777777" w:rsidR="0049019C" w:rsidRPr="004B2C96" w:rsidRDefault="00CD0EAF">
      <w:pPr>
        <w:pStyle w:val="Heading3"/>
      </w:pPr>
      <w:bookmarkStart w:id="72" w:name="_Toc498590725"/>
      <w:r w:rsidRPr="004B2C96">
        <w:t>Salud materna</w:t>
      </w:r>
      <w:bookmarkEnd w:id="72"/>
    </w:p>
    <w:p w14:paraId="33F444C9" w14:textId="308BB3B5" w:rsidR="0049019C" w:rsidRDefault="00CD0EAF">
      <w:r>
        <w:t>Debido a su mandato, el Comité C</w:t>
      </w:r>
      <w:r w:rsidR="00FD6918">
        <w:t>DN</w:t>
      </w:r>
      <w:r>
        <w:t xml:space="preserve"> trata temas de salud materna no sólo para adolescentes, sino también para otras mujeres, como medio de garantizar la salud de sus hijos. Como tal, el Comité C</w:t>
      </w:r>
      <w:r w:rsidR="00FD6918">
        <w:t>DN</w:t>
      </w:r>
      <w:r>
        <w:t xml:space="preserve"> ha pedido a los Estados aumentar el acceso y disponibilidad de servicios de salud materna, incluyendo la atención de emergencia </w:t>
      </w:r>
      <w:r w:rsidR="00AD6306">
        <w:t xml:space="preserve">obstétrica </w:t>
      </w:r>
      <w:r>
        <w:t>y asistentes de parto capacitad</w:t>
      </w:r>
      <w:r w:rsidR="00AD6306">
        <w:t>a</w:t>
      </w:r>
      <w:r>
        <w:t>s.</w:t>
      </w:r>
      <w:r>
        <w:rPr>
          <w:rStyle w:val="EndnoteReference"/>
        </w:rPr>
        <w:endnoteReference w:id="1017"/>
      </w:r>
      <w:r>
        <w:t xml:space="preserve"> También ha pedido al menos </w:t>
      </w:r>
      <w:r w:rsidR="00AD6306">
        <w:t xml:space="preserve">a </w:t>
      </w:r>
      <w:r>
        <w:t xml:space="preserve">un </w:t>
      </w:r>
      <w:r w:rsidR="00AD6306">
        <w:t>E</w:t>
      </w:r>
      <w:r>
        <w:t>stado garantizar la atención de salud materna de las mujeres sin seguro médico y las niñas que viven en las situaciones más vulnerables.</w:t>
      </w:r>
      <w:r>
        <w:rPr>
          <w:rStyle w:val="EndnoteReference"/>
        </w:rPr>
        <w:endnoteReference w:id="1018"/>
      </w:r>
      <w:r>
        <w:t xml:space="preserve"> </w:t>
      </w:r>
      <w:r w:rsidR="00AD6306">
        <w:t xml:space="preserve">El </w:t>
      </w:r>
      <w:r>
        <w:t>Comi</w:t>
      </w:r>
      <w:r w:rsidR="00AD6306">
        <w:t>té</w:t>
      </w:r>
      <w:r>
        <w:t xml:space="preserve"> ha pedido en particular al menos </w:t>
      </w:r>
      <w:r w:rsidR="00AD6306">
        <w:t xml:space="preserve">a </w:t>
      </w:r>
      <w:r>
        <w:t xml:space="preserve">un </w:t>
      </w:r>
      <w:r w:rsidR="00AD6306">
        <w:t>E</w:t>
      </w:r>
      <w:r>
        <w:t>stado concienciar a las mujeres sobre la importancia de la atención prenatal y postparto, las prácticas nutricionales durante el embarazo y espaciamiento óptimo</w:t>
      </w:r>
      <w:r w:rsidR="00AD6306">
        <w:t xml:space="preserve"> entre nacimientos</w:t>
      </w:r>
      <w:r>
        <w:t>.</w:t>
      </w:r>
      <w:r>
        <w:rPr>
          <w:rStyle w:val="EndnoteReference"/>
        </w:rPr>
        <w:endnoteReference w:id="1019"/>
      </w:r>
    </w:p>
    <w:p w14:paraId="387D3B40" w14:textId="404ACDB0" w:rsidR="0049019C" w:rsidRDefault="00CD0EAF">
      <w:pPr>
        <w:pStyle w:val="Heading4"/>
      </w:pPr>
      <w:r>
        <w:t xml:space="preserve">Mortalidad </w:t>
      </w:r>
      <w:r w:rsidR="00AD6306">
        <w:t>M</w:t>
      </w:r>
      <w:r>
        <w:t>aterna</w:t>
      </w:r>
    </w:p>
    <w:p w14:paraId="17648C1F" w14:textId="0CD74DDF" w:rsidR="0049019C" w:rsidRDefault="00CD0EAF">
      <w:pPr>
        <w:pStyle w:val="NormalIndented"/>
      </w:pPr>
      <w:r>
        <w:t>El Comité C</w:t>
      </w:r>
      <w:r w:rsidR="00AD6306">
        <w:t>DN</w:t>
      </w:r>
      <w:r>
        <w:t xml:space="preserve"> aborda la mortalidad materna en dos contextos diferentes. Más frecuentemente, </w:t>
      </w:r>
      <w:r w:rsidR="00AD6306">
        <w:t>relaciona</w:t>
      </w:r>
      <w:r>
        <w:t xml:space="preserve"> altas tasas de mortalidad materna para todas las mujeres a las altas tasas de </w:t>
      </w:r>
      <w:r w:rsidR="00AD6306">
        <w:t>mortalidad de niños y niñas</w:t>
      </w:r>
      <w:r>
        <w:t xml:space="preserve"> menores de 5.</w:t>
      </w:r>
      <w:r>
        <w:rPr>
          <w:rStyle w:val="EndnoteReference"/>
        </w:rPr>
        <w:endnoteReference w:id="1020"/>
      </w:r>
      <w:r>
        <w:t xml:space="preserve"> En algunos casos, </w:t>
      </w:r>
      <w:r w:rsidR="00AD6306">
        <w:t xml:space="preserve">el </w:t>
      </w:r>
      <w:r>
        <w:t>Comi</w:t>
      </w:r>
      <w:r w:rsidR="00AD6306">
        <w:t>té</w:t>
      </w:r>
      <w:r>
        <w:t xml:space="preserve"> también ha expresado preocupación acerca de situaciones donde la tasa de mortalidad </w:t>
      </w:r>
      <w:r w:rsidR="00AD6306">
        <w:t xml:space="preserve">materna </w:t>
      </w:r>
      <w:r>
        <w:t>para adolescentes es particularmente alta,</w:t>
      </w:r>
      <w:r>
        <w:rPr>
          <w:rStyle w:val="EndnoteReference"/>
        </w:rPr>
        <w:endnoteReference w:id="1021"/>
      </w:r>
      <w:r>
        <w:t xml:space="preserve"> </w:t>
      </w:r>
      <w:r w:rsidR="00AD6306">
        <w:t>incluyendo</w:t>
      </w:r>
      <w:r>
        <w:t xml:space="preserve"> por</w:t>
      </w:r>
      <w:r w:rsidR="00AD6306">
        <w:t xml:space="preserve"> la falta de</w:t>
      </w:r>
      <w:r>
        <w:t xml:space="preserve"> acceso a los servicios de salud sexual y reproductiva,</w:t>
      </w:r>
      <w:r>
        <w:rPr>
          <w:rStyle w:val="EndnoteReference"/>
        </w:rPr>
        <w:endnoteReference w:id="1022"/>
      </w:r>
      <w:r>
        <w:t xml:space="preserve"> </w:t>
      </w:r>
      <w:r w:rsidR="00AD6306">
        <w:t>particularmente</w:t>
      </w:r>
      <w:r>
        <w:t xml:space="preserve"> anticonceptivos modernos.</w:t>
      </w:r>
      <w:r>
        <w:rPr>
          <w:rStyle w:val="EndnoteReference"/>
        </w:rPr>
        <w:endnoteReference w:id="1023"/>
      </w:r>
      <w:r>
        <w:t xml:space="preserve"> En particular, ha expresado preocupación por adolescentes que recurren al suicidio o sufren de depresión después de un embarazo</w:t>
      </w:r>
      <w:r>
        <w:rPr>
          <w:rStyle w:val="EndnoteReference"/>
        </w:rPr>
        <w:endnoteReference w:id="1024"/>
      </w:r>
      <w:r>
        <w:t xml:space="preserve"> y sobre el aborto inseguro como una causa importante de mortalidad materna de las niñas.</w:t>
      </w:r>
      <w:r>
        <w:rPr>
          <w:rStyle w:val="EndnoteReference"/>
        </w:rPr>
        <w:endnoteReference w:id="1025"/>
      </w:r>
      <w:r>
        <w:t xml:space="preserve"> </w:t>
      </w:r>
    </w:p>
    <w:p w14:paraId="127D7532" w14:textId="4AD517E2" w:rsidR="0049019C" w:rsidRDefault="00CD0EAF">
      <w:pPr>
        <w:pStyle w:val="NormalIndented"/>
      </w:pPr>
      <w:r>
        <w:t>El Comité C</w:t>
      </w:r>
      <w:r w:rsidR="00AD6306">
        <w:t>DN</w:t>
      </w:r>
      <w:r>
        <w:t xml:space="preserve"> ha pedido a los Estados a mejorar los datos sobre muertes maternas,</w:t>
      </w:r>
      <w:r>
        <w:rPr>
          <w:rStyle w:val="EndnoteReference"/>
        </w:rPr>
        <w:endnoteReference w:id="1026"/>
      </w:r>
      <w:r>
        <w:t xml:space="preserve"> </w:t>
      </w:r>
      <w:r w:rsidR="00AD6306">
        <w:t>incluyendo l</w:t>
      </w:r>
      <w:r>
        <w:t>os que ocurren fuera de las instalaciones de salud,</w:t>
      </w:r>
      <w:r>
        <w:rPr>
          <w:rStyle w:val="EndnoteReference"/>
        </w:rPr>
        <w:endnoteReference w:id="1027"/>
      </w:r>
      <w:r>
        <w:t xml:space="preserve"> </w:t>
      </w:r>
      <w:r w:rsidR="00AD6306">
        <w:t>e</w:t>
      </w:r>
      <w:r>
        <w:t xml:space="preserve"> </w:t>
      </w:r>
      <w:r w:rsidR="00AD6306">
        <w:t>implement</w:t>
      </w:r>
      <w:r>
        <w:t xml:space="preserve">ar la </w:t>
      </w:r>
      <w:r w:rsidR="00AD6306">
        <w:t>Guía T</w:t>
      </w:r>
      <w:r>
        <w:t>écnica del ACNUDH sobre la mortalidad materna prevenible y los derechos humanos</w:t>
      </w:r>
      <w:r>
        <w:rPr>
          <w:rStyle w:val="FootnoteReference"/>
        </w:rPr>
        <w:footnoteReference w:id="9"/>
      </w:r>
      <w:r>
        <w:t>.</w:t>
      </w:r>
      <w:r>
        <w:rPr>
          <w:rStyle w:val="EndnoteReference"/>
        </w:rPr>
        <w:endnoteReference w:id="1028"/>
      </w:r>
      <w:r>
        <w:t xml:space="preserve"> También ha pedido a los Estados reducir la mortalidad materna entre adolescentes y otras mujeres asegurando que tengan acceso a una gama de servicios de salud materna</w:t>
      </w:r>
      <w:r>
        <w:rPr>
          <w:rStyle w:val="EndnoteReference"/>
        </w:rPr>
        <w:endnoteReference w:id="1029"/>
      </w:r>
      <w:r>
        <w:t xml:space="preserve"> y una amplia gama de otros servicios de salud sexual y reproductiva, incluyendo anticoncepción</w:t>
      </w:r>
      <w:r w:rsidR="00AD6306">
        <w:t xml:space="preserve"> de emergencia</w:t>
      </w:r>
      <w:r>
        <w:t>, aborto seguro y servicios después de un aborto o los anticonceptivos.</w:t>
      </w:r>
      <w:r>
        <w:rPr>
          <w:rStyle w:val="EndnoteReference"/>
        </w:rPr>
        <w:endnoteReference w:id="1030"/>
      </w:r>
      <w:r>
        <w:t xml:space="preserve"> Además ha pedido al menos </w:t>
      </w:r>
      <w:r w:rsidR="00AD6306">
        <w:t xml:space="preserve">a </w:t>
      </w:r>
      <w:r>
        <w:t xml:space="preserve">un </w:t>
      </w:r>
      <w:r w:rsidR="00AD6306">
        <w:t>E</w:t>
      </w:r>
      <w:r>
        <w:t xml:space="preserve">stado revisar la legislación sobre el aborto en el contexto del aborto inseguro con el fin de velar por los </w:t>
      </w:r>
      <w:r w:rsidR="00AD6306">
        <w:t xml:space="preserve">mejores </w:t>
      </w:r>
      <w:r>
        <w:t>intereses de las adolescentes embarazadas.</w:t>
      </w:r>
      <w:r>
        <w:rPr>
          <w:rStyle w:val="EndnoteReference"/>
        </w:rPr>
        <w:endnoteReference w:id="1031"/>
      </w:r>
      <w:r>
        <w:t xml:space="preserve"> Además, el Comité ha pedido a los Estados mejorar la capacitación de las parteras y otros profesionales del cuidado médico para el parto,</w:t>
      </w:r>
      <w:r>
        <w:rPr>
          <w:rStyle w:val="EndnoteReference"/>
        </w:rPr>
        <w:endnoteReference w:id="1032"/>
      </w:r>
      <w:r>
        <w:t xml:space="preserve"> incluyendo el aumento del número de clínicas de salud materna, especialmente en las zonas rurales, con el fin de limitar la distancia </w:t>
      </w:r>
      <w:r w:rsidR="00AD6306">
        <w:t>qu</w:t>
      </w:r>
      <w:r>
        <w:t>e las mujeres tienen que viajar.</w:t>
      </w:r>
      <w:r>
        <w:rPr>
          <w:rStyle w:val="EndnoteReference"/>
        </w:rPr>
        <w:endnoteReference w:id="1033"/>
      </w:r>
      <w:r>
        <w:t xml:space="preserve"> También </w:t>
      </w:r>
      <w:r w:rsidR="00AD6306">
        <w:t>ha</w:t>
      </w:r>
      <w:r>
        <w:t xml:space="preserve"> recomenda</w:t>
      </w:r>
      <w:r w:rsidR="00AD6306">
        <w:t>do</w:t>
      </w:r>
      <w:r>
        <w:t xml:space="preserve"> que al menos un Estado adopte una estrategia </w:t>
      </w:r>
      <w:r w:rsidR="00AD6306">
        <w:t>integral para</w:t>
      </w:r>
      <w:r>
        <w:t xml:space="preserve"> garantizar una maternidad segura, incluyendo la rendición de cuentas y mecanismos de </w:t>
      </w:r>
      <w:r w:rsidR="00AD6306">
        <w:t>supervisión</w:t>
      </w:r>
      <w:r>
        <w:t>.</w:t>
      </w:r>
      <w:r>
        <w:rPr>
          <w:rStyle w:val="EndnoteReference"/>
        </w:rPr>
        <w:endnoteReference w:id="1034"/>
      </w:r>
      <w:r>
        <w:t xml:space="preserve"> El Comité ha pedido </w:t>
      </w:r>
      <w:r w:rsidR="00AD6306">
        <w:t>ade</w:t>
      </w:r>
      <w:r>
        <w:t xml:space="preserve">más </w:t>
      </w:r>
      <w:r w:rsidR="00AD6306">
        <w:t>a</w:t>
      </w:r>
      <w:r>
        <w:t xml:space="preserve"> al menos dos Estados  emprender estudios sobre las causas de las muertes maternas.</w:t>
      </w:r>
      <w:r>
        <w:rPr>
          <w:rStyle w:val="EndnoteReference"/>
        </w:rPr>
        <w:endnoteReference w:id="1035"/>
      </w:r>
      <w:r>
        <w:t xml:space="preserve"> También ha </w:t>
      </w:r>
      <w:r>
        <w:lastRenderedPageBreak/>
        <w:t>recomendado que los Estados bus</w:t>
      </w:r>
      <w:r w:rsidR="00AD6306">
        <w:t>que</w:t>
      </w:r>
      <w:r>
        <w:t>n asistencia técnica de agencias de la ONU para reducir la mortalidad materna.</w:t>
      </w:r>
      <w:r>
        <w:rPr>
          <w:rStyle w:val="EndnoteReference"/>
        </w:rPr>
        <w:endnoteReference w:id="1036"/>
      </w:r>
    </w:p>
    <w:p w14:paraId="6027494D" w14:textId="426CC2F9" w:rsidR="0049019C" w:rsidRDefault="00CD0EAF">
      <w:pPr>
        <w:pStyle w:val="Heading4"/>
      </w:pPr>
      <w:r>
        <w:t xml:space="preserve">Embarazos </w:t>
      </w:r>
      <w:r w:rsidR="00AD6306">
        <w:t>P</w:t>
      </w:r>
      <w:r>
        <w:t>recoces</w:t>
      </w:r>
    </w:p>
    <w:p w14:paraId="08BC4222" w14:textId="7D45C59D" w:rsidR="0049019C" w:rsidRDefault="00CD0EAF">
      <w:pPr>
        <w:pStyle w:val="NormalIndented"/>
      </w:pPr>
      <w:r>
        <w:t>El Comité C</w:t>
      </w:r>
      <w:r w:rsidR="00AD6306">
        <w:t>DN</w:t>
      </w:r>
      <w:r>
        <w:t xml:space="preserve"> con frecuencia ha expresado preocupación a Estados </w:t>
      </w:r>
      <w:r w:rsidR="00AD6306">
        <w:t xml:space="preserve">por las altas tasas </w:t>
      </w:r>
      <w:r>
        <w:t xml:space="preserve">de embarazo </w:t>
      </w:r>
      <w:r w:rsidR="007B12C6">
        <w:t xml:space="preserve">adolescentes o </w:t>
      </w:r>
      <w:r>
        <w:t>temprano,</w:t>
      </w:r>
      <w:r>
        <w:rPr>
          <w:rStyle w:val="EndnoteReference"/>
        </w:rPr>
        <w:endnoteReference w:id="1037"/>
      </w:r>
      <w:r>
        <w:t xml:space="preserve"> entre ellos como resultado de matrimonio infantil,</w:t>
      </w:r>
      <w:r>
        <w:rPr>
          <w:rStyle w:val="EndnoteReference"/>
        </w:rPr>
        <w:endnoteReference w:id="1038"/>
      </w:r>
      <w:r>
        <w:t xml:space="preserve"> la violencia sexual,</w:t>
      </w:r>
      <w:r>
        <w:rPr>
          <w:rStyle w:val="EndnoteReference"/>
        </w:rPr>
        <w:endnoteReference w:id="1039"/>
      </w:r>
      <w:r>
        <w:t xml:space="preserve"> bajos niveles de educación,</w:t>
      </w:r>
      <w:r>
        <w:rPr>
          <w:rStyle w:val="EndnoteReference"/>
        </w:rPr>
        <w:endnoteReference w:id="1040"/>
      </w:r>
      <w:r>
        <w:t xml:space="preserve"> falta de acceso a anticoncepción,</w:t>
      </w:r>
      <w:r>
        <w:rPr>
          <w:rStyle w:val="EndnoteReference"/>
        </w:rPr>
        <w:endnoteReference w:id="1041"/>
      </w:r>
      <w:r>
        <w:t xml:space="preserve"> y las barreras sociales y culturales al acceso a información</w:t>
      </w:r>
      <w:r w:rsidR="007B12C6" w:rsidRPr="007B12C6">
        <w:t xml:space="preserve"> </w:t>
      </w:r>
      <w:r w:rsidR="007B12C6">
        <w:t>y los servicios</w:t>
      </w:r>
      <w:r>
        <w:t xml:space="preserve"> sobre salud reproductiva.</w:t>
      </w:r>
      <w:r>
        <w:rPr>
          <w:rStyle w:val="EndnoteReference"/>
        </w:rPr>
        <w:endnoteReference w:id="1042"/>
      </w:r>
      <w:r>
        <w:t xml:space="preserve"> El Comité </w:t>
      </w:r>
      <w:r w:rsidR="007B12C6">
        <w:t xml:space="preserve">ha </w:t>
      </w:r>
      <w:r>
        <w:t>señ</w:t>
      </w:r>
      <w:r w:rsidR="007B12C6">
        <w:t>e</w:t>
      </w:r>
      <w:r>
        <w:t>l</w:t>
      </w:r>
      <w:r w:rsidR="007B12C6">
        <w:t>ado</w:t>
      </w:r>
      <w:r>
        <w:t xml:space="preserve"> </w:t>
      </w:r>
      <w:r w:rsidR="007B12C6">
        <w:t xml:space="preserve">a </w:t>
      </w:r>
      <w:r>
        <w:t xml:space="preserve">al menos un </w:t>
      </w:r>
      <w:r w:rsidR="007B12C6">
        <w:t>E</w:t>
      </w:r>
      <w:r>
        <w:t xml:space="preserve">stado que </w:t>
      </w:r>
      <w:r w:rsidR="007B12C6">
        <w:t xml:space="preserve">el </w:t>
      </w:r>
      <w:r>
        <w:t>embarazo no deseado como resultado de la violación en algunos casos conduce al suicidio y aborto inseguro.</w:t>
      </w:r>
      <w:r>
        <w:rPr>
          <w:rStyle w:val="EndnoteReference"/>
        </w:rPr>
        <w:endnoteReference w:id="1043"/>
      </w:r>
      <w:r>
        <w:t xml:space="preserve"> Además ha reconocido los peligros del embarazo temprano, incluyendo el mayor riesgo de morbilidad y mortalidad materna y, en al menos un caso, expresó su preocupación por negar métodos anticonceptivos </w:t>
      </w:r>
      <w:r w:rsidR="007B12C6">
        <w:t xml:space="preserve">a adolescentes </w:t>
      </w:r>
      <w:r>
        <w:t>y otros servicios de salud sexual y reproductiva.</w:t>
      </w:r>
      <w:r>
        <w:rPr>
          <w:rStyle w:val="EndnoteReference"/>
        </w:rPr>
        <w:endnoteReference w:id="1044"/>
      </w:r>
    </w:p>
    <w:p w14:paraId="2DAACC88" w14:textId="73E80595" w:rsidR="0049019C" w:rsidRDefault="00CD0EAF">
      <w:pPr>
        <w:pStyle w:val="NormalIndented"/>
      </w:pPr>
      <w:r>
        <w:t>El Comité C</w:t>
      </w:r>
      <w:r w:rsidR="007B12C6">
        <w:t>DN</w:t>
      </w:r>
      <w:r>
        <w:t xml:space="preserve"> también ha expresado su preocupación </w:t>
      </w:r>
      <w:r w:rsidR="007B12C6">
        <w:t xml:space="preserve">cuando el </w:t>
      </w:r>
      <w:r>
        <w:t>embarazo adolescente conduce a deserción escolar,</w:t>
      </w:r>
      <w:r>
        <w:rPr>
          <w:rStyle w:val="EndnoteReference"/>
        </w:rPr>
        <w:endnoteReference w:id="1045"/>
      </w:r>
      <w:r>
        <w:t xml:space="preserve"> la segregación de las niñas embarazadas en las escuelas especiales,</w:t>
      </w:r>
      <w:r>
        <w:rPr>
          <w:rStyle w:val="EndnoteReference"/>
        </w:rPr>
        <w:endnoteReference w:id="1046"/>
      </w:r>
      <w:r>
        <w:t xml:space="preserve"> la expulsión de las niñas de la escuela,</w:t>
      </w:r>
      <w:r>
        <w:rPr>
          <w:rStyle w:val="EndnoteReference"/>
        </w:rPr>
        <w:endnoteReference w:id="1047"/>
      </w:r>
      <w:r>
        <w:t xml:space="preserve"> o donde el embarazo conduce a barreras a la educación continua.</w:t>
      </w:r>
      <w:r>
        <w:rPr>
          <w:rStyle w:val="EndnoteReference"/>
        </w:rPr>
        <w:endnoteReference w:id="1048"/>
      </w:r>
      <w:r>
        <w:t xml:space="preserve"> El Comité en particular ha expresado preocupación </w:t>
      </w:r>
      <w:r w:rsidR="007B12C6">
        <w:t xml:space="preserve">a </w:t>
      </w:r>
      <w:r>
        <w:t xml:space="preserve">al menos un </w:t>
      </w:r>
      <w:r w:rsidR="007B12C6">
        <w:t>E</w:t>
      </w:r>
      <w:r>
        <w:t xml:space="preserve">stado por la falta de una política de niñas embarazadas y reintegración insuficiente de las madres jóvenes </w:t>
      </w:r>
      <w:r w:rsidR="007B12C6">
        <w:t xml:space="preserve">al </w:t>
      </w:r>
      <w:r>
        <w:t>regresar a la escuela.</w:t>
      </w:r>
      <w:r>
        <w:rPr>
          <w:rStyle w:val="EndnoteReference"/>
        </w:rPr>
        <w:endnoteReference w:id="1049"/>
      </w:r>
      <w:r>
        <w:t xml:space="preserve"> </w:t>
      </w:r>
      <w:r w:rsidR="007B12C6">
        <w:t>El</w:t>
      </w:r>
      <w:r>
        <w:t xml:space="preserve"> Comi</w:t>
      </w:r>
      <w:r w:rsidR="007B12C6">
        <w:t>té</w:t>
      </w:r>
      <w:r>
        <w:t xml:space="preserve"> también ha expresado preocupación por </w:t>
      </w:r>
      <w:r w:rsidR="007B12C6">
        <w:t xml:space="preserve">pruebas forzadas de </w:t>
      </w:r>
      <w:r>
        <w:t>embarazo en las escuelas,</w:t>
      </w:r>
      <w:r>
        <w:rPr>
          <w:rStyle w:val="EndnoteReference"/>
        </w:rPr>
        <w:endnoteReference w:id="1050"/>
      </w:r>
      <w:r>
        <w:t xml:space="preserve"> la discriminación y el estigma que las adolescentes enfrentan cuando quedan embarazadas,</w:t>
      </w:r>
      <w:r>
        <w:rPr>
          <w:rStyle w:val="EndnoteReference"/>
        </w:rPr>
        <w:endnoteReference w:id="1051"/>
      </w:r>
      <w:r>
        <w:t xml:space="preserve"> y sobre la falta de acceso a servicios de salud matern</w:t>
      </w:r>
      <w:r w:rsidR="007B12C6">
        <w:t>a</w:t>
      </w:r>
      <w:r>
        <w:t xml:space="preserve"> </w:t>
      </w:r>
      <w:r w:rsidR="007B12C6">
        <w:t>para</w:t>
      </w:r>
      <w:r>
        <w:t xml:space="preserve"> adolescentes debido tanto </w:t>
      </w:r>
      <w:r w:rsidR="007B12C6">
        <w:t xml:space="preserve">a </w:t>
      </w:r>
      <w:r>
        <w:t>la discriminación entre trabajadores de</w:t>
      </w:r>
      <w:r w:rsidR="007B12C6">
        <w:t xml:space="preserve"> la salud</w:t>
      </w:r>
      <w:r>
        <w:t xml:space="preserve"> y el costo de los servicios.</w:t>
      </w:r>
      <w:r>
        <w:rPr>
          <w:rStyle w:val="EndnoteReference"/>
        </w:rPr>
        <w:endnoteReference w:id="1052"/>
      </w:r>
      <w:r>
        <w:t xml:space="preserve"> </w:t>
      </w:r>
    </w:p>
    <w:p w14:paraId="09598353" w14:textId="5FFACD9D" w:rsidR="0049019C" w:rsidRDefault="00CD0EAF">
      <w:pPr>
        <w:pStyle w:val="NormalIndented"/>
      </w:pPr>
      <w:r>
        <w:t>El Comité C</w:t>
      </w:r>
      <w:r w:rsidR="007B12C6">
        <w:t>DN</w:t>
      </w:r>
      <w:r>
        <w:t xml:space="preserve"> ha pedido al menos </w:t>
      </w:r>
      <w:r w:rsidR="007B12C6">
        <w:t xml:space="preserve">a </w:t>
      </w:r>
      <w:r>
        <w:t xml:space="preserve">un </w:t>
      </w:r>
      <w:r w:rsidR="007B12C6">
        <w:t>E</w:t>
      </w:r>
      <w:r>
        <w:t xml:space="preserve">stado reforzar estrategias para </w:t>
      </w:r>
      <w:r w:rsidR="007B12C6">
        <w:t xml:space="preserve">enfrentar </w:t>
      </w:r>
      <w:r>
        <w:t>el embarazo temprano,</w:t>
      </w:r>
      <w:r>
        <w:rPr>
          <w:rStyle w:val="EndnoteReference"/>
        </w:rPr>
        <w:endnoteReference w:id="1053"/>
      </w:r>
      <w:r>
        <w:t xml:space="preserve"> en otro Estado</w:t>
      </w:r>
      <w:r w:rsidR="007B12C6">
        <w:t xml:space="preserve">, </w:t>
      </w:r>
      <w:r>
        <w:t>desarroll</w:t>
      </w:r>
      <w:r w:rsidR="007B12C6">
        <w:t>ar</w:t>
      </w:r>
      <w:r>
        <w:t xml:space="preserve"> legislación sobre el tema de matrimonio precoz y el embarazo temprano,</w:t>
      </w:r>
      <w:r>
        <w:rPr>
          <w:rStyle w:val="EndnoteReference"/>
        </w:rPr>
        <w:endnoteReference w:id="1054"/>
      </w:r>
      <w:r>
        <w:t xml:space="preserve"> y </w:t>
      </w:r>
      <w:r w:rsidR="007B12C6">
        <w:t xml:space="preserve">a </w:t>
      </w:r>
      <w:r>
        <w:t>varios Estados</w:t>
      </w:r>
      <w:r w:rsidR="007B12C6">
        <w:t>,</w:t>
      </w:r>
      <w:r>
        <w:t xml:space="preserve"> desarrollar políticas y prácticas para proteger los derechos de las adolescentes embarazadas y jóvenes madres y sus hijos y asegurar que no son objeto de discriminación.</w:t>
      </w:r>
      <w:r>
        <w:rPr>
          <w:rStyle w:val="EndnoteReference"/>
        </w:rPr>
        <w:endnoteReference w:id="1055"/>
      </w:r>
      <w:r>
        <w:t xml:space="preserve"> En particular ha llamado a los Estados a garantizar la atención gratuita de salud de adolescentes embarazadas hasta los 18 años,</w:t>
      </w:r>
      <w:r>
        <w:rPr>
          <w:rStyle w:val="EndnoteReference"/>
        </w:rPr>
        <w:endnoteReference w:id="1056"/>
      </w:r>
      <w:r>
        <w:t xml:space="preserve"> cubiertos por </w:t>
      </w:r>
      <w:r w:rsidR="007B12C6">
        <w:t xml:space="preserve">el </w:t>
      </w:r>
      <w:r>
        <w:t>seguro médico público.</w:t>
      </w:r>
      <w:r>
        <w:rPr>
          <w:rStyle w:val="EndnoteReference"/>
        </w:rPr>
        <w:endnoteReference w:id="1057"/>
      </w:r>
      <w:r>
        <w:t xml:space="preserve"> Además, ha pedido a los Estados que sensibilicen a las familias, las comunidades, líderes religiosos y jueces</w:t>
      </w:r>
      <w:r w:rsidR="00E023A6">
        <w:t>y juezas</w:t>
      </w:r>
      <w:r>
        <w:t xml:space="preserve"> sobre los peligros del embarazo precoz para las adolescentes, incluso en el contexto del matrimonio infantil</w:t>
      </w:r>
      <w:r w:rsidR="00E023A6">
        <w:t>,</w:t>
      </w:r>
      <w:r>
        <w:rPr>
          <w:rStyle w:val="EndnoteReference"/>
        </w:rPr>
        <w:endnoteReference w:id="1058"/>
      </w:r>
      <w:r>
        <w:t xml:space="preserve"> incluyendo proporciona</w:t>
      </w:r>
      <w:r w:rsidR="00E023A6">
        <w:t>r</w:t>
      </w:r>
      <w:r>
        <w:t xml:space="preserve"> educación sexual a los niños </w:t>
      </w:r>
      <w:r w:rsidR="00E023A6">
        <w:t xml:space="preserve">y niñas </w:t>
      </w:r>
      <w:r>
        <w:t>en las escuelas.</w:t>
      </w:r>
      <w:r>
        <w:rPr>
          <w:rStyle w:val="EndnoteReference"/>
        </w:rPr>
        <w:endnoteReference w:id="1059"/>
      </w:r>
      <w:r>
        <w:t xml:space="preserve"> También </w:t>
      </w:r>
      <w:r w:rsidR="00E023A6">
        <w:t xml:space="preserve">ha </w:t>
      </w:r>
      <w:r>
        <w:t>recomend</w:t>
      </w:r>
      <w:r w:rsidR="00E023A6">
        <w:t>ado</w:t>
      </w:r>
      <w:r>
        <w:t xml:space="preserve"> que los Estados suspendan la práctica de las pruebas de embarazo forzadas y se esfuercen por garantizar que las adolescentes embarazadas puedan permanecer en la escuela y regresar a la escuela después de sus embarazos,</w:t>
      </w:r>
      <w:r>
        <w:rPr>
          <w:rStyle w:val="EndnoteReference"/>
        </w:rPr>
        <w:endnoteReference w:id="1060"/>
      </w:r>
      <w:r>
        <w:t xml:space="preserve"> inclu</w:t>
      </w:r>
      <w:r w:rsidR="00E023A6">
        <w:t>yendo</w:t>
      </w:r>
      <w:r>
        <w:t xml:space="preserve"> la adopción o implementación de políticas sobre </w:t>
      </w:r>
      <w:r w:rsidR="00E023A6">
        <w:t>estudiant</w:t>
      </w:r>
      <w:r>
        <w:t>es embarazadas.</w:t>
      </w:r>
      <w:r>
        <w:rPr>
          <w:rStyle w:val="EndnoteReference"/>
        </w:rPr>
        <w:endnoteReference w:id="1061"/>
      </w:r>
    </w:p>
    <w:p w14:paraId="5A82AC9F" w14:textId="2AD42CB7" w:rsidR="0049019C" w:rsidRPr="004B2C96" w:rsidRDefault="00CD0EAF">
      <w:pPr>
        <w:pStyle w:val="Heading3"/>
      </w:pPr>
      <w:bookmarkStart w:id="73" w:name="_Toc498590726"/>
      <w:r w:rsidRPr="004B2C96">
        <w:t xml:space="preserve">educación </w:t>
      </w:r>
      <w:r w:rsidR="00E023A6" w:rsidRPr="004B2C96">
        <w:t xml:space="preserve">Sexual </w:t>
      </w:r>
      <w:r w:rsidRPr="004B2C96">
        <w:t xml:space="preserve">y </w:t>
      </w:r>
      <w:r w:rsidR="00E023A6" w:rsidRPr="004B2C96">
        <w:t xml:space="preserve">TOMA DE </w:t>
      </w:r>
      <w:r w:rsidRPr="004B2C96">
        <w:t>conciencia</w:t>
      </w:r>
      <w:bookmarkEnd w:id="73"/>
    </w:p>
    <w:p w14:paraId="493DADA6" w14:textId="288E7E72" w:rsidR="0049019C" w:rsidRDefault="00CD0EAF">
      <w:r>
        <w:t>El Comité C</w:t>
      </w:r>
      <w:r w:rsidR="00E023A6">
        <w:t>DN</w:t>
      </w:r>
      <w:r>
        <w:t xml:space="preserve"> ha llamado constantemente a los Estados a incluir la educación sexual como parte del plan de estudios en las escuelas</w:t>
      </w:r>
      <w:r>
        <w:rPr>
          <w:rStyle w:val="EndnoteReference"/>
        </w:rPr>
        <w:endnoteReference w:id="1062"/>
      </w:r>
      <w:r>
        <w:t xml:space="preserve"> y </w:t>
      </w:r>
      <w:r w:rsidR="00E023A6">
        <w:t xml:space="preserve">asegurar </w:t>
      </w:r>
      <w:r>
        <w:t>que esté disponible fuera de las escuelas.</w:t>
      </w:r>
      <w:r>
        <w:rPr>
          <w:rStyle w:val="EndnoteReference"/>
        </w:rPr>
        <w:endnoteReference w:id="1063"/>
      </w:r>
      <w:r>
        <w:t xml:space="preserve"> Esta educación sexual debe</w:t>
      </w:r>
      <w:r w:rsidR="00E023A6">
        <w:t>ría</w:t>
      </w:r>
      <w:r>
        <w:t xml:space="preserve"> incluir información sobre cómo prevenir el embarazo precoz y las infecciones de transmisión sexual (ITS), incluido el VIH,</w:t>
      </w:r>
      <w:r>
        <w:rPr>
          <w:rStyle w:val="EndnoteReference"/>
        </w:rPr>
        <w:endnoteReference w:id="1064"/>
      </w:r>
      <w:r>
        <w:t xml:space="preserve"> así como </w:t>
      </w:r>
      <w:r w:rsidR="00E023A6">
        <w:t xml:space="preserve">sobre </w:t>
      </w:r>
      <w:r>
        <w:t>el comportamiento sexual responsable, especialmente entre los niños,</w:t>
      </w:r>
      <w:r>
        <w:rPr>
          <w:rStyle w:val="EndnoteReference"/>
        </w:rPr>
        <w:endnoteReference w:id="1065"/>
      </w:r>
      <w:r>
        <w:t xml:space="preserve"> y en materia de anticoncepción,</w:t>
      </w:r>
      <w:r>
        <w:rPr>
          <w:rStyle w:val="EndnoteReference"/>
        </w:rPr>
        <w:endnoteReference w:id="1066"/>
      </w:r>
      <w:r>
        <w:t xml:space="preserve"> acceso y disponibilidad de la </w:t>
      </w:r>
      <w:r w:rsidR="00E023A6">
        <w:t xml:space="preserve">atención confidencial de la </w:t>
      </w:r>
      <w:r>
        <w:t>salud sexual y reproductiva,</w:t>
      </w:r>
      <w:r>
        <w:rPr>
          <w:rStyle w:val="EndnoteReference"/>
        </w:rPr>
        <w:endnoteReference w:id="1067"/>
      </w:r>
      <w:r>
        <w:t xml:space="preserve"> </w:t>
      </w:r>
      <w:r w:rsidR="00E023A6">
        <w:t xml:space="preserve">el </w:t>
      </w:r>
      <w:r>
        <w:t>aborto inseguro,</w:t>
      </w:r>
      <w:r>
        <w:rPr>
          <w:rStyle w:val="EndnoteReference"/>
        </w:rPr>
        <w:endnoteReference w:id="1068"/>
      </w:r>
      <w:r>
        <w:t xml:space="preserve"> la prevención del abuso sexual, servicios de apoyo disponibles en casos de abuso sexual y la sexualidad, </w:t>
      </w:r>
      <w:r w:rsidR="00E023A6">
        <w:t xml:space="preserve">incluyendo lo </w:t>
      </w:r>
      <w:r>
        <w:t>relativ</w:t>
      </w:r>
      <w:r w:rsidR="00E023A6">
        <w:t>o</w:t>
      </w:r>
      <w:r>
        <w:t xml:space="preserve"> a las personas LGBTI.</w:t>
      </w:r>
      <w:r>
        <w:rPr>
          <w:rStyle w:val="EndnoteReference"/>
        </w:rPr>
        <w:endnoteReference w:id="1069"/>
      </w:r>
      <w:r>
        <w:t xml:space="preserve"> El Comité también ha recomendado que los Estados asegur</w:t>
      </w:r>
      <w:r w:rsidR="00E023A6">
        <w:t>e</w:t>
      </w:r>
      <w:r>
        <w:t xml:space="preserve">n que </w:t>
      </w:r>
      <w:r w:rsidR="00E023A6">
        <w:t xml:space="preserve">la </w:t>
      </w:r>
      <w:r>
        <w:t xml:space="preserve">educación sexual es apropiada para la edad, disponible en formatos accesibles y respeta la dignidad de los niños </w:t>
      </w:r>
      <w:r w:rsidR="00E023A6">
        <w:t xml:space="preserve">y niñas </w:t>
      </w:r>
      <w:r>
        <w:t>con discapacidad.</w:t>
      </w:r>
      <w:r>
        <w:rPr>
          <w:rStyle w:val="EndnoteReference"/>
        </w:rPr>
        <w:endnoteReference w:id="1070"/>
      </w:r>
      <w:r>
        <w:t xml:space="preserve"> En al menos un caso, ha expresado su preocupación sobre el modelo de un </w:t>
      </w:r>
      <w:r w:rsidR="00E023A6">
        <w:t>E</w:t>
      </w:r>
      <w:r>
        <w:t xml:space="preserve">stado </w:t>
      </w:r>
      <w:r w:rsidR="00E023A6">
        <w:t>en</w:t>
      </w:r>
      <w:r>
        <w:t xml:space="preserve"> educación </w:t>
      </w:r>
      <w:r w:rsidR="00E023A6">
        <w:t xml:space="preserve">de la </w:t>
      </w:r>
      <w:r>
        <w:t xml:space="preserve">sexualidad que depende de los padres para brindar información a adolescentes, pidiendo al </w:t>
      </w:r>
      <w:r w:rsidR="00E023A6">
        <w:t>E</w:t>
      </w:r>
      <w:r>
        <w:t>stado proporcionar información acerca de la efectividad de este programa y avanzar hacia la provisión de educación sexual en las escuelas.</w:t>
      </w:r>
      <w:r>
        <w:rPr>
          <w:rStyle w:val="EndnoteReference"/>
        </w:rPr>
        <w:endnoteReference w:id="1071"/>
      </w:r>
    </w:p>
    <w:p w14:paraId="2E1B8907" w14:textId="742856EE" w:rsidR="0049019C" w:rsidRDefault="00CD0EAF">
      <w:r>
        <w:lastRenderedPageBreak/>
        <w:t>El Comité C</w:t>
      </w:r>
      <w:r w:rsidR="00E023A6">
        <w:t>DN</w:t>
      </w:r>
      <w:r>
        <w:t xml:space="preserve"> también ha expresado preocupación por las bajas tasas de sensibilización en adolescentes sobre </w:t>
      </w:r>
      <w:r w:rsidR="00EC5EB3">
        <w:t xml:space="preserve">derechos y </w:t>
      </w:r>
      <w:r>
        <w:t>salud sexual y reproductiva.</w:t>
      </w:r>
      <w:r>
        <w:rPr>
          <w:rStyle w:val="EndnoteReference"/>
        </w:rPr>
        <w:endnoteReference w:id="1072"/>
      </w:r>
      <w:r>
        <w:t xml:space="preserve"> Se llama a los Estados a crear conciencia en toda la comunidad sobre temas de derechos sexuales y reproductivos,</w:t>
      </w:r>
      <w:r>
        <w:rPr>
          <w:rStyle w:val="EndnoteReference"/>
        </w:rPr>
        <w:endnoteReference w:id="1073"/>
      </w:r>
      <w:r>
        <w:t xml:space="preserve"> </w:t>
      </w:r>
      <w:r w:rsidR="00EC5EB3">
        <w:t>incluyendo</w:t>
      </w:r>
      <w:r>
        <w:t xml:space="preserve"> los hogares pobres y las </w:t>
      </w:r>
      <w:r w:rsidR="00EC5EB3">
        <w:t xml:space="preserve">comunidades de las </w:t>
      </w:r>
      <w:r>
        <w:t>minorías.</w:t>
      </w:r>
      <w:r>
        <w:rPr>
          <w:rStyle w:val="EndnoteReference"/>
        </w:rPr>
        <w:endnoteReference w:id="1074"/>
      </w:r>
      <w:r>
        <w:t xml:space="preserve"> En particular, se llama por lo menos </w:t>
      </w:r>
      <w:r w:rsidR="00EC5EB3">
        <w:t xml:space="preserve">a </w:t>
      </w:r>
      <w:r>
        <w:t xml:space="preserve">un </w:t>
      </w:r>
      <w:r w:rsidR="00EC5EB3">
        <w:t>E</w:t>
      </w:r>
      <w:r>
        <w:t xml:space="preserve">stado para concienciar a prestadores de salud sobre la necesidad de garantizar que los </w:t>
      </w:r>
      <w:r w:rsidR="00EC5EB3">
        <w:t xml:space="preserve">y las </w:t>
      </w:r>
      <w:r>
        <w:t>adolescentes tengan acceso a servicios de salud amig</w:t>
      </w:r>
      <w:r w:rsidR="00EC5EB3">
        <w:t>ables</w:t>
      </w:r>
      <w:r>
        <w:t xml:space="preserve"> </w:t>
      </w:r>
      <w:r w:rsidR="00EC5EB3">
        <w:t>para la niñez</w:t>
      </w:r>
      <w:r>
        <w:t>, sin prejuicios y respetuos</w:t>
      </w:r>
      <w:r w:rsidR="00EC5EB3">
        <w:t>os</w:t>
      </w:r>
      <w:r>
        <w:t>.</w:t>
      </w:r>
      <w:r>
        <w:rPr>
          <w:rStyle w:val="EndnoteReference"/>
        </w:rPr>
        <w:endnoteReference w:id="1075"/>
      </w:r>
      <w:r>
        <w:t xml:space="preserve"> El Comité ha pedido también con frecuencia </w:t>
      </w:r>
      <w:r w:rsidR="00EC5EB3">
        <w:t>h</w:t>
      </w:r>
      <w:r>
        <w:t>a</w:t>
      </w:r>
      <w:r w:rsidR="00EC5EB3">
        <w:t xml:space="preserve"> pedido a</w:t>
      </w:r>
      <w:r>
        <w:t xml:space="preserve"> los Estados crear conciencia sobre el comportamiento sexual responsable, especialmente entre los hombres y los niños.</w:t>
      </w:r>
      <w:r>
        <w:rPr>
          <w:rStyle w:val="EndnoteReference"/>
        </w:rPr>
        <w:endnoteReference w:id="1076"/>
      </w:r>
    </w:p>
    <w:p w14:paraId="3E771B9E" w14:textId="77777777" w:rsidR="0049019C" w:rsidRPr="004B2C96" w:rsidRDefault="00CD0EAF">
      <w:pPr>
        <w:pStyle w:val="Heading3"/>
      </w:pPr>
      <w:bookmarkStart w:id="74" w:name="_Toc498590727"/>
      <w:r w:rsidRPr="004B2C96">
        <w:t>Esterilización forzada y aborto forzado</w:t>
      </w:r>
      <w:bookmarkEnd w:id="74"/>
    </w:p>
    <w:p w14:paraId="03902B8F" w14:textId="736BAEBE" w:rsidR="0049019C" w:rsidRDefault="00CD0EAF">
      <w:r>
        <w:t>El Comité C</w:t>
      </w:r>
      <w:r w:rsidR="00EC5EB3">
        <w:t>DN</w:t>
      </w:r>
      <w:r>
        <w:t xml:space="preserve"> ha expres</w:t>
      </w:r>
      <w:r w:rsidR="00897E76">
        <w:t>ado</w:t>
      </w:r>
      <w:r>
        <w:t xml:space="preserve"> su preocupación al </w:t>
      </w:r>
      <w:r w:rsidR="00897E76">
        <w:t>menos a un E</w:t>
      </w:r>
      <w:r>
        <w:t xml:space="preserve">stado por la esterilización forzada y el aborto </w:t>
      </w:r>
      <w:r w:rsidR="00897E76">
        <w:t xml:space="preserve">forzado </w:t>
      </w:r>
      <w:r>
        <w:t xml:space="preserve">de adolescentes, como resultado de las políticas de población del </w:t>
      </w:r>
      <w:r w:rsidR="00897E76">
        <w:t>E</w:t>
      </w:r>
      <w:r>
        <w:t>stado.</w:t>
      </w:r>
      <w:r>
        <w:rPr>
          <w:rStyle w:val="EndnoteReference"/>
        </w:rPr>
        <w:endnoteReference w:id="1077"/>
      </w:r>
      <w:r>
        <w:t xml:space="preserve"> En particular ha expresado preocupación donde Estados esteriliza</w:t>
      </w:r>
      <w:r w:rsidR="00897E76">
        <w:t>n forzosamente</w:t>
      </w:r>
      <w:r>
        <w:t xml:space="preserve"> a las niñas con discapacidad,</w:t>
      </w:r>
      <w:r>
        <w:rPr>
          <w:rStyle w:val="EndnoteReference"/>
        </w:rPr>
        <w:endnoteReference w:id="1078"/>
      </w:r>
      <w:r>
        <w:t xml:space="preserve"> inclu</w:t>
      </w:r>
      <w:r w:rsidR="00897E76">
        <w:t>s</w:t>
      </w:r>
      <w:r>
        <w:t>o a pesar de la prohibición de la práctica.</w:t>
      </w:r>
      <w:r>
        <w:rPr>
          <w:rStyle w:val="EndnoteReference"/>
        </w:rPr>
        <w:endnoteReference w:id="1079"/>
      </w:r>
      <w:r>
        <w:t xml:space="preserve"> El Comité ha recomendado </w:t>
      </w:r>
      <w:r w:rsidR="00897E76">
        <w:t xml:space="preserve">a </w:t>
      </w:r>
      <w:r>
        <w:t xml:space="preserve">al menos un </w:t>
      </w:r>
      <w:r w:rsidR="00897E76">
        <w:t>E</w:t>
      </w:r>
      <w:r>
        <w:t>stado prohibir la esterilización de niños</w:t>
      </w:r>
      <w:r w:rsidR="00897E76">
        <w:t xml:space="preserve"> y niñas</w:t>
      </w:r>
      <w:r>
        <w:t>, con y sin discapacidad y en cambio promover medidas para evitar embarazos no deseados.</w:t>
      </w:r>
      <w:r>
        <w:rPr>
          <w:rStyle w:val="EndnoteReference"/>
        </w:rPr>
        <w:endnoteReference w:id="1080"/>
      </w:r>
      <w:r>
        <w:t xml:space="preserve"> El Comité ha recomendado además </w:t>
      </w:r>
      <w:r w:rsidR="00897E76">
        <w:t xml:space="preserve">a </w:t>
      </w:r>
      <w:r>
        <w:t xml:space="preserve">al menos un </w:t>
      </w:r>
      <w:r w:rsidR="00897E76">
        <w:t>E</w:t>
      </w:r>
      <w:r>
        <w:t>stado tomar todas las medidas necesarias para hacer cumplir una prohibición de esterilización forzada de las niñas con discapacidad y garantizar los derechos sexuales y reproductivos de las niñas con discapacidad.</w:t>
      </w:r>
      <w:r>
        <w:rPr>
          <w:rStyle w:val="EndnoteReference"/>
        </w:rPr>
        <w:endnoteReference w:id="1081"/>
      </w:r>
      <w:r>
        <w:t xml:space="preserve"> </w:t>
      </w:r>
      <w:r w:rsidR="00897E76">
        <w:t>El</w:t>
      </w:r>
      <w:r>
        <w:t xml:space="preserve"> </w:t>
      </w:r>
      <w:r w:rsidR="00897E76">
        <w:t xml:space="preserve">Comité </w:t>
      </w:r>
      <w:r>
        <w:t>ha clasificado como discriminación la ausencia de leyes que prohíben la esterilización forzada de las personas con discapacidad.</w:t>
      </w:r>
      <w:r>
        <w:rPr>
          <w:rStyle w:val="EndnoteReference"/>
        </w:rPr>
        <w:endnoteReference w:id="1082"/>
      </w:r>
    </w:p>
    <w:p w14:paraId="59065F82" w14:textId="27C99231" w:rsidR="0049019C" w:rsidRDefault="00CD0EAF">
      <w:r>
        <w:t>En los últimos años, el Comité C</w:t>
      </w:r>
      <w:r w:rsidR="00897E76">
        <w:t>DN</w:t>
      </w:r>
      <w:r>
        <w:t xml:space="preserve"> también con frecuencia ha expresado preocupación por innecesarios tratamientos médicos y quirúrgicos en niños</w:t>
      </w:r>
      <w:r w:rsidR="00897E76">
        <w:t xml:space="preserve"> y niñas</w:t>
      </w:r>
      <w:r>
        <w:t xml:space="preserve">, en </w:t>
      </w:r>
      <w:r w:rsidR="00897E76">
        <w:t>particular en</w:t>
      </w:r>
      <w:r>
        <w:t xml:space="preserve"> niños intersexuales,</w:t>
      </w:r>
      <w:r>
        <w:rPr>
          <w:rStyle w:val="EndnoteReference"/>
        </w:rPr>
        <w:endnoteReference w:id="1083"/>
      </w:r>
      <w:r>
        <w:t xml:space="preserve"> antes de que pueden proporcionar el consentimiento informado.</w:t>
      </w:r>
      <w:r>
        <w:rPr>
          <w:rStyle w:val="EndnoteReference"/>
        </w:rPr>
        <w:endnoteReference w:id="1084"/>
      </w:r>
      <w:r>
        <w:t xml:space="preserve"> Ha observado en particular que los resultados de estas cirugías irreversibles pueden conducir a graves traumas físicos y psicológicos para los niños</w:t>
      </w:r>
      <w:r w:rsidR="00897E76">
        <w:t xml:space="preserve"> y niñas</w:t>
      </w:r>
      <w:r>
        <w:t>.</w:t>
      </w:r>
      <w:r>
        <w:rPr>
          <w:rStyle w:val="EndnoteReference"/>
        </w:rPr>
        <w:endnoteReference w:id="1085"/>
      </w:r>
      <w:r>
        <w:t xml:space="preserve"> El Comité ha pedido a los Estados garantizar la integridad corporal, la autonomía y la autodeterminación de los niños </w:t>
      </w:r>
      <w:r w:rsidR="00897E76">
        <w:t xml:space="preserve">y niñas </w:t>
      </w:r>
      <w:r>
        <w:t>evitando tales prácticas,</w:t>
      </w:r>
      <w:r>
        <w:rPr>
          <w:rStyle w:val="EndnoteReference"/>
        </w:rPr>
        <w:endnoteReference w:id="1086"/>
      </w:r>
      <w:r>
        <w:t xml:space="preserve"> clasifica</w:t>
      </w:r>
      <w:r w:rsidR="00897E76">
        <w:t>ndo</w:t>
      </w:r>
      <w:r>
        <w:t xml:space="preserve"> estas intervenciones médicas y quirúrgicas innecesarias como las prácticas perjudiciales.</w:t>
      </w:r>
      <w:r>
        <w:rPr>
          <w:rStyle w:val="EndnoteReference"/>
        </w:rPr>
        <w:endnoteReference w:id="1087"/>
      </w:r>
      <w:r>
        <w:t xml:space="preserve"> También ha pedido a los Estados proporcionar a las familias de niños intersexuales con servicios adecuados de asesoramiento y apoyo</w:t>
      </w:r>
      <w:r>
        <w:rPr>
          <w:rStyle w:val="EndnoteReference"/>
        </w:rPr>
        <w:endnoteReference w:id="1088"/>
      </w:r>
      <w:r>
        <w:t xml:space="preserve"> y establecer procedimientos para los equipos de salud para asegurarse de que nadie está sometido a tratamiento médico o quirúrgico innecesario.</w:t>
      </w:r>
      <w:r>
        <w:rPr>
          <w:rStyle w:val="EndnoteReference"/>
        </w:rPr>
        <w:endnoteReference w:id="1089"/>
      </w:r>
    </w:p>
    <w:p w14:paraId="40AEF1E5" w14:textId="4AD47760" w:rsidR="0049019C" w:rsidRDefault="00CD0EAF">
      <w:pPr>
        <w:pStyle w:val="Heading4"/>
      </w:pPr>
      <w:r>
        <w:t xml:space="preserve">Capacidad </w:t>
      </w:r>
      <w:r w:rsidR="00897E76">
        <w:t>J</w:t>
      </w:r>
      <w:r>
        <w:t xml:space="preserve">urídica y </w:t>
      </w:r>
      <w:r w:rsidR="00897E76">
        <w:t>C</w:t>
      </w:r>
      <w:r>
        <w:t xml:space="preserve">onsentimiento </w:t>
      </w:r>
      <w:r w:rsidR="00897E76">
        <w:t>I</w:t>
      </w:r>
      <w:r>
        <w:t>nformado</w:t>
      </w:r>
    </w:p>
    <w:p w14:paraId="10962E69" w14:textId="628966F9" w:rsidR="0049019C" w:rsidRPr="001261E1" w:rsidRDefault="00CD0EAF" w:rsidP="001261E1">
      <w:pPr>
        <w:pStyle w:val="NormalIndented"/>
      </w:pPr>
      <w:r>
        <w:t>El Comité C</w:t>
      </w:r>
      <w:r w:rsidR="00897E76">
        <w:t>DN</w:t>
      </w:r>
      <w:r>
        <w:t xml:space="preserve"> ha pedido por lo menos </w:t>
      </w:r>
      <w:r w:rsidR="00897E76">
        <w:t xml:space="preserve">a </w:t>
      </w:r>
      <w:r>
        <w:t xml:space="preserve">un </w:t>
      </w:r>
      <w:r w:rsidR="00897E76">
        <w:t>E</w:t>
      </w:r>
      <w:r>
        <w:t xml:space="preserve">stado, donde se lleva a cabo la esterilización terapéutica </w:t>
      </w:r>
      <w:r w:rsidR="00897E76">
        <w:t>de</w:t>
      </w:r>
      <w:r>
        <w:t xml:space="preserve"> niños</w:t>
      </w:r>
      <w:r w:rsidR="00897E76">
        <w:t xml:space="preserve"> y niñas</w:t>
      </w:r>
      <w:r>
        <w:t>, que se reali</w:t>
      </w:r>
      <w:r w:rsidR="00897E76">
        <w:t>ce</w:t>
      </w:r>
      <w:r>
        <w:t xml:space="preserve"> sobre la base de consentimiento </w:t>
      </w:r>
      <w:r w:rsidR="00897E76">
        <w:t xml:space="preserve">pleno, libre e </w:t>
      </w:r>
      <w:r>
        <w:t xml:space="preserve">informado de </w:t>
      </w:r>
      <w:r w:rsidR="00897E76">
        <w:t>aquell</w:t>
      </w:r>
      <w:r>
        <w:t>os niños</w:t>
      </w:r>
      <w:r w:rsidR="00897E76">
        <w:t xml:space="preserve"> y niñas</w:t>
      </w:r>
      <w:r>
        <w:t xml:space="preserve">, incluyendo a niños </w:t>
      </w:r>
      <w:r w:rsidR="00897E76">
        <w:t xml:space="preserve">y niñas </w:t>
      </w:r>
      <w:r>
        <w:t>con discapacidad.</w:t>
      </w:r>
      <w:r>
        <w:rPr>
          <w:rStyle w:val="EndnoteReference"/>
        </w:rPr>
        <w:endnoteReference w:id="1090"/>
      </w:r>
      <w:r>
        <w:t xml:space="preserve"> También ha recomendado </w:t>
      </w:r>
      <w:r w:rsidR="00897E76">
        <w:t>a</w:t>
      </w:r>
      <w:r>
        <w:t xml:space="preserve"> un Estado adopt</w:t>
      </w:r>
      <w:r w:rsidR="00897E76">
        <w:t>ar</w:t>
      </w:r>
      <w:r>
        <w:t xml:space="preserve"> legislación que específicamente prohíb</w:t>
      </w:r>
      <w:r w:rsidR="00897E76">
        <w:t>a</w:t>
      </w:r>
      <w:r>
        <w:t xml:space="preserve"> la esterilización de niños </w:t>
      </w:r>
      <w:r w:rsidR="00897E76">
        <w:t xml:space="preserve">y niñas </w:t>
      </w:r>
      <w:r>
        <w:t xml:space="preserve">con discapacidad sin su consentimiento </w:t>
      </w:r>
      <w:r w:rsidR="00897E76">
        <w:t xml:space="preserve">libre e </w:t>
      </w:r>
      <w:r>
        <w:t>informado,</w:t>
      </w:r>
      <w:r>
        <w:rPr>
          <w:rStyle w:val="EndnoteReference"/>
        </w:rPr>
        <w:endnoteReference w:id="1091"/>
      </w:r>
      <w:r>
        <w:t xml:space="preserve"> y en este contexto se llama a un </w:t>
      </w:r>
      <w:r w:rsidR="00897E76">
        <w:t>E</w:t>
      </w:r>
      <w:r>
        <w:t xml:space="preserve">stado </w:t>
      </w:r>
      <w:r w:rsidR="00897E76">
        <w:t xml:space="preserve">a </w:t>
      </w:r>
      <w:r>
        <w:t xml:space="preserve">"asegurar que los niños con discapacidades </w:t>
      </w:r>
      <w:r w:rsidR="00897E76">
        <w:t xml:space="preserve">severas </w:t>
      </w:r>
      <w:r w:rsidR="00BA7175">
        <w:t>cuenta</w:t>
      </w:r>
      <w:r>
        <w:t xml:space="preserve">n </w:t>
      </w:r>
      <w:r w:rsidR="00BA7175">
        <w:t xml:space="preserve">con </w:t>
      </w:r>
      <w:r w:rsidR="00897E76">
        <w:t xml:space="preserve">incidencia </w:t>
      </w:r>
      <w:r>
        <w:t>independiente en las decisiones que les afectan."</w:t>
      </w:r>
      <w:r>
        <w:rPr>
          <w:rStyle w:val="EndnoteReference"/>
        </w:rPr>
        <w:endnoteReference w:id="1092"/>
      </w:r>
    </w:p>
    <w:p w14:paraId="342D20BC" w14:textId="757F8A24" w:rsidR="0049019C" w:rsidRDefault="00CD0EAF">
      <w:pPr>
        <w:pStyle w:val="Heading4"/>
      </w:pPr>
      <w:r>
        <w:t xml:space="preserve">Obligaciones de </w:t>
      </w:r>
      <w:r w:rsidR="00BA7175">
        <w:t>Debida D</w:t>
      </w:r>
      <w:r>
        <w:t xml:space="preserve">iligencia </w:t>
      </w:r>
    </w:p>
    <w:p w14:paraId="6042C89F" w14:textId="7FB26714" w:rsidR="0049019C" w:rsidRDefault="00CD0EAF">
      <w:pPr>
        <w:pStyle w:val="NormalIndented"/>
      </w:pPr>
      <w:r>
        <w:t>El Comité C</w:t>
      </w:r>
      <w:r w:rsidR="00BA7175">
        <w:t>DN</w:t>
      </w:r>
      <w:r>
        <w:t xml:space="preserve"> ha recomendado que los Estados investig</w:t>
      </w:r>
      <w:r w:rsidR="00BA7175">
        <w:t>uen</w:t>
      </w:r>
      <w:r>
        <w:t>n los casos y castig</w:t>
      </w:r>
      <w:r w:rsidR="00BA7175">
        <w:t>ue</w:t>
      </w:r>
      <w:r>
        <w:t>n a los responsables de la esterilización forzada,</w:t>
      </w:r>
      <w:r>
        <w:rPr>
          <w:rStyle w:val="EndnoteReference"/>
        </w:rPr>
        <w:endnoteReference w:id="1093"/>
      </w:r>
      <w:r>
        <w:t xml:space="preserve"> incluyendo la esterilización de las niñas con discapacidad,</w:t>
      </w:r>
      <w:r>
        <w:rPr>
          <w:rStyle w:val="EndnoteReference"/>
        </w:rPr>
        <w:endnoteReference w:id="1094"/>
      </w:r>
      <w:r>
        <w:t xml:space="preserve"> así como otras prácticas médicos o quirúrgic</w:t>
      </w:r>
      <w:r w:rsidR="00BA7175">
        <w:t>a</w:t>
      </w:r>
      <w:r>
        <w:t>s innecesari</w:t>
      </w:r>
      <w:r w:rsidR="00BA7175">
        <w:t>a</w:t>
      </w:r>
      <w:r>
        <w:t>s en los niños</w:t>
      </w:r>
      <w:r w:rsidR="00BA7175">
        <w:t xml:space="preserve"> y niñas</w:t>
      </w:r>
      <w:r>
        <w:t>.</w:t>
      </w:r>
      <w:r>
        <w:rPr>
          <w:rStyle w:val="EndnoteReference"/>
        </w:rPr>
        <w:endnoteReference w:id="1095"/>
      </w:r>
      <w:r>
        <w:t xml:space="preserve"> También </w:t>
      </w:r>
      <w:r w:rsidR="00BA7175">
        <w:t>ha r</w:t>
      </w:r>
      <w:r>
        <w:t>ecomenda</w:t>
      </w:r>
      <w:r w:rsidR="00BA7175">
        <w:t>do</w:t>
      </w:r>
      <w:r>
        <w:t xml:space="preserve"> que al menos un</w:t>
      </w:r>
      <w:r w:rsidR="00BA7175">
        <w:t xml:space="preserve"> Estado supervise</w:t>
      </w:r>
      <w:r>
        <w:t xml:space="preserve"> las instituciones donde residen niños </w:t>
      </w:r>
      <w:r w:rsidR="00BA7175">
        <w:t xml:space="preserve">y niñas </w:t>
      </w:r>
      <w:r>
        <w:t xml:space="preserve">con discapacidad para garantizar </w:t>
      </w:r>
      <w:r w:rsidR="00BA7175">
        <w:t xml:space="preserve">que  no estén sujetos a </w:t>
      </w:r>
      <w:r>
        <w:t>esterilización</w:t>
      </w:r>
      <w:r w:rsidR="00BA7175">
        <w:t xml:space="preserve"> forzada</w:t>
      </w:r>
      <w:r>
        <w:t>.</w:t>
      </w:r>
      <w:r>
        <w:rPr>
          <w:rStyle w:val="EndnoteReference"/>
        </w:rPr>
        <w:endnoteReference w:id="1096"/>
      </w:r>
    </w:p>
    <w:p w14:paraId="455EF924" w14:textId="7A29618C" w:rsidR="0049019C" w:rsidRDefault="00CD0EAF">
      <w:pPr>
        <w:pStyle w:val="Heading4"/>
      </w:pPr>
      <w:r>
        <w:t xml:space="preserve">Capacitación y </w:t>
      </w:r>
      <w:r w:rsidR="00BA7175">
        <w:t>O</w:t>
      </w:r>
      <w:r>
        <w:t>rientación</w:t>
      </w:r>
    </w:p>
    <w:p w14:paraId="311F23F9" w14:textId="08B6C0C8" w:rsidR="0049019C" w:rsidRDefault="00CD0EAF">
      <w:pPr>
        <w:pStyle w:val="NormalIndented"/>
      </w:pPr>
      <w:r>
        <w:t>El Comité C</w:t>
      </w:r>
      <w:r w:rsidR="00BA7175">
        <w:t>DN</w:t>
      </w:r>
      <w:r>
        <w:t xml:space="preserve"> ha expresado preocupación en al menos un </w:t>
      </w:r>
      <w:r w:rsidR="00BA7175">
        <w:t>E</w:t>
      </w:r>
      <w:r>
        <w:t>stado con una historia de esterilización forzada</w:t>
      </w:r>
      <w:r w:rsidR="00BA7175">
        <w:t>, el cual</w:t>
      </w:r>
      <w:r>
        <w:t xml:space="preserve"> no aprobó </w:t>
      </w:r>
      <w:r w:rsidR="00BA7175">
        <w:t xml:space="preserve">directrices </w:t>
      </w:r>
      <w:r>
        <w:t xml:space="preserve">adecuadas </w:t>
      </w:r>
      <w:r w:rsidR="00BA7175">
        <w:t>para</w:t>
      </w:r>
      <w:r>
        <w:t xml:space="preserve"> la obtención de consentimiento informado para esterilización.</w:t>
      </w:r>
      <w:r>
        <w:rPr>
          <w:rStyle w:val="EndnoteReference"/>
        </w:rPr>
        <w:endnoteReference w:id="1097"/>
      </w:r>
      <w:r>
        <w:t xml:space="preserve"> El Comité ha pedido a los Estados brindar capacitación a profesionales médicos y psicológicos </w:t>
      </w:r>
      <w:r w:rsidR="00BA7175">
        <w:t>sobre</w:t>
      </w:r>
      <w:r>
        <w:t xml:space="preserve"> diversidad </w:t>
      </w:r>
      <w:r>
        <w:lastRenderedPageBreak/>
        <w:t>sexual biológica y física, así como las consecuencias de salud física y mental de prácticas médicas y quirúrgicas innecesarias en los niños</w:t>
      </w:r>
      <w:r w:rsidR="00BA7175">
        <w:t xml:space="preserve"> y niñas</w:t>
      </w:r>
      <w:r>
        <w:t>, particularmente en el contexto de niños intersexuales.</w:t>
      </w:r>
      <w:r>
        <w:rPr>
          <w:rStyle w:val="EndnoteReference"/>
        </w:rPr>
        <w:endnoteReference w:id="1098"/>
      </w:r>
      <w:r>
        <w:t xml:space="preserve"> También ha pedido a un </w:t>
      </w:r>
      <w:r w:rsidR="00BA7175">
        <w:t>E</w:t>
      </w:r>
      <w:r>
        <w:t xml:space="preserve">stado desarrollar y hacer cumplir estrictas </w:t>
      </w:r>
      <w:r w:rsidR="00BA7175">
        <w:t xml:space="preserve">directrices </w:t>
      </w:r>
      <w:r>
        <w:t>que prohíben la esterilización de las mujeres y las niñas con discapacidad que son "incapaces de dar consentimiento."</w:t>
      </w:r>
      <w:r>
        <w:rPr>
          <w:rStyle w:val="EndnoteReference"/>
        </w:rPr>
        <w:endnoteReference w:id="1099"/>
      </w:r>
    </w:p>
    <w:p w14:paraId="117BD8D1" w14:textId="542BB0F1" w:rsidR="0049019C" w:rsidRDefault="00CD0EAF">
      <w:pPr>
        <w:pStyle w:val="Heading4"/>
      </w:pPr>
      <w:r>
        <w:t>Re</w:t>
      </w:r>
      <w:r w:rsidR="00BA7175">
        <w:t>curs</w:t>
      </w:r>
      <w:r>
        <w:t xml:space="preserve">os y </w:t>
      </w:r>
      <w:r w:rsidR="00BA7175">
        <w:t>Reparaciones</w:t>
      </w:r>
    </w:p>
    <w:p w14:paraId="04DBE647" w14:textId="7EF790BD" w:rsidR="0049019C" w:rsidRDefault="00CD0EAF">
      <w:pPr>
        <w:pStyle w:val="NormalIndented"/>
      </w:pPr>
      <w:r>
        <w:t>El Comité C</w:t>
      </w:r>
      <w:r w:rsidR="00BA7175">
        <w:t>DN</w:t>
      </w:r>
      <w:r>
        <w:t xml:space="preserve"> ha pedido a los Estados garantizar recursos efectivos a las víctimas de las intervenciones médicas y quirúrgicas innecesarias en la niñez o infancia,</w:t>
      </w:r>
      <w:r>
        <w:rPr>
          <w:rStyle w:val="EndnoteReference"/>
        </w:rPr>
        <w:endnoteReference w:id="1100"/>
      </w:r>
      <w:r>
        <w:t xml:space="preserve"> así como de las víctimas de esterilización forzada,</w:t>
      </w:r>
      <w:r>
        <w:rPr>
          <w:rStyle w:val="EndnoteReference"/>
        </w:rPr>
        <w:endnoteReference w:id="1101"/>
      </w:r>
      <w:r>
        <w:t xml:space="preserve">  incluyendo reparaciones financieras y otr</w:t>
      </w:r>
      <w:r w:rsidR="00BA7175">
        <w:t>a</w:t>
      </w:r>
      <w:r>
        <w:t>s.</w:t>
      </w:r>
      <w:r>
        <w:rPr>
          <w:rStyle w:val="EndnoteReference"/>
        </w:rPr>
        <w:endnoteReference w:id="1102"/>
      </w:r>
    </w:p>
    <w:p w14:paraId="6D2E0A51" w14:textId="227B6461" w:rsidR="0049019C" w:rsidRPr="004B2C96" w:rsidRDefault="00CD0EAF" w:rsidP="007D743F">
      <w:pPr>
        <w:pStyle w:val="Heading2"/>
        <w:spacing w:before="320" w:after="120"/>
        <w:rPr>
          <w:b w:val="0"/>
        </w:rPr>
      </w:pPr>
      <w:bookmarkStart w:id="75" w:name="_Toc5974929"/>
      <w:r w:rsidRPr="004B2C96">
        <w:rPr>
          <w:b w:val="0"/>
        </w:rPr>
        <w:t>Denuncias Individuales</w:t>
      </w:r>
      <w:bookmarkEnd w:id="75"/>
    </w:p>
    <w:p w14:paraId="3FFAB1B5" w14:textId="4EC21333" w:rsidR="0049019C" w:rsidRDefault="0004666E">
      <w:r>
        <w:t>Hasta</w:t>
      </w:r>
      <w:r w:rsidR="00CD0EAF">
        <w:t xml:space="preserve"> </w:t>
      </w:r>
      <w:r w:rsidR="00BA7175">
        <w:t>J</w:t>
      </w:r>
      <w:r w:rsidR="00CD0EAF">
        <w:t>unio de 2017, el Comité C</w:t>
      </w:r>
      <w:r w:rsidR="00BA7175">
        <w:t>DN</w:t>
      </w:r>
      <w:r w:rsidR="00CD0EAF">
        <w:t xml:space="preserve"> no ha emitido decisiones sobre quejas individuales relacionados con l</w:t>
      </w:r>
      <w:r w:rsidR="00BA7175">
        <w:t>os derechos y la salud</w:t>
      </w:r>
      <w:r w:rsidR="00CD0EAF">
        <w:t xml:space="preserve"> sexual y reproductiva.</w:t>
      </w:r>
    </w:p>
    <w:p w14:paraId="13045308" w14:textId="5F4F34B9" w:rsidR="0049019C" w:rsidRPr="004B2C96" w:rsidRDefault="00BA7175" w:rsidP="007D743F">
      <w:pPr>
        <w:pStyle w:val="Heading2"/>
        <w:spacing w:before="320" w:after="120"/>
        <w:rPr>
          <w:b w:val="0"/>
        </w:rPr>
      </w:pPr>
      <w:bookmarkStart w:id="76" w:name="_Toc5974930"/>
      <w:r w:rsidRPr="004B2C96">
        <w:rPr>
          <w:b w:val="0"/>
        </w:rPr>
        <w:t xml:space="preserve">Vacíos </w:t>
      </w:r>
      <w:r w:rsidR="00CD0EAF" w:rsidRPr="004B2C96">
        <w:rPr>
          <w:b w:val="0"/>
        </w:rPr>
        <w:t xml:space="preserve">en las </w:t>
      </w:r>
      <w:r w:rsidR="002166B8" w:rsidRPr="004B2C96">
        <w:rPr>
          <w:b w:val="0"/>
        </w:rPr>
        <w:t>E</w:t>
      </w:r>
      <w:r w:rsidRPr="004B2C96">
        <w:rPr>
          <w:b w:val="0"/>
        </w:rPr>
        <w:t>stándare</w:t>
      </w:r>
      <w:r w:rsidR="00CD0EAF" w:rsidRPr="004B2C96">
        <w:rPr>
          <w:b w:val="0"/>
        </w:rPr>
        <w:t>s</w:t>
      </w:r>
      <w:bookmarkEnd w:id="76"/>
    </w:p>
    <w:p w14:paraId="4214364C" w14:textId="6C969363" w:rsidR="0049019C" w:rsidRDefault="00CD0EAF">
      <w:r>
        <w:t xml:space="preserve">Porque la CDN contiene disposiciones </w:t>
      </w:r>
      <w:r w:rsidR="00BA7175">
        <w:t xml:space="preserve">que abordan </w:t>
      </w:r>
      <w:r>
        <w:t xml:space="preserve">directamente los derechos de los niños </w:t>
      </w:r>
      <w:r w:rsidR="00BA7175">
        <w:t xml:space="preserve">y niñas </w:t>
      </w:r>
      <w:r>
        <w:t>con discapacida</w:t>
      </w:r>
      <w:r w:rsidR="00BA7175">
        <w:t>d</w:t>
      </w:r>
      <w:r>
        <w:t>, el Comité C</w:t>
      </w:r>
      <w:r w:rsidR="00BA7175">
        <w:t>DN</w:t>
      </w:r>
      <w:r>
        <w:t xml:space="preserve"> está en una posición especialmente buena para abordar las barreras que los niños </w:t>
      </w:r>
      <w:r w:rsidR="00BA7175">
        <w:t xml:space="preserve">y niñas </w:t>
      </w:r>
      <w:r>
        <w:t xml:space="preserve">con discapacidad </w:t>
      </w:r>
      <w:r w:rsidR="00BA7175">
        <w:t xml:space="preserve">enfrentan </w:t>
      </w:r>
      <w:r>
        <w:t>en el ejercicio de sus derechos sexuales y reproductivos. Hasta la fecha, sin embargo, lo ha hecho</w:t>
      </w:r>
      <w:r w:rsidR="00BA7175" w:rsidRPr="00BA7175">
        <w:t xml:space="preserve"> </w:t>
      </w:r>
      <w:r w:rsidR="00BA7175">
        <w:t>raramente</w:t>
      </w:r>
      <w:r>
        <w:t xml:space="preserve">, más allá de la llamada para garantizar el acceso a atención médica general o acceso general a la educación de salud sexual y reproductiva y la atención para niños </w:t>
      </w:r>
      <w:r w:rsidR="00BE68BB">
        <w:t xml:space="preserve">y niñas </w:t>
      </w:r>
      <w:r>
        <w:t xml:space="preserve">con discapacidad. Aunque </w:t>
      </w:r>
      <w:r w:rsidR="00BE68BB">
        <w:t>el</w:t>
      </w:r>
      <w:r>
        <w:t xml:space="preserve"> Comi</w:t>
      </w:r>
      <w:r w:rsidR="00BE68BB">
        <w:t>té</w:t>
      </w:r>
      <w:r>
        <w:t xml:space="preserve"> ha hecho fuertes declaraciones en sus </w:t>
      </w:r>
      <w:r w:rsidR="00BE68BB">
        <w:t xml:space="preserve">observacioness </w:t>
      </w:r>
      <w:r>
        <w:t>generales condenando la práctica de la esterilización forzada de niños</w:t>
      </w:r>
      <w:r w:rsidR="00BE68BB">
        <w:t xml:space="preserve"> y niñas</w:t>
      </w:r>
      <w:r>
        <w:t xml:space="preserve"> con discapacidad, el Comité raramente abord</w:t>
      </w:r>
      <w:r w:rsidR="00BE68BB">
        <w:t>ó</w:t>
      </w:r>
      <w:r>
        <w:t xml:space="preserve"> esta cuestión en observaciones </w:t>
      </w:r>
      <w:r w:rsidR="00BE68BB">
        <w:t xml:space="preserve">finales </w:t>
      </w:r>
      <w:r>
        <w:t xml:space="preserve">a los Estados </w:t>
      </w:r>
      <w:r w:rsidR="00BE68BB">
        <w:t xml:space="preserve">de manera </w:t>
      </w:r>
      <w:r>
        <w:t>individual.</w:t>
      </w:r>
    </w:p>
    <w:p w14:paraId="70751F25" w14:textId="016FAC9C" w:rsidR="0049019C" w:rsidRDefault="00CD0EAF">
      <w:r>
        <w:t>El Comité C</w:t>
      </w:r>
      <w:r w:rsidR="00BE68BB">
        <w:t>DN</w:t>
      </w:r>
      <w:r>
        <w:t xml:space="preserve"> debe</w:t>
      </w:r>
      <w:r w:rsidR="00BE68BB">
        <w:t>ría</w:t>
      </w:r>
      <w:r>
        <w:t xml:space="preserve"> aborda </w:t>
      </w:r>
      <w:r w:rsidR="00BE68BB">
        <w:t xml:space="preserve">más integralmente </w:t>
      </w:r>
      <w:r>
        <w:t>la esterilización forzada de niños</w:t>
      </w:r>
      <w:r w:rsidR="00BE68BB">
        <w:t xml:space="preserve"> y niñas</w:t>
      </w:r>
      <w:r>
        <w:t xml:space="preserve"> con discapacidad adoptando la </w:t>
      </w:r>
      <w:r w:rsidR="00BE68BB">
        <w:t>legislaci</w:t>
      </w:r>
      <w:r w:rsidR="008E7F65">
        <w:rPr>
          <w:vanish/>
        </w:rPr>
        <w:t>y niñas ﷽﷽prende reproductiva. Lon ute md transcripts.sus necesidades</w:t>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8E7F65">
        <w:rPr>
          <w:vanish/>
        </w:rPr>
        <w:pgNum/>
      </w:r>
      <w:r w:rsidR="00BE68BB">
        <w:t xml:space="preserve">ón </w:t>
      </w:r>
      <w:r>
        <w:t>que ha utilizado para las intervenciones quirúrgicas en niños intersexuales, como se indicó anteriormente. Por ejemplo, el Comité debe</w:t>
      </w:r>
      <w:r w:rsidR="00BE68BB">
        <w:t>ría</w:t>
      </w:r>
      <w:r>
        <w:t xml:space="preserve"> tener en cuenta que la esterilización es generalmente irreversible y puede tener profundas consecuencias físicas y psicológicas en los niños</w:t>
      </w:r>
      <w:r w:rsidR="00BE68BB">
        <w:t>y niñas</w:t>
      </w:r>
      <w:r>
        <w:t xml:space="preserve"> afectados. También se podría clasificar la esterilización forzada de niños </w:t>
      </w:r>
      <w:r w:rsidR="00BE68BB">
        <w:t xml:space="preserve">y niñas </w:t>
      </w:r>
      <w:r>
        <w:t>con discapacidad como una práctica nociva. Además, el Comité debe</w:t>
      </w:r>
      <w:r w:rsidR="00BE68BB">
        <w:t>ría</w:t>
      </w:r>
      <w:r>
        <w:t xml:space="preserve"> considerar ped</w:t>
      </w:r>
      <w:r w:rsidR="00BE68BB">
        <w:t>ir</w:t>
      </w:r>
      <w:r>
        <w:t xml:space="preserve"> a los Estados implementar mecanismos de vigilancia para evitar la esterilización forzada de niños </w:t>
      </w:r>
      <w:r w:rsidR="00BE68BB">
        <w:t xml:space="preserve">y niñas </w:t>
      </w:r>
      <w:r>
        <w:t xml:space="preserve">con discapacidad y también brindar </w:t>
      </w:r>
      <w:r w:rsidR="00BE68BB">
        <w:t xml:space="preserve">consejería </w:t>
      </w:r>
      <w:r>
        <w:t xml:space="preserve">y servicios de apoyo a las familias de niños con discapacidad </w:t>
      </w:r>
      <w:r w:rsidR="00BE68BB">
        <w:t>p</w:t>
      </w:r>
      <w:r>
        <w:t>a</w:t>
      </w:r>
      <w:r w:rsidR="00BE68BB">
        <w:t>ra</w:t>
      </w:r>
      <w:r>
        <w:t xml:space="preserve"> garantizar sus derechos sexuales y reproductivos.</w:t>
      </w:r>
    </w:p>
    <w:p w14:paraId="616D299D" w14:textId="3A823FCF" w:rsidR="0049019C" w:rsidRDefault="00CD0EAF">
      <w:r>
        <w:t>El Comité C</w:t>
      </w:r>
      <w:r w:rsidR="008E7F65">
        <w:t>DN</w:t>
      </w:r>
      <w:r>
        <w:t xml:space="preserve"> debe</w:t>
      </w:r>
      <w:r w:rsidR="008E7F65">
        <w:t>ría</w:t>
      </w:r>
      <w:r>
        <w:t xml:space="preserve"> abordar cons</w:t>
      </w:r>
      <w:r w:rsidR="008E7F65">
        <w:t>is</w:t>
      </w:r>
      <w:r>
        <w:t>t</w:t>
      </w:r>
      <w:r w:rsidR="008E7F65">
        <w:t>e</w:t>
      </w:r>
      <w:r>
        <w:t xml:space="preserve">ntemente la necesidad de los Estados </w:t>
      </w:r>
      <w:r w:rsidR="008E7F65">
        <w:t>de</w:t>
      </w:r>
      <w:r>
        <w:t xml:space="preserve"> respetar la capacidad de</w:t>
      </w:r>
      <w:r w:rsidR="008E7F65">
        <w:t xml:space="preserve"> los y las</w:t>
      </w:r>
      <w:r>
        <w:t xml:space="preserve"> adolescente</w:t>
      </w:r>
      <w:r w:rsidR="008E7F65">
        <w:t>s</w:t>
      </w:r>
      <w:r>
        <w:t xml:space="preserve"> para consentir o no </w:t>
      </w:r>
      <w:r w:rsidR="008E7F65">
        <w:t xml:space="preserve">bienes y servicios sobre </w:t>
      </w:r>
      <w:r>
        <w:t xml:space="preserve">la salud sexual y reproductiva, incluyendo alentar a los Estados a utilizar marcos de </w:t>
      </w:r>
      <w:r w:rsidR="008E7F65">
        <w:t xml:space="preserve">apoyo en la </w:t>
      </w:r>
      <w:r>
        <w:t xml:space="preserve">toma de decisiones </w:t>
      </w:r>
      <w:r w:rsidR="008E7F65">
        <w:t>p</w:t>
      </w:r>
      <w:r>
        <w:t>a</w:t>
      </w:r>
      <w:r w:rsidR="008E7F65">
        <w:t>ra</w:t>
      </w:r>
      <w:r>
        <w:t xml:space="preserve"> </w:t>
      </w:r>
      <w:r w:rsidR="008E7F65">
        <w:t>a</w:t>
      </w:r>
      <w:r>
        <w:t>seg</w:t>
      </w:r>
      <w:r w:rsidR="008E7F65">
        <w:t>u</w:t>
      </w:r>
      <w:r>
        <w:t>r</w:t>
      </w:r>
      <w:r w:rsidR="008E7F65">
        <w:t>ar</w:t>
      </w:r>
      <w:r>
        <w:t xml:space="preserve"> que todos los</w:t>
      </w:r>
      <w:r w:rsidR="008E7F65">
        <w:t xml:space="preserve"> y las</w:t>
      </w:r>
      <w:r>
        <w:t xml:space="preserve"> adolescentes</w:t>
      </w:r>
      <w:r w:rsidR="00D40B0C">
        <w:t xml:space="preserve"> </w:t>
      </w:r>
      <w:r w:rsidR="000D6B82">
        <w:t>—</w:t>
      </w:r>
      <w:r>
        <w:t xml:space="preserve"> incluidos adolescentes con discapacidad</w:t>
      </w:r>
      <w:r w:rsidR="00D40B0C">
        <w:t xml:space="preserve"> </w:t>
      </w:r>
      <w:r w:rsidR="000D6B82">
        <w:t>—</w:t>
      </w:r>
      <w:r>
        <w:t xml:space="preserve"> son capaces de participar activamente en sus decisiones de salud reproductiva. </w:t>
      </w:r>
      <w:r w:rsidR="008E7F65">
        <w:t>El</w:t>
      </w:r>
      <w:r>
        <w:t xml:space="preserve"> Comi</w:t>
      </w:r>
      <w:r w:rsidR="008E7F65">
        <w:t>té</w:t>
      </w:r>
      <w:r>
        <w:t xml:space="preserve"> podría basarse en los avances importantes e</w:t>
      </w:r>
      <w:r w:rsidR="008E7F65">
        <w:t>stablecidos e</w:t>
      </w:r>
      <w:r>
        <w:t xml:space="preserve">n su </w:t>
      </w:r>
      <w:r w:rsidR="008E7F65">
        <w:t xml:space="preserve">Observación </w:t>
      </w:r>
      <w:r>
        <w:t>General</w:t>
      </w:r>
      <w:r w:rsidR="008E7F65">
        <w:t xml:space="preserve"> 20</w:t>
      </w:r>
      <w:r>
        <w:t xml:space="preserve">, incluyendo la necesidad de una presunción legal que adolescentes son competentes para buscar y acceder a servicios y suministros de salud sexual y reproductiva. </w:t>
      </w:r>
    </w:p>
    <w:p w14:paraId="3FD1FCD9" w14:textId="2A18BCA1" w:rsidR="0049019C" w:rsidRDefault="00CD0EAF">
      <w:r>
        <w:t>Sobre derechos y salud sexua</w:t>
      </w:r>
      <w:r w:rsidR="00C87D5C">
        <w:t xml:space="preserve">l y reproductiva en general, el Comité </w:t>
      </w:r>
      <w:r>
        <w:t>debe</w:t>
      </w:r>
      <w:r w:rsidR="008E7F65">
        <w:t>ría</w:t>
      </w:r>
      <w:r>
        <w:t xml:space="preserve"> recomendar que </w:t>
      </w:r>
      <w:r w:rsidR="008E7F65">
        <w:t xml:space="preserve">los </w:t>
      </w:r>
      <w:r>
        <w:t>Estados emprend</w:t>
      </w:r>
      <w:r w:rsidR="008E7F65">
        <w:t>a</w:t>
      </w:r>
      <w:r>
        <w:t>n campañas de sensibilización para abordar los estereotipos inexactos y perjudiciales sobre las personas con discapacidad, especialmente las niñas, tales como que son asexuales y por lo tanto no necesitan de los servicios de salud sexual y reproductiva o de información. El Comité debería entonces también hacer hincapié en que la gama completa de información sobre salud sexual y reproductiva y los servicios, incluyendo el aborto, anticoncepción y servicios de salud materna, debe</w:t>
      </w:r>
      <w:r w:rsidR="008E7F65">
        <w:t>rían</w:t>
      </w:r>
      <w:r>
        <w:t xml:space="preserve"> </w:t>
      </w:r>
      <w:r w:rsidR="008E7F65">
        <w:t>se</w:t>
      </w:r>
      <w:r>
        <w:t>r disponible</w:t>
      </w:r>
      <w:r w:rsidR="008E7F65">
        <w:t>s</w:t>
      </w:r>
      <w:r>
        <w:t xml:space="preserve"> y accesible</w:t>
      </w:r>
      <w:r w:rsidR="008E7F65">
        <w:t>s</w:t>
      </w:r>
      <w:r>
        <w:t xml:space="preserve"> a los niños </w:t>
      </w:r>
      <w:r w:rsidR="008E7F65">
        <w:t xml:space="preserve">y niñas </w:t>
      </w:r>
      <w:r>
        <w:t>con discapacidad,</w:t>
      </w:r>
      <w:r w:rsidR="00960D0C">
        <w:t xml:space="preserve"> </w:t>
      </w:r>
      <w:r>
        <w:t>adaptadas a sus necesidades específicas, ser culturalmente sensibles y siempre sobre la base de</w:t>
      </w:r>
      <w:r w:rsidR="00960D0C">
        <w:t>l</w:t>
      </w:r>
      <w:r>
        <w:t xml:space="preserve"> consentimiento </w:t>
      </w:r>
      <w:r w:rsidR="00960D0C">
        <w:t xml:space="preserve">libre e </w:t>
      </w:r>
      <w:r>
        <w:t xml:space="preserve">informado. </w:t>
      </w:r>
    </w:p>
    <w:p w14:paraId="249BEAEB" w14:textId="736BD9DD" w:rsidR="0049019C" w:rsidRDefault="00CD0EAF" w:rsidP="0052428A">
      <w:pPr>
        <w:pStyle w:val="Heading1"/>
      </w:pPr>
      <w:bookmarkStart w:id="77" w:name="_Toc5974931"/>
      <w:bookmarkStart w:id="78" w:name="CAT"/>
      <w:r>
        <w:lastRenderedPageBreak/>
        <w:t>Comité contra la Tortura</w:t>
      </w:r>
      <w:bookmarkEnd w:id="77"/>
      <w:r>
        <w:t xml:space="preserve"> </w:t>
      </w:r>
      <w:bookmarkEnd w:id="78"/>
    </w:p>
    <w:p w14:paraId="468BBE94" w14:textId="1CA70BD3" w:rsidR="0049019C" w:rsidRDefault="00CD0EAF">
      <w:r>
        <w:t xml:space="preserve">El Comité contra la </w:t>
      </w:r>
      <w:r w:rsidR="005C1AB3">
        <w:t>T</w:t>
      </w:r>
      <w:r>
        <w:t>ortura (</w:t>
      </w:r>
      <w:r w:rsidR="00BF5515">
        <w:t xml:space="preserve">Comité </w:t>
      </w:r>
      <w:r>
        <w:t xml:space="preserve">CAT) </w:t>
      </w:r>
      <w:r w:rsidR="005C1AB3">
        <w:t>monitore</w:t>
      </w:r>
      <w:r>
        <w:t xml:space="preserve">a la </w:t>
      </w:r>
      <w:r w:rsidR="005C1AB3">
        <w:t>implement</w:t>
      </w:r>
      <w:r>
        <w:t>ación de</w:t>
      </w:r>
      <w:r w:rsidR="005C1AB3">
        <w:t xml:space="preserve"> </w:t>
      </w:r>
      <w:r>
        <w:t>l</w:t>
      </w:r>
      <w:r w:rsidR="005C1AB3">
        <w:t>os</w:t>
      </w:r>
      <w:r>
        <w:t xml:space="preserve"> </w:t>
      </w:r>
      <w:r w:rsidR="005C1AB3">
        <w:t>E</w:t>
      </w:r>
      <w:r>
        <w:t>stado</w:t>
      </w:r>
      <w:r w:rsidR="005C1AB3">
        <w:t>s</w:t>
      </w:r>
      <w:r>
        <w:t xml:space="preserve"> de la Convención contra la </w:t>
      </w:r>
      <w:r w:rsidR="005C1AB3">
        <w:t>T</w:t>
      </w:r>
      <w:r>
        <w:t xml:space="preserve">ortura y </w:t>
      </w:r>
      <w:r w:rsidR="005C1AB3">
        <w:t>O</w:t>
      </w:r>
      <w:r>
        <w:t xml:space="preserve">tros </w:t>
      </w:r>
      <w:r w:rsidR="005C1AB3">
        <w:t>T</w:t>
      </w:r>
      <w:r>
        <w:t>ratos</w:t>
      </w:r>
      <w:r w:rsidR="005C1AB3" w:rsidRPr="005C1AB3">
        <w:t xml:space="preserve"> </w:t>
      </w:r>
      <w:r w:rsidR="005C1AB3">
        <w:t>o Castigos</w:t>
      </w:r>
      <w:r>
        <w:t xml:space="preserve"> </w:t>
      </w:r>
      <w:r w:rsidR="005C1AB3">
        <w:t>C</w:t>
      </w:r>
      <w:r>
        <w:t xml:space="preserve">rueles, </w:t>
      </w:r>
      <w:r w:rsidR="005C1AB3">
        <w:t>I</w:t>
      </w:r>
      <w:r>
        <w:t xml:space="preserve">nhumanos, o </w:t>
      </w:r>
      <w:r w:rsidR="005C1AB3">
        <w:t>D</w:t>
      </w:r>
      <w:r>
        <w:t xml:space="preserve">egradantes (CAT). Mientras que </w:t>
      </w:r>
      <w:r w:rsidR="005C1AB3">
        <w:t xml:space="preserve">el marco de </w:t>
      </w:r>
      <w:r>
        <w:t>la tortura y los malos trato</w:t>
      </w:r>
      <w:r w:rsidR="005C1AB3">
        <w:t>s</w:t>
      </w:r>
      <w:r>
        <w:t xml:space="preserve"> históricamente se ha aplicado a situaciones que desproporcionadamente </w:t>
      </w:r>
      <w:r w:rsidR="005C1AB3">
        <w:t xml:space="preserve">impactan a los </w:t>
      </w:r>
      <w:r>
        <w:t>hombres, el Comité CAT ha cada vez más aplica</w:t>
      </w:r>
      <w:r w:rsidR="005C1AB3">
        <w:t>do</w:t>
      </w:r>
      <w:r>
        <w:t xml:space="preserve"> una perspectiva de género para reconocer que ciertas prácticas que desproporciona</w:t>
      </w:r>
      <w:r w:rsidR="005C1AB3">
        <w:t>lmente</w:t>
      </w:r>
      <w:r>
        <w:t xml:space="preserve"> impact</w:t>
      </w:r>
      <w:r w:rsidR="005C1AB3">
        <w:t>an a</w:t>
      </w:r>
      <w:r>
        <w:t xml:space="preserve"> las mujeres pueden constituir tortura o malos tratos donde inflig</w:t>
      </w:r>
      <w:r w:rsidR="005C1AB3">
        <w:t>en</w:t>
      </w:r>
      <w:r>
        <w:t xml:space="preserve"> grave dolor físico o mental o sufrimiento y se llevan a cabo para un propósito discriminatorio. Desde 2004, el Comité CAT ha abordado los derechos sexuales y reproductivos en sus </w:t>
      </w:r>
      <w:r w:rsidR="005C1AB3">
        <w:t>Observaciones G</w:t>
      </w:r>
      <w:r>
        <w:t xml:space="preserve">enerales y </w:t>
      </w:r>
      <w:r w:rsidR="005C1AB3">
        <w:t>O</w:t>
      </w:r>
      <w:r>
        <w:t xml:space="preserve">bservaciones </w:t>
      </w:r>
      <w:r w:rsidR="005C1AB3">
        <w:t>F</w:t>
      </w:r>
      <w:r>
        <w:t>inales, clasifica</w:t>
      </w:r>
      <w:r w:rsidR="005C1AB3">
        <w:t>ndo</w:t>
      </w:r>
      <w:r>
        <w:t xml:space="preserve"> ciertas violaciones de estos derechos como formas de maltrato bajo </w:t>
      </w:r>
      <w:r w:rsidR="00BF5515">
        <w:t>el A</w:t>
      </w:r>
      <w:r>
        <w:t xml:space="preserve">rtículo 16 (derecho a estar libre de tratos </w:t>
      </w:r>
      <w:r w:rsidR="00BF5515">
        <w:t xml:space="preserve">o castigos </w:t>
      </w:r>
      <w:r>
        <w:t xml:space="preserve">crueles, inhumanos, o degradantes) y posiblemente tortura </w:t>
      </w:r>
      <w:r w:rsidR="00BF5515">
        <w:t xml:space="preserve">bajo </w:t>
      </w:r>
      <w:r>
        <w:t xml:space="preserve">los </w:t>
      </w:r>
      <w:r w:rsidR="00BF5515">
        <w:t>A</w:t>
      </w:r>
      <w:r>
        <w:t xml:space="preserve">rtículos 1 y 2. El Comité también ha abordado los derechos sexuales y reproductivos bajo </w:t>
      </w:r>
      <w:r w:rsidR="00BF5515">
        <w:t>el A</w:t>
      </w:r>
      <w:r>
        <w:t xml:space="preserve">rtículo 14 (derecho a la reparación). </w:t>
      </w:r>
    </w:p>
    <w:p w14:paraId="03B8E4B6" w14:textId="3335ABC7" w:rsidR="0049019C" w:rsidRPr="004B2C96" w:rsidRDefault="00BF5515" w:rsidP="00440206">
      <w:pPr>
        <w:pStyle w:val="Heading2"/>
        <w:spacing w:before="280"/>
        <w:rPr>
          <w:b w:val="0"/>
        </w:rPr>
      </w:pPr>
      <w:bookmarkStart w:id="79" w:name="_Toc5974932"/>
      <w:r w:rsidRPr="004B2C96">
        <w:rPr>
          <w:b w:val="0"/>
        </w:rPr>
        <w:t>Observaciones G</w:t>
      </w:r>
      <w:r w:rsidR="00CD0EAF" w:rsidRPr="004B2C96">
        <w:rPr>
          <w:b w:val="0"/>
        </w:rPr>
        <w:t>enerales</w:t>
      </w:r>
      <w:bookmarkEnd w:id="79"/>
    </w:p>
    <w:p w14:paraId="6D4C9259" w14:textId="0A9AE83E" w:rsidR="0049019C" w:rsidRPr="004F752C" w:rsidRDefault="00BF5515" w:rsidP="00753A59">
      <w:pPr>
        <w:pStyle w:val="Heading3GeneralComments"/>
        <w:spacing w:before="180"/>
        <w:ind w:hanging="230"/>
      </w:pPr>
      <w:r w:rsidRPr="004F752C">
        <w:t>Observación G</w:t>
      </w:r>
      <w:r w:rsidR="00CD0EAF" w:rsidRPr="004F752C">
        <w:t xml:space="preserve">eneral </w:t>
      </w:r>
      <w:r w:rsidRPr="004F752C">
        <w:t>N</w:t>
      </w:r>
      <w:r w:rsidR="00CD0EAF" w:rsidRPr="004F752C">
        <w:t xml:space="preserve">o. 2: </w:t>
      </w:r>
      <w:r>
        <w:t>Implement</w:t>
      </w:r>
      <w:r w:rsidR="00CD0EAF" w:rsidRPr="004F752C">
        <w:t>ación del artículo 2 por los Estados partes</w:t>
      </w:r>
    </w:p>
    <w:p w14:paraId="23175CD4" w14:textId="33AED9A7" w:rsidR="0049019C" w:rsidRDefault="00BF5515" w:rsidP="001261E1">
      <w:pPr>
        <w:pStyle w:val="indentedafterbulletp"/>
      </w:pPr>
      <w:r>
        <w:t>Observación General</w:t>
      </w:r>
      <w:r w:rsidR="00CD0EAF">
        <w:t xml:space="preserve"> N</w:t>
      </w:r>
      <w:r w:rsidR="009149EC">
        <w:t>o.</w:t>
      </w:r>
      <w:r w:rsidR="00CD0EAF">
        <w:t xml:space="preserve"> 2, que se centra en reforzar la prohibición absoluta de la tortura y la obligación de prevenir la tortura</w:t>
      </w:r>
      <w:r>
        <w:t xml:space="preserve"> bajo</w:t>
      </w:r>
      <w:r w:rsidR="00CD0EAF">
        <w:t xml:space="preserve"> el </w:t>
      </w:r>
      <w:r>
        <w:t>A</w:t>
      </w:r>
      <w:r w:rsidR="00CD0EAF">
        <w:t xml:space="preserve">rtículo 2 de la </w:t>
      </w:r>
      <w:r w:rsidR="00363303">
        <w:t xml:space="preserve">Convención </w:t>
      </w:r>
      <w:r w:rsidR="004F752C">
        <w:t>CAT</w:t>
      </w:r>
      <w:r w:rsidR="00CD0EAF">
        <w:t xml:space="preserve">, también hace hincapié en </w:t>
      </w:r>
      <w:r>
        <w:t xml:space="preserve">la </w:t>
      </w:r>
      <w:r w:rsidR="00CD0EAF">
        <w:t xml:space="preserve">prohibición </w:t>
      </w:r>
      <w:r>
        <w:t xml:space="preserve">absoluta </w:t>
      </w:r>
      <w:r w:rsidR="00CD0EAF">
        <w:t>de tratamiento cruel, inhumano y degradante (TCID).</w:t>
      </w:r>
      <w:r w:rsidR="00CD0EAF">
        <w:rPr>
          <w:rStyle w:val="EndnoteReference"/>
        </w:rPr>
        <w:endnoteReference w:id="1103"/>
      </w:r>
      <w:r w:rsidR="00CD0EAF">
        <w:t xml:space="preserve"> Al comentar sobre las mujeres en particular, el Comité </w:t>
      </w:r>
      <w:r>
        <w:t>CAT</w:t>
      </w:r>
      <w:r w:rsidR="00CD0EAF">
        <w:t xml:space="preserve"> considera que género intersecta con otras identidades para crear un mayor riesgo de tortura o TCID</w:t>
      </w:r>
      <w:r w:rsidR="00CD0EAF">
        <w:rPr>
          <w:rStyle w:val="EndnoteReference"/>
        </w:rPr>
        <w:endnoteReference w:id="1104"/>
      </w:r>
      <w:r w:rsidR="00CD0EAF">
        <w:t xml:space="preserve"> y que los contextos en los que las </w:t>
      </w:r>
      <w:r w:rsidR="00CD0EAF" w:rsidRPr="001261E1">
        <w:t>mujeres</w:t>
      </w:r>
      <w:r w:rsidR="00CD0EAF">
        <w:t xml:space="preserve"> experimentan la tortura con frecuencia son distint</w:t>
      </w:r>
      <w:r>
        <w:t>o</w:t>
      </w:r>
      <w:r w:rsidR="00CD0EAF">
        <w:t>s de l</w:t>
      </w:r>
      <w:r>
        <w:t>o</w:t>
      </w:r>
      <w:r w:rsidR="00CD0EAF">
        <w:t xml:space="preserve">s de los hombres </w:t>
      </w:r>
      <w:r>
        <w:t>e incluyen</w:t>
      </w:r>
      <w:r w:rsidR="00CD0EAF">
        <w:t xml:space="preserve"> "privación de libertad, </w:t>
      </w:r>
      <w:r w:rsidR="00CD0EAF">
        <w:rPr>
          <w:i/>
        </w:rPr>
        <w:t xml:space="preserve">tratamiento médico, particularmente las decisiones reproductivas </w:t>
      </w:r>
      <w:r w:rsidR="00CD0EAF">
        <w:t>y violencia por parte de actores privados en las comunidades y casas."</w:t>
      </w:r>
      <w:r w:rsidR="00CD0EAF">
        <w:rPr>
          <w:rStyle w:val="EndnoteReference"/>
        </w:rPr>
        <w:endnoteReference w:id="1105"/>
      </w:r>
      <w:r w:rsidR="00CD0EAF">
        <w:t> </w:t>
      </w:r>
    </w:p>
    <w:p w14:paraId="049124FE" w14:textId="696F762C" w:rsidR="0049019C" w:rsidRPr="004F752C" w:rsidRDefault="00BF5515" w:rsidP="00753A59">
      <w:pPr>
        <w:pStyle w:val="Heading3GeneralComments"/>
      </w:pPr>
      <w:r w:rsidRPr="00BF5515">
        <w:t>Observación</w:t>
      </w:r>
      <w:r w:rsidR="00CD0EAF" w:rsidRPr="004F752C">
        <w:t xml:space="preserve"> </w:t>
      </w:r>
      <w:r w:rsidRPr="004F752C">
        <w:t>G</w:t>
      </w:r>
      <w:r w:rsidR="00CD0EAF" w:rsidRPr="004F752C">
        <w:t xml:space="preserve">eneral </w:t>
      </w:r>
      <w:r w:rsidRPr="004F752C">
        <w:t>N</w:t>
      </w:r>
      <w:r w:rsidR="00CD0EAF" w:rsidRPr="004F752C">
        <w:t xml:space="preserve">o. 3: </w:t>
      </w:r>
      <w:r w:rsidRPr="004F752C">
        <w:t>Implement</w:t>
      </w:r>
      <w:r w:rsidR="00CD0EAF" w:rsidRPr="004F752C">
        <w:t>ación del artículo 14 por los Estados partes</w:t>
      </w:r>
    </w:p>
    <w:p w14:paraId="1E082421" w14:textId="5907178B" w:rsidR="0049019C" w:rsidRPr="00440206" w:rsidRDefault="00CD0EAF" w:rsidP="001261E1">
      <w:pPr>
        <w:pStyle w:val="indentedafterbulletp"/>
        <w:rPr>
          <w:spacing w:val="-4"/>
        </w:rPr>
      </w:pPr>
      <w:r w:rsidRPr="00440206">
        <w:rPr>
          <w:spacing w:val="-4"/>
        </w:rPr>
        <w:t xml:space="preserve">En su Observación General </w:t>
      </w:r>
      <w:r w:rsidR="00BF5515" w:rsidRPr="00440206">
        <w:rPr>
          <w:spacing w:val="-4"/>
        </w:rPr>
        <w:t>N</w:t>
      </w:r>
      <w:r w:rsidRPr="00440206">
        <w:rPr>
          <w:spacing w:val="-4"/>
        </w:rPr>
        <w:t xml:space="preserve">o. 3, el Comité CAT se centra en </w:t>
      </w:r>
      <w:r w:rsidR="00BF5515" w:rsidRPr="00440206">
        <w:rPr>
          <w:spacing w:val="-4"/>
        </w:rPr>
        <w:t>la reparación</w:t>
      </w:r>
      <w:r w:rsidRPr="00440206">
        <w:rPr>
          <w:spacing w:val="-4"/>
        </w:rPr>
        <w:t xml:space="preserve"> de las víctimas de la tortura bajo el </w:t>
      </w:r>
      <w:r w:rsidR="00BF5515" w:rsidRPr="00440206">
        <w:rPr>
          <w:spacing w:val="-4"/>
        </w:rPr>
        <w:t>A</w:t>
      </w:r>
      <w:r w:rsidRPr="00440206">
        <w:rPr>
          <w:spacing w:val="-4"/>
        </w:rPr>
        <w:t>rtículo 14.</w:t>
      </w:r>
      <w:r w:rsidRPr="00440206">
        <w:rPr>
          <w:rStyle w:val="EndnoteReference"/>
          <w:spacing w:val="-4"/>
        </w:rPr>
        <w:endnoteReference w:id="1106"/>
      </w:r>
      <w:r w:rsidRPr="00440206">
        <w:rPr>
          <w:spacing w:val="-4"/>
        </w:rPr>
        <w:t xml:space="preserve"> Como parte de la obligación de garantizar un recurso efectivo y reparaci</w:t>
      </w:r>
      <w:r w:rsidR="00BF5515" w:rsidRPr="00440206">
        <w:rPr>
          <w:spacing w:val="-4"/>
        </w:rPr>
        <w:t>o</w:t>
      </w:r>
      <w:r w:rsidRPr="00440206">
        <w:rPr>
          <w:spacing w:val="-4"/>
        </w:rPr>
        <w:t>n</w:t>
      </w:r>
      <w:r w:rsidR="00BF5515" w:rsidRPr="00440206">
        <w:rPr>
          <w:spacing w:val="-4"/>
        </w:rPr>
        <w:t>es</w:t>
      </w:r>
      <w:r w:rsidRPr="00440206">
        <w:rPr>
          <w:spacing w:val="-4"/>
        </w:rPr>
        <w:t xml:space="preserve"> a víctimas de tortura o malos tratos, el Comité </w:t>
      </w:r>
      <w:r w:rsidR="00A674BA" w:rsidRPr="00440206">
        <w:rPr>
          <w:spacing w:val="-4"/>
        </w:rPr>
        <w:t>CAT</w:t>
      </w:r>
      <w:r w:rsidRPr="00440206">
        <w:rPr>
          <w:spacing w:val="-4"/>
        </w:rPr>
        <w:t xml:space="preserve"> considera que los Estados deben capacitar a los actores relevantes en este contexto, incluyendo personal médico,</w:t>
      </w:r>
      <w:r w:rsidRPr="00440206">
        <w:rPr>
          <w:rStyle w:val="EndnoteReference"/>
          <w:rFonts w:cs="Times New Roman"/>
          <w:spacing w:val="-4"/>
        </w:rPr>
        <w:endnoteReference w:id="1107"/>
      </w:r>
      <w:r w:rsidRPr="00440206">
        <w:rPr>
          <w:spacing w:val="-4"/>
        </w:rPr>
        <w:t xml:space="preserve"> que debe</w:t>
      </w:r>
      <w:r w:rsidR="00A674BA" w:rsidRPr="00440206">
        <w:rPr>
          <w:spacing w:val="-4"/>
        </w:rPr>
        <w:t>ría</w:t>
      </w:r>
      <w:r w:rsidRPr="00440206">
        <w:rPr>
          <w:spacing w:val="-4"/>
        </w:rPr>
        <w:t xml:space="preserve"> inclu</w:t>
      </w:r>
      <w:r w:rsidR="00A674BA" w:rsidRPr="00440206">
        <w:rPr>
          <w:spacing w:val="-4"/>
        </w:rPr>
        <w:t>ir</w:t>
      </w:r>
      <w:r w:rsidRPr="00440206">
        <w:rPr>
          <w:spacing w:val="-4"/>
        </w:rPr>
        <w:t xml:space="preserve"> "la necesidad de informar a las víctimas de violencia de género y </w:t>
      </w:r>
      <w:r w:rsidR="00A674BA" w:rsidRPr="00440206">
        <w:rPr>
          <w:spacing w:val="-4"/>
        </w:rPr>
        <w:t xml:space="preserve">violencia </w:t>
      </w:r>
      <w:r w:rsidRPr="00440206">
        <w:rPr>
          <w:spacing w:val="-4"/>
        </w:rPr>
        <w:t>sexual y todas las otras formas de discriminación de la disponibilidad de procedimientos médicos de emergencia</w:t>
      </w:r>
      <w:r w:rsidR="00A674BA" w:rsidRPr="00440206">
        <w:rPr>
          <w:spacing w:val="-4"/>
        </w:rPr>
        <w:t>,</w:t>
      </w:r>
      <w:r w:rsidRPr="00440206">
        <w:rPr>
          <w:spacing w:val="-4"/>
        </w:rPr>
        <w:t xml:space="preserve"> tanto físic</w:t>
      </w:r>
      <w:r w:rsidR="00A674BA" w:rsidRPr="00440206">
        <w:rPr>
          <w:spacing w:val="-4"/>
        </w:rPr>
        <w:t>os</w:t>
      </w:r>
      <w:r w:rsidRPr="00440206">
        <w:rPr>
          <w:spacing w:val="-4"/>
        </w:rPr>
        <w:t xml:space="preserve"> como psicológic</w:t>
      </w:r>
      <w:r w:rsidR="00A674BA" w:rsidRPr="00440206">
        <w:rPr>
          <w:spacing w:val="-4"/>
        </w:rPr>
        <w:t>o</w:t>
      </w:r>
      <w:r w:rsidRPr="00440206">
        <w:rPr>
          <w:spacing w:val="-4"/>
        </w:rPr>
        <w:t>s" como parte del proceso de reparación.</w:t>
      </w:r>
      <w:r w:rsidRPr="00440206">
        <w:rPr>
          <w:rStyle w:val="EndnoteReference"/>
          <w:rFonts w:cs="Times New Roman"/>
          <w:spacing w:val="-4"/>
        </w:rPr>
        <w:endnoteReference w:id="1108"/>
      </w:r>
    </w:p>
    <w:p w14:paraId="2546FCE1" w14:textId="7C6C4678" w:rsidR="0049019C" w:rsidRPr="004B2C96" w:rsidRDefault="00CD0EAF" w:rsidP="00440206">
      <w:pPr>
        <w:pStyle w:val="Heading2"/>
        <w:spacing w:before="320"/>
        <w:rPr>
          <w:b w:val="0"/>
        </w:rPr>
      </w:pPr>
      <w:bookmarkStart w:id="80" w:name="_Toc5974933"/>
      <w:r w:rsidRPr="004B2C96">
        <w:rPr>
          <w:b w:val="0"/>
        </w:rPr>
        <w:t xml:space="preserve">Observaciones </w:t>
      </w:r>
      <w:r w:rsidR="00A674BA" w:rsidRPr="004B2C96">
        <w:rPr>
          <w:b w:val="0"/>
        </w:rPr>
        <w:t>F</w:t>
      </w:r>
      <w:r w:rsidRPr="004B2C96">
        <w:rPr>
          <w:b w:val="0"/>
        </w:rPr>
        <w:t>inales</w:t>
      </w:r>
      <w:bookmarkEnd w:id="80"/>
    </w:p>
    <w:p w14:paraId="10428328" w14:textId="7DC2364C" w:rsidR="0049019C" w:rsidRPr="004B2C96" w:rsidRDefault="00CD0EAF" w:rsidP="00440206">
      <w:pPr>
        <w:pStyle w:val="HEADING3firstinstance"/>
        <w:spacing w:before="160"/>
      </w:pPr>
      <w:bookmarkStart w:id="81" w:name="_Toc498590733"/>
      <w:r w:rsidRPr="004B2C96">
        <w:t>acceso a los servicios de salud reproductiva</w:t>
      </w:r>
      <w:bookmarkEnd w:id="81"/>
    </w:p>
    <w:p w14:paraId="51CF336F" w14:textId="55E0986F" w:rsidR="0049019C" w:rsidRDefault="00CD0EAF">
      <w:r>
        <w:t xml:space="preserve">El Comité CAT ha llamado con frecuencia a los Estados a asegurar que las mujeres tengan acceso a atención médica y psicológica necesaria, que incluye la </w:t>
      </w:r>
      <w:r w:rsidR="00DE68F2">
        <w:t xml:space="preserve">atención de la </w:t>
      </w:r>
      <w:r>
        <w:t xml:space="preserve">salud sexual y reproductiva como planificación familiar </w:t>
      </w:r>
      <w:r w:rsidR="004F752C">
        <w:t>después de experimentar</w:t>
      </w:r>
      <w:r w:rsidR="00DE68F2">
        <w:t xml:space="preserve"> </w:t>
      </w:r>
      <w:r>
        <w:t>violencia de género.</w:t>
      </w:r>
      <w:r>
        <w:rPr>
          <w:rStyle w:val="EndnoteReference"/>
        </w:rPr>
        <w:endnoteReference w:id="1109"/>
      </w:r>
      <w:r>
        <w:t xml:space="preserve"> Esto incluye cuando la violencia se produce en el contexto de situaciones de conflicto,</w:t>
      </w:r>
      <w:r>
        <w:rPr>
          <w:rStyle w:val="EndnoteReference"/>
        </w:rPr>
        <w:endnoteReference w:id="1110"/>
      </w:r>
      <w:r>
        <w:t xml:space="preserve"> en las prisiones,</w:t>
      </w:r>
      <w:r>
        <w:rPr>
          <w:rStyle w:val="EndnoteReference"/>
        </w:rPr>
        <w:endnoteReference w:id="1111"/>
      </w:r>
      <w:r>
        <w:t xml:space="preserve"> y en las escuelas.</w:t>
      </w:r>
      <w:r>
        <w:rPr>
          <w:rStyle w:val="EndnoteReference"/>
        </w:rPr>
        <w:endnoteReference w:id="1112"/>
      </w:r>
      <w:r>
        <w:t xml:space="preserve"> Como parte de la respuesta a la violencia, también se </w:t>
      </w:r>
      <w:r w:rsidR="00DE68F2">
        <w:t xml:space="preserve">ha </w:t>
      </w:r>
      <w:r>
        <w:t>recomenda</w:t>
      </w:r>
      <w:r w:rsidR="00DE68F2">
        <w:t>do</w:t>
      </w:r>
      <w:r>
        <w:t xml:space="preserve"> </w:t>
      </w:r>
      <w:r w:rsidR="00DE68F2">
        <w:t xml:space="preserve">a </w:t>
      </w:r>
      <w:r>
        <w:t xml:space="preserve">al menos un </w:t>
      </w:r>
      <w:r w:rsidR="00DE68F2">
        <w:t>E</w:t>
      </w:r>
      <w:r>
        <w:t>stado capacita</w:t>
      </w:r>
      <w:r w:rsidR="00DE68F2">
        <w:t>r</w:t>
      </w:r>
      <w:r>
        <w:t xml:space="preserve"> personal médico que trabaja con víctimas de la violencia.</w:t>
      </w:r>
      <w:r>
        <w:rPr>
          <w:rStyle w:val="EndnoteReference"/>
        </w:rPr>
        <w:endnoteReference w:id="1113"/>
      </w:r>
    </w:p>
    <w:p w14:paraId="184D5F80" w14:textId="3B34F1E6" w:rsidR="0049019C" w:rsidRPr="004B2C96" w:rsidRDefault="00CD0EAF">
      <w:pPr>
        <w:pStyle w:val="Heading4"/>
      </w:pPr>
      <w:r w:rsidRPr="004B2C96">
        <w:t xml:space="preserve">Discriminación en el </w:t>
      </w:r>
      <w:r w:rsidR="00DE68F2" w:rsidRPr="004B2C96">
        <w:t>A</w:t>
      </w:r>
      <w:r w:rsidRPr="004B2C96">
        <w:t xml:space="preserve">cceso a la </w:t>
      </w:r>
      <w:r w:rsidR="00DE68F2" w:rsidRPr="004B2C96">
        <w:t>A</w:t>
      </w:r>
      <w:r w:rsidRPr="004B2C96">
        <w:t xml:space="preserve">tención </w:t>
      </w:r>
      <w:r w:rsidR="00DE68F2" w:rsidRPr="004B2C96">
        <w:t>de la Salud</w:t>
      </w:r>
    </w:p>
    <w:p w14:paraId="12B3C979" w14:textId="35112F25" w:rsidR="0049019C" w:rsidRDefault="00CD0EAF" w:rsidP="00440206">
      <w:pPr>
        <w:pStyle w:val="NormalIndented"/>
        <w:widowControl w:val="0"/>
      </w:pPr>
      <w:r>
        <w:t xml:space="preserve">El Comité CAT ha pedido al menos </w:t>
      </w:r>
      <w:r w:rsidR="00417AA2">
        <w:t xml:space="preserve">a </w:t>
      </w:r>
      <w:r>
        <w:t xml:space="preserve">un </w:t>
      </w:r>
      <w:r w:rsidR="00417AA2">
        <w:t>E</w:t>
      </w:r>
      <w:r>
        <w:t>stado establecer un mecanismo de quejas por acoso para qu</w:t>
      </w:r>
      <w:r w:rsidR="00417AA2">
        <w:t>ienes</w:t>
      </w:r>
      <w:r>
        <w:t xml:space="preserve"> buscan </w:t>
      </w:r>
      <w:r w:rsidR="00417AA2">
        <w:t xml:space="preserve">atención </w:t>
      </w:r>
      <w:r>
        <w:t>después de un aborto, después del embarazo u otros servicios de salud reproductiva</w:t>
      </w:r>
      <w:r>
        <w:rPr>
          <w:rStyle w:val="EndnoteReference"/>
        </w:rPr>
        <w:endnoteReference w:id="1114"/>
      </w:r>
      <w:r>
        <w:t xml:space="preserve">  y llam</w:t>
      </w:r>
      <w:r w:rsidR="00417AA2">
        <w:t>ó</w:t>
      </w:r>
      <w:r>
        <w:t xml:space="preserve"> </w:t>
      </w:r>
      <w:r w:rsidR="00417AA2">
        <w:t>a</w:t>
      </w:r>
      <w:r>
        <w:t xml:space="preserve"> por lo menos un Estado a inv</w:t>
      </w:r>
      <w:r w:rsidR="00165D4C">
        <w:t>estigar, prevenir y sancionar los</w:t>
      </w:r>
      <w:r>
        <w:t xml:space="preserve"> malos tratos a las mujeres que buscan servicios de post-parto.</w:t>
      </w:r>
      <w:r>
        <w:rPr>
          <w:rStyle w:val="EndnoteReference"/>
        </w:rPr>
        <w:endnoteReference w:id="1115"/>
      </w:r>
      <w:bookmarkStart w:id="82" w:name="_Toc498590734"/>
    </w:p>
    <w:p w14:paraId="46269B75" w14:textId="77777777" w:rsidR="0049019C" w:rsidRPr="004B2C96" w:rsidRDefault="00CD0EAF">
      <w:pPr>
        <w:pStyle w:val="Heading3"/>
      </w:pPr>
      <w:r w:rsidRPr="004B2C96">
        <w:lastRenderedPageBreak/>
        <w:t>El aborto</w:t>
      </w:r>
      <w:bookmarkEnd w:id="82"/>
    </w:p>
    <w:p w14:paraId="3231C5D9" w14:textId="160E2E4E" w:rsidR="0049019C" w:rsidRDefault="00CD0EAF">
      <w:pPr>
        <w:pStyle w:val="Heading4"/>
      </w:pPr>
      <w:r>
        <w:t xml:space="preserve">Criminalización del </w:t>
      </w:r>
      <w:r w:rsidR="00417AA2">
        <w:t>A</w:t>
      </w:r>
      <w:r>
        <w:t xml:space="preserve">borto y leyes </w:t>
      </w:r>
      <w:r w:rsidR="00417AA2">
        <w:t>R</w:t>
      </w:r>
      <w:r>
        <w:t xml:space="preserve">estrictivas sobre el </w:t>
      </w:r>
      <w:r w:rsidR="00417AA2">
        <w:t>A</w:t>
      </w:r>
      <w:r>
        <w:t>borto</w:t>
      </w:r>
    </w:p>
    <w:p w14:paraId="5748C01B" w14:textId="457ADAEB" w:rsidR="0049019C" w:rsidRDefault="00CD0EAF">
      <w:pPr>
        <w:pStyle w:val="NormalIndented"/>
      </w:pPr>
      <w:r>
        <w:t xml:space="preserve">El Comité CAT ha condenado con frecuencia </w:t>
      </w:r>
      <w:r w:rsidR="00417AA2">
        <w:t xml:space="preserve">a </w:t>
      </w:r>
      <w:r>
        <w:t>los Estados donde hay prohibición absoluta sobre el aborto.</w:t>
      </w:r>
      <w:r>
        <w:rPr>
          <w:rStyle w:val="EndnoteReference"/>
        </w:rPr>
        <w:endnoteReference w:id="1116"/>
      </w:r>
      <w:r>
        <w:t xml:space="preserve"> Cons</w:t>
      </w:r>
      <w:r w:rsidR="00417AA2">
        <w:t>is</w:t>
      </w:r>
      <w:r>
        <w:t>t</w:t>
      </w:r>
      <w:r w:rsidR="00417AA2">
        <w:t>e</w:t>
      </w:r>
      <w:r>
        <w:t xml:space="preserve">ntemente ha pedido a los Estados con leyes de aborto restrictivas asegurar que el aborto </w:t>
      </w:r>
      <w:r w:rsidRPr="00982B2F">
        <w:t>s</w:t>
      </w:r>
      <w:r w:rsidR="00555BCF" w:rsidRPr="00982B2F">
        <w:t>ea</w:t>
      </w:r>
      <w:r w:rsidRPr="00982B2F">
        <w:t xml:space="preserve"> legal en casos de violación, incesto, cuando la vida o salud de las mujeres está en riesgo y cuando hay un</w:t>
      </w:r>
      <w:r w:rsidR="00555BCF" w:rsidRPr="00982B2F">
        <w:t>a</w:t>
      </w:r>
      <w:r w:rsidRPr="00982B2F">
        <w:t xml:space="preserve"> </w:t>
      </w:r>
      <w:r w:rsidR="002166B8" w:rsidRPr="00982B2F">
        <w:t>anomalí</w:t>
      </w:r>
      <w:r w:rsidR="00555BCF" w:rsidRPr="00982B2F">
        <w:t xml:space="preserve">a </w:t>
      </w:r>
      <w:r w:rsidRPr="00982B2F">
        <w:t>fetal.</w:t>
      </w:r>
      <w:r w:rsidRPr="00982B2F">
        <w:rPr>
          <w:rStyle w:val="EndnoteReference"/>
        </w:rPr>
        <w:endnoteReference w:id="1117"/>
      </w:r>
      <w:r w:rsidRPr="00982B2F">
        <w:t xml:space="preserve"> El Comité </w:t>
      </w:r>
      <w:r w:rsidR="00555BCF" w:rsidRPr="00982B2F">
        <w:t xml:space="preserve">CAT </w:t>
      </w:r>
      <w:r w:rsidRPr="00982B2F">
        <w:t xml:space="preserve">ha encontrado que, además de asegurar que el aborto </w:t>
      </w:r>
      <w:r w:rsidR="00067AEE" w:rsidRPr="00982B2F">
        <w:t>sea</w:t>
      </w:r>
      <w:r w:rsidRPr="00982B2F">
        <w:t xml:space="preserve"> legal en estas circunstancias</w:t>
      </w:r>
      <w:r>
        <w:t xml:space="preserve">, </w:t>
      </w:r>
      <w:r w:rsidR="00067AEE">
        <w:t xml:space="preserve">el </w:t>
      </w:r>
      <w:r>
        <w:t>aborto debe también regularse para que resulte claro en qué circunstancias el aborto es legal,</w:t>
      </w:r>
      <w:r>
        <w:rPr>
          <w:rStyle w:val="EndnoteReference"/>
        </w:rPr>
        <w:endnoteReference w:id="1118"/>
      </w:r>
      <w:r>
        <w:t xml:space="preserve"> y que sin esta regulación, pueden haber graves consecuencias en casos individuales, </w:t>
      </w:r>
      <w:r w:rsidR="00067AEE">
        <w:t xml:space="preserve">incluyendo </w:t>
      </w:r>
      <w:r>
        <w:t>para los menores, las mujeres migrantes y mujeres que viven en la pobreza.</w:t>
      </w:r>
      <w:r>
        <w:rPr>
          <w:rStyle w:val="EndnoteReference"/>
        </w:rPr>
        <w:endnoteReference w:id="1119"/>
      </w:r>
      <w:r>
        <w:t xml:space="preserve"> Además, ha pedido </w:t>
      </w:r>
      <w:r w:rsidR="00067AEE">
        <w:t xml:space="preserve">a </w:t>
      </w:r>
      <w:r>
        <w:t xml:space="preserve">al menos un </w:t>
      </w:r>
      <w:r w:rsidR="00067AEE">
        <w:t>E</w:t>
      </w:r>
      <w:r>
        <w:t xml:space="preserve">stado establecer procedimientos para opiniones </w:t>
      </w:r>
      <w:r w:rsidR="00067AEE">
        <w:t>desafiantes diferentes sobre cuándo e</w:t>
      </w:r>
      <w:r>
        <w:t>l aborto debe</w:t>
      </w:r>
      <w:r w:rsidR="00067AEE">
        <w:t>ría</w:t>
      </w:r>
      <w:r>
        <w:t xml:space="preserve"> aplicarse </w:t>
      </w:r>
      <w:r w:rsidR="00067AEE">
        <w:t xml:space="preserve">bajo </w:t>
      </w:r>
      <w:r>
        <w:t>la ley.</w:t>
      </w:r>
      <w:r>
        <w:rPr>
          <w:rStyle w:val="EndnoteReference"/>
        </w:rPr>
        <w:endnoteReference w:id="1120"/>
      </w:r>
      <w:r>
        <w:t xml:space="preserve"> </w:t>
      </w:r>
    </w:p>
    <w:p w14:paraId="7264891C" w14:textId="1EE9804D" w:rsidR="0049019C" w:rsidRDefault="00CD0EAF">
      <w:pPr>
        <w:pStyle w:val="NormalIndented"/>
      </w:pPr>
      <w:r>
        <w:t xml:space="preserve">Además, el Comité CAT ha expresado preocupación acerca de las leyes que permiten el enjuiciamiento de proveedores de salud para realizar abortos terapéuticos o las mujeres </w:t>
      </w:r>
      <w:r w:rsidR="00067AEE">
        <w:t xml:space="preserve">que se </w:t>
      </w:r>
      <w:r>
        <w:t>somete</w:t>
      </w:r>
      <w:r w:rsidR="00067AEE">
        <w:t>n</w:t>
      </w:r>
      <w:r>
        <w:t xml:space="preserve"> a abortos.</w:t>
      </w:r>
      <w:r>
        <w:rPr>
          <w:rStyle w:val="EndnoteReference"/>
        </w:rPr>
        <w:endnoteReference w:id="1121"/>
      </w:r>
      <w:r>
        <w:t xml:space="preserve"> En particular, ha expresado preocupación </w:t>
      </w:r>
      <w:r w:rsidR="00067AEE">
        <w:t>a</w:t>
      </w:r>
      <w:r>
        <w:t xml:space="preserve"> al menos un </w:t>
      </w:r>
      <w:r w:rsidR="00067AEE">
        <w:t>E</w:t>
      </w:r>
      <w:r>
        <w:t xml:space="preserve">stado sobre una situación donde </w:t>
      </w:r>
      <w:r w:rsidR="00067AEE">
        <w:t xml:space="preserve">las y </w:t>
      </w:r>
      <w:r>
        <w:t xml:space="preserve">los proveedores de salud se niegan a </w:t>
      </w:r>
      <w:r w:rsidR="00067AEE">
        <w:t>realiza</w:t>
      </w:r>
      <w:r>
        <w:t xml:space="preserve">r abortos para preservar la salud </w:t>
      </w:r>
      <w:r w:rsidR="00067AEE">
        <w:t xml:space="preserve">o la vida </w:t>
      </w:r>
      <w:r>
        <w:t xml:space="preserve">de la mujer, </w:t>
      </w:r>
      <w:r w:rsidR="00067AEE">
        <w:t xml:space="preserve">conduciendo </w:t>
      </w:r>
      <w:r>
        <w:t>a graves consecuencias para las mujeres y viola</w:t>
      </w:r>
      <w:r w:rsidR="00067AEE">
        <w:t>ndo</w:t>
      </w:r>
      <w:r>
        <w:t xml:space="preserve"> l</w:t>
      </w:r>
      <w:r w:rsidR="00067AEE">
        <w:t>o</w:t>
      </w:r>
      <w:r>
        <w:t xml:space="preserve">s </w:t>
      </w:r>
      <w:r w:rsidR="00067AEE">
        <w:t>estándare</w:t>
      </w:r>
      <w:r>
        <w:t>s de ética médica.</w:t>
      </w:r>
      <w:r>
        <w:rPr>
          <w:rStyle w:val="EndnoteReference"/>
        </w:rPr>
        <w:endnoteReference w:id="1122"/>
      </w:r>
      <w:r>
        <w:t xml:space="preserve"> Ha hecho hincapié en</w:t>
      </w:r>
      <w:r w:rsidR="00067AEE">
        <w:t xml:space="preserve"> que</w:t>
      </w:r>
      <w:r>
        <w:t xml:space="preserve">, sin acceso al aborto legal y seguro, las mujeres pueden recurrir a métodos inseguros de aborto, </w:t>
      </w:r>
      <w:r w:rsidR="00067AEE">
        <w:t xml:space="preserve">conduciendo a </w:t>
      </w:r>
      <w:r>
        <w:t xml:space="preserve"> riesgos para la salud y las vida de las mujeres y a mayores tasas de mortalidad materna.</w:t>
      </w:r>
      <w:r>
        <w:rPr>
          <w:rStyle w:val="EndnoteReference"/>
        </w:rPr>
        <w:endnoteReference w:id="1123"/>
      </w:r>
      <w:r>
        <w:t xml:space="preserve"> </w:t>
      </w:r>
    </w:p>
    <w:p w14:paraId="3C00D079" w14:textId="273AE938" w:rsidR="0049019C" w:rsidRDefault="00CD0EAF">
      <w:pPr>
        <w:pStyle w:val="NormalIndented"/>
      </w:pPr>
      <w:r>
        <w:t>El Comité CAT en particular ha hecho hincapié en que el aborto debe</w:t>
      </w:r>
      <w:r w:rsidR="00067AEE">
        <w:t>ría</w:t>
      </w:r>
      <w:r>
        <w:t xml:space="preserve"> ser claramente legal y accesible en casos de violación, debido a los continuos sufrimiento</w:t>
      </w:r>
      <w:r w:rsidR="00067AEE">
        <w:t>s</w:t>
      </w:r>
      <w:r>
        <w:t xml:space="preserve"> mental</w:t>
      </w:r>
      <w:r w:rsidR="00067AEE">
        <w:t>es</w:t>
      </w:r>
      <w:r>
        <w:t xml:space="preserve"> que puede resultar de se</w:t>
      </w:r>
      <w:r w:rsidR="00067AEE">
        <w:t>r</w:t>
      </w:r>
      <w:r>
        <w:t xml:space="preserve"> obligad</w:t>
      </w:r>
      <w:r w:rsidR="00067AEE">
        <w:t>a</w:t>
      </w:r>
      <w:r>
        <w:t xml:space="preserve">s a llevar un embarazo resultante de violación al término o de la incertidumbre sobre </w:t>
      </w:r>
      <w:r w:rsidR="0019391D">
        <w:t>s</w:t>
      </w:r>
      <w:r>
        <w:t>i la víctima podrá acceder a aborto.</w:t>
      </w:r>
      <w:r>
        <w:rPr>
          <w:rStyle w:val="EndnoteReference"/>
        </w:rPr>
        <w:endnoteReference w:id="1124"/>
      </w:r>
      <w:r>
        <w:t xml:space="preserve"> En particular, ha observado </w:t>
      </w:r>
      <w:r w:rsidR="0019391D">
        <w:t>en a</w:t>
      </w:r>
      <w:r>
        <w:t xml:space="preserve">l menos un </w:t>
      </w:r>
      <w:r w:rsidR="0019391D">
        <w:t>E</w:t>
      </w:r>
      <w:r>
        <w:t xml:space="preserve">stado </w:t>
      </w:r>
      <w:r w:rsidR="0019391D">
        <w:t xml:space="preserve">que </w:t>
      </w:r>
      <w:r>
        <w:t>obliga</w:t>
      </w:r>
      <w:r w:rsidR="0019391D">
        <w:t>r</w:t>
      </w:r>
      <w:r>
        <w:t xml:space="preserve"> a una mujer a llevar un embarazo como resultado de la violencia sexual "implica la exposición constante a la </w:t>
      </w:r>
      <w:r w:rsidR="0019391D">
        <w:t>viola</w:t>
      </w:r>
      <w:r>
        <w:t>ción cometida en su contra y causa estrés postraumático grave y un riesgo de</w:t>
      </w:r>
      <w:r w:rsidR="0019391D" w:rsidRPr="0019391D">
        <w:t xml:space="preserve"> </w:t>
      </w:r>
      <w:r w:rsidR="0019391D">
        <w:t>problemas de</w:t>
      </w:r>
      <w:r>
        <w:t xml:space="preserve"> larga duración psicológica como ansiedad y depresión."</w:t>
      </w:r>
      <w:r>
        <w:rPr>
          <w:rStyle w:val="EndnoteReference"/>
        </w:rPr>
        <w:endnoteReference w:id="1125"/>
      </w:r>
      <w:r>
        <w:t xml:space="preserve"> El Comité ha llamado también explícitamente </w:t>
      </w:r>
      <w:r w:rsidR="0019391D">
        <w:t>a</w:t>
      </w:r>
      <w:r>
        <w:t xml:space="preserve"> al menos un </w:t>
      </w:r>
      <w:r w:rsidR="0019391D">
        <w:t>E</w:t>
      </w:r>
      <w:r>
        <w:t>stado a asegurar que el aborto se proporcion</w:t>
      </w:r>
      <w:r w:rsidR="0019391D">
        <w:t>e</w:t>
      </w:r>
      <w:r>
        <w:t xml:space="preserve"> gratuitamente en casos de violación.</w:t>
      </w:r>
      <w:r>
        <w:rPr>
          <w:rStyle w:val="EndnoteReference"/>
        </w:rPr>
        <w:endnoteReference w:id="1126"/>
      </w:r>
    </w:p>
    <w:p w14:paraId="71BFE6DC" w14:textId="2179F41A" w:rsidR="0049019C" w:rsidRDefault="00CD0EAF">
      <w:pPr>
        <w:pStyle w:val="Heading4"/>
      </w:pPr>
      <w:r>
        <w:t xml:space="preserve">Barreras </w:t>
      </w:r>
      <w:r w:rsidR="0019391D">
        <w:t>P</w:t>
      </w:r>
      <w:r>
        <w:t xml:space="preserve">rácticas y de </w:t>
      </w:r>
      <w:r w:rsidR="0019391D">
        <w:t>P</w:t>
      </w:r>
      <w:r>
        <w:t xml:space="preserve">rocedimiento para el </w:t>
      </w:r>
      <w:r w:rsidR="0019391D">
        <w:t>A</w:t>
      </w:r>
      <w:r>
        <w:t xml:space="preserve">borto </w:t>
      </w:r>
    </w:p>
    <w:p w14:paraId="63D1EE29" w14:textId="1FAE7639" w:rsidR="0049019C" w:rsidRDefault="00CD0EAF">
      <w:pPr>
        <w:pStyle w:val="NormalIndented"/>
      </w:pPr>
      <w:r>
        <w:t>El Comité CAT ha expresado preocupación por las barreras procesales, tales como períodos de espera y requisitos de autorización de terceros, para acceder al aborto, incluyendo aborto terapéutico y el aborto en casos de violencia sexual.</w:t>
      </w:r>
      <w:r>
        <w:rPr>
          <w:rStyle w:val="EndnoteReference"/>
        </w:rPr>
        <w:endnoteReference w:id="1127"/>
      </w:r>
      <w:r>
        <w:t xml:space="preserve"> En particular, se ha encontrado que sobrevivientes de violencia sexual deben tener acceso al aborto seguro en la ley y en la práctica sin obstáculos innecesarios.</w:t>
      </w:r>
      <w:r>
        <w:rPr>
          <w:rStyle w:val="EndnoteReference"/>
        </w:rPr>
        <w:endnoteReference w:id="1128"/>
      </w:r>
      <w:r>
        <w:t xml:space="preserve"> Para ello, el Comité CAT </w:t>
      </w:r>
      <w:r w:rsidR="0019391D">
        <w:t xml:space="preserve">ha recomendado </w:t>
      </w:r>
      <w:r>
        <w:t xml:space="preserve">en al menos una instancia que un </w:t>
      </w:r>
      <w:r w:rsidR="0019391D">
        <w:t>E</w:t>
      </w:r>
      <w:r>
        <w:t>stado modifi</w:t>
      </w:r>
      <w:r w:rsidR="0019391D">
        <w:t>que</w:t>
      </w:r>
      <w:r>
        <w:t xml:space="preserve"> una ley de aborto restrictiva para que sobrevivientes de violencia sexual y el incesto pued</w:t>
      </w:r>
      <w:r w:rsidR="0019391D">
        <w:t>a</w:t>
      </w:r>
      <w:r>
        <w:t>n acceder a</w:t>
      </w:r>
      <w:r w:rsidR="0019391D">
        <w:t>l</w:t>
      </w:r>
      <w:r>
        <w:t xml:space="preserve"> aborto independiente del criterio de un profesional médico,</w:t>
      </w:r>
      <w:r>
        <w:rPr>
          <w:rStyle w:val="EndnoteReference"/>
        </w:rPr>
        <w:endnoteReference w:id="1129"/>
      </w:r>
      <w:r>
        <w:t xml:space="preserve"> y, en otro ejemplo, inst</w:t>
      </w:r>
      <w:r w:rsidR="0019391D">
        <w:t>ó</w:t>
      </w:r>
      <w:r>
        <w:t xml:space="preserve"> a un </w:t>
      </w:r>
      <w:r w:rsidR="0019391D">
        <w:t>E</w:t>
      </w:r>
      <w:r>
        <w:t>stado a eliminar el requisito de autorización judicial que plantea una barrera infranqueable al aborto seguro en la práctica.</w:t>
      </w:r>
      <w:r>
        <w:rPr>
          <w:rStyle w:val="EndnoteReference"/>
        </w:rPr>
        <w:endnoteReference w:id="1130"/>
      </w:r>
    </w:p>
    <w:p w14:paraId="34CB19C0" w14:textId="0E0C11E4" w:rsidR="0049019C" w:rsidRDefault="00CD0EAF">
      <w:pPr>
        <w:pStyle w:val="NormalIndented"/>
      </w:pPr>
      <w:r>
        <w:t xml:space="preserve">Además, el Comité CAT ha expresado preocupación por lo menos </w:t>
      </w:r>
      <w:r w:rsidR="0019391D">
        <w:t xml:space="preserve">a </w:t>
      </w:r>
      <w:r>
        <w:t xml:space="preserve">un </w:t>
      </w:r>
      <w:r w:rsidR="0019391D">
        <w:t>E</w:t>
      </w:r>
      <w:r>
        <w:t xml:space="preserve">stado donde el uso de la objeción de conciencia por </w:t>
      </w:r>
      <w:r w:rsidR="0019391D">
        <w:t xml:space="preserve">las y </w:t>
      </w:r>
      <w:r>
        <w:t xml:space="preserve">los proveedores de salud, las instituciones y el </w:t>
      </w:r>
      <w:r w:rsidR="0019391D">
        <w:t>P</w:t>
      </w:r>
      <w:r>
        <w:t xml:space="preserve">oder </w:t>
      </w:r>
      <w:r w:rsidR="0019391D">
        <w:t>J</w:t>
      </w:r>
      <w:r>
        <w:t xml:space="preserve">udicial ha hecho </w:t>
      </w:r>
      <w:r w:rsidR="0019391D">
        <w:t xml:space="preserve">al </w:t>
      </w:r>
      <w:r>
        <w:t xml:space="preserve">aborto inaccesible </w:t>
      </w:r>
      <w:r w:rsidR="0019391D">
        <w:t>p</w:t>
      </w:r>
      <w:r>
        <w:t>a</w:t>
      </w:r>
      <w:r w:rsidR="0019391D">
        <w:t>ra</w:t>
      </w:r>
      <w:r>
        <w:t xml:space="preserve"> las mujeres.</w:t>
      </w:r>
      <w:r>
        <w:rPr>
          <w:rStyle w:val="EndnoteReference"/>
        </w:rPr>
        <w:endnoteReference w:id="1131"/>
      </w:r>
      <w:r>
        <w:t xml:space="preserve"> Ha señalado que esta situación puede conducir a aborto inseguro, con sus riesgos a la salud y vida de la mujer.</w:t>
      </w:r>
      <w:r>
        <w:rPr>
          <w:rStyle w:val="EndnoteReference"/>
        </w:rPr>
        <w:endnoteReference w:id="1132"/>
      </w:r>
    </w:p>
    <w:p w14:paraId="305DD255" w14:textId="0F923B94" w:rsidR="0049019C" w:rsidRDefault="00CD0EAF">
      <w:pPr>
        <w:pStyle w:val="Heading4"/>
      </w:pPr>
      <w:r>
        <w:t xml:space="preserve">Atención </w:t>
      </w:r>
      <w:r w:rsidR="0019391D">
        <w:t>P</w:t>
      </w:r>
      <w:r>
        <w:t xml:space="preserve">osterior al </w:t>
      </w:r>
      <w:r w:rsidR="0019391D">
        <w:t>A</w:t>
      </w:r>
      <w:r>
        <w:t>borto</w:t>
      </w:r>
    </w:p>
    <w:p w14:paraId="2BEA3ED4" w14:textId="44CECB19" w:rsidR="0049019C" w:rsidRDefault="00CD0EAF">
      <w:pPr>
        <w:pStyle w:val="NormalIndented"/>
      </w:pPr>
      <w:r>
        <w:t xml:space="preserve">El Comité CAT ha expresado preocupación </w:t>
      </w:r>
      <w:r w:rsidR="0019391D">
        <w:t xml:space="preserve">consistentemente </w:t>
      </w:r>
      <w:r>
        <w:t>por denegación de acceso o abusos al acceder a servicios de atención postaborto, incluyendo atención médica de emergencia,</w:t>
      </w:r>
      <w:r>
        <w:rPr>
          <w:rStyle w:val="EndnoteReference"/>
        </w:rPr>
        <w:endnoteReference w:id="1133"/>
      </w:r>
      <w:r>
        <w:t xml:space="preserve"> observando </w:t>
      </w:r>
      <w:r w:rsidR="0019391D">
        <w:t xml:space="preserve">en </w:t>
      </w:r>
      <w:r>
        <w:t xml:space="preserve">al menos un </w:t>
      </w:r>
      <w:r w:rsidR="0019391D">
        <w:t>E</w:t>
      </w:r>
      <w:r>
        <w:t xml:space="preserve">stado que "podría poner en serio peligro su salud </w:t>
      </w:r>
      <w:r w:rsidR="0019391D">
        <w:t xml:space="preserve">física y </w:t>
      </w:r>
      <w:r>
        <w:t>mental y podría constituir trato cruel e inhumano."</w:t>
      </w:r>
      <w:r>
        <w:rPr>
          <w:rStyle w:val="EndnoteReference"/>
        </w:rPr>
        <w:endnoteReference w:id="1134"/>
      </w:r>
      <w:r>
        <w:t xml:space="preserve"> En particular, ha expresado su preocupación acerca de las leyes y políticas que requieren profesionales médicos </w:t>
      </w:r>
      <w:r w:rsidR="0019391D">
        <w:t>p</w:t>
      </w:r>
      <w:r>
        <w:t>a</w:t>
      </w:r>
      <w:r w:rsidR="0019391D">
        <w:t>ra</w:t>
      </w:r>
      <w:r>
        <w:t xml:space="preserve"> informar al </w:t>
      </w:r>
      <w:r w:rsidR="0019391D">
        <w:t>E</w:t>
      </w:r>
      <w:r>
        <w:t>stado cuando una mujer busca la atención postaborto, a veces lleva</w:t>
      </w:r>
      <w:r w:rsidR="0019391D">
        <w:t>ndo</w:t>
      </w:r>
      <w:r>
        <w:t xml:space="preserve"> a </w:t>
      </w:r>
      <w:r w:rsidR="0019391D">
        <w:t xml:space="preserve">enjuiciamiento </w:t>
      </w:r>
      <w:r>
        <w:t>penal, en violación de la ética médica y requisitos</w:t>
      </w:r>
      <w:r w:rsidR="0019391D">
        <w:t xml:space="preserve"> de confidencialidad</w:t>
      </w:r>
      <w:r>
        <w:t>.</w:t>
      </w:r>
      <w:r>
        <w:rPr>
          <w:rStyle w:val="EndnoteReference"/>
        </w:rPr>
        <w:endnoteReference w:id="1135"/>
      </w:r>
      <w:r>
        <w:t xml:space="preserve"> </w:t>
      </w:r>
    </w:p>
    <w:p w14:paraId="4249281E" w14:textId="4FB7107A" w:rsidR="0049019C" w:rsidRDefault="00CD0EAF">
      <w:pPr>
        <w:pStyle w:val="NormalIndented"/>
      </w:pPr>
      <w:r>
        <w:lastRenderedPageBreak/>
        <w:t xml:space="preserve">Como resultado, el Comité CAT ha recomendado </w:t>
      </w:r>
      <w:r w:rsidR="0019391D">
        <w:t xml:space="preserve">a </w:t>
      </w:r>
      <w:r>
        <w:t xml:space="preserve">al menos un </w:t>
      </w:r>
      <w:r w:rsidR="0019391D">
        <w:t>E</w:t>
      </w:r>
      <w:r>
        <w:t xml:space="preserve">stado establecer un mecanismo </w:t>
      </w:r>
      <w:r w:rsidR="0019391D">
        <w:t xml:space="preserve">confidencial </w:t>
      </w:r>
      <w:r>
        <w:t>de quejas para quienes han sufrido acoso o discriminación en la búsqueda de servicios de atención postaborto.</w:t>
      </w:r>
      <w:r>
        <w:rPr>
          <w:rStyle w:val="EndnoteReference"/>
        </w:rPr>
        <w:endnoteReference w:id="1136"/>
      </w:r>
      <w:r>
        <w:t xml:space="preserve"> También ha recomendado que los Estados sigan las directrices de la Organización Mundial de la </w:t>
      </w:r>
      <w:r w:rsidR="0019391D">
        <w:t>S</w:t>
      </w:r>
      <w:r>
        <w:t xml:space="preserve">alud para garantizar el acceso inmediato e incondicional </w:t>
      </w:r>
      <w:r w:rsidR="0019391D">
        <w:t xml:space="preserve">de la </w:t>
      </w:r>
      <w:r>
        <w:t>atención médica de emergencia, incluyendo después de un aborto inseguro.</w:t>
      </w:r>
      <w:r>
        <w:rPr>
          <w:rStyle w:val="EndnoteReference"/>
        </w:rPr>
        <w:endnoteReference w:id="1137"/>
      </w:r>
      <w:r>
        <w:t xml:space="preserve"> Además, se </w:t>
      </w:r>
      <w:r w:rsidR="00AE50C8">
        <w:t xml:space="preserve">ha </w:t>
      </w:r>
      <w:r>
        <w:t>recomenda</w:t>
      </w:r>
      <w:r w:rsidR="00AE50C8">
        <w:t>do</w:t>
      </w:r>
      <w:r>
        <w:t xml:space="preserve"> que los Estados elimin</w:t>
      </w:r>
      <w:r w:rsidR="00AE50C8">
        <w:t>e</w:t>
      </w:r>
      <w:r>
        <w:t>n la práctica de obtener confesiones de mujeres que buscan atención de emergencia después de experimentar un aborto ilegal</w:t>
      </w:r>
      <w:r>
        <w:rPr>
          <w:rStyle w:val="EndnoteReference"/>
        </w:rPr>
        <w:endnoteReference w:id="1138"/>
      </w:r>
      <w:r>
        <w:t xml:space="preserve"> y trabaj</w:t>
      </w:r>
      <w:r w:rsidR="00AE50C8">
        <w:t>ar</w:t>
      </w:r>
      <w:r>
        <w:t xml:space="preserve"> para preservar la confidencialidad de</w:t>
      </w:r>
      <w:r w:rsidR="00AE50C8">
        <w:t xml:space="preserve"> </w:t>
      </w:r>
      <w:r>
        <w:t>l</w:t>
      </w:r>
      <w:r w:rsidR="00AE50C8">
        <w:t>a</w:t>
      </w:r>
      <w:r>
        <w:t xml:space="preserve"> paciente cuando se presta atención médica tras un aborto ilegal.</w:t>
      </w:r>
      <w:r>
        <w:rPr>
          <w:rStyle w:val="EndnoteReference"/>
        </w:rPr>
        <w:endnoteReference w:id="1139"/>
      </w:r>
      <w:r>
        <w:t xml:space="preserve"> En casos donde las mujeres han sido procesadas por aborto ilegal, después de una confesión en el contexto de la atención post-aborto, </w:t>
      </w:r>
      <w:r w:rsidR="00AE50C8">
        <w:t>el</w:t>
      </w:r>
      <w:r>
        <w:t xml:space="preserve"> Comi</w:t>
      </w:r>
      <w:r w:rsidR="00AE50C8">
        <w:t>té</w:t>
      </w:r>
      <w:r>
        <w:t xml:space="preserve"> ha pedido al menos </w:t>
      </w:r>
      <w:r w:rsidR="00AE50C8">
        <w:t xml:space="preserve">a </w:t>
      </w:r>
      <w:r>
        <w:t xml:space="preserve">un Estado revisar la convicción para asegurar que la confesión no fue coaccionada y anular condenas </w:t>
      </w:r>
      <w:r w:rsidR="00AE50C8">
        <w:t xml:space="preserve">que </w:t>
      </w:r>
      <w:r>
        <w:t>no sean conformes con l</w:t>
      </w:r>
      <w:r w:rsidR="00AE50C8">
        <w:t>a</w:t>
      </w:r>
      <w:r>
        <w:t xml:space="preserve"> Conve</w:t>
      </w:r>
      <w:r w:rsidR="00AE50C8">
        <w:t>nción CAT</w:t>
      </w:r>
      <w:r>
        <w:t>.</w:t>
      </w:r>
      <w:r>
        <w:rPr>
          <w:rStyle w:val="EndnoteReference"/>
        </w:rPr>
        <w:endnoteReference w:id="1140"/>
      </w:r>
    </w:p>
    <w:p w14:paraId="67289F3B" w14:textId="1838D22D" w:rsidR="0049019C" w:rsidRDefault="00CD0EAF">
      <w:pPr>
        <w:pStyle w:val="Heading4"/>
      </w:pPr>
      <w:r>
        <w:t xml:space="preserve">Acceso a la </w:t>
      </w:r>
      <w:r w:rsidR="00AE50C8">
        <w:t>I</w:t>
      </w:r>
      <w:r>
        <w:t xml:space="preserve">nformación sobre el </w:t>
      </w:r>
      <w:r w:rsidR="00AE50C8">
        <w:t>A</w:t>
      </w:r>
      <w:r>
        <w:t>borto</w:t>
      </w:r>
    </w:p>
    <w:p w14:paraId="496F1D1E" w14:textId="770265DF" w:rsidR="0049019C" w:rsidRDefault="00CD0EAF">
      <w:pPr>
        <w:pStyle w:val="NormalIndented"/>
      </w:pPr>
      <w:r>
        <w:t xml:space="preserve">El Comité CAT ha pedido al menos </w:t>
      </w:r>
      <w:r w:rsidR="00AE50C8">
        <w:t xml:space="preserve">a </w:t>
      </w:r>
      <w:r>
        <w:t xml:space="preserve">un </w:t>
      </w:r>
      <w:r w:rsidR="00AE50C8">
        <w:t>E</w:t>
      </w:r>
      <w:r>
        <w:t>stado llevar a cabo una amplia campaña pública para crear conciencia acerca de cu</w:t>
      </w:r>
      <w:r w:rsidR="00AE50C8">
        <w:t>á</w:t>
      </w:r>
      <w:r>
        <w:t xml:space="preserve">ndo el aborto es legal y cómo acceder a él, con el fin de garantizar que las mujeres </w:t>
      </w:r>
      <w:r w:rsidR="00950ADD">
        <w:t xml:space="preserve">concozcan </w:t>
      </w:r>
      <w:r>
        <w:t>cu</w:t>
      </w:r>
      <w:r w:rsidR="00950ADD">
        <w:t>á</w:t>
      </w:r>
      <w:r>
        <w:t>ndo legalmente pueden acceder a</w:t>
      </w:r>
      <w:r w:rsidR="00950ADD">
        <w:t>l</w:t>
      </w:r>
      <w:r>
        <w:t xml:space="preserve"> aborto y </w:t>
      </w:r>
      <w:r w:rsidR="00950ADD">
        <w:t>el personal de salud</w:t>
      </w:r>
      <w:r>
        <w:t xml:space="preserve"> </w:t>
      </w:r>
      <w:r w:rsidR="00950ADD">
        <w:t>conozca</w:t>
      </w:r>
      <w:r>
        <w:t xml:space="preserve"> cu</w:t>
      </w:r>
      <w:r w:rsidR="00950ADD">
        <w:t>á</w:t>
      </w:r>
      <w:r>
        <w:t>ndo pueden le</w:t>
      </w:r>
      <w:r w:rsidR="00950ADD">
        <w:t>galmente</w:t>
      </w:r>
      <w:r>
        <w:t xml:space="preserve"> proporcionarl</w:t>
      </w:r>
      <w:r w:rsidR="00950ADD">
        <w:t>o</w:t>
      </w:r>
      <w:r>
        <w:t>.</w:t>
      </w:r>
      <w:r>
        <w:rPr>
          <w:rStyle w:val="EndnoteReference"/>
        </w:rPr>
        <w:endnoteReference w:id="1141"/>
      </w:r>
    </w:p>
    <w:p w14:paraId="559A7370" w14:textId="320B10D3" w:rsidR="0049019C" w:rsidRDefault="00CD0EAF">
      <w:pPr>
        <w:pStyle w:val="Heading4"/>
      </w:pPr>
      <w:r>
        <w:t xml:space="preserve">Capacitación y </w:t>
      </w:r>
      <w:r w:rsidR="00950ADD">
        <w:t>O</w:t>
      </w:r>
      <w:r>
        <w:t>rientación</w:t>
      </w:r>
    </w:p>
    <w:p w14:paraId="65446FE7" w14:textId="0E7D2052" w:rsidR="0049019C" w:rsidRPr="00440206" w:rsidRDefault="00CD0EAF">
      <w:pPr>
        <w:pStyle w:val="NormalIndented"/>
        <w:rPr>
          <w:spacing w:val="-4"/>
        </w:rPr>
      </w:pPr>
      <w:r w:rsidRPr="00440206">
        <w:rPr>
          <w:spacing w:val="-4"/>
        </w:rPr>
        <w:t xml:space="preserve">El Comité </w:t>
      </w:r>
      <w:r w:rsidR="00950ADD" w:rsidRPr="00440206">
        <w:rPr>
          <w:spacing w:val="-4"/>
        </w:rPr>
        <w:t>CAT</w:t>
      </w:r>
      <w:r w:rsidRPr="00440206">
        <w:rPr>
          <w:spacing w:val="-4"/>
        </w:rPr>
        <w:t xml:space="preserve"> ha encontrado que </w:t>
      </w:r>
      <w:r w:rsidR="00950ADD" w:rsidRPr="00440206">
        <w:rPr>
          <w:spacing w:val="-4"/>
        </w:rPr>
        <w:t xml:space="preserve">el </w:t>
      </w:r>
      <w:r w:rsidRPr="00440206">
        <w:rPr>
          <w:spacing w:val="-4"/>
        </w:rPr>
        <w:t xml:space="preserve">aborto debe regularse con suficiente claridad </w:t>
      </w:r>
      <w:r w:rsidR="00950ADD" w:rsidRPr="00440206">
        <w:rPr>
          <w:spacing w:val="-4"/>
        </w:rPr>
        <w:t xml:space="preserve">para </w:t>
      </w:r>
      <w:r w:rsidRPr="00440206">
        <w:rPr>
          <w:spacing w:val="-4"/>
        </w:rPr>
        <w:t xml:space="preserve">que las mujeres y los proveedores de salud </w:t>
      </w:r>
      <w:r w:rsidR="00950ADD" w:rsidRPr="00440206">
        <w:rPr>
          <w:spacing w:val="-4"/>
        </w:rPr>
        <w:t xml:space="preserve">estén </w:t>
      </w:r>
      <w:r w:rsidRPr="00440206">
        <w:rPr>
          <w:spacing w:val="-4"/>
        </w:rPr>
        <w:t>seguros que están accediendo y prestan</w:t>
      </w:r>
      <w:r w:rsidR="00950ADD" w:rsidRPr="00440206">
        <w:rPr>
          <w:spacing w:val="-4"/>
        </w:rPr>
        <w:t>do</w:t>
      </w:r>
      <w:r w:rsidRPr="00440206">
        <w:rPr>
          <w:spacing w:val="-4"/>
        </w:rPr>
        <w:t xml:space="preserve"> servicios de aborto legal,</w:t>
      </w:r>
      <w:r w:rsidRPr="00440206">
        <w:rPr>
          <w:spacing w:val="-4"/>
          <w:vertAlign w:val="superscript"/>
        </w:rPr>
        <w:endnoteReference w:id="1142"/>
      </w:r>
      <w:r w:rsidRPr="00440206">
        <w:rPr>
          <w:spacing w:val="-4"/>
        </w:rPr>
        <w:t xml:space="preserve"> y que sin esta regulación, pueden haber graves consecuencias en casos individuales, </w:t>
      </w:r>
      <w:r w:rsidR="00950ADD" w:rsidRPr="00440206">
        <w:rPr>
          <w:spacing w:val="-4"/>
        </w:rPr>
        <w:t xml:space="preserve">incluyendo </w:t>
      </w:r>
      <w:r w:rsidRPr="00440206">
        <w:rPr>
          <w:spacing w:val="-4"/>
        </w:rPr>
        <w:t>para los menores, las mujeres migrantes y mujeres que viven en la pobreza.</w:t>
      </w:r>
      <w:r w:rsidRPr="00440206">
        <w:rPr>
          <w:spacing w:val="-4"/>
          <w:vertAlign w:val="superscript"/>
        </w:rPr>
        <w:endnoteReference w:id="1143"/>
      </w:r>
      <w:r w:rsidRPr="00440206">
        <w:rPr>
          <w:spacing w:val="-4"/>
        </w:rPr>
        <w:t xml:space="preserve"> Además, se </w:t>
      </w:r>
      <w:r w:rsidR="00950ADD" w:rsidRPr="00440206">
        <w:rPr>
          <w:spacing w:val="-4"/>
        </w:rPr>
        <w:t xml:space="preserve">ha </w:t>
      </w:r>
      <w:r w:rsidRPr="00440206">
        <w:rPr>
          <w:spacing w:val="-4"/>
        </w:rPr>
        <w:t>recomenda</w:t>
      </w:r>
      <w:r w:rsidR="00950ADD" w:rsidRPr="00440206">
        <w:rPr>
          <w:spacing w:val="-4"/>
        </w:rPr>
        <w:t>do</w:t>
      </w:r>
      <w:r w:rsidRPr="00440206">
        <w:rPr>
          <w:spacing w:val="-4"/>
        </w:rPr>
        <w:t xml:space="preserve"> </w:t>
      </w:r>
      <w:r w:rsidR="00950ADD" w:rsidRPr="00440206">
        <w:rPr>
          <w:spacing w:val="-4"/>
        </w:rPr>
        <w:t xml:space="preserve">a </w:t>
      </w:r>
      <w:r w:rsidRPr="00440206">
        <w:rPr>
          <w:spacing w:val="-4"/>
        </w:rPr>
        <w:t>al menos un</w:t>
      </w:r>
      <w:r w:rsidR="00950ADD" w:rsidRPr="00440206">
        <w:rPr>
          <w:spacing w:val="-4"/>
        </w:rPr>
        <w:t xml:space="preserve"> E</w:t>
      </w:r>
      <w:r w:rsidRPr="00440206">
        <w:rPr>
          <w:spacing w:val="-4"/>
        </w:rPr>
        <w:t xml:space="preserve">stado que </w:t>
      </w:r>
      <w:r w:rsidR="00950ADD" w:rsidRPr="00440206">
        <w:rPr>
          <w:spacing w:val="-4"/>
        </w:rPr>
        <w:t xml:space="preserve">asegure que las y los </w:t>
      </w:r>
      <w:r w:rsidRPr="00440206">
        <w:rPr>
          <w:spacing w:val="-4"/>
        </w:rPr>
        <w:t xml:space="preserve">prestadores de salud </w:t>
      </w:r>
      <w:r w:rsidR="00950ADD" w:rsidRPr="00440206">
        <w:rPr>
          <w:spacing w:val="-4"/>
        </w:rPr>
        <w:t>“estén al</w:t>
      </w:r>
      <w:r w:rsidRPr="00440206">
        <w:rPr>
          <w:spacing w:val="-4"/>
        </w:rPr>
        <w:t xml:space="preserve"> tanto e informado</w:t>
      </w:r>
      <w:r w:rsidR="00950ADD" w:rsidRPr="00440206">
        <w:rPr>
          <w:spacing w:val="-4"/>
        </w:rPr>
        <w:t>s</w:t>
      </w:r>
      <w:r w:rsidRPr="00440206">
        <w:rPr>
          <w:spacing w:val="-4"/>
        </w:rPr>
        <w:t xml:space="preserve"> sobre protocolos </w:t>
      </w:r>
      <w:r w:rsidR="00950ADD" w:rsidRPr="00440206">
        <w:rPr>
          <w:spacing w:val="-4"/>
        </w:rPr>
        <w:t xml:space="preserve">relativos al </w:t>
      </w:r>
      <w:r w:rsidRPr="00440206">
        <w:rPr>
          <w:spacing w:val="-4"/>
        </w:rPr>
        <w:t>aborto legal.</w:t>
      </w:r>
      <w:r w:rsidR="00950ADD" w:rsidRPr="00440206">
        <w:rPr>
          <w:spacing w:val="-4"/>
        </w:rPr>
        <w:t>”</w:t>
      </w:r>
      <w:r w:rsidRPr="00440206">
        <w:rPr>
          <w:rStyle w:val="EndnoteReference"/>
          <w:color w:val="auto"/>
          <w:spacing w:val="-4"/>
        </w:rPr>
        <w:endnoteReference w:id="1144"/>
      </w:r>
    </w:p>
    <w:p w14:paraId="63892613" w14:textId="10DDF4FB" w:rsidR="0049019C" w:rsidRPr="004B2C96" w:rsidRDefault="00CD0EAF">
      <w:pPr>
        <w:pStyle w:val="Heading3"/>
      </w:pPr>
      <w:bookmarkStart w:id="83" w:name="_Toc498590735"/>
      <w:r w:rsidRPr="004B2C96">
        <w:t xml:space="preserve">Acceso a la información, bienes y servicios sobre </w:t>
      </w:r>
      <w:r w:rsidR="00950ADD" w:rsidRPr="004B2C96">
        <w:t>ANTICONCEPTIVOS</w:t>
      </w:r>
      <w:bookmarkEnd w:id="83"/>
    </w:p>
    <w:p w14:paraId="080573AE" w14:textId="4F7B0CA8" w:rsidR="0049019C" w:rsidRDefault="00CD0EAF">
      <w:pPr>
        <w:pStyle w:val="Heading4"/>
      </w:pPr>
      <w:r>
        <w:t xml:space="preserve">Información sobre </w:t>
      </w:r>
      <w:r w:rsidR="00271BA2">
        <w:t>A</w:t>
      </w:r>
      <w:r>
        <w:t>nticonceptivos</w:t>
      </w:r>
    </w:p>
    <w:p w14:paraId="580BF367" w14:textId="31D6AAA9" w:rsidR="0049019C" w:rsidRDefault="00CD0EAF">
      <w:pPr>
        <w:pStyle w:val="NormalIndented"/>
      </w:pPr>
      <w:r>
        <w:t xml:space="preserve">El Comité </w:t>
      </w:r>
      <w:r w:rsidR="00271BA2">
        <w:t>CAT</w:t>
      </w:r>
      <w:r>
        <w:t xml:space="preserve"> ha encontrado que los Estados deberían informar mejor sobre salud sexual y reproductiva, incluyendo a los adolescentes.</w:t>
      </w:r>
      <w:r>
        <w:rPr>
          <w:rStyle w:val="EndnoteReference"/>
        </w:rPr>
        <w:endnoteReference w:id="1145"/>
      </w:r>
      <w:r w:rsidR="00363303">
        <w:t xml:space="preserve"> </w:t>
      </w:r>
      <w:r>
        <w:t>También ha expresado preocupación al</w:t>
      </w:r>
      <w:r w:rsidR="00271BA2">
        <w:t xml:space="preserve"> menos a un</w:t>
      </w:r>
      <w:r>
        <w:t xml:space="preserve"> </w:t>
      </w:r>
      <w:r w:rsidR="00271BA2">
        <w:t>E</w:t>
      </w:r>
      <w:r>
        <w:t>stado por desinformación sobre métodos modernos de anticoncepción</w:t>
      </w:r>
      <w:r w:rsidR="000D6B82">
        <w:t xml:space="preserve"> —</w:t>
      </w:r>
      <w:r>
        <w:t xml:space="preserve"> que ha llevado a "</w:t>
      </w:r>
      <w:r>
        <w:rPr>
          <w:rFonts w:cs="Times New Roman"/>
        </w:rPr>
        <w:t>un número significativo de muertes maternas, fomentado la violencia en el hogar y causó daños a la salud física y mental de las mujeres</w:t>
      </w:r>
      <w:r>
        <w:t xml:space="preserve">" — y ha pedido a ese </w:t>
      </w:r>
      <w:r w:rsidR="00271BA2">
        <w:t>E</w:t>
      </w:r>
      <w:r>
        <w:t>stado garantizar "el acceso universal a una gama completa de las más segur</w:t>
      </w:r>
      <w:r w:rsidR="00271BA2">
        <w:t>o</w:t>
      </w:r>
      <w:r>
        <w:t>s y más tecnológicamente avanzados métodos de anticoncepción, [y] asegura</w:t>
      </w:r>
      <w:r w:rsidR="00271BA2">
        <w:t>r</w:t>
      </w:r>
      <w:r>
        <w:t xml:space="preserve"> </w:t>
      </w:r>
      <w:r w:rsidR="00271BA2">
        <w:t>la consejería</w:t>
      </w:r>
      <w:r>
        <w:t xml:space="preserve"> basad</w:t>
      </w:r>
      <w:r w:rsidR="00271BA2">
        <w:t>a</w:t>
      </w:r>
      <w:r>
        <w:t xml:space="preserve"> en los derechos </w:t>
      </w:r>
      <w:r w:rsidR="00271BA2">
        <w:t xml:space="preserve">e </w:t>
      </w:r>
      <w:r>
        <w:t xml:space="preserve">información sobre </w:t>
      </w:r>
      <w:r w:rsidR="00271BA2">
        <w:t xml:space="preserve">servicios de </w:t>
      </w:r>
      <w:r>
        <w:t>salud reproductiva a todas las mujeres y adolescentes</w:t>
      </w:r>
      <w:r w:rsidR="00C42EC0">
        <w:t>.</w:t>
      </w:r>
      <w:r>
        <w:t>"</w:t>
      </w:r>
      <w:r>
        <w:rPr>
          <w:rStyle w:val="EndnoteReference"/>
        </w:rPr>
        <w:endnoteReference w:id="1146"/>
      </w:r>
    </w:p>
    <w:p w14:paraId="69AB323F" w14:textId="5368AC87" w:rsidR="0049019C" w:rsidRDefault="00CD0EAF">
      <w:pPr>
        <w:pStyle w:val="Heading4"/>
      </w:pPr>
      <w:r>
        <w:t xml:space="preserve">Anticonceptivos de </w:t>
      </w:r>
      <w:r w:rsidR="00271BA2">
        <w:t>E</w:t>
      </w:r>
      <w:r>
        <w:t>mergencia</w:t>
      </w:r>
    </w:p>
    <w:p w14:paraId="6F999B4D" w14:textId="35F9DF51" w:rsidR="0049019C" w:rsidRDefault="00CD0EAF">
      <w:pPr>
        <w:pStyle w:val="NormalIndented"/>
      </w:pPr>
      <w:r>
        <w:t>El Comité CAT ha recomendado que los Estados asegur</w:t>
      </w:r>
      <w:r w:rsidR="00271BA2">
        <w:t>e</w:t>
      </w:r>
      <w:r>
        <w:t>n el acceso a la anticoncepción de emergencia en casos de violación, inclu</w:t>
      </w:r>
      <w:r w:rsidR="00271BA2">
        <w:t>yendo</w:t>
      </w:r>
      <w:r>
        <w:t xml:space="preserve"> hacer distribución de la anticoncepción de emergencia</w:t>
      </w:r>
      <w:r w:rsidR="00271BA2">
        <w:t xml:space="preserve"> legal después de la violación</w:t>
      </w:r>
      <w:r>
        <w:t>.</w:t>
      </w:r>
      <w:r>
        <w:rPr>
          <w:rStyle w:val="EndnoteReference"/>
        </w:rPr>
        <w:endnoteReference w:id="1147"/>
      </w:r>
      <w:r>
        <w:t xml:space="preserve"> </w:t>
      </w:r>
    </w:p>
    <w:p w14:paraId="42BA2E26" w14:textId="77777777" w:rsidR="0049019C" w:rsidRPr="004B2C96" w:rsidRDefault="00CD0EAF" w:rsidP="00440206">
      <w:pPr>
        <w:pStyle w:val="Heading3"/>
        <w:spacing w:before="400"/>
      </w:pPr>
      <w:bookmarkStart w:id="84" w:name="_Toc498590736"/>
      <w:r w:rsidRPr="004B2C96">
        <w:t>Salud materna</w:t>
      </w:r>
      <w:bookmarkEnd w:id="84"/>
    </w:p>
    <w:p w14:paraId="59E1FD0C" w14:textId="7D2CAF02" w:rsidR="0049019C" w:rsidRDefault="00955B72">
      <w:r>
        <w:t xml:space="preserve">El </w:t>
      </w:r>
      <w:r w:rsidR="00CD0EAF">
        <w:t xml:space="preserve">Comité CAT ha expresado preocupación </w:t>
      </w:r>
      <w:r>
        <w:t xml:space="preserve">a </w:t>
      </w:r>
      <w:r w:rsidR="00CD0EAF">
        <w:t xml:space="preserve">por lo menos un </w:t>
      </w:r>
      <w:r>
        <w:t>E</w:t>
      </w:r>
      <w:r w:rsidR="00CD0EAF">
        <w:t xml:space="preserve">stado sobre los abusos contra las mujeres en servicios de salud materna, incluyendo la detención de después del parto </w:t>
      </w:r>
      <w:r>
        <w:t xml:space="preserve">a </w:t>
      </w:r>
      <w:r w:rsidR="00CD0EAF">
        <w:t xml:space="preserve">las mujeres si no pueden pagar </w:t>
      </w:r>
      <w:r>
        <w:t>lo</w:t>
      </w:r>
      <w:r w:rsidR="00CD0EAF">
        <w:t xml:space="preserve">s </w:t>
      </w:r>
      <w:r>
        <w:t xml:space="preserve">costos </w:t>
      </w:r>
      <w:r w:rsidR="00CD0EAF">
        <w:t>médicos.</w:t>
      </w:r>
      <w:r w:rsidR="00CD0EAF">
        <w:rPr>
          <w:rStyle w:val="EndnoteReference"/>
        </w:rPr>
        <w:endnoteReference w:id="1148"/>
      </w:r>
      <w:r w:rsidR="00CD0EAF">
        <w:t xml:space="preserve"> Se </w:t>
      </w:r>
      <w:r>
        <w:t xml:space="preserve">ha </w:t>
      </w:r>
      <w:r w:rsidR="00CD0EAF">
        <w:t>recomenda</w:t>
      </w:r>
      <w:r>
        <w:t>do</w:t>
      </w:r>
      <w:r w:rsidR="00CD0EAF">
        <w:t xml:space="preserve"> que el </w:t>
      </w:r>
      <w:r>
        <w:t>E</w:t>
      </w:r>
      <w:r w:rsidR="00CD0EAF">
        <w:t>stado fortale</w:t>
      </w:r>
      <w:r>
        <w:t>zca</w:t>
      </w:r>
      <w:r w:rsidR="00CD0EAF">
        <w:t xml:space="preserve"> los esfuerzos para poner fin a esta práctica, inclu</w:t>
      </w:r>
      <w:r>
        <w:t>yendo</w:t>
      </w:r>
      <w:r w:rsidR="00CD0EAF">
        <w:t xml:space="preserve"> centros </w:t>
      </w:r>
      <w:r>
        <w:t xml:space="preserve">de </w:t>
      </w:r>
      <w:r w:rsidR="00CD0EAF">
        <w:t>sa</w:t>
      </w:r>
      <w:r>
        <w:t>lud</w:t>
      </w:r>
      <w:r w:rsidR="00CD0EAF">
        <w:t xml:space="preserve"> privados y asegurar que agencias independientes supervis</w:t>
      </w:r>
      <w:r>
        <w:t>en</w:t>
      </w:r>
      <w:r w:rsidR="00CD0EAF">
        <w:t xml:space="preserve"> las condiciones en los establecimientos de salud reproductiva.</w:t>
      </w:r>
      <w:r w:rsidR="00CD0EAF">
        <w:rPr>
          <w:rStyle w:val="EndnoteReference"/>
        </w:rPr>
        <w:endnoteReference w:id="1149"/>
      </w:r>
    </w:p>
    <w:p w14:paraId="4909EBC9" w14:textId="35334ACD" w:rsidR="0049019C" w:rsidRDefault="00CD0EAF">
      <w:pPr>
        <w:pStyle w:val="Heading4"/>
      </w:pPr>
      <w:r>
        <w:t xml:space="preserve">Mortalidad </w:t>
      </w:r>
      <w:r w:rsidR="00955B72">
        <w:t>M</w:t>
      </w:r>
      <w:r>
        <w:t>aterna</w:t>
      </w:r>
    </w:p>
    <w:p w14:paraId="5BAB9B8A" w14:textId="135DF3A8" w:rsidR="0049019C" w:rsidRDefault="00CD0EAF" w:rsidP="00440206">
      <w:pPr>
        <w:pStyle w:val="NormalIndented"/>
        <w:widowControl w:val="0"/>
      </w:pPr>
      <w:r>
        <w:t xml:space="preserve">El Comité CAT ha expresado preocupación </w:t>
      </w:r>
      <w:r w:rsidR="00955B72">
        <w:t xml:space="preserve">consistentemente </w:t>
      </w:r>
      <w:r>
        <w:t xml:space="preserve">por las altas tasas de mortalidad materna, </w:t>
      </w:r>
      <w:r>
        <w:lastRenderedPageBreak/>
        <w:t>incluyendo como resultado de abortos inseguros</w:t>
      </w:r>
      <w:r>
        <w:rPr>
          <w:rStyle w:val="EndnoteReference"/>
        </w:rPr>
        <w:endnoteReference w:id="1150"/>
      </w:r>
      <w:r>
        <w:t xml:space="preserve"> y la falta de acceso a la anticoncepción.</w:t>
      </w:r>
      <w:r>
        <w:rPr>
          <w:rStyle w:val="EndnoteReference"/>
        </w:rPr>
        <w:endnoteReference w:id="1151"/>
      </w:r>
      <w:r>
        <w:t xml:space="preserve"> También ha expresado preocupación por la falta de acceso a servicios de aborto legal — tanto por barreras procesales </w:t>
      </w:r>
      <w:r w:rsidR="00955B72">
        <w:t>p</w:t>
      </w:r>
      <w:r>
        <w:t>a</w:t>
      </w:r>
      <w:r w:rsidR="00955B72">
        <w:t>ra</w:t>
      </w:r>
      <w:r>
        <w:t xml:space="preserve"> acceder a</w:t>
      </w:r>
      <w:r w:rsidR="00955B72">
        <w:t>l</w:t>
      </w:r>
      <w:r>
        <w:t xml:space="preserve"> aborto o porque el aborto es ilegal bajo estas circunstancias</w:t>
      </w:r>
      <w:r w:rsidR="00AC290D">
        <w:t xml:space="preserve"> —</w:t>
      </w:r>
      <w:r>
        <w:t xml:space="preserve"> cuando la vida o la salud de la mujer está en riesgo, señalando que esta situación pone a las mujeres en peligro de experimentar mortalidad materna.</w:t>
      </w:r>
      <w:r>
        <w:rPr>
          <w:rStyle w:val="EndnoteReference"/>
        </w:rPr>
        <w:endnoteReference w:id="1152"/>
      </w:r>
      <w:r>
        <w:t xml:space="preserve"> En particular, ha señalado al menos </w:t>
      </w:r>
      <w:r w:rsidR="00955B72">
        <w:t xml:space="preserve">a </w:t>
      </w:r>
      <w:r>
        <w:t xml:space="preserve">un </w:t>
      </w:r>
      <w:r w:rsidR="00955B72">
        <w:t>E</w:t>
      </w:r>
      <w:r>
        <w:t xml:space="preserve">stado que las leyes que restringen el acceso al aborto, incluso en casos de violación, pueden llevar </w:t>
      </w:r>
      <w:r w:rsidR="00955B72">
        <w:t xml:space="preserve">a </w:t>
      </w:r>
      <w:r>
        <w:t xml:space="preserve">las mujeres </w:t>
      </w:r>
      <w:r w:rsidR="00955B72">
        <w:t xml:space="preserve">a </w:t>
      </w:r>
      <w:r>
        <w:t xml:space="preserve">acceder a abortos ilegales, dando por resultado muertes maternas </w:t>
      </w:r>
      <w:r w:rsidR="00D74833">
        <w:t>evitables</w:t>
      </w:r>
      <w:r>
        <w:t>.</w:t>
      </w:r>
      <w:r>
        <w:rPr>
          <w:rStyle w:val="EndnoteReference"/>
        </w:rPr>
        <w:endnoteReference w:id="1153"/>
      </w:r>
    </w:p>
    <w:p w14:paraId="4347C117" w14:textId="5900A35D" w:rsidR="0049019C" w:rsidRDefault="00CD0EAF">
      <w:pPr>
        <w:pStyle w:val="NormalIndented"/>
      </w:pPr>
      <w:r>
        <w:t xml:space="preserve">Para abordar el tema de la mortalidad materna, el Comité CAT ha recomendado </w:t>
      </w:r>
      <w:r w:rsidR="006B1D2F">
        <w:t xml:space="preserve">a </w:t>
      </w:r>
      <w:r>
        <w:t>al menos dos Estados modifica</w:t>
      </w:r>
      <w:r w:rsidR="006B1D2F">
        <w:t>r</w:t>
      </w:r>
      <w:r>
        <w:t xml:space="preserve"> sus leyes sobre el aborto para garantizar que el aborto terapéutico y aborto en casos de violación o incesto s</w:t>
      </w:r>
      <w:r w:rsidR="006B1D2F">
        <w:t>ea</w:t>
      </w:r>
      <w:r>
        <w:t xml:space="preserve"> legal.</w:t>
      </w:r>
      <w:r>
        <w:rPr>
          <w:rStyle w:val="EndnoteReference"/>
        </w:rPr>
        <w:endnoteReference w:id="1154"/>
      </w:r>
      <w:r>
        <w:t xml:space="preserve"> Además ha pedido a los Estados garantizar el acceso incondicional a la atención médica de emergencia después de un aborto inseguro, en consonancia con las directrices de la Organización Mundial de la </w:t>
      </w:r>
      <w:r w:rsidR="006B1D2F">
        <w:t>S</w:t>
      </w:r>
      <w:r>
        <w:t>alud.</w:t>
      </w:r>
      <w:r>
        <w:rPr>
          <w:rStyle w:val="EndnoteReference"/>
        </w:rPr>
        <w:endnoteReference w:id="1155"/>
      </w:r>
      <w:r>
        <w:t xml:space="preserve"> También </w:t>
      </w:r>
      <w:r w:rsidR="006B1D2F">
        <w:t>ha</w:t>
      </w:r>
      <w:r>
        <w:t xml:space="preserve"> recomenda</w:t>
      </w:r>
      <w:r w:rsidR="006B1D2F">
        <w:t>do</w:t>
      </w:r>
      <w:r>
        <w:t xml:space="preserve"> que al menos un </w:t>
      </w:r>
      <w:r w:rsidR="006B1D2F">
        <w:t>E</w:t>
      </w:r>
      <w:r>
        <w:t>stado proporcion</w:t>
      </w:r>
      <w:r w:rsidR="006B1D2F">
        <w:t>e</w:t>
      </w:r>
      <w:r>
        <w:t xml:space="preserve"> información sobre salud sexual y reproductiva a mujeres y adolescentes, como una forma de evitar embarazos no deseados,</w:t>
      </w:r>
      <w:r>
        <w:rPr>
          <w:rStyle w:val="EndnoteReference"/>
        </w:rPr>
        <w:endnoteReference w:id="1156"/>
      </w:r>
      <w:r>
        <w:t xml:space="preserve">  y que otro Estado cre</w:t>
      </w:r>
      <w:r w:rsidR="006B1D2F">
        <w:t>e</w:t>
      </w:r>
      <w:r>
        <w:t xml:space="preserve"> conciencia acerca de </w:t>
      </w:r>
      <w:r w:rsidR="006B1D2F">
        <w:t>c</w:t>
      </w:r>
      <w:r>
        <w:t>uándo el aborto es legal y cómo acceder a él, con el fin de prevenir el aborto inseguro.</w:t>
      </w:r>
      <w:r>
        <w:rPr>
          <w:rStyle w:val="EndnoteReference"/>
        </w:rPr>
        <w:endnoteReference w:id="1157"/>
      </w:r>
    </w:p>
    <w:p w14:paraId="284C2721" w14:textId="0B25AAF1" w:rsidR="0049019C" w:rsidRPr="004B2C96" w:rsidRDefault="00CD0EAF">
      <w:pPr>
        <w:pStyle w:val="Heading3"/>
      </w:pPr>
      <w:bookmarkStart w:id="85" w:name="_Toc498590737"/>
      <w:r w:rsidRPr="004B2C96">
        <w:t xml:space="preserve">educación </w:t>
      </w:r>
      <w:r w:rsidR="006B1D2F" w:rsidRPr="004B2C96">
        <w:t xml:space="preserve">Sexual </w:t>
      </w:r>
      <w:r w:rsidRPr="004B2C96">
        <w:t xml:space="preserve">y </w:t>
      </w:r>
      <w:r w:rsidR="006B1D2F" w:rsidRPr="004B2C96">
        <w:t xml:space="preserve">TOMA DE </w:t>
      </w:r>
      <w:r w:rsidRPr="004B2C96">
        <w:t>conciencia</w:t>
      </w:r>
      <w:bookmarkEnd w:id="85"/>
    </w:p>
    <w:p w14:paraId="08108F13" w14:textId="16449B92" w:rsidR="0049019C" w:rsidRDefault="00CD0EAF">
      <w:r>
        <w:t xml:space="preserve">El Comité CAT ha pedido información sobre salud sexual y reproductiva </w:t>
      </w:r>
      <w:r w:rsidR="006B1D2F">
        <w:t>p</w:t>
      </w:r>
      <w:r>
        <w:t>a</w:t>
      </w:r>
      <w:r w:rsidR="006B1D2F">
        <w:t>ra</w:t>
      </w:r>
      <w:r>
        <w:t xml:space="preserve"> </w:t>
      </w:r>
      <w:r w:rsidR="006B1D2F">
        <w:t xml:space="preserve">que esté </w:t>
      </w:r>
      <w:r>
        <w:t>dispon</w:t>
      </w:r>
      <w:r w:rsidR="006B1D2F">
        <w:t>ible</w:t>
      </w:r>
      <w:r>
        <w:t>, incluyendo a adolescentes.</w:t>
      </w:r>
      <w:r>
        <w:rPr>
          <w:rStyle w:val="EndnoteReference"/>
        </w:rPr>
        <w:endnoteReference w:id="1158"/>
      </w:r>
    </w:p>
    <w:p w14:paraId="7D8CC45F" w14:textId="77777777" w:rsidR="0049019C" w:rsidRPr="004B2C96" w:rsidRDefault="00CD0EAF">
      <w:pPr>
        <w:pStyle w:val="Heading3"/>
      </w:pPr>
      <w:bookmarkStart w:id="86" w:name="_Toc498590738"/>
      <w:r w:rsidRPr="004B2C96">
        <w:t>Esterilización forzada y aborto forzado</w:t>
      </w:r>
      <w:bookmarkEnd w:id="86"/>
    </w:p>
    <w:p w14:paraId="3D3FD66F" w14:textId="098C2457" w:rsidR="0049019C" w:rsidRDefault="00D74833">
      <w:pPr>
        <w:pStyle w:val="Heading4"/>
      </w:pPr>
      <w:r>
        <w:t>C</w:t>
      </w:r>
      <w:r w:rsidR="00CD0EAF">
        <w:t xml:space="preserve">apacidad </w:t>
      </w:r>
      <w:r w:rsidR="0058434E">
        <w:t>J</w:t>
      </w:r>
      <w:r w:rsidR="00CD0EAF">
        <w:t xml:space="preserve">urídica y </w:t>
      </w:r>
      <w:r w:rsidR="0058434E">
        <w:t>C</w:t>
      </w:r>
      <w:r w:rsidR="00CD0EAF">
        <w:t xml:space="preserve">onsentimiento </w:t>
      </w:r>
      <w:r w:rsidR="0058434E">
        <w:t>I</w:t>
      </w:r>
      <w:r w:rsidR="00CD0EAF">
        <w:t>nformado</w:t>
      </w:r>
    </w:p>
    <w:p w14:paraId="33E17660" w14:textId="3B4960A9" w:rsidR="0049019C" w:rsidRDefault="00CD0EAF">
      <w:pPr>
        <w:pStyle w:val="NormalIndented"/>
      </w:pPr>
      <w:r>
        <w:t xml:space="preserve">El Comité CAT ha expresado preocupación por la esterilización involuntaria realizada sin consentimiento </w:t>
      </w:r>
      <w:r w:rsidR="0058434E">
        <w:t xml:space="preserve">libre </w:t>
      </w:r>
      <w:r>
        <w:t>e informado</w:t>
      </w:r>
      <w:r>
        <w:rPr>
          <w:rStyle w:val="EndnoteReference"/>
        </w:rPr>
        <w:endnoteReference w:id="1159"/>
      </w:r>
      <w:r>
        <w:t xml:space="preserve"> y como parte de programas estatales de control de la población.</w:t>
      </w:r>
      <w:r>
        <w:rPr>
          <w:rStyle w:val="EndnoteReference"/>
        </w:rPr>
        <w:endnoteReference w:id="1160"/>
      </w:r>
      <w:r>
        <w:t xml:space="preserve"> </w:t>
      </w:r>
      <w:r w:rsidR="00546C29">
        <w:t>El</w:t>
      </w:r>
      <w:r>
        <w:t xml:space="preserve"> Comi</w:t>
      </w:r>
      <w:r w:rsidR="00546C29">
        <w:t>té</w:t>
      </w:r>
      <w:r>
        <w:t xml:space="preserve"> ha comentado en particular </w:t>
      </w:r>
      <w:r w:rsidR="00546C29">
        <w:t>sobre</w:t>
      </w:r>
      <w:r>
        <w:t xml:space="preserve"> circunstancias donde los grupos desfavorecidos son sometidos a procedimientos médicos forzados o bajo coacción, incluyendo esterilizaciones</w:t>
      </w:r>
      <w:r w:rsidR="00546C29" w:rsidRPr="00546C29">
        <w:t xml:space="preserve"> </w:t>
      </w:r>
      <w:r w:rsidR="00546C29">
        <w:t>forzadas o coaccionadas</w:t>
      </w:r>
      <w:r>
        <w:t xml:space="preserve">. Estos grupos incluyen mujeres </w:t>
      </w:r>
      <w:r w:rsidR="00821B7C">
        <w:t>romaníes</w:t>
      </w:r>
      <w:r>
        <w:t>,</w:t>
      </w:r>
      <w:r>
        <w:rPr>
          <w:rStyle w:val="EndnoteReference"/>
        </w:rPr>
        <w:endnoteReference w:id="1161"/>
      </w:r>
      <w:r>
        <w:t xml:space="preserve"> las mujeres VIH-positivas,</w:t>
      </w:r>
      <w:r>
        <w:rPr>
          <w:rStyle w:val="EndnoteReference"/>
        </w:rPr>
        <w:endnoteReference w:id="1162"/>
      </w:r>
      <w:r>
        <w:t xml:space="preserve"> las mujeres con discapacidad,</w:t>
      </w:r>
      <w:r>
        <w:rPr>
          <w:rStyle w:val="EndnoteReference"/>
        </w:rPr>
        <w:endnoteReference w:id="1163"/>
      </w:r>
      <w:r>
        <w:t xml:space="preserve"> </w:t>
      </w:r>
      <w:r w:rsidR="00546C29">
        <w:t>y</w:t>
      </w:r>
      <w:r>
        <w:t xml:space="preserve"> </w:t>
      </w:r>
      <w:r w:rsidR="00546C29">
        <w:t xml:space="preserve">personas </w:t>
      </w:r>
      <w:r>
        <w:t>intersexuales.</w:t>
      </w:r>
      <w:r>
        <w:rPr>
          <w:rStyle w:val="EndnoteReference"/>
        </w:rPr>
        <w:endnoteReference w:id="1164"/>
      </w:r>
      <w:r>
        <w:t xml:space="preserve"> Con respecto a las mujeres con discapacidad en particular, el Comité CAT ha elogiado </w:t>
      </w:r>
      <w:r w:rsidR="00546C29">
        <w:t xml:space="preserve">a </w:t>
      </w:r>
      <w:r>
        <w:t xml:space="preserve">un </w:t>
      </w:r>
      <w:r w:rsidR="00546C29">
        <w:t>E</w:t>
      </w:r>
      <w:r>
        <w:t>stado p</w:t>
      </w:r>
      <w:r w:rsidR="00546C29">
        <w:t>or</w:t>
      </w:r>
      <w:r>
        <w:t xml:space="preserve"> la eliminación de una norma técnica que permitió la esterilización de personas con "incompetencia mental" sin </w:t>
      </w:r>
      <w:r w:rsidR="00546C29">
        <w:t xml:space="preserve">el </w:t>
      </w:r>
      <w:r>
        <w:t xml:space="preserve">consentimiento </w:t>
      </w:r>
      <w:r w:rsidR="00546C29">
        <w:t xml:space="preserve">libre e informado </w:t>
      </w:r>
      <w:r>
        <w:t xml:space="preserve">y recomendó que el </w:t>
      </w:r>
      <w:r w:rsidR="00546C29">
        <w:t>E</w:t>
      </w:r>
      <w:r>
        <w:t>stado derog</w:t>
      </w:r>
      <w:r w:rsidR="00546C29">
        <w:t>ue</w:t>
      </w:r>
      <w:r>
        <w:t xml:space="preserve"> un decreto administrativo más amplio que todavía permit</w:t>
      </w:r>
      <w:r w:rsidR="00546C29">
        <w:t>ía</w:t>
      </w:r>
      <w:r>
        <w:t xml:space="preserve"> la esterilización forzada de las personas con discapacidad mental.</w:t>
      </w:r>
      <w:r>
        <w:rPr>
          <w:rStyle w:val="EndnoteReference"/>
        </w:rPr>
        <w:endnoteReference w:id="1165"/>
      </w:r>
    </w:p>
    <w:p w14:paraId="37ABA094" w14:textId="0CA018E9" w:rsidR="0049019C" w:rsidRDefault="00CD0EAF">
      <w:pPr>
        <w:pStyle w:val="NormalIndented"/>
      </w:pPr>
      <w:r>
        <w:t xml:space="preserve">En cuanto a las personas intersex, el Comité CAT ha expresado preocupación por intervenciones quirúrgicas innecesarias y a veces irreversibles realizadas en niños intersexuales sin </w:t>
      </w:r>
      <w:r w:rsidR="00546C29">
        <w:t xml:space="preserve">explicarles </w:t>
      </w:r>
      <w:r>
        <w:t>todas las opciones</w:t>
      </w:r>
      <w:r>
        <w:rPr>
          <w:rStyle w:val="EndnoteReference"/>
        </w:rPr>
        <w:endnoteReference w:id="1166"/>
      </w:r>
      <w:r>
        <w:t xml:space="preserve"> y antes de la edad cuando los niños </w:t>
      </w:r>
      <w:r w:rsidR="00546C29">
        <w:t>so</w:t>
      </w:r>
      <w:r>
        <w:t xml:space="preserve">n </w:t>
      </w:r>
      <w:r w:rsidR="00546C29">
        <w:t>requeri</w:t>
      </w:r>
      <w:r>
        <w:t xml:space="preserve">dos </w:t>
      </w:r>
      <w:r w:rsidR="00546C29">
        <w:t>de</w:t>
      </w:r>
      <w:r>
        <w:t xml:space="preserve"> dar su consentimiento informado,</w:t>
      </w:r>
      <w:r>
        <w:rPr>
          <w:rStyle w:val="EndnoteReference"/>
        </w:rPr>
        <w:endnoteReference w:id="1167"/>
      </w:r>
      <w:r>
        <w:t xml:space="preserve"> teniendo en cuenta que estos procedimientos pueden "causar sufrimiento físico y psicológico."</w:t>
      </w:r>
      <w:r>
        <w:rPr>
          <w:rStyle w:val="EndnoteReference"/>
        </w:rPr>
        <w:endnoteReference w:id="1168"/>
      </w:r>
      <w:r>
        <w:t xml:space="preserve"> Se ha encontrado que estos procedimientos pueden violar la integridad física y la autonomía de las personas intersex</w:t>
      </w:r>
      <w:r w:rsidR="00546C29">
        <w:t>uales</w:t>
      </w:r>
      <w:r>
        <w:t>.</w:t>
      </w:r>
      <w:r>
        <w:rPr>
          <w:rStyle w:val="EndnoteReference"/>
        </w:rPr>
        <w:endnoteReference w:id="1169"/>
      </w:r>
      <w:r>
        <w:t xml:space="preserve"> El Comité ha recomendado que los Estados garanti</w:t>
      </w:r>
      <w:r w:rsidR="00546C29">
        <w:t>cen</w:t>
      </w:r>
      <w:r>
        <w:t xml:space="preserve"> a través de medidas legislativas, administrativas u otras que los niños </w:t>
      </w:r>
      <w:r w:rsidR="00546C29">
        <w:t xml:space="preserve">y niñas </w:t>
      </w:r>
      <w:r>
        <w:t xml:space="preserve">no son sometidos a intervenciones médicas no urgentes para establecer </w:t>
      </w:r>
      <w:r w:rsidR="00546C29">
        <w:t xml:space="preserve">su </w:t>
      </w:r>
      <w:r>
        <w:t>sex</w:t>
      </w:r>
      <w:r w:rsidR="00546C29">
        <w:t>o</w:t>
      </w:r>
      <w:r>
        <w:t>.</w:t>
      </w:r>
      <w:r>
        <w:rPr>
          <w:rStyle w:val="EndnoteReference"/>
        </w:rPr>
        <w:endnoteReference w:id="1170"/>
      </w:r>
      <w:r>
        <w:t xml:space="preserve"> En particular, el Comité ha recomendado a por lo menos un </w:t>
      </w:r>
      <w:r w:rsidR="00546C29">
        <w:t>E</w:t>
      </w:r>
      <w:r>
        <w:t>stado "[</w:t>
      </w:r>
      <w:r w:rsidR="00546C29">
        <w:t>a</w:t>
      </w:r>
      <w:r>
        <w:t>]seg</w:t>
      </w:r>
      <w:r w:rsidR="00546C29">
        <w:t>u</w:t>
      </w:r>
      <w:r>
        <w:t>r</w:t>
      </w:r>
      <w:r w:rsidR="00546C29">
        <w:t>ar</w:t>
      </w:r>
      <w:r>
        <w:t xml:space="preserve"> que ningún procedimiento quirúrgico o tratamiento médico se reali</w:t>
      </w:r>
      <w:r w:rsidR="00546C29">
        <w:t>ce</w:t>
      </w:r>
      <w:r>
        <w:t xml:space="preserve"> sin </w:t>
      </w:r>
      <w:r w:rsidR="00546C29">
        <w:t xml:space="preserve">el </w:t>
      </w:r>
      <w:r>
        <w:t xml:space="preserve">consentimiento </w:t>
      </w:r>
      <w:r w:rsidR="00546C29">
        <w:t xml:space="preserve">pleno, libre e informado </w:t>
      </w:r>
      <w:r>
        <w:t xml:space="preserve">y sin la persona, sus padres o parientes cercanos </w:t>
      </w:r>
      <w:r w:rsidR="00546C29">
        <w:t xml:space="preserve">siendo </w:t>
      </w:r>
      <w:r>
        <w:t>informado</w:t>
      </w:r>
      <w:r w:rsidR="00546C29">
        <w:t>s</w:t>
      </w:r>
      <w:r>
        <w:t xml:space="preserve"> de las opciones disponibles, incluyendo la posibilidad de aplazar cualquier decisión sobre tratamiento innecesario hasta que puedan decidir por sí mismos</w:t>
      </w:r>
      <w:r w:rsidR="00C42EC0">
        <w:t>.</w:t>
      </w:r>
      <w:r>
        <w:t>"</w:t>
      </w:r>
      <w:r>
        <w:rPr>
          <w:rStyle w:val="EndnoteReference"/>
        </w:rPr>
        <w:endnoteReference w:id="1171"/>
      </w:r>
      <w:r>
        <w:t xml:space="preserve"> También se </w:t>
      </w:r>
      <w:r w:rsidR="00546C29">
        <w:t xml:space="preserve">ha </w:t>
      </w:r>
      <w:r>
        <w:t>recomenda</w:t>
      </w:r>
      <w:r w:rsidR="00546C29">
        <w:t>do</w:t>
      </w:r>
      <w:r>
        <w:t xml:space="preserve"> que la decisión sobre si debe someterse a estos procedimientos se retras</w:t>
      </w:r>
      <w:r w:rsidR="00546C29">
        <w:t>e</w:t>
      </w:r>
      <w:r>
        <w:t xml:space="preserve"> hasta que el niño </w:t>
      </w:r>
      <w:r w:rsidR="00546C29">
        <w:t xml:space="preserve">o niña </w:t>
      </w:r>
      <w:r>
        <w:t>s</w:t>
      </w:r>
      <w:r w:rsidR="00546C29">
        <w:t>ea</w:t>
      </w:r>
      <w:r>
        <w:t xml:space="preserve"> lo suficientemente maduro como para participar en la decisión y dar consentimiento </w:t>
      </w:r>
      <w:r w:rsidR="00546C29">
        <w:t xml:space="preserve">pleno, libre e </w:t>
      </w:r>
      <w:r>
        <w:t>informado.</w:t>
      </w:r>
      <w:r>
        <w:rPr>
          <w:rStyle w:val="EndnoteReference"/>
        </w:rPr>
        <w:endnoteReference w:id="1172"/>
      </w:r>
      <w:r>
        <w:t xml:space="preserve"> El Comité también ha recomendado que los Estados reali</w:t>
      </w:r>
      <w:r w:rsidR="00546C29">
        <w:t>ce</w:t>
      </w:r>
      <w:r>
        <w:t>n estudios sobre el tema de procedimientos médicos y quirúrgicos realizados en niños intersexuales sin consentimiento libre e informado para entender mejor y abordar la cuestión.</w:t>
      </w:r>
      <w:r>
        <w:rPr>
          <w:rStyle w:val="EndnoteReference"/>
        </w:rPr>
        <w:endnoteReference w:id="1173"/>
      </w:r>
    </w:p>
    <w:p w14:paraId="72ABCF4A" w14:textId="70B2F706" w:rsidR="0049019C" w:rsidRDefault="00CD0EAF">
      <w:pPr>
        <w:pStyle w:val="Heading4"/>
      </w:pPr>
      <w:r>
        <w:lastRenderedPageBreak/>
        <w:t xml:space="preserve">Obligaciones de </w:t>
      </w:r>
      <w:r w:rsidR="00546C29">
        <w:t>Debida D</w:t>
      </w:r>
      <w:r>
        <w:t xml:space="preserve">iligencia </w:t>
      </w:r>
    </w:p>
    <w:p w14:paraId="59013395" w14:textId="3AFC23F4" w:rsidR="0049019C" w:rsidRDefault="00CD0EAF">
      <w:pPr>
        <w:pStyle w:val="NormalIndented"/>
      </w:pPr>
      <w:r>
        <w:t xml:space="preserve">El Comité CAT ha recomendado que todas las denuncias de esterilización </w:t>
      </w:r>
      <w:r w:rsidR="00FD7033">
        <w:t xml:space="preserve">y el aborto </w:t>
      </w:r>
      <w:r>
        <w:t>forzad</w:t>
      </w:r>
      <w:r w:rsidR="00FD7033">
        <w:t>o</w:t>
      </w:r>
      <w:r>
        <w:t xml:space="preserve"> o bajo coacción sean investigad</w:t>
      </w:r>
      <w:r w:rsidR="00FD7033">
        <w:t>a</w:t>
      </w:r>
      <w:r>
        <w:t>s imparcialmente,</w:t>
      </w:r>
      <w:r>
        <w:rPr>
          <w:rStyle w:val="EndnoteReference"/>
        </w:rPr>
        <w:endnoteReference w:id="1174"/>
      </w:r>
      <w:r>
        <w:t xml:space="preserve"> con </w:t>
      </w:r>
      <w:r w:rsidR="00FD7033">
        <w:t>los repsonsables</w:t>
      </w:r>
      <w:r>
        <w:t xml:space="preserve"> rind</w:t>
      </w:r>
      <w:r w:rsidR="00FD7033">
        <w:t>iendo cuentas</w:t>
      </w:r>
      <w:r>
        <w:rPr>
          <w:rStyle w:val="EndnoteReference"/>
        </w:rPr>
        <w:endnoteReference w:id="1175"/>
      </w:r>
      <w:r w:rsidR="004F1267">
        <w:t xml:space="preserve"> </w:t>
      </w:r>
      <w:r>
        <w:t>— incluyendo a través de la persecución</w:t>
      </w:r>
      <w:r w:rsidR="00AC290D">
        <w:t xml:space="preserve"> </w:t>
      </w:r>
      <w:r w:rsidR="00FD7033">
        <w:t>y sanción</w:t>
      </w:r>
      <w:r>
        <w:t xml:space="preserve"> penal.</w:t>
      </w:r>
      <w:r>
        <w:rPr>
          <w:rStyle w:val="EndnoteReference"/>
        </w:rPr>
        <w:endnoteReference w:id="1176"/>
      </w:r>
      <w:r>
        <w:t xml:space="preserve"> Además, ha expresado su preocupación a</w:t>
      </w:r>
      <w:r w:rsidR="00FD7033">
        <w:t xml:space="preserve"> a</w:t>
      </w:r>
      <w:r>
        <w:t>l</w:t>
      </w:r>
      <w:r w:rsidR="00FD7033">
        <w:t xml:space="preserve"> menos un</w:t>
      </w:r>
      <w:r>
        <w:t xml:space="preserve"> </w:t>
      </w:r>
      <w:r w:rsidR="00FD7033">
        <w:t>E</w:t>
      </w:r>
      <w:r>
        <w:t xml:space="preserve">stado </w:t>
      </w:r>
      <w:r w:rsidR="00FD7033">
        <w:t xml:space="preserve">por </w:t>
      </w:r>
      <w:r>
        <w:t xml:space="preserve">falta de datos </w:t>
      </w:r>
      <w:r w:rsidR="00FD7033">
        <w:t xml:space="preserve">sobre </w:t>
      </w:r>
      <w:r>
        <w:t xml:space="preserve">la esterilización involuntaria y ha recomendado el </w:t>
      </w:r>
      <w:r w:rsidR="00FD7033">
        <w:t>E</w:t>
      </w:r>
      <w:r>
        <w:t xml:space="preserve">stado </w:t>
      </w:r>
      <w:r w:rsidR="00FD7033">
        <w:t>monitorear e</w:t>
      </w:r>
      <w:r>
        <w:t xml:space="preserve"> inform</w:t>
      </w:r>
      <w:r w:rsidR="00FD7033">
        <w:t>ar</w:t>
      </w:r>
      <w:r>
        <w:t xml:space="preserve"> a</w:t>
      </w:r>
      <w:r w:rsidR="00FD7033">
        <w:t>l</w:t>
      </w:r>
      <w:r>
        <w:t xml:space="preserve"> Comi</w:t>
      </w:r>
      <w:r w:rsidR="00FD7033">
        <w:t>té</w:t>
      </w:r>
      <w:r>
        <w:t xml:space="preserve"> sobre el número de esterilizaciones involuntarias.</w:t>
      </w:r>
      <w:r>
        <w:rPr>
          <w:rStyle w:val="EndnoteReference"/>
        </w:rPr>
        <w:endnoteReference w:id="1177"/>
      </w:r>
    </w:p>
    <w:p w14:paraId="01A9BAFC" w14:textId="4D165F46" w:rsidR="0049019C" w:rsidRDefault="00CD0EAF">
      <w:pPr>
        <w:pStyle w:val="Heading4"/>
      </w:pPr>
      <w:r>
        <w:t xml:space="preserve">Capacitación y </w:t>
      </w:r>
      <w:r w:rsidR="00FD7033">
        <w:t>O</w:t>
      </w:r>
      <w:r>
        <w:t>rientación</w:t>
      </w:r>
    </w:p>
    <w:p w14:paraId="5CB61BF2" w14:textId="75FC1F9A" w:rsidR="0049019C" w:rsidRDefault="00CD0EAF">
      <w:pPr>
        <w:pStyle w:val="NormalIndented"/>
      </w:pPr>
      <w:r>
        <w:t>El Comité CAT ha recomendado que el personal médico y funcionari</w:t>
      </w:r>
      <w:r w:rsidR="00FD7033">
        <w:t>a</w:t>
      </w:r>
      <w:r>
        <w:t xml:space="preserve">s </w:t>
      </w:r>
      <w:r w:rsidR="00FD7033">
        <w:t xml:space="preserve">y funcionarios sean </w:t>
      </w:r>
      <w:r>
        <w:t xml:space="preserve">capacitados en cómo obtener </w:t>
      </w:r>
      <w:r w:rsidR="00FD7033">
        <w:t>el</w:t>
      </w:r>
      <w:r>
        <w:t xml:space="preserve"> consentimiento </w:t>
      </w:r>
      <w:r w:rsidR="00FD7033">
        <w:t xml:space="preserve">libre e </w:t>
      </w:r>
      <w:r>
        <w:t>informado para esterilización,</w:t>
      </w:r>
      <w:r>
        <w:rPr>
          <w:rStyle w:val="EndnoteReference"/>
        </w:rPr>
        <w:endnoteReference w:id="1178"/>
      </w:r>
      <w:r>
        <w:t xml:space="preserve"> así como sobre su posible responsabilidad penal </w:t>
      </w:r>
      <w:r w:rsidR="00FD7033">
        <w:t xml:space="preserve">por </w:t>
      </w:r>
      <w:r>
        <w:t>la realización de esterilizaciones involuntarias.</w:t>
      </w:r>
      <w:r>
        <w:rPr>
          <w:rStyle w:val="EndnoteReference"/>
        </w:rPr>
        <w:endnoteReference w:id="1179"/>
      </w:r>
      <w:r>
        <w:t xml:space="preserve"> También ha recomendado </w:t>
      </w:r>
      <w:r w:rsidR="00FD7033">
        <w:t xml:space="preserve">a </w:t>
      </w:r>
      <w:r>
        <w:t xml:space="preserve">al menos un </w:t>
      </w:r>
      <w:r w:rsidR="00FD7033">
        <w:t>E</w:t>
      </w:r>
      <w:r>
        <w:t>stado emitir directrices sobre esterilización.</w:t>
      </w:r>
      <w:r>
        <w:rPr>
          <w:rStyle w:val="EndnoteReference"/>
        </w:rPr>
        <w:endnoteReference w:id="1180"/>
      </w:r>
      <w:r>
        <w:t xml:space="preserve"> Además, </w:t>
      </w:r>
      <w:r w:rsidR="00FD7033">
        <w:t>ha</w:t>
      </w:r>
      <w:r>
        <w:t xml:space="preserve"> recomenda</w:t>
      </w:r>
      <w:r w:rsidR="00FD7033">
        <w:t>do</w:t>
      </w:r>
      <w:r>
        <w:t xml:space="preserve"> </w:t>
      </w:r>
      <w:r w:rsidR="00FD7033">
        <w:t>a</w:t>
      </w:r>
      <w:r w:rsidR="00AC290D">
        <w:t xml:space="preserve"> </w:t>
      </w:r>
      <w:r>
        <w:t>al menos dos Estados proporciona</w:t>
      </w:r>
      <w:r w:rsidR="00FD7033">
        <w:t>r</w:t>
      </w:r>
      <w:r>
        <w:t xml:space="preserve"> materiales escritos acerca de la esterilización que se</w:t>
      </w:r>
      <w:r w:rsidR="00FD7033">
        <w:t>an</w:t>
      </w:r>
      <w:r>
        <w:t xml:space="preserve"> traduc</w:t>
      </w:r>
      <w:r w:rsidR="00FD7033">
        <w:t>idos</w:t>
      </w:r>
      <w:r>
        <w:t xml:space="preserve"> a los idiomas </w:t>
      </w:r>
      <w:r w:rsidR="00FD7033">
        <w:t xml:space="preserve">relevantes </w:t>
      </w:r>
      <w:r>
        <w:t>para asegurar que sean accesibles.</w:t>
      </w:r>
      <w:r>
        <w:rPr>
          <w:rStyle w:val="EndnoteReference"/>
        </w:rPr>
        <w:endnoteReference w:id="1181"/>
      </w:r>
    </w:p>
    <w:p w14:paraId="2B4D165A" w14:textId="2BDA1208" w:rsidR="0049019C" w:rsidRDefault="00CD0EAF">
      <w:pPr>
        <w:pStyle w:val="Heading4"/>
      </w:pPr>
      <w:r>
        <w:t>Re</w:t>
      </w:r>
      <w:r w:rsidR="00FD7033">
        <w:t>curs</w:t>
      </w:r>
      <w:r>
        <w:t xml:space="preserve">os y </w:t>
      </w:r>
      <w:r w:rsidR="00FD7033">
        <w:t>Reparaciones</w:t>
      </w:r>
    </w:p>
    <w:p w14:paraId="2CAB7AEE" w14:textId="2B753CED" w:rsidR="0049019C" w:rsidRDefault="00CD0EAF">
      <w:pPr>
        <w:pStyle w:val="NormalIndented"/>
      </w:pPr>
      <w:r>
        <w:t>El Comité CAT ha expresado preocupación por la falta de medidas de reparación para las víctimas de esterilización forzada o bajo coacción</w:t>
      </w:r>
      <w:r>
        <w:rPr>
          <w:rStyle w:val="EndnoteReference"/>
        </w:rPr>
        <w:endnoteReference w:id="1182"/>
      </w:r>
      <w:r>
        <w:t xml:space="preserve"> y recomend</w:t>
      </w:r>
      <w:r w:rsidR="00FD7033">
        <w:t>ó</w:t>
      </w:r>
      <w:r>
        <w:t xml:space="preserve"> que los Estados garanti</w:t>
      </w:r>
      <w:r w:rsidR="00FD7033">
        <w:t>cen</w:t>
      </w:r>
      <w:r>
        <w:t xml:space="preserve"> que las víctimas reciban reparación justa y adecuada,</w:t>
      </w:r>
      <w:r>
        <w:rPr>
          <w:rStyle w:val="EndnoteReference"/>
        </w:rPr>
        <w:endnoteReference w:id="1183"/>
      </w:r>
      <w:r>
        <w:t xml:space="preserve"> </w:t>
      </w:r>
      <w:r w:rsidR="00FD7033">
        <w:t xml:space="preserve">incluyendo </w:t>
      </w:r>
      <w:r>
        <w:t>compensación.</w:t>
      </w:r>
      <w:r>
        <w:rPr>
          <w:rStyle w:val="EndnoteReference"/>
        </w:rPr>
        <w:endnoteReference w:id="1184"/>
      </w:r>
      <w:r>
        <w:t xml:space="preserve"> También se </w:t>
      </w:r>
      <w:r w:rsidR="00FD7033">
        <w:t xml:space="preserve">ha </w:t>
      </w:r>
      <w:r>
        <w:t>recomenda</w:t>
      </w:r>
      <w:r w:rsidR="00FD7033">
        <w:t>do</w:t>
      </w:r>
      <w:r>
        <w:t xml:space="preserve"> </w:t>
      </w:r>
      <w:r w:rsidR="00FD7033">
        <w:t>a</w:t>
      </w:r>
      <w:r>
        <w:t xml:space="preserve"> al menos un </w:t>
      </w:r>
      <w:r w:rsidR="00FD7033">
        <w:t>E</w:t>
      </w:r>
      <w:r>
        <w:t>stado extend</w:t>
      </w:r>
      <w:r w:rsidR="00FD7033">
        <w:t>er</w:t>
      </w:r>
      <w:r>
        <w:t xml:space="preserve"> el tiempo asignado para presentar reclamos </w:t>
      </w:r>
      <w:r w:rsidR="00FD7033">
        <w:t xml:space="preserve">por </w:t>
      </w:r>
      <w:r>
        <w:t>la esterilización forzada o bajo coacción y que la destrucción de los registros médicos no debe</w:t>
      </w:r>
      <w:r w:rsidR="00FD7033">
        <w:t>ría</w:t>
      </w:r>
      <w:r>
        <w:t xml:space="preserve"> ocurrir antes de un plazo determinado por ley.</w:t>
      </w:r>
      <w:r>
        <w:rPr>
          <w:rStyle w:val="EndnoteReference"/>
        </w:rPr>
        <w:endnoteReference w:id="1185"/>
      </w:r>
      <w:r>
        <w:t xml:space="preserve"> </w:t>
      </w:r>
    </w:p>
    <w:p w14:paraId="5E087C0B" w14:textId="78150C15" w:rsidR="0049019C" w:rsidRPr="004B2C96" w:rsidRDefault="00CD0EAF" w:rsidP="00515135">
      <w:pPr>
        <w:pStyle w:val="Heading2"/>
        <w:rPr>
          <w:b w:val="0"/>
        </w:rPr>
      </w:pPr>
      <w:bookmarkStart w:id="87" w:name="_Toc5974934"/>
      <w:r w:rsidRPr="004B2C96">
        <w:rPr>
          <w:b w:val="0"/>
        </w:rPr>
        <w:t>Denuncias Individuales</w:t>
      </w:r>
      <w:bookmarkEnd w:id="87"/>
    </w:p>
    <w:p w14:paraId="35BC3D2B" w14:textId="11294318" w:rsidR="0049019C" w:rsidRDefault="00D74833">
      <w:r>
        <w:t>Hasta</w:t>
      </w:r>
      <w:r w:rsidR="00CD0EAF">
        <w:t xml:space="preserve"> </w:t>
      </w:r>
      <w:r w:rsidR="00FD7033">
        <w:t>J</w:t>
      </w:r>
      <w:r w:rsidR="00CD0EAF">
        <w:t>unio de 2017, el Comité CAT no ha emitido decisiones sobre quejas individuales relacionad</w:t>
      </w:r>
      <w:r w:rsidR="005D5673">
        <w:t>a</w:t>
      </w:r>
      <w:r w:rsidR="00CD0EAF">
        <w:t xml:space="preserve">s con </w:t>
      </w:r>
      <w:r w:rsidR="005D5673">
        <w:t xml:space="preserve">los derechos y </w:t>
      </w:r>
      <w:r w:rsidR="00CD0EAF">
        <w:t xml:space="preserve">la </w:t>
      </w:r>
      <w:r w:rsidR="005D5673">
        <w:t xml:space="preserve">salud </w:t>
      </w:r>
      <w:r w:rsidR="00CD0EAF">
        <w:t>sexual y reproductiva.</w:t>
      </w:r>
    </w:p>
    <w:p w14:paraId="7B62612C" w14:textId="1B24E068" w:rsidR="0049019C" w:rsidRPr="004B2C96" w:rsidRDefault="005D5673" w:rsidP="00515135">
      <w:pPr>
        <w:pStyle w:val="Heading2"/>
        <w:rPr>
          <w:b w:val="0"/>
        </w:rPr>
      </w:pPr>
      <w:bookmarkStart w:id="88" w:name="_Toc5974935"/>
      <w:r w:rsidRPr="004B2C96">
        <w:rPr>
          <w:b w:val="0"/>
        </w:rPr>
        <w:t>Vacío</w:t>
      </w:r>
      <w:r w:rsidR="00CD0EAF" w:rsidRPr="004B2C96">
        <w:rPr>
          <w:b w:val="0"/>
        </w:rPr>
        <w:t>s en l</w:t>
      </w:r>
      <w:r w:rsidRPr="004B2C96">
        <w:rPr>
          <w:b w:val="0"/>
        </w:rPr>
        <w:t>o</w:t>
      </w:r>
      <w:r w:rsidR="00CD0EAF" w:rsidRPr="004B2C96">
        <w:rPr>
          <w:b w:val="0"/>
        </w:rPr>
        <w:t xml:space="preserve">s </w:t>
      </w:r>
      <w:r w:rsidR="002166B8" w:rsidRPr="004B2C96">
        <w:rPr>
          <w:b w:val="0"/>
        </w:rPr>
        <w:t>E</w:t>
      </w:r>
      <w:r w:rsidRPr="004B2C96">
        <w:rPr>
          <w:b w:val="0"/>
        </w:rPr>
        <w:t>stándares</w:t>
      </w:r>
      <w:bookmarkEnd w:id="88"/>
    </w:p>
    <w:p w14:paraId="3BBCD741" w14:textId="1A7D1890" w:rsidR="0049019C" w:rsidRDefault="005D5673">
      <w:r>
        <w:t xml:space="preserve">El </w:t>
      </w:r>
      <w:r w:rsidR="00CD0EAF">
        <w:t xml:space="preserve">Comité CAT se centra con frecuencia en los servicios de salud sexual y reproductiva como medio para abordar la violencia contra las mujeres y las niñas, en lugar de en el sufrimiento físico y mental </w:t>
      </w:r>
      <w:r>
        <w:t xml:space="preserve">que </w:t>
      </w:r>
      <w:r w:rsidR="00CD0EAF">
        <w:t xml:space="preserve">pueden enfrentar las mujeres y las niñas </w:t>
      </w:r>
      <w:r>
        <w:t xml:space="preserve">cuando se les </w:t>
      </w:r>
      <w:r w:rsidR="00CD0EAF">
        <w:t>n</w:t>
      </w:r>
      <w:r>
        <w:t>iega</w:t>
      </w:r>
      <w:r w:rsidR="00CD0EAF">
        <w:t xml:space="preserve"> la </w:t>
      </w:r>
      <w:r w:rsidR="00165D4C">
        <w:t>autonomía sexual y reproductiva</w:t>
      </w:r>
      <w:r w:rsidR="00CD0EAF">
        <w:t xml:space="preserve">. Fuera </w:t>
      </w:r>
      <w:r>
        <w:t xml:space="preserve">de </w:t>
      </w:r>
      <w:r w:rsidR="00CD0EAF">
        <w:t xml:space="preserve">la violencia de género, el Comité ha reconocido solamente en el contexto de recientes observaciones </w:t>
      </w:r>
      <w:r>
        <w:t xml:space="preserve">generales </w:t>
      </w:r>
      <w:r w:rsidR="00CD0EAF">
        <w:t xml:space="preserve">sobre procedimientos médicos forzados para </w:t>
      </w:r>
      <w:r>
        <w:t xml:space="preserve">personas </w:t>
      </w:r>
      <w:r w:rsidR="00CD0EAF">
        <w:t xml:space="preserve">intersexuales que violaciones de la integridad física combinadas con </w:t>
      </w:r>
      <w:r>
        <w:t xml:space="preserve">privaciones </w:t>
      </w:r>
      <w:r w:rsidR="00CD0EAF">
        <w:t xml:space="preserve">de autonomía </w:t>
      </w:r>
      <w:r>
        <w:t xml:space="preserve">de sí mismos </w:t>
      </w:r>
      <w:r w:rsidR="00CD0EAF">
        <w:t>p</w:t>
      </w:r>
      <w:r>
        <w:t>ueden</w:t>
      </w:r>
      <w:r w:rsidR="00CD0EAF">
        <w:t xml:space="preserve"> causar dolor físico o mental y sufrimiento que s</w:t>
      </w:r>
      <w:r>
        <w:t>on</w:t>
      </w:r>
      <w:r w:rsidR="00CD0EAF">
        <w:t xml:space="preserve"> violaciones de la Convención.</w:t>
      </w:r>
    </w:p>
    <w:p w14:paraId="408BB338" w14:textId="205AF0D6" w:rsidR="0049019C" w:rsidRDefault="00CD0EAF">
      <w:r>
        <w:t>Usando este marco, el Comité CAT podría más cons</w:t>
      </w:r>
      <w:r w:rsidR="005D5673">
        <w:t>is</w:t>
      </w:r>
      <w:r>
        <w:t>t</w:t>
      </w:r>
      <w:r w:rsidR="005D5673">
        <w:t>e</w:t>
      </w:r>
      <w:r>
        <w:t xml:space="preserve">ntemente hablar </w:t>
      </w:r>
      <w:r w:rsidR="005D5673">
        <w:t>d</w:t>
      </w:r>
      <w:r>
        <w:t xml:space="preserve">el dolor y sufrimiento </w:t>
      </w:r>
      <w:r w:rsidR="005D5673">
        <w:t xml:space="preserve">que </w:t>
      </w:r>
      <w:r>
        <w:t>las mujeres y niñas con discapacidad experi</w:t>
      </w:r>
      <w:r w:rsidR="005D5673">
        <w:t>mentan</w:t>
      </w:r>
      <w:r>
        <w:t xml:space="preserve"> cuando se les niega la autonomía sexual y reproductiva, no sólo en el contexto de </w:t>
      </w:r>
      <w:r w:rsidR="005D5673">
        <w:t xml:space="preserve">procedimientos forzados sobre </w:t>
      </w:r>
      <w:r>
        <w:t xml:space="preserve">la salud reproductiva, sino también cuando se les niega servicios de salud reproductiva debido a los estereotipos o las barreras al acceso a los servicios o información. </w:t>
      </w:r>
      <w:r w:rsidR="005D5673">
        <w:t>La denegación de s</w:t>
      </w:r>
      <w:r>
        <w:t>ervicios de la salud reproductiva para las mujeres con discapacidad</w:t>
      </w:r>
      <w:r w:rsidR="005D5673">
        <w:t xml:space="preserve"> —</w:t>
      </w:r>
      <w:r>
        <w:t xml:space="preserve"> incluyendo </w:t>
      </w:r>
      <w:r w:rsidR="005D5673">
        <w:t xml:space="preserve">la anticoncepción voluntaria, el aborto y </w:t>
      </w:r>
      <w:r>
        <w:t>la atención de salud materna — puede tener un profundo impacto sobre su integridad corporal, ya que puede colocarl</w:t>
      </w:r>
      <w:r w:rsidR="005D5673">
        <w:t>a</w:t>
      </w:r>
      <w:r>
        <w:t xml:space="preserve">s en un mayor riesgo de embarazos no deseados o </w:t>
      </w:r>
      <w:r w:rsidR="005D5673">
        <w:t xml:space="preserve">mayor </w:t>
      </w:r>
      <w:r>
        <w:t xml:space="preserve">riesgo de mortalidad materna. Además, porque las mujeres y las niñas con discapacidad enfrentan tasas más altas de violencia sexual, las barreras al acceso </w:t>
      </w:r>
      <w:r w:rsidR="005D5673">
        <w:t xml:space="preserve">de la atención esencial de la salud </w:t>
      </w:r>
      <w:r>
        <w:t xml:space="preserve">sexual y reproductiva, incluyendo el cuidado profiláctico para prevenir embarazos no deseados o ITS, llevan riesgos adicionales a </w:t>
      </w:r>
      <w:r w:rsidR="005D5673">
        <w:t xml:space="preserve">la </w:t>
      </w:r>
      <w:r>
        <w:t xml:space="preserve">salud mental y la integridad corporal. </w:t>
      </w:r>
    </w:p>
    <w:p w14:paraId="57934EA7" w14:textId="77777777" w:rsidR="0049019C" w:rsidRDefault="00CD0EAF">
      <w:pPr>
        <w:jc w:val="left"/>
      </w:pPr>
      <w:r>
        <w:br w:type="page"/>
      </w:r>
    </w:p>
    <w:p w14:paraId="0472A3B5" w14:textId="08269469" w:rsidR="0049019C" w:rsidRDefault="00CD0EAF" w:rsidP="0052428A">
      <w:pPr>
        <w:pStyle w:val="Heading1"/>
      </w:pPr>
      <w:bookmarkStart w:id="89" w:name="_Comité_para_la"/>
      <w:bookmarkStart w:id="90" w:name="_Toc5974936"/>
      <w:bookmarkStart w:id="91" w:name="CERD"/>
      <w:bookmarkEnd w:id="89"/>
      <w:r>
        <w:lastRenderedPageBreak/>
        <w:t xml:space="preserve">Comité para la </w:t>
      </w:r>
      <w:r w:rsidR="008B1F9C">
        <w:t>E</w:t>
      </w:r>
      <w:r>
        <w:t>liminación de la Discriminación Racial</w:t>
      </w:r>
      <w:bookmarkEnd w:id="90"/>
      <w:r>
        <w:t xml:space="preserve"> </w:t>
      </w:r>
      <w:bookmarkEnd w:id="91"/>
    </w:p>
    <w:p w14:paraId="2AD7BEB4" w14:textId="4520F196" w:rsidR="0049019C" w:rsidRDefault="00CD0EAF">
      <w:r>
        <w:t xml:space="preserve">El Comité </w:t>
      </w:r>
      <w:r w:rsidR="00FC7A8F">
        <w:t>para</w:t>
      </w:r>
      <w:r>
        <w:t xml:space="preserve"> la </w:t>
      </w:r>
      <w:r w:rsidR="00FC7A8F">
        <w:t>E</w:t>
      </w:r>
      <w:r>
        <w:t>liminación de la Discriminación Racial (Comité</w:t>
      </w:r>
      <w:r w:rsidR="00FC7A8F" w:rsidRPr="00FC7A8F">
        <w:t xml:space="preserve"> </w:t>
      </w:r>
      <w:r w:rsidR="00FC7A8F">
        <w:t>CERD</w:t>
      </w:r>
      <w:r>
        <w:t xml:space="preserve">) </w:t>
      </w:r>
      <w:r w:rsidR="00FC7A8F">
        <w:t>supervis</w:t>
      </w:r>
      <w:r>
        <w:t xml:space="preserve">a la </w:t>
      </w:r>
      <w:r w:rsidR="00FC7A8F">
        <w:t xml:space="preserve">implementación </w:t>
      </w:r>
      <w:r>
        <w:t>de</w:t>
      </w:r>
      <w:r w:rsidR="00FC7A8F">
        <w:t xml:space="preserve"> </w:t>
      </w:r>
      <w:r>
        <w:t>l</w:t>
      </w:r>
      <w:r w:rsidR="00FC7A8F">
        <w:t>os</w:t>
      </w:r>
      <w:r>
        <w:t xml:space="preserve"> </w:t>
      </w:r>
      <w:r w:rsidR="00FC7A8F">
        <w:t>E</w:t>
      </w:r>
      <w:r>
        <w:t xml:space="preserve">stado de la Convención sobre la </w:t>
      </w:r>
      <w:r w:rsidR="00FC7A8F">
        <w:t>E</w:t>
      </w:r>
      <w:r>
        <w:t xml:space="preserve">liminación de todas las </w:t>
      </w:r>
      <w:r w:rsidR="00FC7A8F">
        <w:t>F</w:t>
      </w:r>
      <w:r>
        <w:t xml:space="preserve">ormas de </w:t>
      </w:r>
      <w:r w:rsidR="005374B8">
        <w:t>D</w:t>
      </w:r>
      <w:r>
        <w:t xml:space="preserve">iscriminación </w:t>
      </w:r>
      <w:r w:rsidR="00FC7A8F">
        <w:t>R</w:t>
      </w:r>
      <w:r>
        <w:t>acial</w:t>
      </w:r>
      <w:r w:rsidR="00FC7A8F">
        <w:t xml:space="preserve"> (CERD</w:t>
      </w:r>
      <w:r>
        <w:t xml:space="preserve">). A través de sus </w:t>
      </w:r>
      <w:r w:rsidR="00FC7A8F">
        <w:t>R</w:t>
      </w:r>
      <w:r>
        <w:t xml:space="preserve">ecomendaciones </w:t>
      </w:r>
      <w:r w:rsidR="00FC7A8F">
        <w:t>G</w:t>
      </w:r>
      <w:r>
        <w:t xml:space="preserve">enerales y </w:t>
      </w:r>
      <w:r w:rsidR="00FC7A8F">
        <w:t>O</w:t>
      </w:r>
      <w:r>
        <w:t xml:space="preserve">bservaciones </w:t>
      </w:r>
      <w:r w:rsidR="00FC7A8F">
        <w:t>F</w:t>
      </w:r>
      <w:r>
        <w:t xml:space="preserve">inales, el Comité CERD ha encontrado que, </w:t>
      </w:r>
      <w:r w:rsidR="00FC7A8F">
        <w:t>bajo</w:t>
      </w:r>
      <w:r>
        <w:t xml:space="preserve"> el </w:t>
      </w:r>
      <w:r w:rsidR="00FC7A8F">
        <w:t>A</w:t>
      </w:r>
      <w:r>
        <w:t xml:space="preserve">rtículo 5 (derecho a la no discriminación basada en raza, color u origen nacional o étnico, </w:t>
      </w:r>
      <w:r w:rsidR="00FC7A8F">
        <w:t>inlcuyendo</w:t>
      </w:r>
      <w:r>
        <w:t xml:space="preserve"> la atención médica), los Estados tienen la obligación </w:t>
      </w:r>
      <w:r w:rsidR="00FC7A8F">
        <w:t xml:space="preserve">de asegurar </w:t>
      </w:r>
      <w:r>
        <w:t xml:space="preserve">resultados </w:t>
      </w:r>
      <w:r w:rsidR="00FC7A8F">
        <w:t xml:space="preserve">iguales </w:t>
      </w:r>
      <w:r>
        <w:t>de salud para todas las mujeres y protegerl</w:t>
      </w:r>
      <w:r w:rsidR="00FC7A8F">
        <w:t>a</w:t>
      </w:r>
      <w:r>
        <w:t>s de las intervenciones de salud reproductiva forzada</w:t>
      </w:r>
      <w:r w:rsidR="00FC7A8F">
        <w:t>s</w:t>
      </w:r>
      <w:r>
        <w:t xml:space="preserve"> o bajo coacción.</w:t>
      </w:r>
    </w:p>
    <w:p w14:paraId="076DC6D0" w14:textId="777CF283" w:rsidR="0049019C" w:rsidRPr="004B2C96" w:rsidRDefault="00FC7A8F" w:rsidP="00515135">
      <w:pPr>
        <w:pStyle w:val="Heading2"/>
        <w:rPr>
          <w:b w:val="0"/>
        </w:rPr>
      </w:pPr>
      <w:bookmarkStart w:id="92" w:name="_Toc5974937"/>
      <w:r w:rsidRPr="004B2C96">
        <w:rPr>
          <w:b w:val="0"/>
        </w:rPr>
        <w:t>Recomendaciones G</w:t>
      </w:r>
      <w:r w:rsidR="00CD0EAF" w:rsidRPr="004B2C96">
        <w:rPr>
          <w:b w:val="0"/>
        </w:rPr>
        <w:t>enerales</w:t>
      </w:r>
      <w:bookmarkEnd w:id="92"/>
    </w:p>
    <w:p w14:paraId="16C1B274" w14:textId="7CFBBA9F" w:rsidR="0049019C" w:rsidRPr="00440206" w:rsidRDefault="00CD0EAF" w:rsidP="00753A59">
      <w:pPr>
        <w:pStyle w:val="Heading3GeneralComments"/>
      </w:pPr>
      <w:r w:rsidRPr="00440206">
        <w:t xml:space="preserve">Recomendación </w:t>
      </w:r>
      <w:r w:rsidR="00FC7A8F" w:rsidRPr="00440206">
        <w:t>G</w:t>
      </w:r>
      <w:r w:rsidRPr="00440206">
        <w:t xml:space="preserve">eneral </w:t>
      </w:r>
      <w:r w:rsidR="00FC7A8F" w:rsidRPr="00440206">
        <w:t>N</w:t>
      </w:r>
      <w:r w:rsidRPr="00440206">
        <w:t xml:space="preserve">o. 25 </w:t>
      </w:r>
      <w:r w:rsidR="005374B8" w:rsidRPr="00440206">
        <w:t>relativa a las</w:t>
      </w:r>
      <w:r w:rsidRPr="00440206">
        <w:t xml:space="preserve"> </w:t>
      </w:r>
      <w:r w:rsidR="001705E8" w:rsidRPr="00440206">
        <w:t xml:space="preserve">dimensiones de la discriminación racial </w:t>
      </w:r>
      <w:r w:rsidRPr="00440206">
        <w:t>relacionad</w:t>
      </w:r>
      <w:r w:rsidR="001705E8" w:rsidRPr="00440206">
        <w:t>a</w:t>
      </w:r>
      <w:r w:rsidRPr="00440206">
        <w:t>s con el género (2000)</w:t>
      </w:r>
    </w:p>
    <w:p w14:paraId="1D075006" w14:textId="4BAF15C8" w:rsidR="0049019C" w:rsidRDefault="00CD0EAF" w:rsidP="001261E1">
      <w:pPr>
        <w:pStyle w:val="indentedafterbulletp"/>
      </w:pPr>
      <w:r>
        <w:t>En su Recomendación General N</w:t>
      </w:r>
      <w:r w:rsidR="009149EC">
        <w:t>o.</w:t>
      </w:r>
      <w:r>
        <w:t xml:space="preserve"> 25, el Comité CERD reconoce que algunas formas de discriminación racial, tales como la esterilización forzada de las mujeres indígenas, se pueden dirigir específicamente hacia las mujeres debido a su género.</w:t>
      </w:r>
      <w:r>
        <w:rPr>
          <w:rStyle w:val="EndnoteReference"/>
        </w:rPr>
        <w:endnoteReference w:id="1186"/>
      </w:r>
      <w:r>
        <w:t xml:space="preserve"> También reconoce que la discriminación racial puede tener consecuencias que afectan principalmente a las mujeres, destacando en particular los embarazos resultantes de violación </w:t>
      </w:r>
      <w:r w:rsidR="001705E8">
        <w:t xml:space="preserve">motivada por la </w:t>
      </w:r>
      <w:r>
        <w:t>ra</w:t>
      </w:r>
      <w:r w:rsidR="001705E8">
        <w:t>za</w:t>
      </w:r>
      <w:r>
        <w:t>.</w:t>
      </w:r>
      <w:r>
        <w:rPr>
          <w:rStyle w:val="EndnoteReference"/>
        </w:rPr>
        <w:endnoteReference w:id="1187"/>
      </w:r>
    </w:p>
    <w:p w14:paraId="56FEA828" w14:textId="11D64A8D" w:rsidR="0049019C" w:rsidRPr="005374B8" w:rsidRDefault="00CD0EAF" w:rsidP="00753A59">
      <w:pPr>
        <w:pStyle w:val="Heading3GeneralComments"/>
      </w:pPr>
      <w:r w:rsidRPr="005374B8">
        <w:t xml:space="preserve">Recomendación </w:t>
      </w:r>
      <w:r w:rsidR="001705E8" w:rsidRPr="005374B8">
        <w:t>G</w:t>
      </w:r>
      <w:r w:rsidRPr="005374B8">
        <w:t xml:space="preserve">eneral </w:t>
      </w:r>
      <w:r w:rsidR="001705E8" w:rsidRPr="005374B8">
        <w:t>N</w:t>
      </w:r>
      <w:r w:rsidRPr="005374B8">
        <w:t xml:space="preserve">o. 27 </w:t>
      </w:r>
      <w:r w:rsidR="005374B8">
        <w:t>relativa a la</w:t>
      </w:r>
      <w:r w:rsidRPr="005374B8">
        <w:t xml:space="preserve"> discriminación </w:t>
      </w:r>
      <w:r w:rsidR="005374B8">
        <w:t>de</w:t>
      </w:r>
      <w:r w:rsidRPr="005374B8">
        <w:t xml:space="preserve"> los romaníes (2000)</w:t>
      </w:r>
    </w:p>
    <w:p w14:paraId="3FD4A7A2" w14:textId="34F56876" w:rsidR="0049019C" w:rsidRDefault="00CD0EAF" w:rsidP="001261E1">
      <w:pPr>
        <w:pStyle w:val="indentedafterbulletp"/>
      </w:pPr>
      <w:r>
        <w:t xml:space="preserve">En su Recomendación General </w:t>
      </w:r>
      <w:r w:rsidR="001705E8">
        <w:t>N</w:t>
      </w:r>
      <w:r>
        <w:t xml:space="preserve">o. 27, aunque el Comité CERD no menciona específicamente la esterilización </w:t>
      </w:r>
      <w:r w:rsidR="001705E8">
        <w:t xml:space="preserve">forzada y </w:t>
      </w:r>
      <w:r w:rsidR="001705E8" w:rsidRPr="001261E1">
        <w:t>coaccionada</w:t>
      </w:r>
      <w:r w:rsidR="001705E8">
        <w:t xml:space="preserve"> </w:t>
      </w:r>
      <w:r>
        <w:t>de mujeres</w:t>
      </w:r>
      <w:r w:rsidR="001705E8">
        <w:t xml:space="preserve"> romaníes</w:t>
      </w:r>
      <w:r>
        <w:t xml:space="preserve">, pide a los Estados para que </w:t>
      </w:r>
      <w:r w:rsidR="001705E8">
        <w:t>los r</w:t>
      </w:r>
      <w:r>
        <w:t>oma</w:t>
      </w:r>
      <w:r w:rsidR="001705E8">
        <w:t>níes</w:t>
      </w:r>
      <w:r>
        <w:t xml:space="preserve"> tenga</w:t>
      </w:r>
      <w:r w:rsidR="001705E8">
        <w:t>n</w:t>
      </w:r>
      <w:r>
        <w:t xml:space="preserve"> "igualdad de acceso a los servicios de salud y seguridad social y elimin</w:t>
      </w:r>
      <w:r w:rsidR="001705E8">
        <w:t xml:space="preserve">e </w:t>
      </w:r>
      <w:r>
        <w:t>cualquier discriminación contra ell</w:t>
      </w:r>
      <w:r w:rsidR="001705E8">
        <w:t>a</w:t>
      </w:r>
      <w:r>
        <w:t>s en este campo."</w:t>
      </w:r>
      <w:r>
        <w:rPr>
          <w:rStyle w:val="EndnoteReference"/>
          <w:rFonts w:cs="Times New Roman"/>
        </w:rPr>
        <w:endnoteReference w:id="1188"/>
      </w:r>
      <w:r>
        <w:t xml:space="preserve"> </w:t>
      </w:r>
    </w:p>
    <w:p w14:paraId="11C7279D" w14:textId="583ADD84" w:rsidR="0049019C" w:rsidRPr="004B2C96" w:rsidRDefault="00CD0EAF" w:rsidP="00515135">
      <w:pPr>
        <w:pStyle w:val="Heading2"/>
        <w:rPr>
          <w:b w:val="0"/>
        </w:rPr>
      </w:pPr>
      <w:bookmarkStart w:id="93" w:name="_Toc5974938"/>
      <w:r w:rsidRPr="004B2C96">
        <w:rPr>
          <w:b w:val="0"/>
        </w:rPr>
        <w:t xml:space="preserve">Observaciones </w:t>
      </w:r>
      <w:r w:rsidR="001705E8" w:rsidRPr="004B2C96">
        <w:rPr>
          <w:b w:val="0"/>
        </w:rPr>
        <w:t>F</w:t>
      </w:r>
      <w:r w:rsidRPr="004B2C96">
        <w:rPr>
          <w:b w:val="0"/>
        </w:rPr>
        <w:t>inales</w:t>
      </w:r>
      <w:bookmarkEnd w:id="93"/>
    </w:p>
    <w:p w14:paraId="700DCD3D" w14:textId="1E877FC7" w:rsidR="0049019C" w:rsidRPr="004B2C96" w:rsidRDefault="00CD0EAF">
      <w:pPr>
        <w:pStyle w:val="HEADING3firstinstance"/>
      </w:pPr>
      <w:bookmarkStart w:id="94" w:name="_Toc498590744"/>
      <w:r w:rsidRPr="004B2C96">
        <w:t>acceso a los servicios de salud reproductiva</w:t>
      </w:r>
      <w:bookmarkEnd w:id="94"/>
    </w:p>
    <w:p w14:paraId="58E95353" w14:textId="15520DA8" w:rsidR="0049019C" w:rsidRDefault="00CD0EAF">
      <w:pPr>
        <w:pStyle w:val="Heading4"/>
      </w:pPr>
      <w:r>
        <w:t xml:space="preserve">Discriminación en el </w:t>
      </w:r>
      <w:r w:rsidR="001705E8">
        <w:t>A</w:t>
      </w:r>
      <w:r>
        <w:t xml:space="preserve">cceso a la </w:t>
      </w:r>
      <w:r w:rsidR="001705E8">
        <w:t>A</w:t>
      </w:r>
      <w:r>
        <w:t xml:space="preserve">tención </w:t>
      </w:r>
      <w:r w:rsidR="001705E8">
        <w:t>de la Salud</w:t>
      </w:r>
    </w:p>
    <w:p w14:paraId="356C1285" w14:textId="16E370A7" w:rsidR="0049019C" w:rsidRDefault="00CD0EAF">
      <w:pPr>
        <w:pStyle w:val="NormalIndented"/>
        <w:rPr>
          <w:rFonts w:eastAsia="Times New Roman" w:cs="Times New Roman"/>
        </w:rPr>
      </w:pPr>
      <w:r>
        <w:t xml:space="preserve">El Comité CERD comenta con frecuencia sobre las desigualdades en el acceso a los servicios de salud, incluyendo servicios de salud sexual y reproductiva para las mujeres de grupos minoritarios </w:t>
      </w:r>
      <w:r w:rsidR="00082281">
        <w:t>e</w:t>
      </w:r>
      <w:r>
        <w:t xml:space="preserve"> inmigrantes.</w:t>
      </w:r>
      <w:r>
        <w:rPr>
          <w:rStyle w:val="EndnoteReference"/>
        </w:rPr>
        <w:endnoteReference w:id="1189"/>
      </w:r>
      <w:r>
        <w:t xml:space="preserve"> Para abordar estas desigualdades, el Comité ha </w:t>
      </w:r>
      <w:r w:rsidR="00082281">
        <w:t xml:space="preserve">llamado a los </w:t>
      </w:r>
      <w:r>
        <w:t xml:space="preserve">Estados </w:t>
      </w:r>
      <w:r w:rsidR="00082281">
        <w:t xml:space="preserve">a proporcionar a los </w:t>
      </w:r>
      <w:r>
        <w:t xml:space="preserve">grupos minoritarios con servicios de salud sexual y reproductiva </w:t>
      </w:r>
      <w:r w:rsidR="00082281">
        <w:t>gratuitos o de otro modo asequibles</w:t>
      </w:r>
      <w:r>
        <w:t>, inclu</w:t>
      </w:r>
      <w:r w:rsidR="00082281">
        <w:t>yendo</w:t>
      </w:r>
      <w:r>
        <w:t xml:space="preserve"> a través de programas estatales de seguro de salud,</w:t>
      </w:r>
      <w:r>
        <w:rPr>
          <w:rStyle w:val="EndnoteReference"/>
        </w:rPr>
        <w:endnoteReference w:id="1190"/>
      </w:r>
      <w:r>
        <w:t xml:space="preserve"> para al menos un Estado garantizar recopilación de dat</w:t>
      </w:r>
      <w:r w:rsidR="00082281">
        <w:t>a</w:t>
      </w:r>
      <w:r>
        <w:t xml:space="preserve"> sobre las disparidades raciales en los resultados de salud sexual y reproductiva, incluyendo la mortalidad materna e infantil,</w:t>
      </w:r>
      <w:r>
        <w:rPr>
          <w:rStyle w:val="EndnoteReference"/>
        </w:rPr>
        <w:endnoteReference w:id="1191"/>
      </w:r>
      <w:r>
        <w:t xml:space="preserve"> para al menos un </w:t>
      </w:r>
      <w:r w:rsidR="00082281">
        <w:t>E</w:t>
      </w:r>
      <w:r>
        <w:t>stado proporcionar educación sexual,</w:t>
      </w:r>
      <w:r>
        <w:rPr>
          <w:rStyle w:val="EndnoteReference"/>
        </w:rPr>
        <w:endnoteReference w:id="1192"/>
      </w:r>
      <w:r>
        <w:t xml:space="preserve"> y para los Estados </w:t>
      </w:r>
      <w:r w:rsidR="00082281">
        <w:t>de otro modo</w:t>
      </w:r>
      <w:r>
        <w:t xml:space="preserve"> mejora</w:t>
      </w:r>
      <w:r w:rsidR="00082281">
        <w:t>r</w:t>
      </w:r>
      <w:r>
        <w:t xml:space="preserve"> la </w:t>
      </w:r>
      <w:r w:rsidR="00082281">
        <w:t xml:space="preserve">salud </w:t>
      </w:r>
      <w:r>
        <w:t>sexual y reproductiva y el acceso a servicios de salud para las mujeres de grupos minoritarios.</w:t>
      </w:r>
      <w:r>
        <w:rPr>
          <w:rStyle w:val="EndnoteReference"/>
        </w:rPr>
        <w:endnoteReference w:id="1193"/>
      </w:r>
      <w:r>
        <w:t xml:space="preserve"> </w:t>
      </w:r>
    </w:p>
    <w:p w14:paraId="7C2601D4" w14:textId="77777777" w:rsidR="0049019C" w:rsidRPr="001261E1" w:rsidRDefault="00CD0EAF" w:rsidP="001261E1">
      <w:pPr>
        <w:pStyle w:val="Heading3"/>
      </w:pPr>
      <w:bookmarkStart w:id="95" w:name="_Toc498590745"/>
      <w:r w:rsidRPr="001261E1">
        <w:t>El aborto</w:t>
      </w:r>
      <w:bookmarkEnd w:id="95"/>
    </w:p>
    <w:p w14:paraId="690A9A91" w14:textId="45662096" w:rsidR="0049019C" w:rsidRDefault="00CD0EAF">
      <w:r>
        <w:t xml:space="preserve">El Comité CERD ha </w:t>
      </w:r>
      <w:r w:rsidR="00082281">
        <w:t>comentado s</w:t>
      </w:r>
      <w:r>
        <w:t>ol</w:t>
      </w:r>
      <w:r w:rsidR="00082281">
        <w:t>o en una</w:t>
      </w:r>
      <w:r>
        <w:t xml:space="preserve"> circunstancia sobre el aborto, expresando su preocupación por las altas tasas de aborto para los grupos minoritarios en un </w:t>
      </w:r>
      <w:r w:rsidR="00082281">
        <w:t>E</w:t>
      </w:r>
      <w:r>
        <w:t>stado.</w:t>
      </w:r>
      <w:r>
        <w:rPr>
          <w:rStyle w:val="EndnoteReference"/>
        </w:rPr>
        <w:endnoteReference w:id="1194"/>
      </w:r>
      <w:r>
        <w:t xml:space="preserve"> Para resolver este problema, </w:t>
      </w:r>
      <w:r w:rsidR="00082281">
        <w:t xml:space="preserve">ha </w:t>
      </w:r>
      <w:r>
        <w:t>llama</w:t>
      </w:r>
      <w:r w:rsidR="00082281">
        <w:t>do</w:t>
      </w:r>
      <w:r>
        <w:t xml:space="preserve"> al </w:t>
      </w:r>
      <w:r w:rsidR="00082281">
        <w:t>E</w:t>
      </w:r>
      <w:r>
        <w:t>stado a proporcionar un mayor acceso a los anticonceptivos y métodos de planificación familiar, así como a la educación de la sexualidad con el fin de evitar embarazos no deseados.</w:t>
      </w:r>
      <w:r>
        <w:rPr>
          <w:rStyle w:val="EndnoteReference"/>
        </w:rPr>
        <w:endnoteReference w:id="1195"/>
      </w:r>
    </w:p>
    <w:p w14:paraId="7F527693" w14:textId="77777777" w:rsidR="00753A59" w:rsidRPr="004B2C96" w:rsidRDefault="00753A59">
      <w:pPr>
        <w:spacing w:after="0" w:line="240" w:lineRule="auto"/>
        <w:ind w:left="0" w:right="0"/>
        <w:jc w:val="left"/>
        <w:rPr>
          <w:rFonts w:ascii="Franklin Gothic Heavy" w:eastAsiaTheme="majorEastAsia" w:hAnsi="Franklin Gothic Heavy" w:cstheme="majorBidi"/>
          <w:caps/>
          <w:color w:val="7E599A"/>
          <w:spacing w:val="0"/>
          <w:sz w:val="25"/>
          <w:szCs w:val="22"/>
          <w14:ligatures w14:val="standard"/>
        </w:rPr>
      </w:pPr>
      <w:bookmarkStart w:id="96" w:name="_Toc498590746"/>
      <w:r w:rsidRPr="004B2C96">
        <w:br w:type="page"/>
      </w:r>
    </w:p>
    <w:p w14:paraId="4E0BCC56" w14:textId="14F7BE76" w:rsidR="0049019C" w:rsidRPr="004B2C96" w:rsidRDefault="00CD0EAF">
      <w:pPr>
        <w:pStyle w:val="Heading3"/>
      </w:pPr>
      <w:r w:rsidRPr="004B2C96">
        <w:lastRenderedPageBreak/>
        <w:t xml:space="preserve">Acceso a la información, bienes y servicios sobre </w:t>
      </w:r>
      <w:bookmarkEnd w:id="96"/>
      <w:r w:rsidR="00082281" w:rsidRPr="004B2C96">
        <w:t>ANTICONCEPTIVOS</w:t>
      </w:r>
    </w:p>
    <w:p w14:paraId="783116F5" w14:textId="164B0001" w:rsidR="0049019C" w:rsidRDefault="00CD0EAF">
      <w:r>
        <w:t xml:space="preserve">El Comité CERD ha recomendado </w:t>
      </w:r>
      <w:r w:rsidR="00082281">
        <w:t>a</w:t>
      </w:r>
      <w:r>
        <w:t xml:space="preserve"> al menos un </w:t>
      </w:r>
      <w:r w:rsidR="00082281">
        <w:t>E</w:t>
      </w:r>
      <w:r>
        <w:t>stado abordar las disparidades raciales en la atención de salud sexual y reproductiva facilitando el acceso a los anticonceptivos adecuados.</w:t>
      </w:r>
      <w:r>
        <w:rPr>
          <w:rStyle w:val="EndnoteReference"/>
        </w:rPr>
        <w:endnoteReference w:id="1196"/>
      </w:r>
      <w:r>
        <w:t xml:space="preserve"> En particular ha criticado al menos </w:t>
      </w:r>
      <w:r w:rsidR="00082281">
        <w:t xml:space="preserve">a </w:t>
      </w:r>
      <w:r>
        <w:t xml:space="preserve">un </w:t>
      </w:r>
      <w:r w:rsidR="00082281">
        <w:t>E</w:t>
      </w:r>
      <w:r>
        <w:t>stado p</w:t>
      </w:r>
      <w:r w:rsidR="00082281">
        <w:t>or</w:t>
      </w:r>
      <w:r>
        <w:t xml:space="preserve"> el uso de </w:t>
      </w:r>
      <w:r w:rsidR="00082281">
        <w:t xml:space="preserve">la </w:t>
      </w:r>
      <w:r>
        <w:t>esterilización como un</w:t>
      </w:r>
      <w:r w:rsidR="00082281">
        <w:t>o</w:t>
      </w:r>
      <w:r>
        <w:t xml:space="preserve"> de l</w:t>
      </w:r>
      <w:r w:rsidR="00082281">
        <w:t>o</w:t>
      </w:r>
      <w:r>
        <w:t xml:space="preserve">s principales métodos de anticoncepción para las mujeres </w:t>
      </w:r>
      <w:r w:rsidR="00082281">
        <w:t>romaníes</w:t>
      </w:r>
      <w:r>
        <w:t>, recomendando que el Estado garanti</w:t>
      </w:r>
      <w:r w:rsidR="00082281">
        <w:t>ce</w:t>
      </w:r>
      <w:r>
        <w:t xml:space="preserve"> el libre y pleno acceso a los servicios de salud sexual y reproductiva, inclu</w:t>
      </w:r>
      <w:r w:rsidR="00082281">
        <w:t>yendo</w:t>
      </w:r>
      <w:r>
        <w:t xml:space="preserve"> la anticoncepción, para </w:t>
      </w:r>
      <w:r w:rsidR="00082281">
        <w:t>aquel</w:t>
      </w:r>
      <w:r>
        <w:t>las mujeres.</w:t>
      </w:r>
      <w:r>
        <w:rPr>
          <w:rStyle w:val="EndnoteReference"/>
        </w:rPr>
        <w:endnoteReference w:id="1197"/>
      </w:r>
    </w:p>
    <w:p w14:paraId="649A929D" w14:textId="564BDC76" w:rsidR="0049019C" w:rsidRDefault="00CD0EAF">
      <w:pPr>
        <w:pStyle w:val="Heading4"/>
      </w:pPr>
      <w:r>
        <w:t xml:space="preserve">Información sobre </w:t>
      </w:r>
      <w:r w:rsidR="00082281">
        <w:t>A</w:t>
      </w:r>
      <w:r>
        <w:t>nticonceptivos</w:t>
      </w:r>
    </w:p>
    <w:p w14:paraId="6BAE4CCA" w14:textId="0EC343A7" w:rsidR="0049019C" w:rsidRDefault="00CD0EAF">
      <w:pPr>
        <w:pStyle w:val="NormalIndented"/>
      </w:pPr>
      <w:r>
        <w:t xml:space="preserve">Como un medio de garantizar el acceso a métodos anticonceptivos y para prevenir </w:t>
      </w:r>
      <w:r w:rsidR="00082281">
        <w:t>l</w:t>
      </w:r>
      <w:r>
        <w:t>a esterilización</w:t>
      </w:r>
      <w:r w:rsidR="00082281">
        <w:t xml:space="preserve"> forzada o coaccionada</w:t>
      </w:r>
      <w:r>
        <w:t xml:space="preserve">, el Comité CERD ha recomendado que al menos un </w:t>
      </w:r>
      <w:r w:rsidR="00082281">
        <w:t>E</w:t>
      </w:r>
      <w:r>
        <w:t>stado proporcio</w:t>
      </w:r>
      <w:r w:rsidR="00082281">
        <w:t>ne</w:t>
      </w:r>
      <w:r>
        <w:t xml:space="preserve"> información sobre anticonceptivos a mujer</w:t>
      </w:r>
      <w:r w:rsidR="00082281">
        <w:t>es romaníes</w:t>
      </w:r>
      <w:r>
        <w:t xml:space="preserve"> en conjunto con </w:t>
      </w:r>
      <w:r w:rsidR="00082281">
        <w:t xml:space="preserve">el </w:t>
      </w:r>
      <w:r>
        <w:t xml:space="preserve">acceso libre y completo a servicios de salud </w:t>
      </w:r>
      <w:r w:rsidR="00082281">
        <w:t xml:space="preserve">sexual y </w:t>
      </w:r>
      <w:r>
        <w:t>reproductiva.</w:t>
      </w:r>
      <w:r>
        <w:rPr>
          <w:rStyle w:val="EndnoteReference"/>
        </w:rPr>
        <w:endnoteReference w:id="1198"/>
      </w:r>
    </w:p>
    <w:p w14:paraId="4FCD9A2E" w14:textId="77777777" w:rsidR="0049019C" w:rsidRPr="004B2C96" w:rsidRDefault="00CD0EAF">
      <w:pPr>
        <w:pStyle w:val="Heading3"/>
      </w:pPr>
      <w:bookmarkStart w:id="97" w:name="_Toc498590747"/>
      <w:r w:rsidRPr="004B2C96">
        <w:t>Salud materna</w:t>
      </w:r>
      <w:bookmarkEnd w:id="97"/>
    </w:p>
    <w:p w14:paraId="36EA16AF" w14:textId="17BDF25A" w:rsidR="0049019C" w:rsidRDefault="00CD0EAF">
      <w:pPr>
        <w:pStyle w:val="Heading4"/>
      </w:pPr>
      <w:r>
        <w:t xml:space="preserve">Mortalidad </w:t>
      </w:r>
      <w:r w:rsidR="00082281">
        <w:t>M</w:t>
      </w:r>
      <w:r>
        <w:t>aterna</w:t>
      </w:r>
    </w:p>
    <w:p w14:paraId="1BD9E755" w14:textId="4FF087DC" w:rsidR="0049019C" w:rsidRDefault="00CD0EAF">
      <w:pPr>
        <w:pStyle w:val="NormalIndented"/>
      </w:pPr>
      <w:r>
        <w:t>El Comité CERD ha expresado preocupación por las altas tasas de mortalidad materna entre mujeres indígenas y minorías.</w:t>
      </w:r>
      <w:r>
        <w:rPr>
          <w:rStyle w:val="EndnoteReference"/>
        </w:rPr>
        <w:endnoteReference w:id="1199"/>
      </w:r>
      <w:r>
        <w:t xml:space="preserve"> En particular, ha expresado preocupación </w:t>
      </w:r>
      <w:r w:rsidR="00CA6EC2">
        <w:t xml:space="preserve">a </w:t>
      </w:r>
      <w:r>
        <w:t xml:space="preserve">al menos un </w:t>
      </w:r>
      <w:r w:rsidR="00CA6EC2">
        <w:t>E</w:t>
      </w:r>
      <w:r>
        <w:t xml:space="preserve">stado acerca de la falta de acceso a servicios adecuados de salud y la falta de información sobre indicadores de salud y medidas </w:t>
      </w:r>
      <w:r w:rsidR="00CA6EC2">
        <w:t xml:space="preserve">tomadas por un Estado </w:t>
      </w:r>
      <w:r>
        <w:t>para mejorar servicios de salud materna.</w:t>
      </w:r>
      <w:r>
        <w:rPr>
          <w:rStyle w:val="EndnoteReference"/>
        </w:rPr>
        <w:endnoteReference w:id="1200"/>
      </w:r>
      <w:r>
        <w:t xml:space="preserve"> </w:t>
      </w:r>
    </w:p>
    <w:p w14:paraId="324118B8" w14:textId="0C22B056" w:rsidR="0049019C" w:rsidRDefault="00CD0EAF">
      <w:pPr>
        <w:pStyle w:val="NormalIndented"/>
      </w:pPr>
      <w:r>
        <w:t xml:space="preserve">Para abordar el problema persistente de las disparidades raciales en mortalidad materna, se </w:t>
      </w:r>
      <w:r w:rsidR="00CA6EC2">
        <w:t xml:space="preserve">ha </w:t>
      </w:r>
      <w:r>
        <w:t>recomenda</w:t>
      </w:r>
      <w:r w:rsidR="00CA6EC2">
        <w:t>do</w:t>
      </w:r>
      <w:r>
        <w:t xml:space="preserve"> </w:t>
      </w:r>
      <w:r w:rsidR="00CA6EC2">
        <w:t xml:space="preserve">a </w:t>
      </w:r>
      <w:r>
        <w:t xml:space="preserve">al menos un </w:t>
      </w:r>
      <w:r w:rsidR="00CA6EC2">
        <w:t>E</w:t>
      </w:r>
      <w:r>
        <w:t xml:space="preserve">stado mejorar el acceso a atención de salud materna, incluyendo la atención obstétrica de emergencia y cuidados pre y post natal, reduciendo las barreras de la elegibilidad para acceso a seguro de salud del </w:t>
      </w:r>
      <w:r w:rsidR="00CA6EC2">
        <w:t>E</w:t>
      </w:r>
      <w:r>
        <w:t>stado.</w:t>
      </w:r>
      <w:r>
        <w:rPr>
          <w:rStyle w:val="EndnoteReference"/>
        </w:rPr>
        <w:endnoteReference w:id="1201"/>
      </w:r>
      <w:r>
        <w:t xml:space="preserve"> También se </w:t>
      </w:r>
      <w:r w:rsidR="00CA6EC2">
        <w:t xml:space="preserve">ha </w:t>
      </w:r>
      <w:r>
        <w:t>recomenda</w:t>
      </w:r>
      <w:r w:rsidR="00CA6EC2">
        <w:t>do</w:t>
      </w:r>
      <w:r>
        <w:t xml:space="preserve"> </w:t>
      </w:r>
      <w:r w:rsidR="00CA6EC2">
        <w:t xml:space="preserve">a </w:t>
      </w:r>
      <w:r>
        <w:t xml:space="preserve">al menos un </w:t>
      </w:r>
      <w:r w:rsidR="00CA6EC2">
        <w:t>E</w:t>
      </w:r>
      <w:r>
        <w:t xml:space="preserve">stado mejorar y estandarizar la recopilación de datos en sus regiones sobre la mortalidad materna para identificar y abordar las causas de estas disparidades y mejorar los mecanismos de rendición de cuentas de la mortalidad materna evitable, incluyendo asegurar que comités de </w:t>
      </w:r>
      <w:r w:rsidR="00CA6EC2">
        <w:t xml:space="preserve">supervisión de </w:t>
      </w:r>
      <w:r>
        <w:t>nivel regional tienen suficiente financiamiento y capacidad.</w:t>
      </w:r>
      <w:r>
        <w:rPr>
          <w:rStyle w:val="EndnoteReference"/>
        </w:rPr>
        <w:endnoteReference w:id="1202"/>
      </w:r>
      <w:r>
        <w:t xml:space="preserve"> También </w:t>
      </w:r>
      <w:r w:rsidR="00CA6EC2">
        <w:t xml:space="preserve">ha </w:t>
      </w:r>
      <w:r>
        <w:t>recomenda</w:t>
      </w:r>
      <w:r w:rsidR="00CA6EC2">
        <w:t>do</w:t>
      </w:r>
      <w:r>
        <w:t xml:space="preserve"> </w:t>
      </w:r>
      <w:r w:rsidR="00CA6EC2">
        <w:t xml:space="preserve">a </w:t>
      </w:r>
      <w:r>
        <w:t xml:space="preserve">al menos un </w:t>
      </w:r>
      <w:r w:rsidR="00CA6EC2">
        <w:t>E</w:t>
      </w:r>
      <w:r>
        <w:t>stado redoblar esfuerzos para mejorar la salud sexual y reproductiva de las mujeres indígenas y afrodescendientes.</w:t>
      </w:r>
      <w:r>
        <w:rPr>
          <w:rStyle w:val="EndnoteReference"/>
        </w:rPr>
        <w:endnoteReference w:id="1203"/>
      </w:r>
    </w:p>
    <w:p w14:paraId="547EF6DA" w14:textId="5F029675" w:rsidR="0049019C" w:rsidRPr="004B2C96" w:rsidRDefault="00CD0EAF">
      <w:pPr>
        <w:pStyle w:val="Heading3"/>
      </w:pPr>
      <w:bookmarkStart w:id="98" w:name="_Toc498590748"/>
      <w:r w:rsidRPr="004B2C96">
        <w:t xml:space="preserve">educación </w:t>
      </w:r>
      <w:r w:rsidR="00CA6EC2" w:rsidRPr="004B2C96">
        <w:t xml:space="preserve">SexuaL </w:t>
      </w:r>
      <w:r w:rsidRPr="004B2C96">
        <w:t xml:space="preserve">y </w:t>
      </w:r>
      <w:r w:rsidR="00CA6EC2" w:rsidRPr="004B2C96">
        <w:t xml:space="preserve">TOMA DE </w:t>
      </w:r>
      <w:r w:rsidRPr="004B2C96">
        <w:t>conciencia</w:t>
      </w:r>
      <w:bookmarkEnd w:id="98"/>
    </w:p>
    <w:p w14:paraId="5DBBD2BC" w14:textId="28B3D147" w:rsidR="0049019C" w:rsidRDefault="00CD0EAF">
      <w:r>
        <w:t>El Comité CERD ha comentado sobre el acceso a la educación sexual en un único conjunto de observaciones finales, recomenda</w:t>
      </w:r>
      <w:r w:rsidR="00CA6EC2">
        <w:t>ndo</w:t>
      </w:r>
      <w:r>
        <w:t xml:space="preserve"> </w:t>
      </w:r>
      <w:r w:rsidR="00CA6EC2">
        <w:t xml:space="preserve">que </w:t>
      </w:r>
      <w:r>
        <w:t xml:space="preserve">un </w:t>
      </w:r>
      <w:r w:rsidR="00CA6EC2">
        <w:t>E</w:t>
      </w:r>
      <w:r>
        <w:t>sta</w:t>
      </w:r>
      <w:r w:rsidR="00CA6EC2">
        <w:t>do</w:t>
      </w:r>
      <w:r>
        <w:t xml:space="preserve"> garanti</w:t>
      </w:r>
      <w:r w:rsidR="00CA6EC2">
        <w:t>ce</w:t>
      </w:r>
      <w:r>
        <w:t xml:space="preserve"> </w:t>
      </w:r>
      <w:r w:rsidR="00CA6EC2">
        <w:t xml:space="preserve">el </w:t>
      </w:r>
      <w:r>
        <w:t>acceso a la educación sexual como un medio para reducir las disparidades raciales en el acceso</w:t>
      </w:r>
      <w:r w:rsidR="00CA6EC2" w:rsidRPr="00CA6EC2">
        <w:t xml:space="preserve"> </w:t>
      </w:r>
      <w:r w:rsidR="00CA6EC2">
        <w:t>y resultados</w:t>
      </w:r>
      <w:r>
        <w:t xml:space="preserve"> </w:t>
      </w:r>
      <w:r w:rsidR="00CA6EC2">
        <w:t xml:space="preserve">en </w:t>
      </w:r>
      <w:r>
        <w:t>la salud sexual y reproductiva.</w:t>
      </w:r>
      <w:r>
        <w:rPr>
          <w:rStyle w:val="EndnoteReference"/>
        </w:rPr>
        <w:endnoteReference w:id="1204"/>
      </w:r>
    </w:p>
    <w:p w14:paraId="04DA0CCA" w14:textId="78AEEFFC" w:rsidR="0049019C" w:rsidRPr="004B2C96" w:rsidRDefault="00CD0EAF" w:rsidP="0004666E">
      <w:pPr>
        <w:pStyle w:val="Heading3"/>
        <w:tabs>
          <w:tab w:val="left" w:pos="6519"/>
        </w:tabs>
      </w:pPr>
      <w:bookmarkStart w:id="99" w:name="_Toc498590749"/>
      <w:r w:rsidRPr="004B2C96">
        <w:t>Esterilización forzada y aborto forzado</w:t>
      </w:r>
      <w:bookmarkEnd w:id="99"/>
      <w:r w:rsidR="0004666E" w:rsidRPr="004B2C96">
        <w:tab/>
      </w:r>
    </w:p>
    <w:p w14:paraId="3ECA472D" w14:textId="2E6565B9" w:rsidR="0049019C" w:rsidRPr="0004666E" w:rsidRDefault="00CD0EAF" w:rsidP="001261E1">
      <w:r w:rsidRPr="0004666E">
        <w:t>El Comité CERD ha expresado preocupación reiterada a Estados donde las minorías y las mujeres indígenas han sido sometidas a procedimientos de salud reproductiva forzad</w:t>
      </w:r>
      <w:r w:rsidR="00F70506" w:rsidRPr="0004666E">
        <w:t>os</w:t>
      </w:r>
      <w:r w:rsidRPr="0004666E">
        <w:t xml:space="preserve"> o bajo coacción, particularmente la esterilización forzada o bajo coacción.</w:t>
      </w:r>
      <w:r w:rsidRPr="0004666E">
        <w:rPr>
          <w:rStyle w:val="EndnoteReference"/>
          <w:rFonts w:ascii="Franklin Gothic Book" w:eastAsiaTheme="minorHAnsi" w:hAnsi="Franklin Gothic Book" w:cs="Times New Roman"/>
          <w:color w:val="auto"/>
        </w:rPr>
        <w:endnoteReference w:id="1205"/>
      </w:r>
      <w:r w:rsidRPr="0004666E">
        <w:t xml:space="preserve"> En particular, ha condenado la esterilización forz</w:t>
      </w:r>
      <w:r w:rsidR="005374B8">
        <w:t>a</w:t>
      </w:r>
      <w:r w:rsidR="00F70506" w:rsidRPr="0004666E">
        <w:t>d</w:t>
      </w:r>
      <w:r w:rsidRPr="0004666E">
        <w:t>a de las minorías y las mujeres indígenas como resultado de las políticas estatales, incluyendo las políticas de población,</w:t>
      </w:r>
      <w:r w:rsidRPr="0004666E">
        <w:rPr>
          <w:rStyle w:val="EndnoteReference"/>
          <w:rFonts w:ascii="Franklin Gothic Book" w:eastAsiaTheme="minorHAnsi" w:hAnsi="Franklin Gothic Book" w:cs="Times New Roman"/>
          <w:color w:val="auto"/>
        </w:rPr>
        <w:endnoteReference w:id="1206"/>
      </w:r>
      <w:r w:rsidRPr="0004666E">
        <w:t xml:space="preserve"> pero también ha tomado nota de su ocurrencia en al menos un </w:t>
      </w:r>
      <w:r w:rsidR="00F70506" w:rsidRPr="0004666E">
        <w:t>E</w:t>
      </w:r>
      <w:r w:rsidRPr="0004666E">
        <w:t>stado donde había una ausencia de dichas políticas.</w:t>
      </w:r>
      <w:r w:rsidRPr="0004666E">
        <w:rPr>
          <w:rStyle w:val="EndnoteReference"/>
          <w:rFonts w:ascii="Franklin Gothic Book" w:eastAsiaTheme="minorHAnsi" w:hAnsi="Franklin Gothic Book" w:cs="Times New Roman"/>
          <w:color w:val="auto"/>
        </w:rPr>
        <w:endnoteReference w:id="1207"/>
      </w:r>
      <w:r w:rsidRPr="0004666E">
        <w:t xml:space="preserve"> También ha condenado por lo menos </w:t>
      </w:r>
      <w:r w:rsidR="00F70506" w:rsidRPr="0004666E">
        <w:t xml:space="preserve">a </w:t>
      </w:r>
      <w:r w:rsidRPr="0004666E">
        <w:t xml:space="preserve">un </w:t>
      </w:r>
      <w:r w:rsidR="00F70506" w:rsidRPr="0004666E">
        <w:t>E</w:t>
      </w:r>
      <w:r w:rsidRPr="0004666E">
        <w:t>stado p</w:t>
      </w:r>
      <w:r w:rsidR="00F70506" w:rsidRPr="0004666E">
        <w:t>o</w:t>
      </w:r>
      <w:r w:rsidRPr="0004666E">
        <w:t xml:space="preserve">r el uso de esterilización </w:t>
      </w:r>
      <w:r w:rsidR="00F70506" w:rsidRPr="0004666E">
        <w:t xml:space="preserve">forzada </w:t>
      </w:r>
      <w:r w:rsidRPr="0004666E">
        <w:t xml:space="preserve">contra </w:t>
      </w:r>
      <w:r w:rsidR="00F70506" w:rsidRPr="0004666E">
        <w:t xml:space="preserve">mujeres </w:t>
      </w:r>
      <w:r w:rsidRPr="0004666E">
        <w:t>defensor</w:t>
      </w:r>
      <w:r w:rsidR="00F70506" w:rsidRPr="0004666E">
        <w:t>a</w:t>
      </w:r>
      <w:r w:rsidRPr="0004666E">
        <w:t>s de derechos humanos.</w:t>
      </w:r>
      <w:r w:rsidRPr="0004666E">
        <w:rPr>
          <w:rStyle w:val="EndnoteReference"/>
          <w:rFonts w:ascii="Franklin Gothic Book" w:eastAsiaTheme="minorHAnsi" w:hAnsi="Franklin Gothic Book" w:cs="Times New Roman"/>
          <w:color w:val="auto"/>
        </w:rPr>
        <w:endnoteReference w:id="1208"/>
      </w:r>
      <w:r w:rsidRPr="0004666E">
        <w:t xml:space="preserve"> Además, ha expresado su preocupación cuando la esterilización parece ser uno de los principales métodos anticonceptivos utilizados por las mujeres de la minoría en un </w:t>
      </w:r>
      <w:r w:rsidR="00F70506" w:rsidRPr="0004666E">
        <w:t>E</w:t>
      </w:r>
      <w:r w:rsidRPr="0004666E">
        <w:t xml:space="preserve">stado donde había una historia de la esterilización forzada o bajo coacción de </w:t>
      </w:r>
      <w:r w:rsidR="00F70506" w:rsidRPr="0004666E">
        <w:t>aquel</w:t>
      </w:r>
      <w:r w:rsidRPr="0004666E">
        <w:t>las mujeres.</w:t>
      </w:r>
      <w:r w:rsidRPr="0004666E">
        <w:rPr>
          <w:rStyle w:val="EndnoteReference"/>
          <w:rFonts w:ascii="Franklin Gothic Book" w:eastAsiaTheme="minorHAnsi" w:hAnsi="Franklin Gothic Book" w:cs="Times New Roman"/>
          <w:color w:val="auto"/>
        </w:rPr>
        <w:endnoteReference w:id="1209"/>
      </w:r>
    </w:p>
    <w:p w14:paraId="19642531" w14:textId="542B5F2A" w:rsidR="0049019C" w:rsidRPr="001261E1" w:rsidRDefault="0004666E" w:rsidP="001261E1">
      <w:pPr>
        <w:pStyle w:val="Heading4"/>
      </w:pPr>
      <w:r w:rsidRPr="001261E1">
        <w:lastRenderedPageBreak/>
        <w:t>C</w:t>
      </w:r>
      <w:r w:rsidR="00CD0EAF" w:rsidRPr="001261E1">
        <w:t xml:space="preserve">apacidad </w:t>
      </w:r>
      <w:r w:rsidR="00F70506" w:rsidRPr="001261E1">
        <w:t>J</w:t>
      </w:r>
      <w:r w:rsidR="00CD0EAF" w:rsidRPr="001261E1">
        <w:t xml:space="preserve">urídica y </w:t>
      </w:r>
      <w:r w:rsidR="00F70506" w:rsidRPr="001261E1">
        <w:t>C</w:t>
      </w:r>
      <w:r w:rsidR="00CD0EAF" w:rsidRPr="001261E1">
        <w:t xml:space="preserve">onsentimiento </w:t>
      </w:r>
      <w:r w:rsidR="00F70506" w:rsidRPr="001261E1">
        <w:t>I</w:t>
      </w:r>
      <w:r w:rsidR="00CD0EAF" w:rsidRPr="001261E1">
        <w:t>nformado</w:t>
      </w:r>
    </w:p>
    <w:p w14:paraId="64FC2113" w14:textId="47584F5A" w:rsidR="0049019C" w:rsidRDefault="00CD0EAF">
      <w:pPr>
        <w:pStyle w:val="NormalIndented"/>
      </w:pPr>
      <w:r>
        <w:t>El Comité CERD ha pedido reiteradamente a los Estados asegurar que la esterilización s</w:t>
      </w:r>
      <w:r w:rsidR="00F70506">
        <w:t>ea realizada</w:t>
      </w:r>
      <w:r>
        <w:t xml:space="preserve"> s</w:t>
      </w:r>
      <w:r w:rsidR="00F70506">
        <w:t>o</w:t>
      </w:r>
      <w:r>
        <w:t xml:space="preserve">lo con </w:t>
      </w:r>
      <w:r w:rsidR="00F70506">
        <w:t>pleno, libre e informado</w:t>
      </w:r>
      <w:r>
        <w:t xml:space="preserve"> consentimiento.</w:t>
      </w:r>
      <w:r>
        <w:rPr>
          <w:rStyle w:val="EndnoteReference"/>
        </w:rPr>
        <w:endnoteReference w:id="1210"/>
      </w:r>
    </w:p>
    <w:p w14:paraId="55701198" w14:textId="3B8704AF" w:rsidR="0049019C" w:rsidRDefault="00CD0EAF">
      <w:pPr>
        <w:pStyle w:val="Heading4"/>
      </w:pPr>
      <w:r>
        <w:t xml:space="preserve">Obligaciones de </w:t>
      </w:r>
      <w:r w:rsidR="00F70506">
        <w:t>Debida D</w:t>
      </w:r>
      <w:r>
        <w:t xml:space="preserve">iligencia </w:t>
      </w:r>
    </w:p>
    <w:p w14:paraId="437EEF74" w14:textId="30837FFD" w:rsidR="0049019C" w:rsidRDefault="00CD0EAF">
      <w:pPr>
        <w:pStyle w:val="NormalIndented"/>
      </w:pPr>
      <w:r>
        <w:t>El Comité CERD ha recomendado con frecuencia que los Estados llev</w:t>
      </w:r>
      <w:r w:rsidR="008A3250">
        <w:t>en</w:t>
      </w:r>
      <w:r>
        <w:t xml:space="preserve"> a cabo investigaciones imparciales sobre las denuncias de esterilización forzada contra minorías y las mujeres indígenas,</w:t>
      </w:r>
      <w:r>
        <w:rPr>
          <w:rStyle w:val="EndnoteReference"/>
        </w:rPr>
        <w:endnoteReference w:id="1211"/>
      </w:r>
      <w:r>
        <w:t xml:space="preserve"> incluyendo </w:t>
      </w:r>
      <w:r w:rsidR="008A3250">
        <w:t xml:space="preserve">la </w:t>
      </w:r>
      <w:r>
        <w:t xml:space="preserve">reapertura </w:t>
      </w:r>
      <w:r w:rsidR="008A3250">
        <w:t xml:space="preserve">de </w:t>
      </w:r>
      <w:r>
        <w:t xml:space="preserve">investigaciones </w:t>
      </w:r>
      <w:r w:rsidR="008A3250">
        <w:t xml:space="preserve">cerradas </w:t>
      </w:r>
      <w:r>
        <w:t>sobre el tema.</w:t>
      </w:r>
      <w:r>
        <w:rPr>
          <w:rStyle w:val="EndnoteReference"/>
        </w:rPr>
        <w:endnoteReference w:id="1212"/>
      </w:r>
      <w:r>
        <w:t xml:space="preserve"> También ha recomendado a por lo menos dos Estados supervisar los establecimientos de salud donde </w:t>
      </w:r>
      <w:r w:rsidR="008A3250">
        <w:t xml:space="preserve">se </w:t>
      </w:r>
      <w:r>
        <w:t>realiza</w:t>
      </w:r>
      <w:r w:rsidR="008A3250">
        <w:t>n</w:t>
      </w:r>
      <w:r>
        <w:t xml:space="preserve"> esterilizaciones a </w:t>
      </w:r>
      <w:r w:rsidR="008A3250">
        <w:t xml:space="preserve">fin de </w:t>
      </w:r>
      <w:r>
        <w:t>asegurar que todos los pacientes han dado su consentimiento informado.</w:t>
      </w:r>
      <w:r>
        <w:rPr>
          <w:rStyle w:val="EndnoteReference"/>
        </w:rPr>
        <w:endnoteReference w:id="1213"/>
      </w:r>
      <w:r>
        <w:t xml:space="preserve"> El Comité ha recomendado además que estos Estados recono</w:t>
      </w:r>
      <w:r w:rsidR="008A3250">
        <w:t>z</w:t>
      </w:r>
      <w:r>
        <w:t>c</w:t>
      </w:r>
      <w:r w:rsidR="008A3250">
        <w:t>a</w:t>
      </w:r>
      <w:r>
        <w:t xml:space="preserve">n públicamente el daño causado a las víctimas de esterilización forzada, especialmente </w:t>
      </w:r>
      <w:r w:rsidR="008A3250">
        <w:t xml:space="preserve">a </w:t>
      </w:r>
      <w:r>
        <w:t>las mujeres de minorías.</w:t>
      </w:r>
      <w:r>
        <w:rPr>
          <w:rStyle w:val="EndnoteReference"/>
        </w:rPr>
        <w:endnoteReference w:id="1214"/>
      </w:r>
    </w:p>
    <w:p w14:paraId="79F24EFF" w14:textId="3FD1D824" w:rsidR="0049019C" w:rsidRDefault="00CD0EAF">
      <w:pPr>
        <w:pStyle w:val="Heading4"/>
      </w:pPr>
      <w:r>
        <w:t xml:space="preserve">Capacitación y </w:t>
      </w:r>
      <w:r w:rsidR="00F70506">
        <w:t>O</w:t>
      </w:r>
      <w:r>
        <w:t>rientación</w:t>
      </w:r>
    </w:p>
    <w:p w14:paraId="6AAF70B7" w14:textId="67314C82" w:rsidR="0049019C" w:rsidRDefault="00CD0EAF">
      <w:pPr>
        <w:pStyle w:val="NormalIndented"/>
      </w:pPr>
      <w:r>
        <w:t>El Comité CERD ha recomendado que los Estados estable</w:t>
      </w:r>
      <w:r w:rsidR="008A3250">
        <w:t>zcan</w:t>
      </w:r>
      <w:r>
        <w:t xml:space="preserve"> criterios claros y obligatorios </w:t>
      </w:r>
      <w:r w:rsidR="008A3250">
        <w:t xml:space="preserve">para </w:t>
      </w:r>
      <w:r>
        <w:t>obtener el consentimiento informado para esterilización,</w:t>
      </w:r>
      <w:r>
        <w:rPr>
          <w:rStyle w:val="EndnoteReference"/>
        </w:rPr>
        <w:endnoteReference w:id="1215"/>
      </w:r>
      <w:r>
        <w:t xml:space="preserve"> que estos procedimientos sean conocidos por el público y por los </w:t>
      </w:r>
      <w:r w:rsidR="008A3250">
        <w:t xml:space="preserve">y las </w:t>
      </w:r>
      <w:r>
        <w:t>profesionales</w:t>
      </w:r>
      <w:r w:rsidR="008A3250">
        <w:t xml:space="preserve"> de la salud</w:t>
      </w:r>
      <w:r>
        <w:t>,</w:t>
      </w:r>
      <w:r>
        <w:rPr>
          <w:rStyle w:val="EndnoteReference"/>
        </w:rPr>
        <w:endnoteReference w:id="1216"/>
      </w:r>
      <w:r>
        <w:t xml:space="preserve"> y que </w:t>
      </w:r>
      <w:r w:rsidR="00AE27E7">
        <w:t>salvaguardias</w:t>
      </w:r>
      <w:r>
        <w:t xml:space="preserve"> se ponga</w:t>
      </w:r>
      <w:r w:rsidR="00AE27E7">
        <w:t>n</w:t>
      </w:r>
      <w:r>
        <w:t xml:space="preserve"> en marcha para evitar esterilizaciones forzadas en el futuro.</w:t>
      </w:r>
      <w:r>
        <w:rPr>
          <w:rStyle w:val="EndnoteReference"/>
        </w:rPr>
        <w:endnoteReference w:id="1217"/>
      </w:r>
      <w:r>
        <w:t xml:space="preserve"> En particular, ha pedido </w:t>
      </w:r>
      <w:r w:rsidR="00AE27E7">
        <w:t xml:space="preserve">a </w:t>
      </w:r>
      <w:r>
        <w:t xml:space="preserve">al menos un </w:t>
      </w:r>
      <w:r w:rsidR="00AE27E7">
        <w:t>E</w:t>
      </w:r>
      <w:r>
        <w:t xml:space="preserve">stado </w:t>
      </w:r>
      <w:r w:rsidR="00AE27E7">
        <w:t xml:space="preserve">crear </w:t>
      </w:r>
      <w:r>
        <w:t xml:space="preserve">conciencia sobre las directrices de la Federación Internacional de Ginecología y </w:t>
      </w:r>
      <w:r w:rsidR="00AE27E7">
        <w:t>O</w:t>
      </w:r>
      <w:r>
        <w:t xml:space="preserve">bstetricia </w:t>
      </w:r>
      <w:r w:rsidR="00AE27E7">
        <w:t xml:space="preserve">sobre </w:t>
      </w:r>
      <w:r>
        <w:t>la esterilización</w:t>
      </w:r>
      <w:r>
        <w:rPr>
          <w:rStyle w:val="FootnoteReference"/>
        </w:rPr>
        <w:footnoteReference w:id="10"/>
      </w:r>
      <w:r>
        <w:t>.</w:t>
      </w:r>
      <w:r>
        <w:rPr>
          <w:rStyle w:val="EndnoteReference"/>
        </w:rPr>
        <w:endnoteReference w:id="1218"/>
      </w:r>
    </w:p>
    <w:p w14:paraId="4DAA0CA8" w14:textId="63A6EF0A" w:rsidR="0049019C" w:rsidRDefault="00CD0EAF">
      <w:pPr>
        <w:pStyle w:val="Heading4"/>
      </w:pPr>
      <w:r>
        <w:t>Re</w:t>
      </w:r>
      <w:r w:rsidR="00AE27E7">
        <w:t>curs</w:t>
      </w:r>
      <w:r>
        <w:t xml:space="preserve">os y </w:t>
      </w:r>
      <w:r w:rsidR="00AE27E7">
        <w:t>Reparaciones</w:t>
      </w:r>
    </w:p>
    <w:p w14:paraId="77A8CB03" w14:textId="02FC46BF" w:rsidR="0049019C" w:rsidRDefault="00CD0EAF">
      <w:pPr>
        <w:pStyle w:val="NormalIndented"/>
      </w:pPr>
      <w:r>
        <w:t>El Comité CERD ha pedido a los Estados sancionar a los responsables de la esterilización forzada,</w:t>
      </w:r>
      <w:r>
        <w:rPr>
          <w:rStyle w:val="EndnoteReference"/>
        </w:rPr>
        <w:endnoteReference w:id="1219"/>
      </w:r>
      <w:r>
        <w:t xml:space="preserve">  inclu</w:t>
      </w:r>
      <w:r w:rsidR="00AE27E7">
        <w:t>yendo</w:t>
      </w:r>
      <w:r>
        <w:t xml:space="preserve"> en al menos un </w:t>
      </w:r>
      <w:r w:rsidR="00AE27E7">
        <w:t>E</w:t>
      </w:r>
      <w:r>
        <w:t>stado el establecimiento de responsabilidad penal p</w:t>
      </w:r>
      <w:r w:rsidR="00AE27E7">
        <w:t>o</w:t>
      </w:r>
      <w:r>
        <w:t>r esterilización</w:t>
      </w:r>
      <w:r w:rsidR="00AE27E7">
        <w:t xml:space="preserve"> forzada</w:t>
      </w:r>
      <w:r>
        <w:t>.</w:t>
      </w:r>
      <w:r>
        <w:rPr>
          <w:rStyle w:val="EndnoteReference"/>
        </w:rPr>
        <w:endnoteReference w:id="1220"/>
      </w:r>
      <w:r>
        <w:t xml:space="preserve"> El Comité también ha pedido a los Estados proporcionar reparaciones, disculpas y compensación a víctimas de esterilización forzada como una forma de reparación.</w:t>
      </w:r>
      <w:r>
        <w:rPr>
          <w:rStyle w:val="EndnoteReference"/>
        </w:rPr>
        <w:endnoteReference w:id="1221"/>
      </w:r>
      <w:r>
        <w:t xml:space="preserve"> En particular, ha expresado su preocupación cuando </w:t>
      </w:r>
      <w:r w:rsidR="00AE27E7">
        <w:t xml:space="preserve">al menos un Estado </w:t>
      </w:r>
      <w:r>
        <w:t xml:space="preserve">ha retrasado </w:t>
      </w:r>
      <w:r w:rsidR="00AE27E7">
        <w:t>la entrega de</w:t>
      </w:r>
      <w:r>
        <w:t xml:space="preserve"> reparaciones a las víctimas o no ha establecido mecanismos de compensación adecuados</w:t>
      </w:r>
      <w:r>
        <w:rPr>
          <w:rStyle w:val="EndnoteReference"/>
        </w:rPr>
        <w:endnoteReference w:id="1222"/>
      </w:r>
      <w:r>
        <w:t xml:space="preserve"> y recomendó </w:t>
      </w:r>
      <w:r w:rsidR="00AE27E7">
        <w:t xml:space="preserve">a </w:t>
      </w:r>
      <w:r>
        <w:t xml:space="preserve">un </w:t>
      </w:r>
      <w:r w:rsidR="00AE27E7">
        <w:t>E</w:t>
      </w:r>
      <w:r>
        <w:t xml:space="preserve">stado establecer un mecanismo de compensación y considerar </w:t>
      </w:r>
      <w:r w:rsidR="00AE27E7">
        <w:t xml:space="preserve">la </w:t>
      </w:r>
      <w:r w:rsidR="00FE0C32">
        <w:t>suspención</w:t>
      </w:r>
      <w:r>
        <w:t xml:space="preserve"> </w:t>
      </w:r>
      <w:r w:rsidR="00AE27E7">
        <w:t>de</w:t>
      </w:r>
      <w:r>
        <w:t xml:space="preserve"> </w:t>
      </w:r>
      <w:r w:rsidR="009B6A28">
        <w:t>reglas de prescripción</w:t>
      </w:r>
      <w:r>
        <w:t xml:space="preserve"> en todos los casos relacionados con compensación por esterilización forzada.</w:t>
      </w:r>
      <w:r>
        <w:rPr>
          <w:rStyle w:val="EndnoteReference"/>
        </w:rPr>
        <w:endnoteReference w:id="1223"/>
      </w:r>
      <w:r>
        <w:t xml:space="preserve"> También se </w:t>
      </w:r>
      <w:r w:rsidR="00AE27E7">
        <w:t xml:space="preserve">ha </w:t>
      </w:r>
      <w:r>
        <w:t>recomenda</w:t>
      </w:r>
      <w:r w:rsidR="00AE27E7">
        <w:t>do</w:t>
      </w:r>
      <w:r>
        <w:t xml:space="preserve"> que al menos un </w:t>
      </w:r>
      <w:r w:rsidR="00AE27E7">
        <w:t>E</w:t>
      </w:r>
      <w:r>
        <w:t>stado proporcion</w:t>
      </w:r>
      <w:r w:rsidR="00AE27E7">
        <w:t>e</w:t>
      </w:r>
      <w:r>
        <w:t xml:space="preserve"> asistencia jurídica gratuita y estable</w:t>
      </w:r>
      <w:r w:rsidR="00AE27E7">
        <w:t>zca</w:t>
      </w:r>
      <w:r>
        <w:t xml:space="preserve"> un fondo para a</w:t>
      </w:r>
      <w:r w:rsidR="00AE27E7">
        <w:t>sisti</w:t>
      </w:r>
      <w:r>
        <w:t>r a víctimas a llevar sus reclamaciones de reparación.</w:t>
      </w:r>
      <w:r>
        <w:rPr>
          <w:rStyle w:val="EndnoteReference"/>
        </w:rPr>
        <w:endnoteReference w:id="1224"/>
      </w:r>
    </w:p>
    <w:p w14:paraId="58B316A8" w14:textId="7F007EB5" w:rsidR="0049019C" w:rsidRPr="004B2C96" w:rsidRDefault="00CD0EAF" w:rsidP="00515135">
      <w:pPr>
        <w:pStyle w:val="Heading2"/>
        <w:rPr>
          <w:b w:val="0"/>
        </w:rPr>
      </w:pPr>
      <w:bookmarkStart w:id="100" w:name="_Toc5974939"/>
      <w:r w:rsidRPr="004B2C96">
        <w:rPr>
          <w:b w:val="0"/>
        </w:rPr>
        <w:t>Denuncias Individuales</w:t>
      </w:r>
      <w:bookmarkEnd w:id="100"/>
    </w:p>
    <w:p w14:paraId="66DF1A2C" w14:textId="479B7A72" w:rsidR="0049019C" w:rsidRDefault="0004666E" w:rsidP="001261E1">
      <w:r>
        <w:t>Hasta</w:t>
      </w:r>
      <w:r w:rsidR="00CD0EAF">
        <w:t xml:space="preserve"> </w:t>
      </w:r>
      <w:r w:rsidR="00AE27E7">
        <w:t>J</w:t>
      </w:r>
      <w:r w:rsidR="00CD0EAF">
        <w:t xml:space="preserve">unio de 2017, el Comité </w:t>
      </w:r>
      <w:r w:rsidR="00AE27E7">
        <w:t>CERD</w:t>
      </w:r>
      <w:r w:rsidR="00CD0EAF">
        <w:t xml:space="preserve"> no ha emitido decisiones sobre quejas individuales directamente pertinentes a los derechos y salud sexual y reproductiva.</w:t>
      </w:r>
    </w:p>
    <w:p w14:paraId="0A20ADFD" w14:textId="5E041508" w:rsidR="0049019C" w:rsidRPr="004B2C96" w:rsidRDefault="00AE27E7" w:rsidP="00515135">
      <w:pPr>
        <w:pStyle w:val="Heading2"/>
        <w:rPr>
          <w:b w:val="0"/>
        </w:rPr>
      </w:pPr>
      <w:bookmarkStart w:id="101" w:name="_Toc5974940"/>
      <w:r w:rsidRPr="004B2C96">
        <w:rPr>
          <w:b w:val="0"/>
        </w:rPr>
        <w:t xml:space="preserve">Vacíos </w:t>
      </w:r>
      <w:r w:rsidR="00CD0EAF" w:rsidRPr="004B2C96">
        <w:rPr>
          <w:b w:val="0"/>
        </w:rPr>
        <w:t>en l</w:t>
      </w:r>
      <w:r w:rsidRPr="004B2C96">
        <w:rPr>
          <w:b w:val="0"/>
        </w:rPr>
        <w:t>o</w:t>
      </w:r>
      <w:r w:rsidR="00CD0EAF" w:rsidRPr="004B2C96">
        <w:rPr>
          <w:b w:val="0"/>
        </w:rPr>
        <w:t xml:space="preserve">s </w:t>
      </w:r>
      <w:r w:rsidRPr="004B2C96">
        <w:rPr>
          <w:b w:val="0"/>
        </w:rPr>
        <w:t>Estándares</w:t>
      </w:r>
      <w:bookmarkEnd w:id="101"/>
    </w:p>
    <w:p w14:paraId="59D029D8" w14:textId="77777777" w:rsidR="001261E1" w:rsidRDefault="00CD0EAF">
      <w:r>
        <w:t>Dado el mandato del Comité CERD, ha rara vez aborda</w:t>
      </w:r>
      <w:r w:rsidR="007E6452">
        <w:t>do</w:t>
      </w:r>
      <w:r>
        <w:t xml:space="preserve"> cuestiones de derechos humanos que afectan a las mujeres y las niñas con discapacidad. Sin embargo, </w:t>
      </w:r>
      <w:r w:rsidR="007E6452">
        <w:t xml:space="preserve">las y </w:t>
      </w:r>
      <w:r>
        <w:t xml:space="preserve">los defensores todavía tienen la oportunidad de plantear temas que afectan a las mujeres con discapacidad de los </w:t>
      </w:r>
      <w:r w:rsidR="007E6452">
        <w:t xml:space="preserve">grupos </w:t>
      </w:r>
      <w:r>
        <w:t xml:space="preserve">indígenas y minoritarios. Con esto en mente, el Comité podría mejorar sus observaciones finales relativas a los derechos sexuales y reproductivos comentando </w:t>
      </w:r>
      <w:r w:rsidR="007E6452">
        <w:t xml:space="preserve">de manera más consistente </w:t>
      </w:r>
      <w:r>
        <w:t xml:space="preserve">cómo </w:t>
      </w:r>
      <w:r w:rsidR="007E6452">
        <w:t xml:space="preserve">la </w:t>
      </w:r>
      <w:r>
        <w:t xml:space="preserve">discriminación </w:t>
      </w:r>
      <w:r w:rsidR="007E6452">
        <w:t xml:space="preserve">interseccional impacta </w:t>
      </w:r>
      <w:r>
        <w:t xml:space="preserve">desproporcionadamente </w:t>
      </w:r>
      <w:r w:rsidR="007E6452">
        <w:t xml:space="preserve">en </w:t>
      </w:r>
      <w:r>
        <w:t xml:space="preserve">las mujeres indígenas y </w:t>
      </w:r>
      <w:r w:rsidR="007E6452">
        <w:t xml:space="preserve">mujeres </w:t>
      </w:r>
      <w:r>
        <w:t xml:space="preserve">de minorías </w:t>
      </w:r>
      <w:r w:rsidR="007E6452">
        <w:t xml:space="preserve">raciales </w:t>
      </w:r>
      <w:r>
        <w:t xml:space="preserve">con discapacidades. Por ejemplo, el Comité podría comentar </w:t>
      </w:r>
      <w:r w:rsidR="007E6452">
        <w:t xml:space="preserve">más consistentemente </w:t>
      </w:r>
      <w:r>
        <w:t xml:space="preserve">sobre las disparidades en el acceso a servicios de aborto seguro, incluyendo restricciones legales en o barreras </w:t>
      </w:r>
      <w:r w:rsidR="007E6452">
        <w:t>de procedimiento para</w:t>
      </w:r>
      <w:r>
        <w:t xml:space="preserve"> acce</w:t>
      </w:r>
      <w:r w:rsidR="007E6452">
        <w:t>der</w:t>
      </w:r>
      <w:r>
        <w:t xml:space="preserve"> a</w:t>
      </w:r>
      <w:r w:rsidR="007E6452">
        <w:t>l</w:t>
      </w:r>
      <w:r>
        <w:t xml:space="preserve"> aborto </w:t>
      </w:r>
      <w:r w:rsidR="007E6452">
        <w:t xml:space="preserve">que </w:t>
      </w:r>
      <w:r>
        <w:t>pueden afecta</w:t>
      </w:r>
      <w:r w:rsidR="007E6452">
        <w:t>r</w:t>
      </w:r>
      <w:r>
        <w:t xml:space="preserve"> desproporcionadamente a las mujeres con est</w:t>
      </w:r>
      <w:r w:rsidR="007E6452">
        <w:t>a</w:t>
      </w:r>
      <w:r>
        <w:t xml:space="preserve">s identidades </w:t>
      </w:r>
      <w:r w:rsidR="007E6452">
        <w:t xml:space="preserve">que se intersecan, </w:t>
      </w:r>
      <w:r>
        <w:t xml:space="preserve">y en el acceso a </w:t>
      </w:r>
      <w:r w:rsidR="007E6452">
        <w:t>servicios de</w:t>
      </w:r>
      <w:r>
        <w:t xml:space="preserve"> salud materna más generalmente. </w:t>
      </w:r>
    </w:p>
    <w:p w14:paraId="7DBB8CA4" w14:textId="77777777" w:rsidR="001261E1" w:rsidRDefault="001261E1">
      <w:pPr>
        <w:spacing w:after="0" w:line="240" w:lineRule="auto"/>
        <w:ind w:left="0" w:right="0"/>
        <w:jc w:val="left"/>
      </w:pPr>
      <w:r>
        <w:br w:type="page"/>
      </w:r>
    </w:p>
    <w:p w14:paraId="1B1B3AEB" w14:textId="21E23297" w:rsidR="0049019C" w:rsidRDefault="00CD0EAF">
      <w:r>
        <w:lastRenderedPageBreak/>
        <w:t>En particular, debe</w:t>
      </w:r>
      <w:r w:rsidR="007E6452">
        <w:t>ría</w:t>
      </w:r>
      <w:r>
        <w:t xml:space="preserve"> comentar cómo </w:t>
      </w:r>
      <w:r w:rsidR="007E6452">
        <w:t>están compuestas</w:t>
      </w:r>
      <w:r>
        <w:t xml:space="preserve"> las barreras </w:t>
      </w:r>
      <w:r w:rsidR="007E6452">
        <w:t>p</w:t>
      </w:r>
      <w:r>
        <w:t>a</w:t>
      </w:r>
      <w:r w:rsidR="007E6452">
        <w:t>ra</w:t>
      </w:r>
      <w:r>
        <w:t xml:space="preserve"> acce</w:t>
      </w:r>
      <w:r w:rsidR="007E6452">
        <w:t>der</w:t>
      </w:r>
      <w:r>
        <w:t xml:space="preserve"> a servicios e información de salud sexual y reproductiva para las mujeres con discapacidad de las minoritarias o de grupos indígenas, debido a las barreras de lenguaje y comunicación, </w:t>
      </w:r>
      <w:r w:rsidR="007E6452">
        <w:t>usuales</w:t>
      </w:r>
      <w:r>
        <w:t xml:space="preserve"> largas distancias para acceder a instalaciones </w:t>
      </w:r>
      <w:r w:rsidR="007E6452">
        <w:t xml:space="preserve">de salud, </w:t>
      </w:r>
      <w:r>
        <w:t>transporte inaccesible y discriminación múltiple que puede afectan cómo l</w:t>
      </w:r>
      <w:r w:rsidR="007E6452">
        <w:t>as y l</w:t>
      </w:r>
      <w:r>
        <w:t xml:space="preserve">os trabajadores de salud y otros ven la sexualidad y la capacidad de estas mujeres de </w:t>
      </w:r>
      <w:r w:rsidR="007E6452">
        <w:t>ser madres</w:t>
      </w:r>
      <w:r>
        <w:t>.</w:t>
      </w:r>
    </w:p>
    <w:p w14:paraId="50A539C1" w14:textId="1A388042" w:rsidR="0049019C" w:rsidRDefault="00CD0EAF">
      <w:pPr>
        <w:jc w:val="left"/>
      </w:pPr>
      <w:r>
        <w:br w:type="page"/>
      </w:r>
    </w:p>
    <w:p w14:paraId="2489D885" w14:textId="21F69EBC" w:rsidR="0049019C" w:rsidRPr="0052428A" w:rsidRDefault="00CD0EAF" w:rsidP="0052428A">
      <w:pPr>
        <w:pStyle w:val="Heading1"/>
      </w:pPr>
      <w:bookmarkStart w:id="102" w:name="_Toc5974941"/>
      <w:r w:rsidRPr="0052428A">
        <w:lastRenderedPageBreak/>
        <w:t xml:space="preserve">Informes </w:t>
      </w:r>
      <w:r w:rsidR="007E6452" w:rsidRPr="0052428A">
        <w:t>T</w:t>
      </w:r>
      <w:r w:rsidRPr="0052428A">
        <w:t xml:space="preserve">emáticos por </w:t>
      </w:r>
      <w:r w:rsidR="007E6452" w:rsidRPr="0052428A">
        <w:t>P</w:t>
      </w:r>
      <w:r w:rsidRPr="0052428A">
        <w:t xml:space="preserve">rocedimientos </w:t>
      </w:r>
      <w:r w:rsidR="007E6452" w:rsidRPr="0052428A">
        <w:t>E</w:t>
      </w:r>
      <w:r w:rsidRPr="0052428A">
        <w:t>speciales de</w:t>
      </w:r>
      <w:r w:rsidR="0004666E" w:rsidRPr="0052428A">
        <w:t xml:space="preserve"> las</w:t>
      </w:r>
      <w:r w:rsidRPr="0052428A">
        <w:t xml:space="preserve"> Naciones Unidas</w:t>
      </w:r>
      <w:bookmarkEnd w:id="102"/>
    </w:p>
    <w:p w14:paraId="3D156561" w14:textId="78AFF17B" w:rsidR="0049019C" w:rsidRPr="00753A59" w:rsidRDefault="00CD0EAF" w:rsidP="00C97C1F">
      <w:pPr>
        <w:pStyle w:val="Heading3GeneralComments"/>
        <w:spacing w:before="80" w:after="40"/>
        <w:ind w:left="245" w:right="-43" w:hanging="245"/>
        <w:rPr>
          <w:spacing w:val="-3"/>
        </w:rPr>
      </w:pPr>
      <w:r w:rsidRPr="00753A59">
        <w:rPr>
          <w:spacing w:val="-3"/>
        </w:rPr>
        <w:t>Informe de</w:t>
      </w:r>
      <w:r w:rsidR="007E6452" w:rsidRPr="00753A59">
        <w:rPr>
          <w:spacing w:val="-3"/>
        </w:rPr>
        <w:t xml:space="preserve"> </w:t>
      </w:r>
      <w:r w:rsidRPr="00753A59">
        <w:rPr>
          <w:spacing w:val="-3"/>
        </w:rPr>
        <w:t>l</w:t>
      </w:r>
      <w:r w:rsidR="007E6452" w:rsidRPr="00753A59">
        <w:rPr>
          <w:spacing w:val="-3"/>
        </w:rPr>
        <w:t>a</w:t>
      </w:r>
      <w:r w:rsidRPr="00753A59">
        <w:rPr>
          <w:spacing w:val="-3"/>
        </w:rPr>
        <w:t xml:space="preserve"> Relator</w:t>
      </w:r>
      <w:r w:rsidR="007E6452" w:rsidRPr="00753A59">
        <w:rPr>
          <w:spacing w:val="-3"/>
        </w:rPr>
        <w:t>a</w:t>
      </w:r>
      <w:r w:rsidRPr="00753A59">
        <w:rPr>
          <w:spacing w:val="-3"/>
        </w:rPr>
        <w:t xml:space="preserve"> Especial sobre los </w:t>
      </w:r>
      <w:r w:rsidR="007E6452" w:rsidRPr="00753A59">
        <w:rPr>
          <w:spacing w:val="-3"/>
        </w:rPr>
        <w:t>D</w:t>
      </w:r>
      <w:r w:rsidRPr="00753A59">
        <w:rPr>
          <w:spacing w:val="-3"/>
        </w:rPr>
        <w:t xml:space="preserve">erechos de las </w:t>
      </w:r>
      <w:r w:rsidR="007E6452" w:rsidRPr="00753A59">
        <w:rPr>
          <w:spacing w:val="-3"/>
        </w:rPr>
        <w:t>P</w:t>
      </w:r>
      <w:r w:rsidRPr="00753A59">
        <w:rPr>
          <w:spacing w:val="-3"/>
        </w:rPr>
        <w:t xml:space="preserve">ersonas con </w:t>
      </w:r>
      <w:r w:rsidR="007E6452" w:rsidRPr="00753A59">
        <w:rPr>
          <w:spacing w:val="-3"/>
        </w:rPr>
        <w:t>D</w:t>
      </w:r>
      <w:r w:rsidRPr="00753A59">
        <w:rPr>
          <w:spacing w:val="-3"/>
        </w:rPr>
        <w:t xml:space="preserve">iscapacidad: Salud Sexual y </w:t>
      </w:r>
      <w:r w:rsidR="007E6452" w:rsidRPr="00753A59">
        <w:rPr>
          <w:spacing w:val="-3"/>
        </w:rPr>
        <w:t>R</w:t>
      </w:r>
      <w:r w:rsidRPr="00753A59">
        <w:rPr>
          <w:spacing w:val="-3"/>
        </w:rPr>
        <w:t xml:space="preserve">eproductiva y los </w:t>
      </w:r>
      <w:r w:rsidR="007E6452" w:rsidRPr="00753A59">
        <w:rPr>
          <w:spacing w:val="-3"/>
        </w:rPr>
        <w:t>D</w:t>
      </w:r>
      <w:r w:rsidRPr="00753A59">
        <w:rPr>
          <w:spacing w:val="-3"/>
        </w:rPr>
        <w:t xml:space="preserve">erechos de las </w:t>
      </w:r>
      <w:r w:rsidR="007E6452" w:rsidRPr="00753A59">
        <w:rPr>
          <w:spacing w:val="-3"/>
        </w:rPr>
        <w:t>N</w:t>
      </w:r>
      <w:r w:rsidRPr="00753A59">
        <w:rPr>
          <w:spacing w:val="-3"/>
        </w:rPr>
        <w:t xml:space="preserve">iñas y </w:t>
      </w:r>
      <w:r w:rsidR="007E6452" w:rsidRPr="00753A59">
        <w:rPr>
          <w:spacing w:val="-3"/>
        </w:rPr>
        <w:t>Mujeres J</w:t>
      </w:r>
      <w:r w:rsidRPr="00753A59">
        <w:rPr>
          <w:spacing w:val="-3"/>
        </w:rPr>
        <w:t xml:space="preserve">óvenes con </w:t>
      </w:r>
      <w:r w:rsidR="007E6452" w:rsidRPr="00753A59">
        <w:rPr>
          <w:spacing w:val="-3"/>
        </w:rPr>
        <w:t>D</w:t>
      </w:r>
      <w:r w:rsidRPr="00753A59">
        <w:rPr>
          <w:spacing w:val="-3"/>
        </w:rPr>
        <w:t xml:space="preserve">iscapacidad (2017) </w:t>
      </w:r>
    </w:p>
    <w:p w14:paraId="6BD5EBFF" w14:textId="41F8F795" w:rsidR="0049019C" w:rsidRPr="00753A59" w:rsidRDefault="00CD0EAF" w:rsidP="00C97C1F">
      <w:pPr>
        <w:pStyle w:val="indentedafterbulletp"/>
        <w:spacing w:after="120"/>
        <w:ind w:left="245" w:right="-43"/>
      </w:pPr>
      <w:r w:rsidRPr="00753A59">
        <w:t xml:space="preserve">En su informe de 2017 </w:t>
      </w:r>
      <w:r w:rsidR="007E6452" w:rsidRPr="00753A59">
        <w:t xml:space="preserve">sobre </w:t>
      </w:r>
      <w:r w:rsidRPr="00753A59">
        <w:t xml:space="preserve">la salud sexual y reproductiva y los derechos de las niñas y jóvenes con discapacidad, </w:t>
      </w:r>
      <w:r w:rsidR="00A100BC" w:rsidRPr="00753A59">
        <w:t>la</w:t>
      </w:r>
      <w:r w:rsidRPr="00753A59">
        <w:t xml:space="preserve"> Relator</w:t>
      </w:r>
      <w:r w:rsidR="00A100BC" w:rsidRPr="00753A59">
        <w:t>a</w:t>
      </w:r>
      <w:r w:rsidRPr="00753A59">
        <w:t xml:space="preserve"> Especial sobre l</w:t>
      </w:r>
      <w:r w:rsidR="00A100BC" w:rsidRPr="00753A59">
        <w:t>os</w:t>
      </w:r>
      <w:r w:rsidRPr="00753A59">
        <w:t xml:space="preserve"> </w:t>
      </w:r>
      <w:r w:rsidR="00A100BC" w:rsidRPr="00753A59">
        <w:t>D</w:t>
      </w:r>
      <w:r w:rsidRPr="00753A59">
        <w:t>erecho</w:t>
      </w:r>
      <w:r w:rsidR="00A100BC" w:rsidRPr="00753A59">
        <w:t>s</w:t>
      </w:r>
      <w:r w:rsidRPr="00753A59">
        <w:t xml:space="preserve"> de las </w:t>
      </w:r>
      <w:r w:rsidR="00A100BC" w:rsidRPr="00753A59">
        <w:t>P</w:t>
      </w:r>
      <w:r w:rsidRPr="00753A59">
        <w:t xml:space="preserve">ersonas con </w:t>
      </w:r>
      <w:r w:rsidR="00A100BC" w:rsidRPr="00753A59">
        <w:t>D</w:t>
      </w:r>
      <w:r w:rsidRPr="00753A59">
        <w:t xml:space="preserve">iscapacidad, Catalina Devandas-Aguilar, identifica las principales barreras y violaciones </w:t>
      </w:r>
      <w:r w:rsidR="00A100BC" w:rsidRPr="00753A59">
        <w:t xml:space="preserve">que </w:t>
      </w:r>
      <w:r w:rsidRPr="00753A59">
        <w:t>las niñas y jóvenes con discapacidad encuentr</w:t>
      </w:r>
      <w:r w:rsidR="00A100BC" w:rsidRPr="00753A59">
        <w:t>an</w:t>
      </w:r>
      <w:r w:rsidRPr="00753A59">
        <w:t xml:space="preserve"> tratando de ejercer sus derechos y salud sexual y reproductiva</w:t>
      </w:r>
      <w:r w:rsidR="00A100BC" w:rsidRPr="00753A59">
        <w:t>,</w:t>
      </w:r>
      <w:r w:rsidRPr="00753A59">
        <w:t xml:space="preserve"> y proporciona orientación a los Estados y ejemplos de buenas prácticas para garantizar la plena realización de estos derechos.</w:t>
      </w:r>
      <w:r w:rsidRPr="00753A59">
        <w:rPr>
          <w:rStyle w:val="EndnoteReference"/>
        </w:rPr>
        <w:endnoteReference w:id="1225"/>
      </w:r>
      <w:r w:rsidRPr="00753A59">
        <w:t xml:space="preserve"> </w:t>
      </w:r>
    </w:p>
    <w:p w14:paraId="6E7B25ED" w14:textId="7A6821F9" w:rsidR="0049019C" w:rsidRPr="00753A59" w:rsidRDefault="00CD0EAF" w:rsidP="00C97C1F">
      <w:pPr>
        <w:pStyle w:val="Heading3GeneralComments"/>
        <w:spacing w:before="140" w:after="40"/>
        <w:ind w:left="245" w:right="-302" w:hanging="245"/>
        <w:rPr>
          <w:spacing w:val="-4"/>
        </w:rPr>
      </w:pPr>
      <w:r w:rsidRPr="00753A59">
        <w:rPr>
          <w:spacing w:val="-4"/>
        </w:rPr>
        <w:t xml:space="preserve">Informe del </w:t>
      </w:r>
      <w:r w:rsidR="00A100BC" w:rsidRPr="00753A59">
        <w:rPr>
          <w:spacing w:val="-4"/>
        </w:rPr>
        <w:t>G</w:t>
      </w:r>
      <w:r w:rsidRPr="00753A59">
        <w:rPr>
          <w:spacing w:val="-4"/>
        </w:rPr>
        <w:t xml:space="preserve">rupo de </w:t>
      </w:r>
      <w:r w:rsidR="00A100BC" w:rsidRPr="00753A59">
        <w:rPr>
          <w:spacing w:val="-4"/>
        </w:rPr>
        <w:t>T</w:t>
      </w:r>
      <w:r w:rsidRPr="00753A59">
        <w:rPr>
          <w:spacing w:val="-4"/>
        </w:rPr>
        <w:t xml:space="preserve">rabajo sobre </w:t>
      </w:r>
      <w:r w:rsidR="00A100BC" w:rsidRPr="00753A59">
        <w:rPr>
          <w:spacing w:val="-4"/>
        </w:rPr>
        <w:t>D</w:t>
      </w:r>
      <w:r w:rsidRPr="00753A59">
        <w:rPr>
          <w:spacing w:val="-4"/>
        </w:rPr>
        <w:t>iscriminación contra la</w:t>
      </w:r>
      <w:r w:rsidR="00A100BC" w:rsidRPr="00753A59">
        <w:rPr>
          <w:spacing w:val="-4"/>
        </w:rPr>
        <w:t>s</w:t>
      </w:r>
      <w:r w:rsidRPr="00753A59">
        <w:rPr>
          <w:spacing w:val="-4"/>
        </w:rPr>
        <w:t xml:space="preserve"> </w:t>
      </w:r>
      <w:r w:rsidR="00A100BC" w:rsidRPr="00753A59">
        <w:rPr>
          <w:spacing w:val="-4"/>
        </w:rPr>
        <w:t>M</w:t>
      </w:r>
      <w:r w:rsidRPr="00753A59">
        <w:rPr>
          <w:spacing w:val="-4"/>
        </w:rPr>
        <w:t>ujer</w:t>
      </w:r>
      <w:r w:rsidR="00A100BC" w:rsidRPr="00753A59">
        <w:rPr>
          <w:spacing w:val="-4"/>
        </w:rPr>
        <w:t>es</w:t>
      </w:r>
      <w:r w:rsidRPr="00753A59">
        <w:rPr>
          <w:spacing w:val="-4"/>
        </w:rPr>
        <w:t xml:space="preserve"> en la </w:t>
      </w:r>
      <w:r w:rsidR="00A100BC" w:rsidRPr="00753A59">
        <w:rPr>
          <w:spacing w:val="-4"/>
        </w:rPr>
        <w:t>L</w:t>
      </w:r>
      <w:r w:rsidRPr="00753A59">
        <w:rPr>
          <w:spacing w:val="-4"/>
        </w:rPr>
        <w:t xml:space="preserve">egislación y la </w:t>
      </w:r>
      <w:r w:rsidR="00A100BC" w:rsidRPr="00753A59">
        <w:rPr>
          <w:spacing w:val="-4"/>
        </w:rPr>
        <w:t>P</w:t>
      </w:r>
      <w:r w:rsidRPr="00753A59">
        <w:rPr>
          <w:spacing w:val="-4"/>
        </w:rPr>
        <w:t xml:space="preserve">ráctica: </w:t>
      </w:r>
      <w:r w:rsidR="00A100BC" w:rsidRPr="00753A59">
        <w:rPr>
          <w:spacing w:val="-4"/>
        </w:rPr>
        <w:t>E</w:t>
      </w:r>
      <w:r w:rsidRPr="00753A59">
        <w:rPr>
          <w:spacing w:val="-4"/>
        </w:rPr>
        <w:t xml:space="preserve">liminación de la </w:t>
      </w:r>
      <w:r w:rsidR="00D15DFD">
        <w:rPr>
          <w:spacing w:val="-4"/>
        </w:rPr>
        <w:t>D</w:t>
      </w:r>
      <w:r w:rsidRPr="00753A59">
        <w:rPr>
          <w:spacing w:val="-4"/>
        </w:rPr>
        <w:t>iscriminación contra la</w:t>
      </w:r>
      <w:r w:rsidR="00A100BC" w:rsidRPr="00753A59">
        <w:rPr>
          <w:spacing w:val="-4"/>
        </w:rPr>
        <w:t>s</w:t>
      </w:r>
      <w:r w:rsidRPr="00753A59">
        <w:rPr>
          <w:spacing w:val="-4"/>
        </w:rPr>
        <w:t xml:space="preserve"> </w:t>
      </w:r>
      <w:r w:rsidR="00D15DFD">
        <w:rPr>
          <w:spacing w:val="-4"/>
        </w:rPr>
        <w:t>M</w:t>
      </w:r>
      <w:r w:rsidRPr="00753A59">
        <w:rPr>
          <w:spacing w:val="-4"/>
        </w:rPr>
        <w:t>ujer</w:t>
      </w:r>
      <w:r w:rsidR="00A100BC" w:rsidRPr="00753A59">
        <w:rPr>
          <w:spacing w:val="-4"/>
        </w:rPr>
        <w:t>es</w:t>
      </w:r>
      <w:r w:rsidRPr="00753A59">
        <w:rPr>
          <w:spacing w:val="-4"/>
        </w:rPr>
        <w:t xml:space="preserve"> en el </w:t>
      </w:r>
      <w:r w:rsidR="00D15DFD">
        <w:rPr>
          <w:spacing w:val="-4"/>
        </w:rPr>
        <w:t>Á</w:t>
      </w:r>
      <w:r w:rsidRPr="00753A59">
        <w:rPr>
          <w:spacing w:val="-4"/>
        </w:rPr>
        <w:t xml:space="preserve">rea de la </w:t>
      </w:r>
      <w:r w:rsidR="00D15DFD">
        <w:rPr>
          <w:spacing w:val="-4"/>
        </w:rPr>
        <w:t>S</w:t>
      </w:r>
      <w:r w:rsidRPr="00753A59">
        <w:rPr>
          <w:spacing w:val="-4"/>
        </w:rPr>
        <w:t xml:space="preserve">alud y </w:t>
      </w:r>
      <w:r w:rsidR="00D15DFD">
        <w:rPr>
          <w:spacing w:val="-4"/>
        </w:rPr>
        <w:t>S</w:t>
      </w:r>
      <w:r w:rsidRPr="00753A59">
        <w:rPr>
          <w:spacing w:val="-4"/>
        </w:rPr>
        <w:t xml:space="preserve">eguridad, con un </w:t>
      </w:r>
      <w:r w:rsidR="00D15DFD">
        <w:rPr>
          <w:spacing w:val="-4"/>
        </w:rPr>
        <w:t>E</w:t>
      </w:r>
      <w:r w:rsidRPr="00753A59">
        <w:rPr>
          <w:spacing w:val="-4"/>
        </w:rPr>
        <w:t xml:space="preserve">nfoque en la </w:t>
      </w:r>
      <w:r w:rsidR="00D15DFD">
        <w:rPr>
          <w:spacing w:val="-4"/>
        </w:rPr>
        <w:t>I</w:t>
      </w:r>
      <w:r w:rsidRPr="00753A59">
        <w:rPr>
          <w:spacing w:val="-4"/>
        </w:rPr>
        <w:t xml:space="preserve">nstrumentalización de los </w:t>
      </w:r>
      <w:r w:rsidR="00D15DFD">
        <w:rPr>
          <w:spacing w:val="-4"/>
        </w:rPr>
        <w:t>C</w:t>
      </w:r>
      <w:r w:rsidRPr="00753A59">
        <w:rPr>
          <w:spacing w:val="-4"/>
        </w:rPr>
        <w:t xml:space="preserve">uerpos de las </w:t>
      </w:r>
      <w:r w:rsidR="00D15DFD">
        <w:rPr>
          <w:spacing w:val="-4"/>
        </w:rPr>
        <w:t>M</w:t>
      </w:r>
      <w:r w:rsidRPr="00753A59">
        <w:rPr>
          <w:spacing w:val="-4"/>
        </w:rPr>
        <w:t>ujeres (2016)</w:t>
      </w:r>
    </w:p>
    <w:p w14:paraId="73851A64" w14:textId="073ED62A" w:rsidR="0049019C" w:rsidRPr="00753A59" w:rsidRDefault="00CD0EAF" w:rsidP="00C97C1F">
      <w:pPr>
        <w:pStyle w:val="indentedafterbulletp"/>
        <w:spacing w:after="120"/>
        <w:ind w:left="259" w:right="-43"/>
      </w:pPr>
      <w:r w:rsidRPr="00753A59">
        <w:t xml:space="preserve">En su informe temático de 2016, el </w:t>
      </w:r>
      <w:r w:rsidR="00A100BC" w:rsidRPr="00753A59">
        <w:t>G</w:t>
      </w:r>
      <w:r w:rsidRPr="00753A59">
        <w:t xml:space="preserve">rupo de </w:t>
      </w:r>
      <w:r w:rsidR="00A100BC" w:rsidRPr="00753A59">
        <w:t>T</w:t>
      </w:r>
      <w:r w:rsidRPr="00753A59">
        <w:t xml:space="preserve">rabajo sobre </w:t>
      </w:r>
      <w:r w:rsidR="00A100BC" w:rsidRPr="00753A59">
        <w:t>D</w:t>
      </w:r>
      <w:r w:rsidRPr="00753A59">
        <w:t>iscriminación contra la</w:t>
      </w:r>
      <w:r w:rsidR="00A100BC" w:rsidRPr="00753A59">
        <w:t>s</w:t>
      </w:r>
      <w:r w:rsidRPr="00753A59">
        <w:t xml:space="preserve"> </w:t>
      </w:r>
      <w:r w:rsidR="00A100BC" w:rsidRPr="00753A59">
        <w:t>M</w:t>
      </w:r>
      <w:r w:rsidRPr="00753A59">
        <w:t>ujer</w:t>
      </w:r>
      <w:r w:rsidR="00A100BC" w:rsidRPr="00753A59">
        <w:t>es</w:t>
      </w:r>
      <w:r w:rsidRPr="00753A59">
        <w:t xml:space="preserve"> en la </w:t>
      </w:r>
      <w:r w:rsidR="00A100BC" w:rsidRPr="00753A59">
        <w:t>L</w:t>
      </w:r>
      <w:r w:rsidRPr="00753A59">
        <w:t xml:space="preserve">egislación y la </w:t>
      </w:r>
      <w:r w:rsidR="00A100BC" w:rsidRPr="00753A59">
        <w:t>P</w:t>
      </w:r>
      <w:r w:rsidRPr="00753A59">
        <w:t>ráctica (</w:t>
      </w:r>
      <w:r w:rsidR="00A100BC" w:rsidRPr="00753A59">
        <w:t>G</w:t>
      </w:r>
      <w:r w:rsidRPr="00753A59">
        <w:t xml:space="preserve">rupo </w:t>
      </w:r>
      <w:r w:rsidR="00A100BC" w:rsidRPr="00753A59">
        <w:t>de T</w:t>
      </w:r>
      <w:r w:rsidRPr="00753A59">
        <w:t xml:space="preserve">rabajo) examina la discriminación en salud y particularmente </w:t>
      </w:r>
      <w:r w:rsidR="00A100BC" w:rsidRPr="00753A59">
        <w:t xml:space="preserve">en derechos </w:t>
      </w:r>
      <w:r w:rsidRPr="00753A59">
        <w:t>sexuales y reproductivos y la instrumentalización de los cuerpos de las mujeres,</w:t>
      </w:r>
      <w:r w:rsidRPr="00753A59">
        <w:rPr>
          <w:rStyle w:val="EndnoteReference"/>
        </w:rPr>
        <w:endnoteReference w:id="1226"/>
      </w:r>
      <w:r w:rsidRPr="00753A59">
        <w:t xml:space="preserve"> inclu</w:t>
      </w:r>
      <w:r w:rsidR="00A100BC" w:rsidRPr="00753A59">
        <w:t>yendo</w:t>
      </w:r>
      <w:r w:rsidRPr="00753A59">
        <w:t xml:space="preserve"> las mujeres y las niñas con discapacidad.</w:t>
      </w:r>
      <w:r w:rsidRPr="00753A59">
        <w:rPr>
          <w:rStyle w:val="EndnoteReference"/>
        </w:rPr>
        <w:endnoteReference w:id="1227"/>
      </w:r>
      <w:r w:rsidRPr="00753A59">
        <w:t xml:space="preserve">  </w:t>
      </w:r>
    </w:p>
    <w:p w14:paraId="75033BA4" w14:textId="07EC3B88" w:rsidR="0049019C" w:rsidRPr="00753A59" w:rsidRDefault="00CD0EAF" w:rsidP="00C97C1F">
      <w:pPr>
        <w:pStyle w:val="Heading3GeneralComments"/>
        <w:spacing w:before="140" w:after="40"/>
        <w:ind w:left="245" w:right="-43" w:hanging="216"/>
        <w:rPr>
          <w:spacing w:val="-3"/>
        </w:rPr>
      </w:pPr>
      <w:r w:rsidRPr="00753A59">
        <w:rPr>
          <w:spacing w:val="-3"/>
        </w:rPr>
        <w:t xml:space="preserve">Informe del Relator Especial sobre la </w:t>
      </w:r>
      <w:r w:rsidR="00A100BC" w:rsidRPr="00753A59">
        <w:rPr>
          <w:spacing w:val="-3"/>
        </w:rPr>
        <w:t>S</w:t>
      </w:r>
      <w:r w:rsidRPr="00753A59">
        <w:rPr>
          <w:spacing w:val="-3"/>
        </w:rPr>
        <w:t xml:space="preserve">alud: </w:t>
      </w:r>
      <w:r w:rsidR="00A100BC" w:rsidRPr="00753A59">
        <w:rPr>
          <w:spacing w:val="-3"/>
        </w:rPr>
        <w:t>S</w:t>
      </w:r>
      <w:r w:rsidRPr="00753A59">
        <w:rPr>
          <w:spacing w:val="-3"/>
        </w:rPr>
        <w:t>alud de los</w:t>
      </w:r>
      <w:r w:rsidR="002166B8" w:rsidRPr="00753A59">
        <w:rPr>
          <w:spacing w:val="-3"/>
        </w:rPr>
        <w:t xml:space="preserve"> </w:t>
      </w:r>
      <w:r w:rsidR="00A100BC" w:rsidRPr="00753A59">
        <w:rPr>
          <w:spacing w:val="-3"/>
        </w:rPr>
        <w:t xml:space="preserve">y las </w:t>
      </w:r>
      <w:r w:rsidR="00D15DFD">
        <w:rPr>
          <w:spacing w:val="-3"/>
        </w:rPr>
        <w:t>A</w:t>
      </w:r>
      <w:r w:rsidRPr="00753A59">
        <w:rPr>
          <w:spacing w:val="-3"/>
        </w:rPr>
        <w:t>dolescentes (2016)</w:t>
      </w:r>
    </w:p>
    <w:p w14:paraId="52AD2520" w14:textId="10AAC43B" w:rsidR="0049019C" w:rsidRPr="00753A59" w:rsidRDefault="00CD0EAF" w:rsidP="00C97C1F">
      <w:pPr>
        <w:pStyle w:val="indentedafterbulletp"/>
        <w:spacing w:after="120"/>
        <w:ind w:left="259" w:right="-43"/>
        <w:rPr>
          <w:rFonts w:eastAsia="Times New Roman" w:cs="Times New Roman"/>
        </w:rPr>
      </w:pPr>
      <w:r w:rsidRPr="00753A59">
        <w:t xml:space="preserve">En su informe de 2016 sobre el derecho a la salud para adolescentes, el Relator Especial de Naciones Unidas sobre el </w:t>
      </w:r>
      <w:r w:rsidR="00A100BC" w:rsidRPr="00753A59">
        <w:t>D</w:t>
      </w:r>
      <w:r w:rsidRPr="00753A59">
        <w:t xml:space="preserve">erecho al </w:t>
      </w:r>
      <w:r w:rsidR="00A100BC" w:rsidRPr="00753A59">
        <w:t>M</w:t>
      </w:r>
      <w:r w:rsidRPr="00753A59">
        <w:t>áxim</w:t>
      </w:r>
      <w:r w:rsidR="00A100BC" w:rsidRPr="00753A59">
        <w:t>o</w:t>
      </w:r>
      <w:r w:rsidRPr="00753A59">
        <w:t xml:space="preserve"> </w:t>
      </w:r>
      <w:r w:rsidR="00A100BC" w:rsidRPr="00753A59">
        <w:t xml:space="preserve">Estándar </w:t>
      </w:r>
      <w:r w:rsidRPr="00753A59">
        <w:t>alcanzable de la</w:t>
      </w:r>
      <w:r w:rsidR="00A100BC" w:rsidRPr="00753A59">
        <w:t xml:space="preserve"> Salud</w:t>
      </w:r>
      <w:r w:rsidRPr="00753A59">
        <w:t xml:space="preserve"> </w:t>
      </w:r>
      <w:r w:rsidR="00A100BC" w:rsidRPr="00753A59">
        <w:t>F</w:t>
      </w:r>
      <w:r w:rsidRPr="00753A59">
        <w:t xml:space="preserve">ísica y Mental, Dainius Puras, aborda la discriminación </w:t>
      </w:r>
      <w:r w:rsidR="00A100BC" w:rsidRPr="00753A59">
        <w:t xml:space="preserve">que </w:t>
      </w:r>
      <w:r w:rsidRPr="00753A59">
        <w:t xml:space="preserve">adolescentes, incluidos adolescentes con discapacidad, </w:t>
      </w:r>
      <w:r w:rsidR="00A100BC" w:rsidRPr="00753A59">
        <w:t xml:space="preserve">enfrentan </w:t>
      </w:r>
      <w:r w:rsidRPr="00753A59">
        <w:t>que afecta el acceso a información sobre salud sexual y reproductiva, bienes y servicios, dando por resultado violaciones de su derecho a la salud.</w:t>
      </w:r>
      <w:r w:rsidRPr="00753A59">
        <w:rPr>
          <w:rStyle w:val="EndnoteReference"/>
        </w:rPr>
        <w:endnoteReference w:id="1228"/>
      </w:r>
      <w:r w:rsidRPr="00753A59">
        <w:t xml:space="preserve"> </w:t>
      </w:r>
    </w:p>
    <w:p w14:paraId="67A4CC46" w14:textId="5F23B9C0" w:rsidR="0049019C" w:rsidRPr="00753A59" w:rsidRDefault="00CD0EAF" w:rsidP="00C97C1F">
      <w:pPr>
        <w:pStyle w:val="Heading3GeneralComments"/>
        <w:spacing w:before="140" w:after="40"/>
        <w:ind w:left="244" w:right="-43" w:hanging="230"/>
        <w:rPr>
          <w:spacing w:val="-3"/>
        </w:rPr>
      </w:pPr>
      <w:r w:rsidRPr="00753A59">
        <w:rPr>
          <w:spacing w:val="-3"/>
        </w:rPr>
        <w:t xml:space="preserve">Informe del Relator Especial sobre la </w:t>
      </w:r>
      <w:r w:rsidR="00A100BC" w:rsidRPr="00753A59">
        <w:rPr>
          <w:spacing w:val="-3"/>
        </w:rPr>
        <w:t>T</w:t>
      </w:r>
      <w:r w:rsidRPr="00753A59">
        <w:rPr>
          <w:spacing w:val="-3"/>
        </w:rPr>
        <w:t xml:space="preserve">ortura: </w:t>
      </w:r>
      <w:r w:rsidR="00A100BC" w:rsidRPr="00753A59">
        <w:rPr>
          <w:spacing w:val="-3"/>
        </w:rPr>
        <w:t>T</w:t>
      </w:r>
      <w:r w:rsidRPr="00753A59">
        <w:rPr>
          <w:spacing w:val="-3"/>
        </w:rPr>
        <w:t xml:space="preserve">ortura en </w:t>
      </w:r>
      <w:r w:rsidR="00A100BC" w:rsidRPr="00753A59">
        <w:rPr>
          <w:spacing w:val="-3"/>
        </w:rPr>
        <w:t>E</w:t>
      </w:r>
      <w:r w:rsidRPr="00753A59">
        <w:rPr>
          <w:spacing w:val="-3"/>
        </w:rPr>
        <w:t xml:space="preserve">ntornos de </w:t>
      </w:r>
      <w:r w:rsidR="00A100BC" w:rsidRPr="00753A59">
        <w:rPr>
          <w:spacing w:val="-3"/>
        </w:rPr>
        <w:t>S</w:t>
      </w:r>
      <w:r w:rsidRPr="00753A59">
        <w:rPr>
          <w:spacing w:val="-3"/>
        </w:rPr>
        <w:t>alud (2013)</w:t>
      </w:r>
    </w:p>
    <w:p w14:paraId="291FC85E" w14:textId="0236BD0A" w:rsidR="0049019C" w:rsidRPr="00753A59" w:rsidRDefault="00CD0EAF" w:rsidP="00C97C1F">
      <w:pPr>
        <w:pStyle w:val="indentedafterbulletp"/>
        <w:spacing w:after="160"/>
        <w:ind w:left="245" w:right="-43"/>
      </w:pPr>
      <w:r w:rsidRPr="00753A59">
        <w:t xml:space="preserve">En su Informe </w:t>
      </w:r>
      <w:r w:rsidR="006D60DF" w:rsidRPr="00753A59">
        <w:t xml:space="preserve">2013 </w:t>
      </w:r>
      <w:r w:rsidRPr="00753A59">
        <w:t xml:space="preserve">sobre la tortura en entornos de </w:t>
      </w:r>
      <w:r w:rsidR="006D60DF" w:rsidRPr="00753A59">
        <w:t>salud</w:t>
      </w:r>
      <w:r w:rsidRPr="00753A59">
        <w:t xml:space="preserve">, el Relator Especial ONU sobre </w:t>
      </w:r>
      <w:r w:rsidR="006D60DF" w:rsidRPr="00753A59">
        <w:t>T</w:t>
      </w:r>
      <w:r w:rsidRPr="00753A59">
        <w:t xml:space="preserve">ortura, Juan Méndez, resume las conclusiones de los órganos de tratados, tribunales y otros procedimientos especiales sobre el dolor y sufrimiento </w:t>
      </w:r>
      <w:r w:rsidR="006D60DF" w:rsidRPr="00753A59">
        <w:t xml:space="preserve">que </w:t>
      </w:r>
      <w:r w:rsidRPr="00753A59">
        <w:t>las mujeres puede</w:t>
      </w:r>
      <w:r w:rsidR="006D60DF" w:rsidRPr="00753A59">
        <w:t>n</w:t>
      </w:r>
      <w:r w:rsidRPr="00753A59">
        <w:t xml:space="preserve"> experimentar en servicios de salud reproductiva</w:t>
      </w:r>
      <w:r w:rsidR="006D60DF" w:rsidRPr="00753A59">
        <w:t>,</w:t>
      </w:r>
      <w:r w:rsidRPr="00753A59">
        <w:t xml:space="preserve"> causado con frecuencia sobre la base de género</w:t>
      </w:r>
      <w:r w:rsidR="006D60DF" w:rsidRPr="00753A59">
        <w:t>,</w:t>
      </w:r>
      <w:r w:rsidRPr="00753A59">
        <w:t xml:space="preserve"> y los derechos de las personas con discapacidad a ser libre</w:t>
      </w:r>
      <w:r w:rsidR="006D60DF" w:rsidRPr="00753A59">
        <w:t>s</w:t>
      </w:r>
      <w:r w:rsidRPr="00753A59">
        <w:t xml:space="preserve"> de intervenciones médicas forz</w:t>
      </w:r>
      <w:r w:rsidR="006D60DF" w:rsidRPr="00753A59">
        <w:t>ad</w:t>
      </w:r>
      <w:r w:rsidRPr="00753A59">
        <w:t>as.</w:t>
      </w:r>
      <w:r w:rsidRPr="00753A59">
        <w:rPr>
          <w:rStyle w:val="EndnoteReference"/>
        </w:rPr>
        <w:endnoteReference w:id="1229"/>
      </w:r>
      <w:r w:rsidRPr="00753A59">
        <w:t xml:space="preserve"> </w:t>
      </w:r>
    </w:p>
    <w:p w14:paraId="6B4B3F81" w14:textId="3687476F" w:rsidR="0049019C" w:rsidRPr="00753A59" w:rsidRDefault="00CD0EAF" w:rsidP="00C97C1F">
      <w:pPr>
        <w:pStyle w:val="Heading3GeneralComments"/>
        <w:spacing w:before="140" w:after="40"/>
        <w:ind w:left="259" w:right="-43" w:hanging="259"/>
        <w:rPr>
          <w:spacing w:val="-3"/>
        </w:rPr>
      </w:pPr>
      <w:r w:rsidRPr="00753A59">
        <w:rPr>
          <w:spacing w:val="-3"/>
        </w:rPr>
        <w:t>Informe de</w:t>
      </w:r>
      <w:r w:rsidR="006D60DF" w:rsidRPr="00753A59">
        <w:rPr>
          <w:spacing w:val="-3"/>
        </w:rPr>
        <w:t xml:space="preserve"> </w:t>
      </w:r>
      <w:r w:rsidRPr="00753A59">
        <w:rPr>
          <w:spacing w:val="-3"/>
        </w:rPr>
        <w:t>l</w:t>
      </w:r>
      <w:r w:rsidR="006D60DF" w:rsidRPr="00753A59">
        <w:rPr>
          <w:spacing w:val="-3"/>
        </w:rPr>
        <w:t>a</w:t>
      </w:r>
      <w:r w:rsidRPr="00753A59">
        <w:rPr>
          <w:spacing w:val="-3"/>
        </w:rPr>
        <w:t xml:space="preserve"> Relator</w:t>
      </w:r>
      <w:r w:rsidR="006D60DF" w:rsidRPr="00753A59">
        <w:rPr>
          <w:spacing w:val="-3"/>
        </w:rPr>
        <w:t>a</w:t>
      </w:r>
      <w:r w:rsidRPr="00753A59">
        <w:rPr>
          <w:spacing w:val="-3"/>
        </w:rPr>
        <w:t xml:space="preserve"> Especial sobre la </w:t>
      </w:r>
      <w:r w:rsidR="006D60DF" w:rsidRPr="00753A59">
        <w:rPr>
          <w:spacing w:val="-3"/>
        </w:rPr>
        <w:t>V</w:t>
      </w:r>
      <w:r w:rsidRPr="00753A59">
        <w:rPr>
          <w:spacing w:val="-3"/>
        </w:rPr>
        <w:t xml:space="preserve">iolencia contra las </w:t>
      </w:r>
      <w:r w:rsidR="006D60DF" w:rsidRPr="00753A59">
        <w:rPr>
          <w:spacing w:val="-3"/>
        </w:rPr>
        <w:t>M</w:t>
      </w:r>
      <w:r w:rsidRPr="00753A59">
        <w:rPr>
          <w:spacing w:val="-3"/>
        </w:rPr>
        <w:t xml:space="preserve">ujeres: </w:t>
      </w:r>
      <w:r w:rsidR="006D60DF" w:rsidRPr="00753A59">
        <w:rPr>
          <w:spacing w:val="-3"/>
        </w:rPr>
        <w:t>L</w:t>
      </w:r>
      <w:r w:rsidRPr="00753A59">
        <w:rPr>
          <w:spacing w:val="-3"/>
        </w:rPr>
        <w:t xml:space="preserve">as </w:t>
      </w:r>
      <w:r w:rsidR="006D60DF" w:rsidRPr="00753A59">
        <w:rPr>
          <w:spacing w:val="-3"/>
        </w:rPr>
        <w:t>M</w:t>
      </w:r>
      <w:r w:rsidRPr="00753A59">
        <w:rPr>
          <w:spacing w:val="-3"/>
        </w:rPr>
        <w:t xml:space="preserve">ujeres con </w:t>
      </w:r>
      <w:r w:rsidR="006D60DF" w:rsidRPr="00753A59">
        <w:rPr>
          <w:spacing w:val="-3"/>
        </w:rPr>
        <w:t>D</w:t>
      </w:r>
      <w:r w:rsidRPr="00753A59">
        <w:rPr>
          <w:spacing w:val="-3"/>
        </w:rPr>
        <w:t>iscapacidad (2012)</w:t>
      </w:r>
    </w:p>
    <w:p w14:paraId="0B913D8E" w14:textId="08FEE58E" w:rsidR="0049019C" w:rsidRPr="00753A59" w:rsidRDefault="00CD0EAF" w:rsidP="00C97C1F">
      <w:pPr>
        <w:pStyle w:val="indentedafterbulletp"/>
        <w:spacing w:after="120"/>
        <w:ind w:left="274" w:right="-43"/>
      </w:pPr>
      <w:r w:rsidRPr="00753A59">
        <w:t>En su informe 2012 sobre violencia contra las mujeres y las niñas con discapacidad, l</w:t>
      </w:r>
      <w:r w:rsidR="006D60DF" w:rsidRPr="00753A59">
        <w:t>a</w:t>
      </w:r>
      <w:r w:rsidRPr="00753A59">
        <w:t xml:space="preserve"> anterior Relator</w:t>
      </w:r>
      <w:r w:rsidR="006D60DF" w:rsidRPr="00753A59">
        <w:t>a</w:t>
      </w:r>
      <w:r w:rsidRPr="00753A59">
        <w:t xml:space="preserve"> Especial de Naciones Unidas sobre la </w:t>
      </w:r>
      <w:r w:rsidR="006D60DF" w:rsidRPr="00753A59">
        <w:t>V</w:t>
      </w:r>
      <w:r w:rsidRPr="00753A59">
        <w:t xml:space="preserve">iolencia contra las </w:t>
      </w:r>
      <w:r w:rsidR="006D60DF" w:rsidRPr="00753A59">
        <w:t>M</w:t>
      </w:r>
      <w:r w:rsidRPr="00753A59">
        <w:t xml:space="preserve">ujeres, sus </w:t>
      </w:r>
      <w:r w:rsidR="006D60DF" w:rsidRPr="00753A59">
        <w:t>C</w:t>
      </w:r>
      <w:r w:rsidRPr="00753A59">
        <w:t xml:space="preserve">ausas y </w:t>
      </w:r>
      <w:r w:rsidR="006D60DF" w:rsidRPr="00753A59">
        <w:t>C</w:t>
      </w:r>
      <w:r w:rsidRPr="00753A59">
        <w:t xml:space="preserve">onsecuencias, Rashida Manjoo, aborda los estereotipos y la discriminación que enfrentan las mujeres con discapacidad </w:t>
      </w:r>
      <w:r w:rsidR="006D60DF" w:rsidRPr="00753A59">
        <w:t xml:space="preserve">que </w:t>
      </w:r>
      <w:r w:rsidRPr="00753A59">
        <w:t>limita</w:t>
      </w:r>
      <w:r w:rsidR="006D60DF" w:rsidRPr="00753A59">
        <w:t>n</w:t>
      </w:r>
      <w:r w:rsidRPr="00753A59">
        <w:t xml:space="preserve"> su acceso a la salud sexual y reproductiva y conduce a intervenciones de salud reproductiva</w:t>
      </w:r>
      <w:r w:rsidR="006D60DF" w:rsidRPr="00753A59">
        <w:t xml:space="preserve"> forzadas</w:t>
      </w:r>
      <w:r w:rsidRPr="00753A59">
        <w:t>.</w:t>
      </w:r>
      <w:r w:rsidRPr="00753A59">
        <w:rPr>
          <w:rStyle w:val="EndnoteReference"/>
        </w:rPr>
        <w:endnoteReference w:id="1230"/>
      </w:r>
      <w:r w:rsidRPr="00753A59">
        <w:t xml:space="preserve"> </w:t>
      </w:r>
    </w:p>
    <w:p w14:paraId="538A6DAF" w14:textId="44A79AE3" w:rsidR="0049019C" w:rsidRPr="00753A59" w:rsidRDefault="00CD0EAF" w:rsidP="00C97C1F">
      <w:pPr>
        <w:pStyle w:val="Heading3GeneralComments"/>
        <w:spacing w:before="140" w:after="40"/>
        <w:ind w:left="259" w:right="-43" w:hanging="259"/>
        <w:rPr>
          <w:spacing w:val="-3"/>
        </w:rPr>
      </w:pPr>
      <w:r w:rsidRPr="00753A59">
        <w:rPr>
          <w:spacing w:val="-3"/>
        </w:rPr>
        <w:t xml:space="preserve">Informe del Relator Especial sobre la </w:t>
      </w:r>
      <w:r w:rsidR="006D60DF" w:rsidRPr="00753A59">
        <w:rPr>
          <w:spacing w:val="-3"/>
        </w:rPr>
        <w:t>E</w:t>
      </w:r>
      <w:r w:rsidRPr="00753A59">
        <w:rPr>
          <w:spacing w:val="-3"/>
        </w:rPr>
        <w:t>ducación: Educación Sexual (2010)</w:t>
      </w:r>
    </w:p>
    <w:p w14:paraId="61381C77" w14:textId="16593AD7" w:rsidR="0049019C" w:rsidRPr="00753A59" w:rsidRDefault="00CD0EAF" w:rsidP="00C97C1F">
      <w:pPr>
        <w:pStyle w:val="indentedafterbulletp"/>
        <w:spacing w:after="120"/>
        <w:ind w:left="259" w:right="-43"/>
      </w:pPr>
      <w:r w:rsidRPr="00753A59">
        <w:t>En su informe anual</w:t>
      </w:r>
      <w:r w:rsidR="006D60DF" w:rsidRPr="00753A59">
        <w:t xml:space="preserve"> 2010</w:t>
      </w:r>
      <w:r w:rsidRPr="00753A59">
        <w:t xml:space="preserve">, </w:t>
      </w:r>
      <w:r w:rsidR="006D60DF" w:rsidRPr="00753A59">
        <w:t xml:space="preserve">el </w:t>
      </w:r>
      <w:r w:rsidR="009C6279">
        <w:t>anterior</w:t>
      </w:r>
      <w:r w:rsidR="009C6279" w:rsidRPr="00753A59">
        <w:t xml:space="preserve"> </w:t>
      </w:r>
      <w:r w:rsidRPr="00753A59">
        <w:t xml:space="preserve">Relator Especial de Naciones Unidas sobre el </w:t>
      </w:r>
      <w:r w:rsidR="006D60DF" w:rsidRPr="00753A59">
        <w:t>D</w:t>
      </w:r>
      <w:r w:rsidRPr="00753A59">
        <w:t xml:space="preserve">erecho a la </w:t>
      </w:r>
      <w:r w:rsidR="006D60DF" w:rsidRPr="00753A59">
        <w:t>E</w:t>
      </w:r>
      <w:r w:rsidRPr="00753A59">
        <w:t xml:space="preserve">ducación, Vernor Muñoz, se centra en el derecho y el contenido de </w:t>
      </w:r>
      <w:r w:rsidR="006D60DF" w:rsidRPr="00753A59">
        <w:t xml:space="preserve">la </w:t>
      </w:r>
      <w:r w:rsidRPr="00753A59">
        <w:t>educación sexual integral.</w:t>
      </w:r>
      <w:r w:rsidRPr="00753A59">
        <w:rPr>
          <w:rStyle w:val="EndnoteReference"/>
        </w:rPr>
        <w:endnoteReference w:id="1231"/>
      </w:r>
      <w:r w:rsidRPr="00753A59">
        <w:t xml:space="preserve"> </w:t>
      </w:r>
    </w:p>
    <w:p w14:paraId="2A05B1E0" w14:textId="1222E6B0" w:rsidR="0049019C" w:rsidRPr="00753A59" w:rsidRDefault="00CD0EAF" w:rsidP="00C97C1F">
      <w:pPr>
        <w:pStyle w:val="Heading3GeneralComments"/>
        <w:spacing w:before="140" w:after="40"/>
        <w:ind w:left="274" w:right="-43" w:hanging="274"/>
        <w:rPr>
          <w:spacing w:val="-3"/>
        </w:rPr>
      </w:pPr>
      <w:r w:rsidRPr="00753A59">
        <w:rPr>
          <w:spacing w:val="-3"/>
        </w:rPr>
        <w:t xml:space="preserve">Informe del Relator Especial sobre la </w:t>
      </w:r>
      <w:r w:rsidR="006D60DF" w:rsidRPr="00753A59">
        <w:rPr>
          <w:spacing w:val="-3"/>
        </w:rPr>
        <w:t>S</w:t>
      </w:r>
      <w:r w:rsidRPr="00753A59">
        <w:rPr>
          <w:spacing w:val="-3"/>
        </w:rPr>
        <w:t xml:space="preserve">alud: </w:t>
      </w:r>
      <w:r w:rsidR="006D60DF" w:rsidRPr="00753A59">
        <w:rPr>
          <w:spacing w:val="-3"/>
        </w:rPr>
        <w:t>M</w:t>
      </w:r>
      <w:r w:rsidRPr="00753A59">
        <w:rPr>
          <w:spacing w:val="-3"/>
        </w:rPr>
        <w:t xml:space="preserve">ortalidad </w:t>
      </w:r>
      <w:r w:rsidR="006D60DF" w:rsidRPr="00753A59">
        <w:rPr>
          <w:spacing w:val="-3"/>
        </w:rPr>
        <w:t>M</w:t>
      </w:r>
      <w:r w:rsidRPr="00753A59">
        <w:rPr>
          <w:spacing w:val="-3"/>
        </w:rPr>
        <w:t xml:space="preserve">aterna y </w:t>
      </w:r>
      <w:r w:rsidR="006D60DF" w:rsidRPr="00753A59">
        <w:rPr>
          <w:spacing w:val="-3"/>
        </w:rPr>
        <w:t>D</w:t>
      </w:r>
      <w:r w:rsidRPr="00753A59">
        <w:rPr>
          <w:spacing w:val="-3"/>
        </w:rPr>
        <w:t xml:space="preserve">erechos </w:t>
      </w:r>
      <w:r w:rsidR="006D60DF" w:rsidRPr="00753A59">
        <w:rPr>
          <w:spacing w:val="-3"/>
        </w:rPr>
        <w:t>H</w:t>
      </w:r>
      <w:r w:rsidRPr="00753A59">
        <w:rPr>
          <w:spacing w:val="-3"/>
        </w:rPr>
        <w:t>umanos (2006)</w:t>
      </w:r>
    </w:p>
    <w:p w14:paraId="79FDB033" w14:textId="63873F7D" w:rsidR="0073024D" w:rsidRPr="00753A59" w:rsidRDefault="00CD0EAF" w:rsidP="00C97C1F">
      <w:pPr>
        <w:pStyle w:val="indentedafterbulletp"/>
        <w:keepLines/>
        <w:widowControl w:val="0"/>
        <w:spacing w:after="0"/>
        <w:ind w:left="302" w:right="-43" w:hanging="14"/>
      </w:pPr>
      <w:r w:rsidRPr="00753A59">
        <w:t xml:space="preserve">En su informe de 2006 a la Asamblea General, el anterior Relator Especial de la ONU sobre </w:t>
      </w:r>
      <w:r w:rsidR="006D60DF" w:rsidRPr="00753A59">
        <w:t>el D</w:t>
      </w:r>
      <w:r w:rsidRPr="00753A59">
        <w:t>erecho a</w:t>
      </w:r>
      <w:r w:rsidR="006D60DF" w:rsidRPr="00753A59">
        <w:t>l</w:t>
      </w:r>
      <w:r w:rsidRPr="00753A59">
        <w:t xml:space="preserve"> </w:t>
      </w:r>
      <w:r w:rsidR="006D60DF" w:rsidRPr="00753A59">
        <w:t>E</w:t>
      </w:r>
      <w:r w:rsidRPr="00753A59">
        <w:t xml:space="preserve">stándar </w:t>
      </w:r>
      <w:r w:rsidR="006D60DF" w:rsidRPr="00753A59">
        <w:t xml:space="preserve">Más Alto Alcanzable </w:t>
      </w:r>
      <w:r w:rsidRPr="00753A59">
        <w:t>de la</w:t>
      </w:r>
      <w:r w:rsidR="006D60DF" w:rsidRPr="00753A59">
        <w:t xml:space="preserve"> Salud</w:t>
      </w:r>
      <w:r w:rsidRPr="00753A59">
        <w:t xml:space="preserve"> </w:t>
      </w:r>
      <w:r w:rsidR="006D60DF" w:rsidRPr="00753A59">
        <w:t>F</w:t>
      </w:r>
      <w:r w:rsidRPr="00753A59">
        <w:t>ísica y</w:t>
      </w:r>
      <w:r w:rsidR="00C97C1F">
        <w:t xml:space="preserve"> </w:t>
      </w:r>
      <w:r w:rsidRPr="00753A59">
        <w:t xml:space="preserve">Mental, Paul Hunt, explora las cuestiones de derechos humanos alrededor de la mortalidad materna, en el marco </w:t>
      </w:r>
      <w:r w:rsidR="006D60DF" w:rsidRPr="00753A59">
        <w:t xml:space="preserve">de los </w:t>
      </w:r>
      <w:r w:rsidRPr="00753A59">
        <w:t xml:space="preserve">Objetivos de </w:t>
      </w:r>
      <w:r w:rsidR="006D60DF" w:rsidRPr="00753A59">
        <w:t>D</w:t>
      </w:r>
      <w:r w:rsidRPr="00753A59">
        <w:t>esarrollo del Milenio</w:t>
      </w:r>
      <w:r w:rsidR="006D60DF" w:rsidRPr="00753A59">
        <w:t xml:space="preserve"> de la ONU</w:t>
      </w:r>
      <w:r w:rsidRPr="00753A59">
        <w:t>.</w:t>
      </w:r>
      <w:r w:rsidRPr="00753A59">
        <w:rPr>
          <w:rStyle w:val="EndnoteReference"/>
        </w:rPr>
        <w:endnoteReference w:id="1232"/>
      </w:r>
      <w:r w:rsidRPr="00753A59">
        <w:t xml:space="preserve"> </w:t>
      </w:r>
      <w:bookmarkStart w:id="103" w:name="_GoBack"/>
      <w:bookmarkEnd w:id="103"/>
      <w:commentRangeStart w:id="104"/>
      <w:commentRangeEnd w:id="104"/>
    </w:p>
    <w:p w14:paraId="735E987B" w14:textId="77777777" w:rsidR="001213FD" w:rsidRDefault="001213FD" w:rsidP="0073024D">
      <w:pPr>
        <w:pStyle w:val="indentedafterbulletp"/>
        <w:ind w:left="216" w:hanging="9"/>
        <w:sectPr w:rsidR="001213FD" w:rsidSect="007D1DDC">
          <w:headerReference w:type="default" r:id="rId21"/>
          <w:footerReference w:type="even" r:id="rId22"/>
          <w:footerReference w:type="default" r:id="rId23"/>
          <w:footnotePr>
            <w:numFmt w:val="chicago"/>
          </w:footnotePr>
          <w:endnotePr>
            <w:numFmt w:val="decimal"/>
          </w:endnotePr>
          <w:type w:val="continuous"/>
          <w:pgSz w:w="12240" w:h="15840"/>
          <w:pgMar w:top="981" w:right="1008" w:bottom="1170" w:left="1008" w:header="720" w:footer="720" w:gutter="0"/>
          <w:pgNumType w:start="1"/>
          <w:cols w:space="720"/>
          <w:docGrid w:linePitch="360"/>
        </w:sectPr>
      </w:pPr>
    </w:p>
    <w:p w14:paraId="074DDDD1" w14:textId="30F2F2EF" w:rsidR="001213FD" w:rsidRDefault="001213FD" w:rsidP="0073024D">
      <w:pPr>
        <w:pStyle w:val="indentedafterbulletp"/>
        <w:ind w:left="216" w:hanging="9"/>
      </w:pPr>
    </w:p>
    <w:p w14:paraId="5B19858E" w14:textId="0C69B847" w:rsidR="0049019C" w:rsidRPr="007D743F" w:rsidRDefault="0073024D" w:rsidP="007D743F">
      <w:pPr>
        <w:spacing w:after="0" w:line="240" w:lineRule="auto"/>
        <w:ind w:left="0" w:right="0"/>
        <w:jc w:val="left"/>
        <w:rPr>
          <w:sz w:val="2"/>
          <w:szCs w:val="2"/>
        </w:rPr>
        <w:sectPr w:rsidR="0049019C" w:rsidRPr="007D743F" w:rsidSect="007D1DDC">
          <w:footnotePr>
            <w:numFmt w:val="chicago"/>
          </w:footnotePr>
          <w:endnotePr>
            <w:numFmt w:val="decimal"/>
          </w:endnotePr>
          <w:type w:val="continuous"/>
          <w:pgSz w:w="12240" w:h="15840"/>
          <w:pgMar w:top="981" w:right="1008" w:bottom="1170" w:left="1008" w:header="720" w:footer="720" w:gutter="0"/>
          <w:pgNumType w:start="1"/>
          <w:cols w:space="720"/>
          <w:docGrid w:linePitch="360"/>
        </w:sectPr>
      </w:pPr>
      <w:r w:rsidRPr="007D743F">
        <w:rPr>
          <w:sz w:val="2"/>
          <w:szCs w:val="2"/>
        </w:rPr>
        <w:br w:type="page"/>
      </w:r>
      <w:r w:rsidR="00CD0EAF" w:rsidRPr="007D743F">
        <w:rPr>
          <w:sz w:val="2"/>
          <w:szCs w:val="2"/>
        </w:rPr>
        <w:lastRenderedPageBreak/>
        <w:br w:type="page"/>
      </w:r>
    </w:p>
    <w:p w14:paraId="7186CFFA" w14:textId="5650F531" w:rsidR="0049019C" w:rsidRDefault="00B94157">
      <w:pPr>
        <w:spacing w:after="0" w:line="240" w:lineRule="auto"/>
        <w:ind w:left="0" w:right="0"/>
        <w:jc w:val="left"/>
      </w:pPr>
      <w:r w:rsidRPr="00B94157">
        <w:rPr>
          <w:noProof/>
          <w14:numForm w14:val="default"/>
          <w14:numSpacing w14:val="default"/>
        </w:rPr>
        <w:lastRenderedPageBreak/>
        <mc:AlternateContent>
          <mc:Choice Requires="wps">
            <w:drawing>
              <wp:anchor distT="0" distB="0" distL="114300" distR="114300" simplePos="0" relativeHeight="251665408" behindDoc="0" locked="0" layoutInCell="1" allowOverlap="1" wp14:anchorId="66E3BB9A" wp14:editId="761C5DAA">
                <wp:simplePos x="0" y="0"/>
                <wp:positionH relativeFrom="page">
                  <wp:posOffset>361950</wp:posOffset>
                </wp:positionH>
                <wp:positionV relativeFrom="paragraph">
                  <wp:posOffset>6946900</wp:posOffset>
                </wp:positionV>
                <wp:extent cx="7080250" cy="223266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080250" cy="2232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787BD9" w14:textId="77777777" w:rsidR="005E3DDD" w:rsidRPr="00B278C5" w:rsidRDefault="005E3DDD" w:rsidP="00B94157">
                            <w:pPr>
                              <w:pStyle w:val="NormalWeb"/>
                              <w:spacing w:after="0"/>
                              <w:jc w:val="center"/>
                              <w:rPr>
                                <w:spacing w:val="0"/>
                                <w:kern w:val="18"/>
                                <w:szCs w:val="22"/>
                                <w14:numForm w14:val="lining"/>
                              </w:rPr>
                            </w:pPr>
                            <w:r w:rsidRPr="00B278C5">
                              <w:rPr>
                                <w:rFonts w:ascii="DIN Next LT Pro" w:eastAsia="Calibri" w:hAnsi="DIN Next LT Pro"/>
                                <w:color w:val="FFFFFF"/>
                                <w:spacing w:val="0"/>
                                <w:kern w:val="18"/>
                                <w:szCs w:val="22"/>
                                <w14:numForm w14:val="lining"/>
                              </w:rPr>
                              <w:t>Women Enabled International, Inc.</w:t>
                            </w:r>
                          </w:p>
                          <w:p w14:paraId="3C33FF96" w14:textId="77777777" w:rsidR="005E3DDD" w:rsidRPr="00B278C5" w:rsidRDefault="005E3DDD" w:rsidP="00B94157">
                            <w:pPr>
                              <w:pStyle w:val="NormalWeb"/>
                              <w:spacing w:after="0"/>
                              <w:jc w:val="center"/>
                              <w:rPr>
                                <w:spacing w:val="0"/>
                                <w:kern w:val="18"/>
                                <w:szCs w:val="22"/>
                                <w14:numForm w14:val="lining"/>
                              </w:rPr>
                            </w:pPr>
                            <w:r w:rsidRPr="00B278C5">
                              <w:rPr>
                                <w:rFonts w:ascii="DIN Next LT Pro" w:eastAsia="Calibri" w:hAnsi="DIN Next LT Pro"/>
                                <w:color w:val="FFFFFF"/>
                                <w:spacing w:val="0"/>
                                <w:kern w:val="18"/>
                                <w:szCs w:val="22"/>
                                <w14:numForm w14:val="lining"/>
                              </w:rPr>
                              <w:t>1875 Connecticut Ave NW, 10th Floor</w:t>
                            </w:r>
                          </w:p>
                          <w:p w14:paraId="31E0E978" w14:textId="77777777" w:rsidR="005E3DDD" w:rsidRPr="00B278C5" w:rsidRDefault="005E3DDD" w:rsidP="00B94157">
                            <w:pPr>
                              <w:pStyle w:val="NormalWeb"/>
                              <w:spacing w:after="0"/>
                              <w:jc w:val="center"/>
                              <w:rPr>
                                <w:spacing w:val="0"/>
                                <w:kern w:val="18"/>
                                <w:szCs w:val="22"/>
                                <w14:numForm w14:val="lining"/>
                              </w:rPr>
                            </w:pPr>
                            <w:r w:rsidRPr="00B278C5">
                              <w:rPr>
                                <w:rFonts w:ascii="DIN Next LT Pro" w:eastAsia="Calibri" w:hAnsi="DIN Next LT Pro"/>
                                <w:color w:val="FFFFFF"/>
                                <w:spacing w:val="0"/>
                                <w:kern w:val="18"/>
                                <w:szCs w:val="22"/>
                                <w14:numForm w14:val="lining"/>
                              </w:rPr>
                              <w:t>Washington, D.C. 20009</w:t>
                            </w:r>
                          </w:p>
                          <w:p w14:paraId="1C69817B" w14:textId="77777777" w:rsidR="005E3DDD" w:rsidRPr="00B278C5" w:rsidRDefault="005E3DDD" w:rsidP="00B94157">
                            <w:pPr>
                              <w:pStyle w:val="NormalWeb"/>
                              <w:spacing w:after="0"/>
                              <w:jc w:val="center"/>
                              <w:rPr>
                                <w:spacing w:val="0"/>
                                <w:kern w:val="18"/>
                                <w:szCs w:val="22"/>
                                <w14:numForm w14:val="lining"/>
                              </w:rPr>
                            </w:pPr>
                            <w:r w:rsidRPr="00B278C5">
                              <w:rPr>
                                <w:rFonts w:ascii="DIN Next LT Pro" w:eastAsia="Calibri" w:hAnsi="DIN Next LT Pro"/>
                                <w:color w:val="FFFFFF"/>
                                <w:spacing w:val="0"/>
                                <w:kern w:val="18"/>
                                <w:szCs w:val="22"/>
                                <w14:numForm w14:val="lining"/>
                              </w:rPr>
                              <w:t> </w:t>
                            </w:r>
                          </w:p>
                          <w:p w14:paraId="1698F9D8" w14:textId="77777777" w:rsidR="005E3DDD" w:rsidRPr="00B278C5" w:rsidRDefault="005E3DDD" w:rsidP="00B94157">
                            <w:pPr>
                              <w:pStyle w:val="NormalWeb"/>
                              <w:spacing w:after="0"/>
                              <w:jc w:val="center"/>
                              <w:rPr>
                                <w:spacing w:val="0"/>
                                <w:kern w:val="18"/>
                                <w:szCs w:val="22"/>
                                <w14:numForm w14:val="lining"/>
                              </w:rPr>
                            </w:pPr>
                            <w:r w:rsidRPr="00B278C5">
                              <w:rPr>
                                <w:rFonts w:ascii="DIN Next LT Pro" w:eastAsia="Calibri" w:hAnsi="DIN Next LT Pro"/>
                                <w:color w:val="FFFFFF"/>
                                <w:spacing w:val="0"/>
                                <w:kern w:val="18"/>
                                <w:szCs w:val="22"/>
                                <w14:numForm w14:val="lining"/>
                              </w:rPr>
                              <w:t>sitio web: www.womenenabled.org       info@womenenabled.org</w:t>
                            </w:r>
                          </w:p>
                          <w:p w14:paraId="05B582C1" w14:textId="77777777" w:rsidR="005E3DDD" w:rsidRPr="00B278C5" w:rsidRDefault="005E3DDD" w:rsidP="00B94157">
                            <w:pPr>
                              <w:pStyle w:val="NormalWeb"/>
                              <w:spacing w:after="0"/>
                              <w:jc w:val="center"/>
                              <w:rPr>
                                <w:spacing w:val="0"/>
                                <w:kern w:val="18"/>
                                <w:sz w:val="20"/>
                                <w14:numForm w14:val="lining"/>
                              </w:rPr>
                            </w:pPr>
                            <w:r w:rsidRPr="00B278C5">
                              <w:rPr>
                                <w:rFonts w:ascii="DIN Next LT Pro" w:eastAsia="Calibri" w:hAnsi="DIN Next LT Pro"/>
                                <w:color w:val="FFFFFF"/>
                                <w:spacing w:val="0"/>
                                <w:kern w:val="18"/>
                                <w:sz w:val="20"/>
                                <w:szCs w:val="20"/>
                                <w14:numForm w14:val="lining"/>
                              </w:rPr>
                              <w:t> </w:t>
                            </w:r>
                          </w:p>
                          <w:p w14:paraId="1F65CAD5" w14:textId="77777777" w:rsidR="005E3DDD" w:rsidRPr="00B278C5" w:rsidRDefault="005E3DDD" w:rsidP="00B278C5">
                            <w:pPr>
                              <w:pStyle w:val="NormalWeb"/>
                              <w:spacing w:after="0" w:line="200" w:lineRule="atLeast"/>
                              <w:rPr>
                                <w:spacing w:val="0"/>
                                <w:kern w:val="18"/>
                                <w:sz w:val="18"/>
                                <w:szCs w:val="18"/>
                                <w14:numForm w14:val="lining"/>
                              </w:rPr>
                            </w:pPr>
                            <w:r w:rsidRPr="00B278C5">
                              <w:rPr>
                                <w:rFonts w:ascii="DIN Next LT Pro" w:eastAsia="Calibri" w:hAnsi="DIN Next LT Pro"/>
                                <w:color w:val="FFFFFF"/>
                                <w:spacing w:val="0"/>
                                <w:kern w:val="18"/>
                                <w:sz w:val="18"/>
                                <w:szCs w:val="18"/>
                                <w14:numForm w14:val="lining"/>
                              </w:rPr>
                              <w:t>Women Enabled International (WEI) trabaja en la intersección de los derechos de las mujeres y de las personas con discapacidad para avanzar los derechos de las mujeres y niñas con discapacidad en todo el mundo. A través de la incidencia y la educación, WEI incrementa la atención internacional - y fortalece los estándares internacionales de derechos humanos - en temas como violencia contra las mujeres, derechos y salud sexual y reproductiva, acceso a la justicia, educación, capacidad legal, y emergencias humanitarias. Trabajando en colaboración con organizaciones de derechos de mujeres con discapacidad y organizaciones de derechos de las mujeres en todo el mundo, WEI promueve la cooperación a través de movimientos para mejorar el entendimiento y desarrollar estrategias de incidencia transversales para hacer efectivos los derechos de todas las mujeres y niñas.</w:t>
                            </w:r>
                          </w:p>
                          <w:p w14:paraId="1F230102" w14:textId="77777777" w:rsidR="005E3DDD" w:rsidRPr="00B278C5" w:rsidRDefault="005E3DDD" w:rsidP="00B94157">
                            <w:pPr>
                              <w:pStyle w:val="NormalWeb"/>
                              <w:spacing w:after="0"/>
                              <w:rPr>
                                <w:spacing w:val="0"/>
                                <w:kern w:val="18"/>
                                <w:sz w:val="20"/>
                                <w14:numForm w14:val="lining"/>
                              </w:rPr>
                            </w:pPr>
                            <w:r w:rsidRPr="00B278C5">
                              <w:rPr>
                                <w:rFonts w:eastAsia="Calibri" w:cs="Arial"/>
                                <w:color w:val="FFFFFF"/>
                                <w:spacing w:val="0"/>
                                <w:kern w:val="18"/>
                                <w:sz w:val="20"/>
                                <w14:numForm w14:val="lining"/>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E3BB9A" id="_x0000_t202" coordsize="21600,21600" o:spt="202" path="m,l,21600r21600,l21600,xe">
                <v:stroke joinstyle="miter"/>
                <v:path gradientshapeok="t" o:connecttype="rect"/>
              </v:shapetype>
              <v:shape id="Text Box 11" o:spid="_x0000_s1026" type="#_x0000_t202" style="position:absolute;margin-left:28.5pt;margin-top:547pt;width:557.5pt;height:175.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" filled="f" stroked="f">
                <v:textbox>
                  <w:txbxContent>
                    <w:p w14:paraId="2F787BD9" w14:textId="77777777" w:rsidR="005E3DDD" w:rsidRPr="00B278C5" w:rsidRDefault="005E3DDD" w:rsidP="00B94157">
                      <w:pPr>
                        <w:pStyle w:val="NormalWeb"/>
                        <w:spacing w:after="0"/>
                        <w:jc w:val="center"/>
                        <w:rPr>
                          <w:spacing w:val="0"/>
                          <w:kern w:val="18"/>
                          <w:szCs w:val="22"/>
                          <w14:numForm w14:val="lining"/>
                        </w:rPr>
                      </w:pPr>
                      <w:r w:rsidRPr="00B278C5">
                        <w:rPr>
                          <w:rFonts w:ascii="DIN Next LT Pro" w:eastAsia="Calibri" w:hAnsi="DIN Next LT Pro"/>
                          <w:color w:val="FFFFFF"/>
                          <w:spacing w:val="0"/>
                          <w:kern w:val="18"/>
                          <w:szCs w:val="22"/>
                          <w14:numForm w14:val="lining"/>
                        </w:rPr>
                        <w:t>Women Enabled International, Inc.</w:t>
                      </w:r>
                    </w:p>
                    <w:p w14:paraId="3C33FF96" w14:textId="77777777" w:rsidR="005E3DDD" w:rsidRPr="00B278C5" w:rsidRDefault="005E3DDD" w:rsidP="00B94157">
                      <w:pPr>
                        <w:pStyle w:val="NormalWeb"/>
                        <w:spacing w:after="0"/>
                        <w:jc w:val="center"/>
                        <w:rPr>
                          <w:spacing w:val="0"/>
                          <w:kern w:val="18"/>
                          <w:szCs w:val="22"/>
                          <w14:numForm w14:val="lining"/>
                        </w:rPr>
                      </w:pPr>
                      <w:r w:rsidRPr="00B278C5">
                        <w:rPr>
                          <w:rFonts w:ascii="DIN Next LT Pro" w:eastAsia="Calibri" w:hAnsi="DIN Next LT Pro"/>
                          <w:color w:val="FFFFFF"/>
                          <w:spacing w:val="0"/>
                          <w:kern w:val="18"/>
                          <w:szCs w:val="22"/>
                          <w14:numForm w14:val="lining"/>
                        </w:rPr>
                        <w:t>1875 Connecticut Ave NW, 10th Floor</w:t>
                      </w:r>
                    </w:p>
                    <w:p w14:paraId="31E0E978" w14:textId="77777777" w:rsidR="005E3DDD" w:rsidRPr="00B278C5" w:rsidRDefault="005E3DDD" w:rsidP="00B94157">
                      <w:pPr>
                        <w:pStyle w:val="NormalWeb"/>
                        <w:spacing w:after="0"/>
                        <w:jc w:val="center"/>
                        <w:rPr>
                          <w:spacing w:val="0"/>
                          <w:kern w:val="18"/>
                          <w:szCs w:val="22"/>
                          <w14:numForm w14:val="lining"/>
                        </w:rPr>
                      </w:pPr>
                      <w:r w:rsidRPr="00B278C5">
                        <w:rPr>
                          <w:rFonts w:ascii="DIN Next LT Pro" w:eastAsia="Calibri" w:hAnsi="DIN Next LT Pro"/>
                          <w:color w:val="FFFFFF"/>
                          <w:spacing w:val="0"/>
                          <w:kern w:val="18"/>
                          <w:szCs w:val="22"/>
                          <w14:numForm w14:val="lining"/>
                        </w:rPr>
                        <w:t>Washington, D.C. 20009</w:t>
                      </w:r>
                    </w:p>
                    <w:p w14:paraId="1C69817B" w14:textId="77777777" w:rsidR="005E3DDD" w:rsidRPr="00B278C5" w:rsidRDefault="005E3DDD" w:rsidP="00B94157">
                      <w:pPr>
                        <w:pStyle w:val="NormalWeb"/>
                        <w:spacing w:after="0"/>
                        <w:jc w:val="center"/>
                        <w:rPr>
                          <w:spacing w:val="0"/>
                          <w:kern w:val="18"/>
                          <w:szCs w:val="22"/>
                          <w14:numForm w14:val="lining"/>
                        </w:rPr>
                      </w:pPr>
                      <w:r w:rsidRPr="00B278C5">
                        <w:rPr>
                          <w:rFonts w:ascii="DIN Next LT Pro" w:eastAsia="Calibri" w:hAnsi="DIN Next LT Pro"/>
                          <w:color w:val="FFFFFF"/>
                          <w:spacing w:val="0"/>
                          <w:kern w:val="18"/>
                          <w:szCs w:val="22"/>
                          <w14:numForm w14:val="lining"/>
                        </w:rPr>
                        <w:t> </w:t>
                      </w:r>
                    </w:p>
                    <w:p w14:paraId="1698F9D8" w14:textId="77777777" w:rsidR="005E3DDD" w:rsidRPr="00B278C5" w:rsidRDefault="005E3DDD" w:rsidP="00B94157">
                      <w:pPr>
                        <w:pStyle w:val="NormalWeb"/>
                        <w:spacing w:after="0"/>
                        <w:jc w:val="center"/>
                        <w:rPr>
                          <w:spacing w:val="0"/>
                          <w:kern w:val="18"/>
                          <w:szCs w:val="22"/>
                          <w14:numForm w14:val="lining"/>
                        </w:rPr>
                      </w:pPr>
                      <w:r w:rsidRPr="00B278C5">
                        <w:rPr>
                          <w:rFonts w:ascii="DIN Next LT Pro" w:eastAsia="Calibri" w:hAnsi="DIN Next LT Pro"/>
                          <w:color w:val="FFFFFF"/>
                          <w:spacing w:val="0"/>
                          <w:kern w:val="18"/>
                          <w:szCs w:val="22"/>
                          <w14:numForm w14:val="lining"/>
                        </w:rPr>
                        <w:t>sitio web: www.womenenabled.org       info@womenenabled.org</w:t>
                      </w:r>
                    </w:p>
                    <w:p w14:paraId="05B582C1" w14:textId="77777777" w:rsidR="005E3DDD" w:rsidRPr="00B278C5" w:rsidRDefault="005E3DDD" w:rsidP="00B94157">
                      <w:pPr>
                        <w:pStyle w:val="NormalWeb"/>
                        <w:spacing w:after="0"/>
                        <w:jc w:val="center"/>
                        <w:rPr>
                          <w:spacing w:val="0"/>
                          <w:kern w:val="18"/>
                          <w:sz w:val="20"/>
                          <w14:numForm w14:val="lining"/>
                        </w:rPr>
                      </w:pPr>
                      <w:r w:rsidRPr="00B278C5">
                        <w:rPr>
                          <w:rFonts w:ascii="DIN Next LT Pro" w:eastAsia="Calibri" w:hAnsi="DIN Next LT Pro"/>
                          <w:color w:val="FFFFFF"/>
                          <w:spacing w:val="0"/>
                          <w:kern w:val="18"/>
                          <w:sz w:val="20"/>
                          <w:szCs w:val="20"/>
                          <w14:numForm w14:val="lining"/>
                        </w:rPr>
                        <w:t> </w:t>
                      </w:r>
                    </w:p>
                    <w:p w14:paraId="1F65CAD5" w14:textId="77777777" w:rsidR="005E3DDD" w:rsidRPr="00B278C5" w:rsidRDefault="005E3DDD" w:rsidP="00B278C5">
                      <w:pPr>
                        <w:pStyle w:val="NormalWeb"/>
                        <w:spacing w:after="0" w:line="200" w:lineRule="atLeast"/>
                        <w:rPr>
                          <w:spacing w:val="0"/>
                          <w:kern w:val="18"/>
                          <w:sz w:val="18"/>
                          <w:szCs w:val="18"/>
                          <w14:numForm w14:val="lining"/>
                        </w:rPr>
                      </w:pPr>
                      <w:r w:rsidRPr="00B278C5">
                        <w:rPr>
                          <w:rFonts w:ascii="DIN Next LT Pro" w:eastAsia="Calibri" w:hAnsi="DIN Next LT Pro"/>
                          <w:color w:val="FFFFFF"/>
                          <w:spacing w:val="0"/>
                          <w:kern w:val="18"/>
                          <w:sz w:val="18"/>
                          <w:szCs w:val="18"/>
                          <w14:numForm w14:val="lining"/>
                        </w:rPr>
                        <w:t>Women Enabled International (WEI) trabaja en la intersección de los derechos de las mujeres y de las personas con discapacidad para avanzar los derechos de las mujeres y niñas con discapacidad en todo el mundo. A través de la incidencia y la educación, WEI incrementa la atención internacional - y fortalece los estándares internacionales de derechos humanos - en temas como violencia contra las mujeres, derechos y salud sexual y reproductiva, acceso a la justicia, educación, capacidad legal, y emergencias humanitarias. Trabajando en colaboración con organizaciones de derechos de mujeres con discapacidad y organizaciones de derechos de las mujeres en todo el mundo, WEI promueve la cooperación a través de movimientos para mejorar el entendimiento y desarrollar estrategias de incidencia transversales para hacer efectivos los derechos de todas las mujeres y niñas.</w:t>
                      </w:r>
                    </w:p>
                    <w:p w14:paraId="1F230102" w14:textId="77777777" w:rsidR="005E3DDD" w:rsidRPr="00B278C5" w:rsidRDefault="005E3DDD" w:rsidP="00B94157">
                      <w:pPr>
                        <w:pStyle w:val="NormalWeb"/>
                        <w:spacing w:after="0"/>
                        <w:rPr>
                          <w:spacing w:val="0"/>
                          <w:kern w:val="18"/>
                          <w:sz w:val="20"/>
                          <w14:numForm w14:val="lining"/>
                        </w:rPr>
                      </w:pPr>
                      <w:r w:rsidRPr="00B278C5">
                        <w:rPr>
                          <w:rFonts w:eastAsia="Calibri" w:cs="Arial"/>
                          <w:color w:val="FFFFFF"/>
                          <w:spacing w:val="0"/>
                          <w:kern w:val="18"/>
                          <w:sz w:val="20"/>
                          <w14:numForm w14:val="lining"/>
                        </w:rPr>
                        <w:t> </w:t>
                      </w:r>
                    </w:p>
                  </w:txbxContent>
                </v:textbox>
                <w10:wrap anchorx="page"/>
              </v:shape>
            </w:pict>
          </mc:Fallback>
        </mc:AlternateContent>
      </w:r>
      <w:r>
        <w:rPr>
          <w:noProof/>
          <w:lang w:eastAsia="en-US"/>
          <w14:numForm w14:val="default"/>
          <w14:numSpacing w14:val="default"/>
        </w:rPr>
        <w:drawing>
          <wp:anchor distT="0" distB="0" distL="114300" distR="114300" simplePos="0" relativeHeight="251660287" behindDoc="1" locked="0" layoutInCell="1" allowOverlap="1" wp14:anchorId="275D3B37" wp14:editId="3CE4B690">
            <wp:simplePos x="0" y="0"/>
            <wp:positionH relativeFrom="page">
              <wp:align>center</wp:align>
            </wp:positionH>
            <wp:positionV relativeFrom="page">
              <wp:align>center</wp:align>
            </wp:positionV>
            <wp:extent cx="7799832" cy="9994392"/>
            <wp:effectExtent l="0" t="0" r="0" b="6985"/>
            <wp:wrapNone/>
            <wp:docPr id="2" name="Picture 2" descr="Un mapa del mundo coloreó la púrpura. Debajo está el logotipo en un fondo azu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s-standards2.jpg"/>
                    <pic:cNvPicPr/>
                  </pic:nvPicPr>
                  <pic:blipFill>
                    <a:blip r:embed="rId24"/>
                    <a:stretch>
                      <a:fillRect/>
                    </a:stretch>
                  </pic:blipFill>
                  <pic:spPr>
                    <a:xfrm>
                      <a:off x="0" y="0"/>
                      <a:ext cx="7799832" cy="9994392"/>
                    </a:xfrm>
                    <a:prstGeom prst="rect">
                      <a:avLst/>
                    </a:prstGeom>
                  </pic:spPr>
                </pic:pic>
              </a:graphicData>
            </a:graphic>
            <wp14:sizeRelH relativeFrom="page">
              <wp14:pctWidth>0</wp14:pctWidth>
            </wp14:sizeRelH>
            <wp14:sizeRelV relativeFrom="page">
              <wp14:pctHeight>0</wp14:pctHeight>
            </wp14:sizeRelV>
          </wp:anchor>
        </w:drawing>
      </w:r>
    </w:p>
    <w:sectPr w:rsidR="0049019C" w:rsidSect="007D743F">
      <w:footerReference w:type="default" r:id="rId25"/>
      <w:footnotePr>
        <w:numFmt w:val="chicago"/>
      </w:footnotePr>
      <w:endnotePr>
        <w:numFmt w:val="decimal"/>
      </w:endnotePr>
      <w:pgSz w:w="12240" w:h="15840"/>
      <w:pgMar w:top="0" w:right="1008" w:bottom="1170" w:left="100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2C4464" w14:textId="77777777" w:rsidR="006C43B8" w:rsidRDefault="006C43B8">
      <w:pPr>
        <w:pStyle w:val="Footer"/>
      </w:pPr>
    </w:p>
  </w:endnote>
  <w:endnote w:type="continuationSeparator" w:id="0">
    <w:p w14:paraId="2EC200A8" w14:textId="77777777" w:rsidR="006C43B8" w:rsidRDefault="006C43B8">
      <w:pPr>
        <w:pStyle w:val="Footer"/>
        <w:spacing w:line="240" w:lineRule="auto"/>
      </w:pPr>
    </w:p>
  </w:endnote>
  <w:endnote w:type="continuationNotice" w:id="1">
    <w:p w14:paraId="0926D060" w14:textId="77777777" w:rsidR="006C43B8" w:rsidRDefault="006C43B8">
      <w:pPr>
        <w:spacing w:after="0" w:line="240" w:lineRule="auto"/>
      </w:pPr>
    </w:p>
  </w:endnote>
  <w:endnote w:id="2">
    <w:p w14:paraId="43D07797" w14:textId="77777777" w:rsidR="005E3DDD" w:rsidRPr="00A23B32" w:rsidRDefault="005E3DDD" w:rsidP="0052428A">
      <w:pPr>
        <w:pStyle w:val="Heading1"/>
      </w:pPr>
      <w:bookmarkStart w:id="4" w:name="_Toc499549685"/>
      <w:r>
        <w:t>Endnot</w:t>
      </w:r>
      <w:bookmarkEnd w:id="4"/>
      <w:r>
        <w:t>es</w:t>
      </w:r>
    </w:p>
    <w:p w14:paraId="3E4009AD" w14:textId="2F7E6CC9" w:rsidR="005E3DDD" w:rsidRPr="00AC72B5" w:rsidRDefault="005E3DDD" w:rsidP="00AC72B5">
      <w:pPr>
        <w:pStyle w:val="EndnoteText"/>
        <w:rPr>
          <w:w w:val="98"/>
        </w:rPr>
      </w:pPr>
      <w:r w:rsidRPr="00AC72B5">
        <w:rPr>
          <w:rStyle w:val="EndnoteReference"/>
          <w:spacing w:val="-4"/>
          <w:w w:val="98"/>
          <w:kern w:val="2"/>
          <w:position w:val="0"/>
          <w:szCs w:val="20"/>
          <w14:cntxtAlts/>
        </w:rPr>
        <w:endnoteRef/>
      </w:r>
      <w:r w:rsidRPr="00AC72B5">
        <w:rPr>
          <w:w w:val="98"/>
        </w:rPr>
        <w:t xml:space="preserve"> Comité de los Derechos de las Personas con Discapacidad (Comité de la CDPD), </w:t>
      </w:r>
      <w:r w:rsidRPr="00AC72B5">
        <w:rPr>
          <w:i/>
          <w:w w:val="98"/>
        </w:rPr>
        <w:t>Observación General Artículo 6:</w:t>
      </w:r>
      <w:r>
        <w:rPr>
          <w:i/>
          <w:w w:val="98"/>
        </w:rPr>
        <w:t xml:space="preserve"> </w:t>
      </w:r>
      <w:r w:rsidRPr="00AC72B5">
        <w:rPr>
          <w:i/>
          <w:w w:val="98"/>
        </w:rPr>
        <w:t>Mujeres y niñas con discapacidad</w:t>
      </w:r>
      <w:r w:rsidRPr="00AC72B5">
        <w:rPr>
          <w:w w:val="98"/>
        </w:rPr>
        <w:t>38, Doc. ONU CRPD/C/GC/3 (2016). CRPD/C/GC/3 (2016).</w:t>
      </w:r>
    </w:p>
  </w:endnote>
  <w:endnote w:id="3">
    <w:p w14:paraId="08F3547F" w14:textId="1372ADB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smallCaps/>
          <w:w w:val="98"/>
        </w:rPr>
        <w:t>Handicap International y Save the Children, Fuera de las sombras: Violencia Sexual contra los niños con discapacidades,</w:t>
      </w:r>
      <w:r w:rsidRPr="00AC72B5">
        <w:rPr>
          <w:w w:val="98"/>
        </w:rPr>
        <w:t xml:space="preserve"> 13 (2011) [en adelante </w:t>
      </w:r>
      <w:r w:rsidRPr="00AC72B5">
        <w:rPr>
          <w:smallCaps/>
          <w:w w:val="98"/>
        </w:rPr>
        <w:t>fuera de las sombras</w:t>
      </w:r>
      <w:r w:rsidRPr="00AC72B5">
        <w:rPr>
          <w:w w:val="98"/>
        </w:rPr>
        <w:t>].</w:t>
      </w:r>
    </w:p>
  </w:endnote>
  <w:endnote w:id="4">
    <w:p w14:paraId="52CE230A" w14:textId="0A4BBF2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 xml:space="preserve">, Comité de Derechos Económicos, Sociales y Culturales (Comité DESC), </w:t>
      </w:r>
      <w:r w:rsidRPr="00AC72B5">
        <w:rPr>
          <w:i/>
          <w:w w:val="98"/>
        </w:rPr>
        <w:t>Observación General Núm. 3, Artículo 6:</w:t>
      </w:r>
      <w:r>
        <w:rPr>
          <w:i/>
          <w:w w:val="98"/>
        </w:rPr>
        <w:t xml:space="preserve"> </w:t>
      </w:r>
      <w:r w:rsidRPr="00AC72B5">
        <w:rPr>
          <w:i/>
          <w:w w:val="98"/>
        </w:rPr>
        <w:t>Mujeres y Niñas con Discapacidad</w:t>
      </w:r>
      <w:r w:rsidRPr="00AC72B5">
        <w:rPr>
          <w:w w:val="98"/>
        </w:rPr>
        <w:t>,</w:t>
      </w:r>
      <w:r w:rsidRPr="00AC72B5">
        <w:rPr>
          <w:i/>
          <w:w w:val="98"/>
        </w:rPr>
        <w:t xml:space="preserve"> </w:t>
      </w:r>
      <w:r w:rsidRPr="00AC72B5">
        <w:rPr>
          <w:w w:val="98"/>
          <w:lang w:val="es-CO"/>
        </w:rPr>
        <w:t xml:space="preserve">¶ </w:t>
      </w:r>
      <w:r w:rsidRPr="00AC72B5">
        <w:rPr>
          <w:w w:val="98"/>
        </w:rPr>
        <w:t xml:space="preserve">38, Doc. ONU CRPD/C/GC/3 (2016); </w:t>
      </w:r>
      <w:r w:rsidRPr="00AC72B5">
        <w:rPr>
          <w:i/>
          <w:w w:val="98"/>
        </w:rPr>
        <w:t xml:space="preserve">véase también </w:t>
      </w:r>
      <w:r w:rsidRPr="00AC72B5">
        <w:rPr>
          <w:w w:val="98"/>
        </w:rPr>
        <w:t>Organización Mundial de la Salud (</w:t>
      </w:r>
      <w:r w:rsidRPr="00AC72B5">
        <w:rPr>
          <w:smallCaps/>
          <w:w w:val="98"/>
        </w:rPr>
        <w:t>OMS) y Banco Mundial, Informe Mundial sobre discapacidad</w:t>
      </w:r>
      <w:r w:rsidRPr="00AC72B5">
        <w:rPr>
          <w:w w:val="98"/>
        </w:rPr>
        <w:t xml:space="preserve"> 61, 205-206 (2011). </w:t>
      </w:r>
    </w:p>
  </w:endnote>
  <w:endnote w:id="5">
    <w:p w14:paraId="62D7CEDC" w14:textId="0ED1B2B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Observación General Núm. 3, Artículo 6:</w:t>
      </w:r>
      <w:r>
        <w:rPr>
          <w:i/>
          <w:w w:val="98"/>
        </w:rPr>
        <w:t xml:space="preserve"> </w:t>
      </w:r>
      <w:r w:rsidRPr="00AC72B5">
        <w:rPr>
          <w:i/>
          <w:w w:val="98"/>
        </w:rPr>
        <w:t>Mujeres y N</w:t>
      </w:r>
      <w:r>
        <w:rPr>
          <w:i/>
          <w:w w:val="98"/>
        </w:rPr>
        <w:softHyphen/>
      </w:r>
      <w:r w:rsidRPr="00AC72B5">
        <w:rPr>
          <w:i/>
          <w:w w:val="98"/>
        </w:rPr>
        <w:t>iñas con Discapacidad</w:t>
      </w:r>
      <w:r w:rsidRPr="00AC72B5">
        <w:rPr>
          <w:w w:val="98"/>
        </w:rPr>
        <w:t>,</w:t>
      </w:r>
      <w:r w:rsidRPr="00AC72B5">
        <w:rPr>
          <w:i/>
          <w:w w:val="98"/>
        </w:rPr>
        <w:t xml:space="preserve"> </w:t>
      </w:r>
      <w:r w:rsidRPr="00AC72B5">
        <w:rPr>
          <w:w w:val="98"/>
          <w:lang w:val="es-CO"/>
        </w:rPr>
        <w:t xml:space="preserve">¶ </w:t>
      </w:r>
      <w:r w:rsidRPr="00AC72B5">
        <w:rPr>
          <w:w w:val="98"/>
        </w:rPr>
        <w:t xml:space="preserve">44, Doc. ONU CRPD/C/GC/3 (2016). </w:t>
      </w:r>
      <w:r w:rsidRPr="00AC72B5">
        <w:rPr>
          <w:i/>
          <w:w w:val="98"/>
        </w:rPr>
        <w:t>Véase también</w:t>
      </w:r>
      <w:r w:rsidRPr="00AC72B5">
        <w:rPr>
          <w:w w:val="98"/>
        </w:rPr>
        <w:t xml:space="preserve">, </w:t>
      </w:r>
      <w:r w:rsidRPr="00AC72B5">
        <w:rPr>
          <w:smallCaps/>
          <w:w w:val="98"/>
        </w:rPr>
        <w:t>OMS y Banco Mundial, Informe Mundial sobre discapacidad,</w:t>
      </w:r>
      <w:r w:rsidRPr="00AC72B5">
        <w:rPr>
          <w:w w:val="98"/>
        </w:rPr>
        <w:t xml:space="preserve"> 263 (2011).</w:t>
      </w:r>
    </w:p>
  </w:endnote>
  <w:endnote w:id="6">
    <w:p w14:paraId="566E52AC" w14:textId="2AE6F5F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 xml:space="preserve">, Comité CDPD, </w:t>
      </w:r>
      <w:r w:rsidRPr="00AC72B5">
        <w:rPr>
          <w:i/>
          <w:w w:val="98"/>
        </w:rPr>
        <w:t>Observaciones Finales: Paraguay</w:t>
      </w:r>
      <w:r w:rsidRPr="00AC72B5">
        <w:rPr>
          <w:w w:val="98"/>
        </w:rPr>
        <w:t xml:space="preserve">, ¶ 59, Doc. ONU CRPD/C/PRY/CO/1 (2013); </w:t>
      </w:r>
      <w:r w:rsidRPr="00AC72B5">
        <w:rPr>
          <w:i/>
          <w:w w:val="98"/>
        </w:rPr>
        <w:t>Observaciones finales: El Salvador</w:t>
      </w:r>
      <w:r w:rsidRPr="00AC72B5">
        <w:rPr>
          <w:w w:val="98"/>
        </w:rPr>
        <w:t>, ¶ 51, Doc. ONU CCPR/C/SLV/CO/6 (2010).</w:t>
      </w:r>
    </w:p>
  </w:endnote>
  <w:endnote w:id="7">
    <w:p w14:paraId="6B24B15C" w14:textId="0B061A2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Nancy Mele et al., </w:t>
      </w:r>
      <w:r w:rsidRPr="00AC72B5">
        <w:rPr>
          <w:i/>
          <w:w w:val="98"/>
        </w:rPr>
        <w:t>Acceso a los Servicios de Detección del Cáncer de Mama para Mujeres con Discapacidad</w:t>
      </w:r>
      <w:r w:rsidRPr="00AC72B5">
        <w:rPr>
          <w:w w:val="98"/>
        </w:rPr>
        <w:t xml:space="preserve">, 34, </w:t>
      </w:r>
      <w:r w:rsidRPr="00AC72B5">
        <w:rPr>
          <w:rFonts w:cs="Times New Roman (Body CS)"/>
          <w:smallCaps/>
          <w:w w:val="98"/>
        </w:rPr>
        <w:t>Revista</w:t>
      </w:r>
      <w:r w:rsidRPr="00AC72B5">
        <w:rPr>
          <w:smallCaps/>
          <w:w w:val="98"/>
        </w:rPr>
        <w:t xml:space="preserve"> de Obstetricia, Ginecología y Enfermería Neonatal</w:t>
      </w:r>
      <w:r w:rsidRPr="00AC72B5">
        <w:rPr>
          <w:w w:val="98"/>
        </w:rPr>
        <w:t xml:space="preserve"> 453-64 (Julio de 2005).</w:t>
      </w:r>
    </w:p>
  </w:endnote>
  <w:endnote w:id="8">
    <w:p w14:paraId="4C4BB6BB" w14:textId="5E6FDBD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Relator Especial de Naciones Unidas sobre la Violencia contra la Mujer, </w:t>
      </w:r>
      <w:r w:rsidRPr="00AC72B5">
        <w:rPr>
          <w:i/>
          <w:iCs/>
          <w:w w:val="98"/>
        </w:rPr>
        <w:t>Informe del Relator Especial sobre la violencia contra las mujeres, sus causas y consecuencias</w:t>
      </w:r>
      <w:r w:rsidRPr="00AC72B5">
        <w:rPr>
          <w:w w:val="98"/>
        </w:rPr>
        <w:t>,</w:t>
      </w:r>
      <w:r w:rsidRPr="00AC72B5">
        <w:rPr>
          <w:i/>
          <w:iCs/>
          <w:w w:val="98"/>
        </w:rPr>
        <w:t xml:space="preserve"> </w:t>
      </w:r>
      <w:r w:rsidRPr="00AC72B5">
        <w:rPr>
          <w:w w:val="98"/>
        </w:rPr>
        <w:t>¶¶ 28 y 36, Doc. ONU A/67/227 (2012).</w:t>
      </w:r>
    </w:p>
  </w:endnote>
  <w:endnote w:id="9">
    <w:p w14:paraId="0FAE069E" w14:textId="3CCE546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Relator Especial de Naciones Unidas sobre la Violencia contra la Mujer, </w:t>
      </w:r>
      <w:r w:rsidRPr="00AC72B5">
        <w:rPr>
          <w:i/>
          <w:iCs/>
          <w:w w:val="98"/>
        </w:rPr>
        <w:t>Informe del Relator Especial sobre la violencia contra las mujeres, sus causas y consecuencias</w:t>
      </w:r>
      <w:r w:rsidRPr="00AC72B5">
        <w:rPr>
          <w:w w:val="98"/>
        </w:rPr>
        <w:t>,</w:t>
      </w:r>
      <w:r w:rsidRPr="00AC72B5">
        <w:rPr>
          <w:i/>
          <w:iCs/>
          <w:w w:val="98"/>
        </w:rPr>
        <w:t xml:space="preserve"> </w:t>
      </w:r>
      <w:r w:rsidRPr="00AC72B5">
        <w:rPr>
          <w:w w:val="98"/>
        </w:rPr>
        <w:t>¶¶ 28 y 36, Doc. ONU A/67/227 (2012).</w:t>
      </w:r>
    </w:p>
  </w:endnote>
  <w:endnote w:id="10">
    <w:p w14:paraId="22409758" w14:textId="5B12BBE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Observación General Núm. 3: Artículo 6: Mujeres y Niñas con Discapacidad</w:t>
      </w:r>
      <w:r w:rsidRPr="00AC72B5">
        <w:rPr>
          <w:w w:val="98"/>
        </w:rPr>
        <w:t>, ¶¶ 31 y 32, Doc. ONU CRPD/C/GC/3 (2016).</w:t>
      </w:r>
    </w:p>
  </w:endnote>
  <w:endnote w:id="11">
    <w:p w14:paraId="22FACA6F" w14:textId="7DEB9C40"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Organización Mundial de la Salud, et al., </w:t>
      </w:r>
      <w:r w:rsidRPr="00AC72B5">
        <w:rPr>
          <w:i/>
          <w:w w:val="98"/>
        </w:rPr>
        <w:t>Eliminación de la esterilización forzada, coaccionada o involuntaria de cualquier otro modo: una declaración interinstitucional</w:t>
      </w:r>
      <w:r w:rsidRPr="00AC72B5">
        <w:rPr>
          <w:w w:val="98"/>
        </w:rPr>
        <w:t xml:space="preserve"> 1 (2014), </w:t>
      </w:r>
      <w:r w:rsidRPr="00AC72B5">
        <w:rPr>
          <w:i/>
          <w:w w:val="98"/>
        </w:rPr>
        <w:t xml:space="preserve">disponible en </w:t>
      </w:r>
      <w:r w:rsidRPr="00AC72B5">
        <w:rPr>
          <w:w w:val="98"/>
        </w:rPr>
        <w:t xml:space="preserve">http://apps.who.int/iris/bitstream/10665/112848/1/9789241507325_. </w:t>
      </w:r>
    </w:p>
  </w:endnote>
  <w:endnote w:id="12">
    <w:p w14:paraId="0A34D866" w14:textId="178B003E"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 xml:space="preserve">, Juan Méndez, Relator Especial sobre la tortura y otros tratos crueles, inhumanos o degradantes o castigo, </w:t>
      </w:r>
      <w:r w:rsidRPr="00AC72B5">
        <w:rPr>
          <w:i/>
          <w:w w:val="98"/>
        </w:rPr>
        <w:t>Informe de la Relatora Especial sobre la tortura y otros tratos o penas crueles, inhumano o degradante tratamiento o castigo: las perspectivas de género en tortura y otros tratos crueles, inhumanos o degradantes o castigos</w:t>
      </w:r>
      <w:r w:rsidRPr="00AC72B5">
        <w:rPr>
          <w:w w:val="98"/>
        </w:rPr>
        <w:t xml:space="preserve">, ¶ 45, Doc. ONU A/HRC/31/57 (Ene. 5, 2016); Juan E. Méndez, Relator Especial sobre la Tortura y otros Tratos Crueles, Inhumanos o Degradantes o Castigos, </w:t>
      </w:r>
      <w:r w:rsidRPr="00AC72B5">
        <w:rPr>
          <w:i/>
          <w:iCs/>
          <w:w w:val="98"/>
        </w:rPr>
        <w:t>Relator Especial sobre Tortura y otros Tratos o Penas Crueles, Inhumano, o Degradante o el Castigo, Informe al Consejo de Derechos Humanos</w:t>
      </w:r>
      <w:r w:rsidRPr="00AC72B5">
        <w:rPr>
          <w:w w:val="98"/>
        </w:rPr>
        <w:t>, ¶¶ 45-48, Doc. ONU A/HRC/22/53 (Feb. 1, 2013);Fundación Open Society,</w:t>
      </w:r>
      <w:r w:rsidRPr="00AC72B5">
        <w:rPr>
          <w:i/>
          <w:w w:val="98"/>
        </w:rPr>
        <w:t xml:space="preserve"> Contra su Voluntad: Esterilización Forzada y Coaccionada de Mujeres en el Mundo </w:t>
      </w:r>
      <w:r w:rsidRPr="00AC72B5">
        <w:rPr>
          <w:w w:val="98"/>
        </w:rPr>
        <w:t xml:space="preserve">2 (2011); </w:t>
      </w:r>
      <w:r w:rsidRPr="00AC72B5">
        <w:rPr>
          <w:iCs/>
          <w:w w:val="98"/>
        </w:rPr>
        <w:t>Centro de Derechos Reproductivos,</w:t>
      </w:r>
      <w:r w:rsidRPr="00AC72B5">
        <w:rPr>
          <w:i/>
          <w:iCs/>
          <w:w w:val="98"/>
        </w:rPr>
        <w:t xml:space="preserve"> Violaciones de los Derechos Reproductivos como Tortura y Tratos o Penas Crueles, Inhumanos o Degradantes: Un Análisis Crítico de los Derechos Humanos </w:t>
      </w:r>
      <w:r w:rsidRPr="00AC72B5">
        <w:rPr>
          <w:iCs/>
          <w:w w:val="98"/>
        </w:rPr>
        <w:t>19 (2010)</w:t>
      </w:r>
      <w:r w:rsidRPr="00AC72B5">
        <w:rPr>
          <w:w w:val="98"/>
        </w:rPr>
        <w:t>.</w:t>
      </w:r>
    </w:p>
  </w:endnote>
  <w:endnote w:id="13">
    <w:p w14:paraId="16010D93" w14:textId="4A94FEAC" w:rsidR="005E3DDD" w:rsidRPr="00AC72B5" w:rsidRDefault="005E3DDD" w:rsidP="00E12C89">
      <w:pPr>
        <w:pStyle w:val="EndnoteText"/>
        <w:ind w:left="144" w:hanging="144"/>
        <w:rPr>
          <w:i/>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smallCaps/>
          <w:w w:val="98"/>
        </w:rPr>
        <w:t>Agencia de Estados Unidos para el desarrollo internacional (USAID), Estrategia de los EE.UU. para prevenir y responder a la violencia en razón de género a nivel mundial</w:t>
      </w:r>
      <w:r w:rsidRPr="00AC72B5">
        <w:rPr>
          <w:w w:val="98"/>
        </w:rPr>
        <w:t xml:space="preserve"> 7 (Agosto 10, 2012), </w:t>
      </w:r>
      <w:r w:rsidRPr="00AC72B5">
        <w:rPr>
          <w:i/>
          <w:w w:val="98"/>
        </w:rPr>
        <w:t>disponible en</w:t>
      </w:r>
      <w:r w:rsidRPr="00AC72B5">
        <w:rPr>
          <w:w w:val="98"/>
        </w:rPr>
        <w:t xml:space="preserve"> http://www.state.gov/documents/organization/196468.pdf. Cabe señalar que no existen datos mundiales sobre la incidencia de este tipo de violencia y los estudios se basan en fuentes de datos diversas. </w:t>
      </w:r>
    </w:p>
  </w:endnote>
  <w:endnote w:id="14">
    <w:p w14:paraId="5E615595" w14:textId="2935036D" w:rsidR="005E3DDD" w:rsidRPr="00AC72B5" w:rsidRDefault="005E3DDD" w:rsidP="00E12C89">
      <w:pPr>
        <w:pStyle w:val="EndnoteText"/>
        <w:ind w:left="144" w:hanging="144"/>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lang w:val="es-CO"/>
        </w:rPr>
        <w:t xml:space="preserve"> Carolyn Frohmader y Stephanie Ortoleva, Los Derechos Sexuales y Reproductivos de las Mujeres y las Niñas con Discapacidad 7 (2013), </w:t>
      </w:r>
      <w:r w:rsidRPr="00AC72B5">
        <w:rPr>
          <w:i/>
          <w:w w:val="98"/>
          <w:lang w:val="es-CO"/>
        </w:rPr>
        <w:t>disponible en</w:t>
      </w:r>
      <w:r w:rsidRPr="00AC72B5">
        <w:rPr>
          <w:w w:val="98"/>
          <w:lang w:val="es-CO"/>
        </w:rPr>
        <w:t xml:space="preserve"> http://womenenabled.org/pdfs/issues_paper_srr_women_and_girls_with_disabilities_final.pdf. </w:t>
      </w:r>
    </w:p>
  </w:endnote>
  <w:endnote w:id="15">
    <w:p w14:paraId="30D7DB29" w14:textId="161AF796"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Fondo de Población de las Naciones Unidas (</w:t>
      </w:r>
      <w:r w:rsidRPr="00AC72B5">
        <w:rPr>
          <w:smallCaps/>
          <w:w w:val="98"/>
        </w:rPr>
        <w:t xml:space="preserve">UNFPA), Instituto Danés para los derechos humanos, y oficina del Alto Comisionado de las Naciones Unidas para los Derechos Humanos, </w:t>
      </w:r>
      <w:r w:rsidRPr="00AC72B5">
        <w:rPr>
          <w:i/>
          <w:smallCaps/>
          <w:w w:val="98"/>
        </w:rPr>
        <w:t>los derechos reproductivos son derechos humanos: un manual para las instituciones nacionales de derechos humanos</w:t>
      </w:r>
      <w:r w:rsidRPr="00AC72B5">
        <w:rPr>
          <w:w w:val="98"/>
        </w:rPr>
        <w:t xml:space="preserve">, HR/PUB/14/16, 18, (2014) disponible en http://www.ohchr.org/ </w:t>
      </w:r>
      <w:hyperlink r:id="rId1" w:history="1">
        <w:r w:rsidRPr="00AC72B5">
          <w:rPr>
            <w:i/>
            <w:w w:val="98"/>
          </w:rPr>
          <w:t>Documents/Publications/NHRIHandbook.pdf</w:t>
        </w:r>
      </w:hyperlink>
      <w:r w:rsidRPr="00AC72B5">
        <w:rPr>
          <w:w w:val="98"/>
        </w:rPr>
        <w:t xml:space="preserve">. </w:t>
      </w:r>
    </w:p>
  </w:endnote>
  <w:endnote w:id="16">
    <w:p w14:paraId="1EFDE2FB" w14:textId="043E1150"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 xml:space="preserve">Véase </w:t>
      </w:r>
      <w:r w:rsidRPr="00AC72B5">
        <w:rPr>
          <w:w w:val="98"/>
        </w:rPr>
        <w:t xml:space="preserve">Convención sobre los Derechos de las Personas con Discapacidad, adoptada en diciembre 13, 2006, arts. 5, 8, 9, 12, 15, 16, 23 y 25, G.A. Res. A/RES/61/106, ONU GAOR, 61ª Sesión, Doc. ONU Convención sobre la Eliminación de todas las Formas de Discriminación contra la Mujer. 18, 1979, arts. 1, 2, 5, 12 y 16, G.A. res. 34/180, ONU GAOR, sesión 34ª, Supp. No. 46, en el 193, Doc. ONU A/34/46, U.N.T.S. 13 (ha entrado en vigor en Septiembre 3, 1981); Convención contra la Tortura y otros Tratos o Penas Crueles, Inhumanos o Degradantes; adoptada en Diciembre 10, 1984, arts. 2 y 3, G.A. res. 39/46, ONU GAOR, sesión 39ª, Supp. No. 51, Doc. ONU A/39/51 (1984), 1465 U.N.T.S. 85 (ha entrado en vigor el 26 de Junio de 1987); Pacto Internacional de Derechos Civiles y Políticos, adoptado en Diciembre 16, 1966, arts. 7, 17 y 19, G.A. res. 2200 (XXI), ONU GAOR, sesión 21, suplemento Núm. 16, Doc. ONU A/6316 (1966), 999 U.N.T.S. 171 (ha entrado en vigor en Marzo 23, 1976); Comité contra la Tortura (Comité CAT), </w:t>
      </w:r>
      <w:r w:rsidRPr="00AC72B5">
        <w:rPr>
          <w:i/>
          <w:w w:val="98"/>
        </w:rPr>
        <w:t>Observación General Núm. 2: aplicación del artículo 2 por los Estados partes</w:t>
      </w:r>
      <w:r w:rsidRPr="00AC72B5">
        <w:rPr>
          <w:w w:val="98"/>
        </w:rPr>
        <w:t>, ¶¶ 21-22, Doc. ONU CAT/C/GC/2 (2008).</w:t>
      </w:r>
    </w:p>
  </w:endnote>
  <w:endnote w:id="17">
    <w:p w14:paraId="398E2401" w14:textId="2AC05397" w:rsidR="005E3DDD" w:rsidRPr="00AC72B5" w:rsidRDefault="005E3DDD" w:rsidP="00E12C89">
      <w:pPr>
        <w:pStyle w:val="EndnoteText"/>
        <w:ind w:left="144" w:hanging="144"/>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Económicos, Sociales y Culturales (Comité DESC), </w:t>
      </w:r>
      <w:r w:rsidRPr="00AC72B5">
        <w:rPr>
          <w:i/>
          <w:w w:val="98"/>
        </w:rPr>
        <w:t>Observación General Núm. 22 (2016) sobre el derecho a la salud sexual y reproductiva (artículo 12 del Pacto Internacional sobre Derechos Económicos, Sociales y Culturales)</w:t>
      </w:r>
      <w:r w:rsidRPr="00AC72B5">
        <w:rPr>
          <w:w w:val="98"/>
        </w:rPr>
        <w:t xml:space="preserve">, ¶¶ 12-21, Las Naciones Unidas Doc. </w:t>
      </w:r>
      <w:r w:rsidRPr="00AC72B5">
        <w:rPr>
          <w:w w:val="98"/>
          <w:lang w:val="es-CO"/>
        </w:rPr>
        <w:t>E/C.12/GC/22 (2016).</w:t>
      </w:r>
    </w:p>
  </w:endnote>
  <w:endnote w:id="18">
    <w:p w14:paraId="1626A32A" w14:textId="11C3022F"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lang w:val="es-CO"/>
        </w:rPr>
        <w:t xml:space="preserve"> Comité CDPD, </w:t>
      </w:r>
      <w:r w:rsidRPr="00AC72B5">
        <w:rPr>
          <w:i/>
          <w:w w:val="98"/>
          <w:lang w:val="es-CO"/>
        </w:rPr>
        <w:t>Observación General</w:t>
      </w:r>
      <w:r w:rsidRPr="00AC72B5">
        <w:rPr>
          <w:w w:val="98"/>
          <w:lang w:val="es-CO"/>
        </w:rPr>
        <w:t xml:space="preserve"> </w:t>
      </w:r>
      <w:r w:rsidRPr="00AC72B5">
        <w:rPr>
          <w:i/>
          <w:w w:val="98"/>
          <w:lang w:val="es-CO"/>
        </w:rPr>
        <w:t>Núm. 1: Artículo 12: Igual reconocimiento como persona ante la Ley</w:t>
      </w:r>
      <w:r w:rsidRPr="00AC72B5">
        <w:rPr>
          <w:w w:val="98"/>
          <w:lang w:val="es-CO"/>
        </w:rPr>
        <w:t xml:space="preserve">, ¶¶ 17 &amp; 27-28, Doc. </w:t>
      </w:r>
      <w:r w:rsidRPr="00AC72B5">
        <w:rPr>
          <w:w w:val="98"/>
        </w:rPr>
        <w:t>ONU CRPD/C/GC/1 (2014).</w:t>
      </w:r>
    </w:p>
  </w:endnote>
  <w:endnote w:id="19">
    <w:p w14:paraId="7F142BA7" w14:textId="0FD820DF"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Federación Internacional de Ginecología y Obstetricia (FIGO), </w:t>
      </w:r>
      <w:r w:rsidRPr="00AC72B5">
        <w:rPr>
          <w:i/>
          <w:w w:val="98"/>
        </w:rPr>
        <w:t>La Esterilización Anticonceptiva Femenina</w:t>
      </w:r>
      <w:r w:rsidRPr="00AC72B5">
        <w:rPr>
          <w:w w:val="98"/>
        </w:rPr>
        <w:t xml:space="preserve">, ¶ 7, Recomendación 5 (Junio de 2011), </w:t>
      </w:r>
      <w:r w:rsidRPr="00AC72B5">
        <w:rPr>
          <w:i/>
          <w:w w:val="98"/>
        </w:rPr>
        <w:t>disponible en</w:t>
      </w:r>
      <w:r w:rsidRPr="00AC72B5">
        <w:rPr>
          <w:w w:val="98"/>
        </w:rPr>
        <w:t xml:space="preserve"> </w:t>
      </w:r>
      <w:hyperlink r:id="rId2" w:history="1">
        <w:r w:rsidR="00E84D03" w:rsidRPr="002E2F35">
          <w:rPr>
            <w:rStyle w:val="Hyperlink"/>
            <w:w w:val="98"/>
          </w:rPr>
          <w:t>https://www.figo.org/sites/default/files/uploads/wg-publications/ethics/Spanish%20Ethical%20Issues%20in%20Obstetrics%20and%20Gynecology.pdf</w:t>
        </w:r>
      </w:hyperlink>
      <w:r w:rsidRPr="00AC72B5">
        <w:rPr>
          <w:w w:val="98"/>
        </w:rPr>
        <w:t>.</w:t>
      </w:r>
      <w:r w:rsidR="00E84D03">
        <w:rPr>
          <w:w w:val="98"/>
        </w:rPr>
        <w:t xml:space="preserve"> </w:t>
      </w:r>
    </w:p>
  </w:endnote>
  <w:endnote w:id="20">
    <w:p w14:paraId="0250EE0F" w14:textId="3A885B83" w:rsidR="005E3DDD" w:rsidRPr="00AC72B5" w:rsidRDefault="005E3DDD" w:rsidP="00E12C89">
      <w:pPr>
        <w:pStyle w:val="EndnoteText"/>
        <w:ind w:left="144" w:hanging="144"/>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lang w:val="es-CO"/>
        </w:rPr>
        <w:t>Observación General</w:t>
      </w:r>
      <w:r w:rsidRPr="00AC72B5">
        <w:rPr>
          <w:w w:val="98"/>
          <w:lang w:val="es-CO"/>
        </w:rPr>
        <w:t xml:space="preserve"> </w:t>
      </w:r>
      <w:r w:rsidRPr="00AC72B5">
        <w:rPr>
          <w:i/>
          <w:w w:val="98"/>
          <w:lang w:val="es-CO"/>
        </w:rPr>
        <w:t>Núm.</w:t>
      </w:r>
      <w:r>
        <w:rPr>
          <w:i/>
          <w:w w:val="98"/>
          <w:lang w:val="es-CO"/>
        </w:rPr>
        <w:t xml:space="preserve"> </w:t>
      </w:r>
      <w:r w:rsidRPr="00AC72B5">
        <w:rPr>
          <w:i/>
          <w:w w:val="98"/>
        </w:rPr>
        <w:t>2: Artículo 9: Accesibilidad</w:t>
      </w:r>
      <w:r w:rsidRPr="00AC72B5">
        <w:rPr>
          <w:w w:val="98"/>
        </w:rPr>
        <w:t xml:space="preserve">, Doc. </w:t>
      </w:r>
      <w:r w:rsidRPr="00AC72B5">
        <w:rPr>
          <w:w w:val="98"/>
          <w:lang w:val="es-CO"/>
        </w:rPr>
        <w:t>ONU CRPD/C/GC/2 (2014).</w:t>
      </w:r>
    </w:p>
  </w:endnote>
  <w:endnote w:id="21">
    <w:p w14:paraId="3BE14857" w14:textId="33F6441F"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lang w:val="es-CO"/>
        </w:rPr>
        <w:t xml:space="preserve"> Comité CDPD, </w:t>
      </w:r>
      <w:r w:rsidRPr="00AC72B5">
        <w:rPr>
          <w:i/>
          <w:w w:val="98"/>
          <w:lang w:val="es-CO"/>
        </w:rPr>
        <w:t>Observación General</w:t>
      </w:r>
      <w:r w:rsidRPr="00AC72B5">
        <w:rPr>
          <w:w w:val="98"/>
          <w:lang w:val="es-CO"/>
        </w:rPr>
        <w:t xml:space="preserve"> </w:t>
      </w:r>
      <w:r w:rsidRPr="00AC72B5">
        <w:rPr>
          <w:i/>
          <w:w w:val="98"/>
          <w:lang w:val="es-CO"/>
        </w:rPr>
        <w:t>Núm. 1: Artículo 12: Igual reconocimiento como persona ante la Ley</w:t>
      </w:r>
      <w:r w:rsidRPr="00AC72B5">
        <w:rPr>
          <w:w w:val="98"/>
          <w:lang w:val="es-CO"/>
        </w:rPr>
        <w:t xml:space="preserve">, ¶ 17, Doc. </w:t>
      </w:r>
      <w:r w:rsidRPr="00AC72B5">
        <w:rPr>
          <w:w w:val="98"/>
        </w:rPr>
        <w:t>ONU CRPD/C/GC/1 (2014).</w:t>
      </w:r>
    </w:p>
  </w:endnote>
  <w:endnote w:id="22">
    <w:p w14:paraId="0328F662" w14:textId="15A236C4"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lang w:val="es-CO"/>
        </w:rPr>
        <w:t>Observación General</w:t>
      </w:r>
      <w:r w:rsidRPr="00AC72B5">
        <w:rPr>
          <w:w w:val="98"/>
          <w:lang w:val="es-CO"/>
        </w:rPr>
        <w:t xml:space="preserve"> </w:t>
      </w:r>
      <w:r w:rsidRPr="00AC72B5">
        <w:rPr>
          <w:i/>
          <w:w w:val="98"/>
          <w:lang w:val="es-CO"/>
        </w:rPr>
        <w:t>Núm.</w:t>
      </w:r>
      <w:r w:rsidRPr="00AC72B5">
        <w:rPr>
          <w:i/>
          <w:w w:val="98"/>
        </w:rPr>
        <w:t xml:space="preserve"> 19: Protección de la Familia, el Derecho al Matrimonio y la Igualdad de los Cónyuges (Artículo 23)</w:t>
      </w:r>
      <w:r w:rsidRPr="00AC72B5">
        <w:rPr>
          <w:w w:val="98"/>
        </w:rPr>
        <w:t>, ¶ 5, Doc. ONU HRI/GEN/1/Rev.1 al 28 (1994).</w:t>
      </w:r>
    </w:p>
  </w:endnote>
  <w:endnote w:id="23">
    <w:p w14:paraId="0BF78595" w14:textId="3AECB034"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w:t>
      </w:r>
      <w:r w:rsidRPr="00AC72B5">
        <w:rPr>
          <w:i/>
          <w:w w:val="98"/>
          <w:lang w:val="es-CO"/>
        </w:rPr>
        <w:t>ó</w:t>
      </w:r>
      <w:r w:rsidRPr="00AC72B5">
        <w:rPr>
          <w:i/>
          <w:w w:val="98"/>
        </w:rPr>
        <w:t>n General o N</w:t>
      </w:r>
      <w:r w:rsidRPr="00AC72B5">
        <w:rPr>
          <w:i/>
          <w:w w:val="98"/>
          <w:lang w:val="es-CO"/>
        </w:rPr>
        <w:t>úm</w:t>
      </w:r>
      <w:r w:rsidRPr="00AC72B5">
        <w:rPr>
          <w:i/>
          <w:w w:val="98"/>
        </w:rPr>
        <w:t>. 20: Prohibición de la Tortura y otros Tratos o Penas Crueles, Inhumanos o Degradantes, artículo 7</w:t>
      </w:r>
      <w:r w:rsidRPr="00AC72B5">
        <w:rPr>
          <w:w w:val="98"/>
        </w:rPr>
        <w:t>, ¶ 5 (1992).</w:t>
      </w:r>
    </w:p>
  </w:endnote>
  <w:endnote w:id="24">
    <w:p w14:paraId="053A0969" w14:textId="64453ADB"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w:t>
      </w:r>
      <w:r w:rsidRPr="00AC72B5">
        <w:rPr>
          <w:i/>
          <w:w w:val="98"/>
          <w:lang w:val="es-CO"/>
        </w:rPr>
        <w:t>ó</w:t>
      </w:r>
      <w:r w:rsidRPr="00AC72B5">
        <w:rPr>
          <w:i/>
          <w:w w:val="98"/>
        </w:rPr>
        <w:t>n General N</w:t>
      </w:r>
      <w:r w:rsidRPr="00AC72B5">
        <w:rPr>
          <w:i/>
          <w:w w:val="98"/>
          <w:lang w:val="es-CO"/>
        </w:rPr>
        <w:t>úm</w:t>
      </w:r>
      <w:r w:rsidRPr="00AC72B5">
        <w:rPr>
          <w:i/>
          <w:w w:val="98"/>
        </w:rPr>
        <w:t>. 20: Prohibición de la Tortura, y otros Tratos o Penas Crueles, Inhumanos o Degradantes, artículo 7</w:t>
      </w:r>
      <w:r w:rsidRPr="00AC72B5">
        <w:rPr>
          <w:w w:val="98"/>
        </w:rPr>
        <w:t>, ¶ 5 (1992).</w:t>
      </w:r>
    </w:p>
  </w:endnote>
  <w:endnote w:id="25">
    <w:p w14:paraId="01991C35" w14:textId="4EEFDEAA"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w:t>
      </w:r>
      <w:r w:rsidRPr="00AC72B5">
        <w:rPr>
          <w:i/>
          <w:w w:val="98"/>
          <w:lang w:val="es-CO"/>
        </w:rPr>
        <w:t>ó</w:t>
      </w:r>
      <w:r w:rsidRPr="00AC72B5">
        <w:rPr>
          <w:i/>
          <w:w w:val="98"/>
        </w:rPr>
        <w:t>n General N</w:t>
      </w:r>
      <w:r w:rsidRPr="00AC72B5">
        <w:rPr>
          <w:i/>
          <w:w w:val="98"/>
          <w:lang w:val="es-CO"/>
        </w:rPr>
        <w:t>úm</w:t>
      </w:r>
      <w:r w:rsidRPr="00AC72B5">
        <w:rPr>
          <w:i/>
          <w:w w:val="98"/>
        </w:rPr>
        <w:t>. 20: Prohibición de la Tortura, y otros Tratos o Penas Crueles, Inhumanos o Degradantes, artículo 7</w:t>
      </w:r>
      <w:r w:rsidRPr="00AC72B5">
        <w:rPr>
          <w:w w:val="98"/>
        </w:rPr>
        <w:t>, ¶ 7 (1992).</w:t>
      </w:r>
    </w:p>
  </w:endnote>
  <w:endnote w:id="26">
    <w:p w14:paraId="08EA500A" w14:textId="2E3C3A46"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w:t>
      </w:r>
      <w:r w:rsidRPr="00AC72B5">
        <w:rPr>
          <w:i/>
          <w:w w:val="98"/>
          <w:lang w:val="es-CO"/>
        </w:rPr>
        <w:t>ó</w:t>
      </w:r>
      <w:r w:rsidRPr="00AC72B5">
        <w:rPr>
          <w:i/>
          <w:w w:val="98"/>
        </w:rPr>
        <w:t>n General N</w:t>
      </w:r>
      <w:r w:rsidRPr="00AC72B5">
        <w:rPr>
          <w:i/>
          <w:w w:val="98"/>
          <w:lang w:val="es-CO"/>
        </w:rPr>
        <w:t>úm</w:t>
      </w:r>
      <w:r w:rsidRPr="00AC72B5">
        <w:rPr>
          <w:i/>
          <w:w w:val="98"/>
        </w:rPr>
        <w:t>. 28: Artículo 3 (La igualdad de derechos entre hombres y mujeres)</w:t>
      </w:r>
      <w:r w:rsidRPr="00AC72B5">
        <w:rPr>
          <w:w w:val="98"/>
        </w:rPr>
        <w:t>, ¶ 10, Doc. ONU CCPR/C/GC/28 (2000).</w:t>
      </w:r>
    </w:p>
  </w:endnote>
  <w:endnote w:id="27">
    <w:p w14:paraId="198327C9" w14:textId="0B01D497"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w:t>
      </w:r>
      <w:r w:rsidRPr="00AC72B5">
        <w:rPr>
          <w:i/>
          <w:w w:val="98"/>
          <w:lang w:val="es-CO"/>
        </w:rPr>
        <w:t>ó</w:t>
      </w:r>
      <w:r w:rsidRPr="00AC72B5">
        <w:rPr>
          <w:i/>
          <w:w w:val="98"/>
        </w:rPr>
        <w:t>n General N</w:t>
      </w:r>
      <w:r w:rsidRPr="00AC72B5">
        <w:rPr>
          <w:i/>
          <w:w w:val="98"/>
          <w:lang w:val="es-CO"/>
        </w:rPr>
        <w:t>úm</w:t>
      </w:r>
      <w:r w:rsidRPr="00AC72B5">
        <w:rPr>
          <w:i/>
          <w:w w:val="98"/>
        </w:rPr>
        <w:t>. 28: Artículo 3 (La igualdad de derechos entre hombres y mujeres)</w:t>
      </w:r>
      <w:r w:rsidRPr="00AC72B5">
        <w:rPr>
          <w:w w:val="98"/>
        </w:rPr>
        <w:t>, ¶ 11, Doc. ONU CCPR/C/GC/28 (2000).</w:t>
      </w:r>
    </w:p>
  </w:endnote>
  <w:endnote w:id="28">
    <w:p w14:paraId="4047B382" w14:textId="0742DA60"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w:t>
      </w:r>
      <w:r w:rsidRPr="00AC72B5">
        <w:rPr>
          <w:i/>
          <w:w w:val="98"/>
          <w:lang w:val="es-CO"/>
        </w:rPr>
        <w:t>ó</w:t>
      </w:r>
      <w:r w:rsidRPr="00AC72B5">
        <w:rPr>
          <w:i/>
          <w:w w:val="98"/>
        </w:rPr>
        <w:t>n General N</w:t>
      </w:r>
      <w:r w:rsidRPr="00AC72B5">
        <w:rPr>
          <w:i/>
          <w:w w:val="98"/>
          <w:lang w:val="es-CO"/>
        </w:rPr>
        <w:t>úm</w:t>
      </w:r>
      <w:r w:rsidRPr="00AC72B5">
        <w:rPr>
          <w:i/>
          <w:w w:val="98"/>
        </w:rPr>
        <w:t>. 28: Artículo 3 (La igualdad de derechos entre hombres y mujeres)</w:t>
      </w:r>
      <w:r w:rsidRPr="00AC72B5">
        <w:rPr>
          <w:w w:val="98"/>
        </w:rPr>
        <w:t>, ¶ 15, Doc. ONU CCPR/C/GC/28 (2000).</w:t>
      </w:r>
    </w:p>
  </w:endnote>
  <w:endnote w:id="29">
    <w:p w14:paraId="33EBEB0B" w14:textId="511AABEF"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Observación General N</w:t>
      </w:r>
      <w:r w:rsidRPr="00AC72B5">
        <w:rPr>
          <w:i/>
          <w:w w:val="98"/>
          <w:lang w:val="es-CO"/>
        </w:rPr>
        <w:t>úm</w:t>
      </w:r>
      <w:r w:rsidRPr="00AC72B5">
        <w:rPr>
          <w:i/>
          <w:w w:val="98"/>
        </w:rPr>
        <w:t>. 28: Artículo 3 (La igualdad de derechos entre hombres y mujeres)</w:t>
      </w:r>
      <w:r w:rsidRPr="00AC72B5">
        <w:rPr>
          <w:w w:val="98"/>
        </w:rPr>
        <w:t>, ¶ 8, Doc. ONU CCPR/C/GC/28 (2000).</w:t>
      </w:r>
    </w:p>
  </w:endnote>
  <w:endnote w:id="30">
    <w:p w14:paraId="0F39D355" w14:textId="70AF1901"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Angola</w:t>
      </w:r>
      <w:r w:rsidRPr="00AC72B5">
        <w:rPr>
          <w:w w:val="98"/>
        </w:rPr>
        <w:t>, ¶ 13, Doc. ONU CCPR/C/HACE/CO/1 (2013);</w:t>
      </w:r>
      <w:r w:rsidRPr="00AC72B5">
        <w:rPr>
          <w:i/>
          <w:w w:val="98"/>
        </w:rPr>
        <w:t xml:space="preserve"> Camerún</w:t>
      </w:r>
      <w:r w:rsidRPr="00AC72B5">
        <w:rPr>
          <w:w w:val="98"/>
        </w:rPr>
        <w:t>, ¶ 13, Doc. ONU CCPR/C/CMR/CO/4 (2010);</w:t>
      </w:r>
      <w:r w:rsidRPr="00AC72B5">
        <w:rPr>
          <w:i/>
          <w:w w:val="98"/>
        </w:rPr>
        <w:t xml:space="preserve"> Chile</w:t>
      </w:r>
      <w:r w:rsidRPr="00AC72B5">
        <w:rPr>
          <w:w w:val="98"/>
        </w:rPr>
        <w:t>, ¶ 15, Doc. ONU CCPR/C/CHL/CO/6 (2014);</w:t>
      </w:r>
      <w:r w:rsidRPr="00AC72B5">
        <w:rPr>
          <w:i/>
          <w:w w:val="98"/>
        </w:rPr>
        <w:t xml:space="preserve"> Cote d'Ivoire</w:t>
      </w:r>
      <w:r w:rsidRPr="00AC72B5">
        <w:rPr>
          <w:w w:val="98"/>
        </w:rPr>
        <w:t>, ¶ 15, Doc. ONU CCPR/C/CIV/CO/1 (2015);</w:t>
      </w:r>
      <w:r w:rsidRPr="00AC72B5">
        <w:rPr>
          <w:i/>
          <w:w w:val="98"/>
        </w:rPr>
        <w:t xml:space="preserve"> República Democrática del Congo</w:t>
      </w:r>
      <w:r w:rsidRPr="00AC72B5">
        <w:rPr>
          <w:w w:val="98"/>
        </w:rPr>
        <w:t xml:space="preserve">, ¶ 14, Doc. ONU CCPR/C/COD/CO/3 (2006); </w:t>
      </w:r>
      <w:r w:rsidRPr="00AC72B5">
        <w:rPr>
          <w:i/>
          <w:w w:val="98"/>
        </w:rPr>
        <w:t>República Dominicana</w:t>
      </w:r>
      <w:r w:rsidRPr="00AC72B5">
        <w:rPr>
          <w:w w:val="98"/>
        </w:rPr>
        <w:t>, ¶ 15, Doc. ONU CCPR/C/DOM/CO/5 (2012);</w:t>
      </w:r>
      <w:r w:rsidRPr="00AC72B5">
        <w:rPr>
          <w:i/>
          <w:w w:val="98"/>
        </w:rPr>
        <w:t xml:space="preserve"> Guatemala</w:t>
      </w:r>
      <w:r w:rsidRPr="00AC72B5">
        <w:rPr>
          <w:w w:val="98"/>
        </w:rPr>
        <w:t>, ¶ 20, Doc. ONU CCPR/C/GTM/CO/3 (2012);</w:t>
      </w:r>
      <w:r w:rsidRPr="00AC72B5">
        <w:rPr>
          <w:i/>
          <w:w w:val="98"/>
        </w:rPr>
        <w:t xml:space="preserve"> Jamaica</w:t>
      </w:r>
      <w:r w:rsidRPr="00AC72B5">
        <w:rPr>
          <w:w w:val="98"/>
        </w:rPr>
        <w:t xml:space="preserve">, ¶ 14, Doc. ONU CCPR/C/JAM/CO/3 (2011); </w:t>
      </w:r>
      <w:r w:rsidRPr="00AC72B5">
        <w:rPr>
          <w:i/>
          <w:w w:val="98"/>
        </w:rPr>
        <w:t>Kazajistán</w:t>
      </w:r>
      <w:r w:rsidRPr="00AC72B5">
        <w:rPr>
          <w:w w:val="98"/>
        </w:rPr>
        <w:t xml:space="preserve">, ¶ 11, Doc. ONU CCPR/C/KAZ/CO/1 (2011); </w:t>
      </w:r>
      <w:r w:rsidRPr="00AC72B5">
        <w:rPr>
          <w:i/>
          <w:w w:val="98"/>
        </w:rPr>
        <w:t>Malawi</w:t>
      </w:r>
      <w:r w:rsidRPr="00AC72B5">
        <w:rPr>
          <w:w w:val="98"/>
        </w:rPr>
        <w:t xml:space="preserve">, ¶ 9, Doc. ONU CCPR/C/MWI/CO/1/Add.1 (2014); </w:t>
      </w:r>
      <w:r w:rsidRPr="00AC72B5">
        <w:rPr>
          <w:i/>
          <w:w w:val="98"/>
        </w:rPr>
        <w:t>Malí</w:t>
      </w:r>
      <w:r w:rsidRPr="00AC72B5">
        <w:rPr>
          <w:w w:val="98"/>
        </w:rPr>
        <w:t>, ¶ 14, Doc. ONU CCPR/CO/77/MLI (2003);</w:t>
      </w:r>
      <w:r w:rsidRPr="00AC72B5">
        <w:rPr>
          <w:i/>
          <w:w w:val="98"/>
        </w:rPr>
        <w:t xml:space="preserve"> Malta</w:t>
      </w:r>
      <w:r w:rsidRPr="00AC72B5">
        <w:rPr>
          <w:w w:val="98"/>
        </w:rPr>
        <w:t>, ¶ 13; Doc. ONU CCPR/C/MLT/CO/2 (2014);</w:t>
      </w:r>
      <w:r w:rsidRPr="00AC72B5">
        <w:rPr>
          <w:i/>
          <w:w w:val="98"/>
        </w:rPr>
        <w:t xml:space="preserve"> Paraguay</w:t>
      </w:r>
      <w:r w:rsidRPr="00AC72B5">
        <w:rPr>
          <w:w w:val="98"/>
        </w:rPr>
        <w:t>, ¶ 13, Doc. ONU CCPR/C/PRY/CO/3;</w:t>
      </w:r>
      <w:r w:rsidRPr="00AC72B5">
        <w:rPr>
          <w:i/>
          <w:w w:val="98"/>
        </w:rPr>
        <w:t xml:space="preserve"> Perú</w:t>
      </w:r>
      <w:r w:rsidRPr="00AC72B5">
        <w:rPr>
          <w:w w:val="98"/>
        </w:rPr>
        <w:t>, ¶ 14, Doc. ONU CCPR/C/POR/CO/5 (2013);</w:t>
      </w:r>
      <w:r w:rsidRPr="00AC72B5">
        <w:rPr>
          <w:i/>
          <w:w w:val="98"/>
        </w:rPr>
        <w:t xml:space="preserve"> Filipinas</w:t>
      </w:r>
      <w:r w:rsidRPr="00AC72B5">
        <w:rPr>
          <w:w w:val="98"/>
        </w:rPr>
        <w:t xml:space="preserve">, ¶ 13, Doc. ONU CCPR/C/PHL/CO/4 (2012); </w:t>
      </w:r>
      <w:r w:rsidRPr="00AC72B5">
        <w:rPr>
          <w:i/>
          <w:w w:val="98"/>
        </w:rPr>
        <w:t>Sierra Leona</w:t>
      </w:r>
      <w:r w:rsidRPr="00AC72B5">
        <w:rPr>
          <w:w w:val="98"/>
        </w:rPr>
        <w:t xml:space="preserve">, ¶ 14, Doc. ONU CCPR/C/LES/CO/1 (2014); </w:t>
      </w:r>
      <w:r w:rsidRPr="00AC72B5">
        <w:rPr>
          <w:i/>
          <w:w w:val="98"/>
        </w:rPr>
        <w:t>Sri Lanka</w:t>
      </w:r>
      <w:r w:rsidRPr="00AC72B5">
        <w:rPr>
          <w:w w:val="98"/>
        </w:rPr>
        <w:t>, ¶ 10, Doc. ONU CCPR/C/LKA/CO/5 (2014).</w:t>
      </w:r>
    </w:p>
  </w:endnote>
  <w:endnote w:id="31">
    <w:p w14:paraId="05DD770D" w14:textId="085F2DA2"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Argentina</w:t>
      </w:r>
      <w:r w:rsidRPr="00AC72B5">
        <w:rPr>
          <w:w w:val="98"/>
        </w:rPr>
        <w:t>, ¶ 15, Doc. ONU CCPR/C/CHL/CO/6 (2014);</w:t>
      </w:r>
      <w:r w:rsidRPr="00AC72B5">
        <w:rPr>
          <w:i/>
          <w:w w:val="98"/>
        </w:rPr>
        <w:t xml:space="preserve"> Cote d'Ivoire</w:t>
      </w:r>
      <w:r w:rsidRPr="00AC72B5">
        <w:rPr>
          <w:w w:val="98"/>
        </w:rPr>
        <w:t>, ¶ 15, Doc. ONU CCPR/C/CIV/CO/1 (2015);</w:t>
      </w:r>
      <w:r w:rsidRPr="00AC72B5">
        <w:rPr>
          <w:i/>
          <w:w w:val="98"/>
        </w:rPr>
        <w:t xml:space="preserve"> Guatemala</w:t>
      </w:r>
      <w:r w:rsidRPr="00AC72B5">
        <w:rPr>
          <w:w w:val="98"/>
        </w:rPr>
        <w:t xml:space="preserve">, ¶ 20, Doc. ONU CCPR/C/LTU/CO/3 (2012); </w:t>
      </w:r>
      <w:r w:rsidRPr="00AC72B5">
        <w:rPr>
          <w:i/>
          <w:w w:val="98"/>
        </w:rPr>
        <w:t>Malawi</w:t>
      </w:r>
      <w:r w:rsidRPr="00AC72B5">
        <w:rPr>
          <w:w w:val="98"/>
        </w:rPr>
        <w:t>, ¶ 9, Doc. ONU CCPR/C/MWI/CO/1/Add.1 (2014);</w:t>
      </w:r>
      <w:r w:rsidRPr="00AC72B5">
        <w:rPr>
          <w:i/>
          <w:w w:val="98"/>
        </w:rPr>
        <w:t xml:space="preserve"> Malta</w:t>
      </w:r>
      <w:r w:rsidRPr="00AC72B5">
        <w:rPr>
          <w:w w:val="98"/>
        </w:rPr>
        <w:t>, ¶ 13; Doc. ONU CCPR/C/MLT/CO/2 (2014);</w:t>
      </w:r>
      <w:r w:rsidRPr="00AC72B5">
        <w:rPr>
          <w:i/>
          <w:w w:val="98"/>
        </w:rPr>
        <w:t xml:space="preserve"> Paraguay</w:t>
      </w:r>
      <w:r w:rsidRPr="00AC72B5">
        <w:rPr>
          <w:w w:val="98"/>
        </w:rPr>
        <w:t>, ¶ 13, Doc. ONU CCPR/C/PRY/CO/3;</w:t>
      </w:r>
      <w:r w:rsidRPr="00AC72B5">
        <w:rPr>
          <w:i/>
          <w:w w:val="98"/>
        </w:rPr>
        <w:t xml:space="preserve"> Perú</w:t>
      </w:r>
      <w:r w:rsidRPr="00AC72B5">
        <w:rPr>
          <w:w w:val="98"/>
        </w:rPr>
        <w:t>, ¶ 14, Doc. ONU CCPR/C/ESP/CO/5 (2009);</w:t>
      </w:r>
      <w:r w:rsidRPr="00AC72B5">
        <w:rPr>
          <w:i/>
          <w:w w:val="98"/>
        </w:rPr>
        <w:t xml:space="preserve"> Sri Lanka</w:t>
      </w:r>
      <w:r w:rsidRPr="00AC72B5">
        <w:rPr>
          <w:w w:val="98"/>
        </w:rPr>
        <w:t>, ¶ 10, Doc. ONU CCPR/C/LKA/CO/5 (2014).</w:t>
      </w:r>
    </w:p>
  </w:endnote>
  <w:endnote w:id="32">
    <w:p w14:paraId="36F83A95" w14:textId="4666537A"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Kazakhstan</w:t>
      </w:r>
      <w:r w:rsidRPr="00AC72B5">
        <w:rPr>
          <w:w w:val="98"/>
        </w:rPr>
        <w:t>, ¶ 11, Doc. ONU CCPR/C/KAZ/CO/1 (2011).</w:t>
      </w:r>
    </w:p>
  </w:endnote>
  <w:endnote w:id="33">
    <w:p w14:paraId="59BB8637" w14:textId="422AB09A"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Gran Bretaña e Irlanda del Norte</w:t>
      </w:r>
      <w:r w:rsidRPr="00AC72B5">
        <w:rPr>
          <w:w w:val="98"/>
        </w:rPr>
        <w:t>, ¶ 17, Doc. ONU CCPR/C/GBR/CO/7 (2015).</w:t>
      </w:r>
    </w:p>
  </w:endnote>
  <w:endnote w:id="34">
    <w:p w14:paraId="40BA9120" w14:textId="5B4F96C8"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República Democrática del Congo</w:t>
      </w:r>
      <w:r w:rsidRPr="00AC72B5">
        <w:rPr>
          <w:w w:val="98"/>
        </w:rPr>
        <w:t xml:space="preserve">, ¶ 14, Doc. ONU CCPR/C/COD/CO/3 (2006); </w:t>
      </w:r>
      <w:r w:rsidRPr="00AC72B5">
        <w:rPr>
          <w:i/>
          <w:w w:val="98"/>
        </w:rPr>
        <w:t>Malí</w:t>
      </w:r>
      <w:r w:rsidRPr="00AC72B5">
        <w:rPr>
          <w:w w:val="98"/>
        </w:rPr>
        <w:t>, ¶ 14; Doc. ONU CCPR/CO/77/MLI (2003).</w:t>
      </w:r>
    </w:p>
  </w:endnote>
  <w:endnote w:id="35">
    <w:p w14:paraId="5113817E" w14:textId="3539C599"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Polonia</w:t>
      </w:r>
      <w:r w:rsidRPr="00AC72B5">
        <w:rPr>
          <w:w w:val="98"/>
        </w:rPr>
        <w:t>, ¶ 12, Doc. ONU CCPR/C/POL/CO/6 (2010).</w:t>
      </w:r>
    </w:p>
  </w:endnote>
  <w:endnote w:id="36">
    <w:p w14:paraId="039EB67D" w14:textId="4C1B1CA5"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Grecia</w:t>
      </w:r>
      <w:r w:rsidRPr="00AC72B5">
        <w:rPr>
          <w:w w:val="98"/>
        </w:rPr>
        <w:t>, ¶ 9, Doc. ONU CCPR/C/GRC/CO/2 (2015).</w:t>
      </w:r>
    </w:p>
  </w:endnote>
  <w:endnote w:id="37">
    <w:p w14:paraId="301DD683" w14:textId="4726D104"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Grecia</w:t>
      </w:r>
      <w:r w:rsidRPr="00AC72B5">
        <w:rPr>
          <w:w w:val="98"/>
        </w:rPr>
        <w:t>, ¶ 10, Doc. ONU CCPR/C/GRC/CO/2 (2015).</w:t>
      </w:r>
    </w:p>
  </w:endnote>
  <w:endnote w:id="38">
    <w:p w14:paraId="6D3AAC5C" w14:textId="7F8594A9"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Angola</w:t>
      </w:r>
      <w:r w:rsidRPr="00AC72B5">
        <w:rPr>
          <w:w w:val="98"/>
        </w:rPr>
        <w:t>, ¶ 13, Doc. ONU CCPR/C/HACE/CO/1 (2013);</w:t>
      </w:r>
      <w:r w:rsidRPr="00AC72B5">
        <w:rPr>
          <w:i/>
          <w:w w:val="98"/>
        </w:rPr>
        <w:t xml:space="preserve"> Argentina</w:t>
      </w:r>
      <w:r w:rsidRPr="00AC72B5">
        <w:rPr>
          <w:w w:val="98"/>
        </w:rPr>
        <w:t>, ¶ 13, Doc. ONU CCPR/C/ARG/CO/4 (2010);</w:t>
      </w:r>
      <w:r w:rsidRPr="00AC72B5">
        <w:rPr>
          <w:i/>
          <w:w w:val="98"/>
        </w:rPr>
        <w:t xml:space="preserve"> Camerún</w:t>
      </w:r>
      <w:r w:rsidRPr="00AC72B5">
        <w:rPr>
          <w:w w:val="98"/>
        </w:rPr>
        <w:t>, ¶ 13, Doc. ONU CCPR/C/CMR/CO/4 (2010);</w:t>
      </w:r>
      <w:r w:rsidRPr="00AC72B5">
        <w:rPr>
          <w:i/>
          <w:w w:val="98"/>
        </w:rPr>
        <w:t xml:space="preserve"> Chile</w:t>
      </w:r>
      <w:r w:rsidRPr="00AC72B5">
        <w:rPr>
          <w:w w:val="98"/>
        </w:rPr>
        <w:t xml:space="preserve">, ¶ 15, Doc. ONU CCPR/C/CHL/CO/6 (2014); </w:t>
      </w:r>
      <w:r w:rsidRPr="00AC72B5">
        <w:rPr>
          <w:i/>
          <w:w w:val="98"/>
        </w:rPr>
        <w:t>Cote d'Ivoire</w:t>
      </w:r>
      <w:r w:rsidRPr="00AC72B5">
        <w:rPr>
          <w:w w:val="98"/>
        </w:rPr>
        <w:t xml:space="preserve">, ¶ 15, Doc. ONU CCPR/C/CIV/CO/1 (2015); </w:t>
      </w:r>
      <w:r w:rsidRPr="00AC72B5">
        <w:rPr>
          <w:i/>
          <w:w w:val="98"/>
        </w:rPr>
        <w:t>Yibutii</w:t>
      </w:r>
      <w:r w:rsidRPr="00AC72B5">
        <w:rPr>
          <w:w w:val="98"/>
        </w:rPr>
        <w:t>, ¶ 9, Doc. ONU CCPR/C/DJI/CO/1 (2013);</w:t>
      </w:r>
      <w:r w:rsidRPr="00AC72B5">
        <w:rPr>
          <w:i/>
          <w:w w:val="98"/>
        </w:rPr>
        <w:t xml:space="preserve"> El Salvador</w:t>
      </w:r>
      <w:r w:rsidRPr="00AC72B5">
        <w:rPr>
          <w:w w:val="98"/>
        </w:rPr>
        <w:t>, ¶ 14, Doc. ONU CCPR/CO/78/SLV (2003);</w:t>
      </w:r>
      <w:r w:rsidRPr="00AC72B5">
        <w:rPr>
          <w:i/>
          <w:w w:val="98"/>
        </w:rPr>
        <w:t xml:space="preserve"> Gran Bretaña e Irlanda del Norte</w:t>
      </w:r>
      <w:r w:rsidRPr="00AC72B5">
        <w:rPr>
          <w:w w:val="98"/>
        </w:rPr>
        <w:t>, ¶ 17, Doc. ONU CCPR/C/GBR/CO/7 (2015);</w:t>
      </w:r>
      <w:r w:rsidRPr="00AC72B5">
        <w:rPr>
          <w:i/>
          <w:w w:val="98"/>
        </w:rPr>
        <w:t xml:space="preserve"> Honduras</w:t>
      </w:r>
      <w:r w:rsidRPr="00AC72B5">
        <w:rPr>
          <w:w w:val="98"/>
        </w:rPr>
        <w:t>, ¶ 8, Doc. ONU CCPR/C/HND/CO/1 (2006);</w:t>
      </w:r>
      <w:r w:rsidRPr="00AC72B5">
        <w:rPr>
          <w:i/>
          <w:w w:val="98"/>
        </w:rPr>
        <w:t xml:space="preserve"> Irlanda</w:t>
      </w:r>
      <w:r w:rsidRPr="00AC72B5">
        <w:rPr>
          <w:w w:val="98"/>
        </w:rPr>
        <w:t xml:space="preserve">, ¶ 9, Doc. ONU CCPR/C/IRL/CO/4 (2014); </w:t>
      </w:r>
      <w:r w:rsidRPr="00AC72B5">
        <w:rPr>
          <w:i/>
          <w:w w:val="98"/>
        </w:rPr>
        <w:t>Jamaica</w:t>
      </w:r>
      <w:r w:rsidRPr="00AC72B5">
        <w:rPr>
          <w:w w:val="98"/>
        </w:rPr>
        <w:t>, ¶ 14, Doc. ONU CCPR/C/JAM/CO/3 (2011);</w:t>
      </w:r>
      <w:r w:rsidRPr="00AC72B5">
        <w:rPr>
          <w:i/>
          <w:w w:val="98"/>
        </w:rPr>
        <w:t xml:space="preserve"> Madagascar</w:t>
      </w:r>
      <w:r w:rsidRPr="00AC72B5">
        <w:rPr>
          <w:w w:val="98"/>
        </w:rPr>
        <w:t>, ¶ 8, Doc. ONU CCPR/C/MDG/CO/3 (2007);</w:t>
      </w:r>
      <w:r w:rsidRPr="00AC72B5">
        <w:rPr>
          <w:i/>
          <w:w w:val="98"/>
        </w:rPr>
        <w:t xml:space="preserve"> Mali</w:t>
      </w:r>
      <w:r w:rsidRPr="00AC72B5">
        <w:rPr>
          <w:w w:val="98"/>
        </w:rPr>
        <w:t>, ¶ 14; Doc. ONU CCPR/CO/77/MLI (2003);</w:t>
      </w:r>
      <w:r w:rsidRPr="00AC72B5">
        <w:rPr>
          <w:i/>
          <w:w w:val="98"/>
        </w:rPr>
        <w:t xml:space="preserve"> Malta</w:t>
      </w:r>
      <w:r w:rsidRPr="00AC72B5">
        <w:rPr>
          <w:w w:val="98"/>
        </w:rPr>
        <w:t>, ¶ 13; Doc. ONU CCPR/C/MLT/CO/2 (2014);</w:t>
      </w:r>
      <w:r w:rsidRPr="00AC72B5">
        <w:rPr>
          <w:i/>
          <w:w w:val="98"/>
        </w:rPr>
        <w:t xml:space="preserve"> Mauricio</w:t>
      </w:r>
      <w:r w:rsidRPr="00AC72B5">
        <w:rPr>
          <w:w w:val="98"/>
        </w:rPr>
        <w:t>, ¶ 9, Doc. ONU CCPR/CO/83/MUS (2005);</w:t>
      </w:r>
      <w:r w:rsidRPr="00AC72B5">
        <w:rPr>
          <w:i/>
          <w:w w:val="98"/>
        </w:rPr>
        <w:t xml:space="preserve"> México</w:t>
      </w:r>
      <w:r w:rsidRPr="00AC72B5">
        <w:rPr>
          <w:w w:val="98"/>
        </w:rPr>
        <w:t>, ¶ 10; Doc. ONU CCPR/C/MEX/CO/5 (2010);</w:t>
      </w:r>
      <w:r w:rsidRPr="00AC72B5">
        <w:rPr>
          <w:i/>
          <w:w w:val="98"/>
        </w:rPr>
        <w:t xml:space="preserve"> Mónaco</w:t>
      </w:r>
      <w:r w:rsidRPr="00AC72B5">
        <w:rPr>
          <w:w w:val="98"/>
        </w:rPr>
        <w:t>, ¶ 10, Doc. ONU CCPR/C/MCO/CO/2 (2008);</w:t>
      </w:r>
      <w:r w:rsidRPr="00AC72B5">
        <w:rPr>
          <w:i/>
          <w:w w:val="98"/>
        </w:rPr>
        <w:t xml:space="preserve"> Nicaragua</w:t>
      </w:r>
      <w:r w:rsidRPr="00AC72B5">
        <w:rPr>
          <w:w w:val="98"/>
        </w:rPr>
        <w:t xml:space="preserve">, ¶ 13, Doc. ONU CCPR/C/NIC/CO/3 (2008); </w:t>
      </w:r>
      <w:r w:rsidRPr="00AC72B5">
        <w:rPr>
          <w:i/>
          <w:w w:val="98"/>
        </w:rPr>
        <w:t>Panamá</w:t>
      </w:r>
      <w:r w:rsidRPr="00AC72B5">
        <w:rPr>
          <w:w w:val="98"/>
        </w:rPr>
        <w:t>, ¶ 9, Doc. ONU CCPR/C/NIC/CO/3 (2008);</w:t>
      </w:r>
      <w:r w:rsidRPr="00AC72B5">
        <w:rPr>
          <w:i/>
          <w:w w:val="98"/>
        </w:rPr>
        <w:t xml:space="preserve"> Filipinas</w:t>
      </w:r>
      <w:r w:rsidRPr="00AC72B5">
        <w:rPr>
          <w:w w:val="98"/>
        </w:rPr>
        <w:t>, ¶ 13, Doc. ONU CCPR/C/PHL/CO/4 (2012);</w:t>
      </w:r>
      <w:r w:rsidRPr="00AC72B5">
        <w:rPr>
          <w:i/>
          <w:w w:val="98"/>
        </w:rPr>
        <w:t xml:space="preserve"> Polonia</w:t>
      </w:r>
      <w:r w:rsidRPr="00AC72B5">
        <w:rPr>
          <w:w w:val="98"/>
        </w:rPr>
        <w:t>, ¶ 12, Doc. ONU CCPR/C/POL/CO/6 (2010);</w:t>
      </w:r>
      <w:r w:rsidRPr="00AC72B5">
        <w:rPr>
          <w:i/>
          <w:w w:val="98"/>
        </w:rPr>
        <w:t xml:space="preserve"> San Marino</w:t>
      </w:r>
      <w:r w:rsidRPr="00AC72B5">
        <w:rPr>
          <w:w w:val="98"/>
        </w:rPr>
        <w:t>, ¶ 14, Doc. ONU CCPR / C / SMR / CO / 3 (2015);</w:t>
      </w:r>
      <w:r w:rsidRPr="00AC72B5">
        <w:rPr>
          <w:i/>
          <w:w w:val="98"/>
        </w:rPr>
        <w:t xml:space="preserve"> Sierra Leona</w:t>
      </w:r>
      <w:r w:rsidRPr="00AC72B5">
        <w:rPr>
          <w:w w:val="98"/>
        </w:rPr>
        <w:t xml:space="preserve">, ¶ 14, Doc. ONU CCPR/C/LES/CO/1 (2014); </w:t>
      </w:r>
      <w:r w:rsidRPr="00AC72B5">
        <w:rPr>
          <w:i/>
          <w:w w:val="98"/>
        </w:rPr>
        <w:t>Sri Lanka</w:t>
      </w:r>
      <w:r w:rsidRPr="00AC72B5">
        <w:rPr>
          <w:w w:val="98"/>
        </w:rPr>
        <w:t>, ¶ 10, Doc. ONU CCPR/C/LKA/CO/5 (2014);</w:t>
      </w:r>
      <w:r w:rsidRPr="00AC72B5">
        <w:rPr>
          <w:i/>
          <w:w w:val="98"/>
        </w:rPr>
        <w:t xml:space="preserve"> Trinidad y Tobago</w:t>
      </w:r>
      <w:r w:rsidRPr="00AC72B5">
        <w:rPr>
          <w:w w:val="98"/>
        </w:rPr>
        <w:t>, ¶ 18, Doc. ONU CCPR/CO/70/TTO (2000).</w:t>
      </w:r>
    </w:p>
  </w:endnote>
  <w:endnote w:id="39">
    <w:p w14:paraId="50774F4D" w14:textId="2B0C6AD1"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Angola</w:t>
      </w:r>
      <w:r w:rsidRPr="00AC72B5">
        <w:rPr>
          <w:w w:val="98"/>
        </w:rPr>
        <w:t>, ¶ 13, Doc. ONU CCPR/C/HACE/CO/1 (2013);</w:t>
      </w:r>
      <w:r w:rsidRPr="00AC72B5">
        <w:rPr>
          <w:i/>
          <w:w w:val="98"/>
        </w:rPr>
        <w:t xml:space="preserve"> Camerún</w:t>
      </w:r>
      <w:r w:rsidRPr="00AC72B5">
        <w:rPr>
          <w:w w:val="98"/>
        </w:rPr>
        <w:t xml:space="preserve">, ¶ 13, Doc. ONU CCPR/C/CMR/CO/4 (2010); </w:t>
      </w:r>
      <w:r w:rsidRPr="00AC72B5">
        <w:rPr>
          <w:i/>
          <w:w w:val="98"/>
        </w:rPr>
        <w:t>Chile</w:t>
      </w:r>
      <w:r w:rsidRPr="00AC72B5">
        <w:rPr>
          <w:w w:val="98"/>
        </w:rPr>
        <w:t xml:space="preserve">, ¶ 15, Doc. ONU CCPR/C/CHL/CO/6 (2014); </w:t>
      </w:r>
      <w:r w:rsidRPr="00AC72B5">
        <w:rPr>
          <w:i/>
          <w:w w:val="98"/>
        </w:rPr>
        <w:t>Colombia</w:t>
      </w:r>
      <w:r w:rsidRPr="00AC72B5">
        <w:rPr>
          <w:w w:val="98"/>
        </w:rPr>
        <w:t>, ¶ 13, Doc. ONU CCPR/CO/80/COL (2004);</w:t>
      </w:r>
      <w:r w:rsidRPr="00AC72B5">
        <w:rPr>
          <w:i/>
          <w:w w:val="98"/>
        </w:rPr>
        <w:t xml:space="preserve"> Cote d'Ivoire</w:t>
      </w:r>
      <w:r w:rsidRPr="00AC72B5">
        <w:rPr>
          <w:w w:val="98"/>
        </w:rPr>
        <w:t>, ¶ 15, Doc. ONU CCPR/C/CIV/CO/1 (2015);</w:t>
      </w:r>
      <w:r w:rsidRPr="00AC72B5">
        <w:rPr>
          <w:i/>
          <w:w w:val="98"/>
        </w:rPr>
        <w:t xml:space="preserve"> Yibuti</w:t>
      </w:r>
      <w:r w:rsidRPr="00AC72B5">
        <w:rPr>
          <w:w w:val="98"/>
        </w:rPr>
        <w:t>, ¶ 9, Doc. ONU CCPR/C/DJI/CO/1 (2013);</w:t>
      </w:r>
      <w:r w:rsidRPr="00AC72B5">
        <w:rPr>
          <w:i/>
          <w:w w:val="98"/>
        </w:rPr>
        <w:t xml:space="preserve"> República Dominicana</w:t>
      </w:r>
      <w:r w:rsidRPr="00AC72B5">
        <w:rPr>
          <w:w w:val="98"/>
        </w:rPr>
        <w:t>, ¶ 15, Doc. ONU CCPR/C/DOM/CO/5 (2012);</w:t>
      </w:r>
      <w:r w:rsidRPr="00AC72B5">
        <w:rPr>
          <w:i/>
          <w:w w:val="98"/>
        </w:rPr>
        <w:t xml:space="preserve"> El Salvador</w:t>
      </w:r>
      <w:r w:rsidRPr="00AC72B5">
        <w:rPr>
          <w:w w:val="98"/>
        </w:rPr>
        <w:t>, ¶ 10, Doc. ONU CCPR/C/SLV/CO/6 (2010);</w:t>
      </w:r>
      <w:r w:rsidRPr="00AC72B5">
        <w:rPr>
          <w:i/>
          <w:w w:val="98"/>
        </w:rPr>
        <w:t xml:space="preserve"> Gran Bretaña e Irlanda del Norte</w:t>
      </w:r>
      <w:r w:rsidRPr="00AC72B5">
        <w:rPr>
          <w:w w:val="98"/>
        </w:rPr>
        <w:t>, ¶ 17, Doc. ONU CCPR/C/GBR/CO/7 (2015);</w:t>
      </w:r>
      <w:r w:rsidRPr="00AC72B5">
        <w:rPr>
          <w:i/>
          <w:w w:val="98"/>
        </w:rPr>
        <w:t xml:space="preserve"> Guatemala</w:t>
      </w:r>
      <w:r w:rsidRPr="00AC72B5">
        <w:rPr>
          <w:w w:val="98"/>
        </w:rPr>
        <w:t>, ¶ 20, Doc. ONU CCPR/C/GTM/CO/3 (2012);</w:t>
      </w:r>
      <w:r w:rsidRPr="00AC72B5">
        <w:rPr>
          <w:i/>
          <w:w w:val="98"/>
        </w:rPr>
        <w:t xml:space="preserve"> Irlanda</w:t>
      </w:r>
      <w:r w:rsidRPr="00AC72B5">
        <w:rPr>
          <w:w w:val="98"/>
        </w:rPr>
        <w:t>, ¶ 13, Doc. ONU CCPR/C/IRL/CO/3 (2008);</w:t>
      </w:r>
      <w:r w:rsidRPr="00AC72B5">
        <w:rPr>
          <w:i/>
          <w:w w:val="98"/>
        </w:rPr>
        <w:t xml:space="preserve"> Jamaica</w:t>
      </w:r>
      <w:r w:rsidRPr="00AC72B5">
        <w:rPr>
          <w:w w:val="98"/>
        </w:rPr>
        <w:t xml:space="preserve">, ¶ 14, Doc. ONU CCPR/C/JAM/CO/3 (2011); </w:t>
      </w:r>
      <w:r w:rsidRPr="00AC72B5">
        <w:rPr>
          <w:i/>
          <w:w w:val="98"/>
        </w:rPr>
        <w:t>Kazajistán</w:t>
      </w:r>
      <w:r w:rsidRPr="00AC72B5">
        <w:rPr>
          <w:w w:val="98"/>
        </w:rPr>
        <w:t xml:space="preserve">, ¶ 11, Doc. ONU CCPR/C/KAZ/CO/1 (2011); </w:t>
      </w:r>
      <w:r w:rsidRPr="00AC72B5">
        <w:rPr>
          <w:i/>
          <w:w w:val="98"/>
        </w:rPr>
        <w:t>Malawi</w:t>
      </w:r>
      <w:r w:rsidRPr="00AC72B5">
        <w:rPr>
          <w:w w:val="98"/>
        </w:rPr>
        <w:t>, ¶ 9, Doc. ONU CCPR/C/MWI/CO/1/Add.1 (2014);</w:t>
      </w:r>
      <w:r w:rsidRPr="00AC72B5">
        <w:rPr>
          <w:i/>
          <w:w w:val="98"/>
        </w:rPr>
        <w:t xml:space="preserve"> Malta</w:t>
      </w:r>
      <w:r w:rsidRPr="00AC72B5">
        <w:rPr>
          <w:w w:val="98"/>
        </w:rPr>
        <w:t xml:space="preserve">, ¶ 13, Doc. </w:t>
      </w:r>
      <w:r w:rsidRPr="00AC72B5">
        <w:rPr>
          <w:w w:val="98"/>
          <w:lang w:val="es-CO"/>
        </w:rPr>
        <w:t>ONU CCPR/C/MLT/CO/2 (2014);</w:t>
      </w:r>
      <w:r w:rsidRPr="00AC72B5">
        <w:rPr>
          <w:i/>
          <w:w w:val="98"/>
          <w:lang w:val="es-CO"/>
        </w:rPr>
        <w:t xml:space="preserve"> Mauricio</w:t>
      </w:r>
      <w:r w:rsidRPr="00AC72B5">
        <w:rPr>
          <w:w w:val="98"/>
          <w:lang w:val="es-CO"/>
        </w:rPr>
        <w:t>, ¶ 9, Doc. ONU CCPR/CO/83/MUS (2005);</w:t>
      </w:r>
      <w:r w:rsidRPr="00AC72B5">
        <w:rPr>
          <w:i/>
          <w:w w:val="98"/>
          <w:lang w:val="es-CO"/>
        </w:rPr>
        <w:t xml:space="preserve"> Mónaco</w:t>
      </w:r>
      <w:r w:rsidRPr="00AC72B5">
        <w:rPr>
          <w:w w:val="98"/>
          <w:lang w:val="es-CO"/>
        </w:rPr>
        <w:t xml:space="preserve">, ¶ 10, Doc. </w:t>
      </w:r>
      <w:r w:rsidRPr="00AC72B5">
        <w:rPr>
          <w:w w:val="98"/>
        </w:rPr>
        <w:t xml:space="preserve">ONU CCPR/C/MCO/CO/2 (2008); </w:t>
      </w:r>
      <w:r w:rsidRPr="00AC72B5">
        <w:rPr>
          <w:i/>
          <w:w w:val="98"/>
        </w:rPr>
        <w:t>Nicaragua</w:t>
      </w:r>
      <w:r w:rsidRPr="00AC72B5">
        <w:rPr>
          <w:w w:val="98"/>
        </w:rPr>
        <w:t>, ¶ 13, Doc. ONU CCPR/C/NIC/CO/3 (2008);</w:t>
      </w:r>
      <w:r w:rsidRPr="00AC72B5">
        <w:rPr>
          <w:i/>
          <w:w w:val="98"/>
        </w:rPr>
        <w:t xml:space="preserve"> Polonia</w:t>
      </w:r>
      <w:r w:rsidRPr="00AC72B5">
        <w:rPr>
          <w:w w:val="98"/>
        </w:rPr>
        <w:t xml:space="preserve">, ¶ 8, Doc. ONU CCPR/CO/82/POL (2004); </w:t>
      </w:r>
      <w:r w:rsidRPr="00AC72B5">
        <w:rPr>
          <w:i/>
          <w:w w:val="98"/>
        </w:rPr>
        <w:t>Paraguay</w:t>
      </w:r>
      <w:r w:rsidRPr="00AC72B5">
        <w:rPr>
          <w:w w:val="98"/>
        </w:rPr>
        <w:t>, ¶ 13, Doc. ONU CCPR/C/PRY/CO/3;</w:t>
      </w:r>
      <w:r w:rsidRPr="00AC72B5">
        <w:rPr>
          <w:i/>
          <w:w w:val="98"/>
        </w:rPr>
        <w:t xml:space="preserve"> Filipinas</w:t>
      </w:r>
      <w:r w:rsidRPr="00AC72B5">
        <w:rPr>
          <w:w w:val="98"/>
        </w:rPr>
        <w:t>, ¶ 13, Doc. ONU CCPR/C/PHL/CO/4 (2012);</w:t>
      </w:r>
      <w:r w:rsidRPr="00AC72B5">
        <w:rPr>
          <w:i/>
          <w:w w:val="98"/>
        </w:rPr>
        <w:t xml:space="preserve"> San Marino</w:t>
      </w:r>
      <w:r w:rsidRPr="00AC72B5">
        <w:rPr>
          <w:w w:val="98"/>
        </w:rPr>
        <w:t xml:space="preserve">, ¶ 14, Doc. ONU CCPR/C/SMR/CO/3 (2015); </w:t>
      </w:r>
      <w:r w:rsidRPr="00AC72B5">
        <w:rPr>
          <w:i/>
          <w:w w:val="98"/>
        </w:rPr>
        <w:t>Sierra Leona</w:t>
      </w:r>
      <w:r w:rsidRPr="00AC72B5">
        <w:rPr>
          <w:w w:val="98"/>
        </w:rPr>
        <w:t xml:space="preserve">, ¶ 14, Doc. ONU CCPR/C/LES/CO/1 (2014); </w:t>
      </w:r>
      <w:r w:rsidRPr="00AC72B5">
        <w:rPr>
          <w:i/>
          <w:w w:val="98"/>
        </w:rPr>
        <w:t>Sri Lanka</w:t>
      </w:r>
      <w:r w:rsidRPr="00AC72B5">
        <w:rPr>
          <w:w w:val="98"/>
        </w:rPr>
        <w:t>, ¶ 10, Doc. ONU CCPR/C/LKA/CO/5 (2014).</w:t>
      </w:r>
    </w:p>
  </w:endnote>
  <w:endnote w:id="40">
    <w:p w14:paraId="368CFFF9" w14:textId="14A4B4DF"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Gran Bretaña e Irlanda del Norte</w:t>
      </w:r>
      <w:r w:rsidRPr="00AC72B5">
        <w:rPr>
          <w:w w:val="98"/>
        </w:rPr>
        <w:t>, ¶ 17, Doc. ONU CCPR/C/GBR/CO/7 (2015);</w:t>
      </w:r>
      <w:r w:rsidRPr="00AC72B5">
        <w:rPr>
          <w:i/>
          <w:w w:val="98"/>
        </w:rPr>
        <w:t xml:space="preserve"> Irlanda</w:t>
      </w:r>
      <w:r w:rsidRPr="00AC72B5">
        <w:rPr>
          <w:w w:val="98"/>
        </w:rPr>
        <w:t xml:space="preserve">, ¶ 13, Doc. ONU CCPR/C/IRL/CO/3 (2008); </w:t>
      </w:r>
      <w:r w:rsidRPr="00AC72B5">
        <w:rPr>
          <w:i/>
          <w:w w:val="98"/>
        </w:rPr>
        <w:t>Mónaco</w:t>
      </w:r>
      <w:r w:rsidRPr="00AC72B5">
        <w:rPr>
          <w:w w:val="98"/>
        </w:rPr>
        <w:t xml:space="preserve">, ¶ 10, Doc. ONU CCPR/C/MCO/CO/2 (2008); </w:t>
      </w:r>
      <w:r w:rsidRPr="00AC72B5">
        <w:rPr>
          <w:i/>
          <w:w w:val="98"/>
        </w:rPr>
        <w:t>Nicaragua</w:t>
      </w:r>
      <w:r w:rsidRPr="00AC72B5">
        <w:rPr>
          <w:w w:val="98"/>
        </w:rPr>
        <w:t>, ¶ 13, Doc. ONU CCPR/C/NIC/CO/3 (2008);</w:t>
      </w:r>
      <w:r w:rsidRPr="00AC72B5">
        <w:rPr>
          <w:i/>
          <w:w w:val="98"/>
        </w:rPr>
        <w:t xml:space="preserve"> San Marino</w:t>
      </w:r>
      <w:r w:rsidRPr="00AC72B5">
        <w:rPr>
          <w:w w:val="98"/>
        </w:rPr>
        <w:t xml:space="preserve">, ¶ 14, Doc. ONU CCPR/C/SMR/CO/3 (2015); </w:t>
      </w:r>
      <w:r w:rsidRPr="00AC72B5">
        <w:rPr>
          <w:i/>
          <w:w w:val="98"/>
        </w:rPr>
        <w:t>Venezuela</w:t>
      </w:r>
      <w:r w:rsidRPr="00AC72B5">
        <w:rPr>
          <w:w w:val="98"/>
        </w:rPr>
        <w:t>, ¶ 19, Doc. ONU CCPR/CO/71/VEN (2001).</w:t>
      </w:r>
    </w:p>
  </w:endnote>
  <w:endnote w:id="41">
    <w:p w14:paraId="72A48A17" w14:textId="0FA4F27B"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Angola</w:t>
      </w:r>
      <w:r w:rsidRPr="00AC72B5">
        <w:rPr>
          <w:w w:val="98"/>
        </w:rPr>
        <w:t>, ¶ 13, Doc. ONU CCPR/C/HACE/CO/1 (2013);</w:t>
      </w:r>
      <w:r w:rsidRPr="00AC72B5">
        <w:rPr>
          <w:i/>
          <w:w w:val="98"/>
        </w:rPr>
        <w:t xml:space="preserve"> Chile</w:t>
      </w:r>
      <w:r w:rsidRPr="00AC72B5">
        <w:rPr>
          <w:w w:val="98"/>
        </w:rPr>
        <w:t>, ¶ 15, Doc. ONU CCPR/C/CHL/CO/6 (2014);</w:t>
      </w:r>
      <w:r w:rsidRPr="00AC72B5">
        <w:rPr>
          <w:i/>
          <w:w w:val="98"/>
        </w:rPr>
        <w:t xml:space="preserve"> Colombia</w:t>
      </w:r>
      <w:r w:rsidRPr="00AC72B5">
        <w:rPr>
          <w:w w:val="98"/>
        </w:rPr>
        <w:t xml:space="preserve">, ¶ 13, Doc. ONU CCPR/CO/80/COL (2004); </w:t>
      </w:r>
      <w:r w:rsidRPr="00AC72B5">
        <w:rPr>
          <w:i/>
          <w:w w:val="98"/>
        </w:rPr>
        <w:t>Cote d'Ivoire</w:t>
      </w:r>
      <w:r w:rsidRPr="00AC72B5">
        <w:rPr>
          <w:w w:val="98"/>
        </w:rPr>
        <w:t>, ¶ 15, Doc. ONU CCPR/C/CIV/CO/1 (2015);</w:t>
      </w:r>
      <w:r w:rsidRPr="00AC72B5">
        <w:rPr>
          <w:i/>
          <w:w w:val="98"/>
        </w:rPr>
        <w:t xml:space="preserve"> Yibuti</w:t>
      </w:r>
      <w:r w:rsidRPr="00AC72B5">
        <w:rPr>
          <w:w w:val="98"/>
        </w:rPr>
        <w:t>, ¶ 9, Doc. ONU CCPR/C/DJI/CO/1 (2013);</w:t>
      </w:r>
      <w:r w:rsidRPr="00AC72B5">
        <w:rPr>
          <w:i/>
          <w:w w:val="98"/>
        </w:rPr>
        <w:t xml:space="preserve"> República Dominicana</w:t>
      </w:r>
      <w:r w:rsidRPr="00AC72B5">
        <w:rPr>
          <w:w w:val="98"/>
        </w:rPr>
        <w:t xml:space="preserve">, ¶ 15, Doc. ONU CCPR/C/DOM/CO/5 (2012); </w:t>
      </w:r>
      <w:r w:rsidRPr="00AC72B5">
        <w:rPr>
          <w:i/>
          <w:w w:val="98"/>
        </w:rPr>
        <w:t>El Salvador</w:t>
      </w:r>
      <w:r w:rsidRPr="00AC72B5">
        <w:rPr>
          <w:w w:val="98"/>
        </w:rPr>
        <w:t>, ¶ 10, Doc. ONU CCPR/C/SLV/CO/6 (2010);</w:t>
      </w:r>
      <w:r w:rsidRPr="00AC72B5">
        <w:rPr>
          <w:i/>
          <w:w w:val="98"/>
        </w:rPr>
        <w:t xml:space="preserve"> Gran Bretaña e Irlanda del Norte</w:t>
      </w:r>
      <w:r w:rsidRPr="00AC72B5">
        <w:rPr>
          <w:w w:val="98"/>
        </w:rPr>
        <w:t>, ¶ 17, Doc. ONU CCPR/C/GBR/CO/7 (2015);</w:t>
      </w:r>
      <w:r w:rsidRPr="00AC72B5">
        <w:rPr>
          <w:i/>
          <w:w w:val="98"/>
        </w:rPr>
        <w:t xml:space="preserve"> Guatemala</w:t>
      </w:r>
      <w:r w:rsidRPr="00AC72B5">
        <w:rPr>
          <w:w w:val="98"/>
        </w:rPr>
        <w:t>, ¶ 20, Doc. ONU CCPR/C/GTM/CO/3 (2012);</w:t>
      </w:r>
      <w:r w:rsidRPr="00AC72B5">
        <w:rPr>
          <w:i/>
          <w:w w:val="98"/>
        </w:rPr>
        <w:t xml:space="preserve"> Irlanda</w:t>
      </w:r>
      <w:r w:rsidRPr="00AC72B5">
        <w:rPr>
          <w:w w:val="98"/>
        </w:rPr>
        <w:t>, ¶ 9, Doc. ONU CCPR/C/IRL/CO/4 (2014);</w:t>
      </w:r>
      <w:r w:rsidRPr="00AC72B5">
        <w:rPr>
          <w:i/>
          <w:w w:val="98"/>
        </w:rPr>
        <w:t xml:space="preserve"> Kuwait</w:t>
      </w:r>
      <w:r w:rsidRPr="00AC72B5">
        <w:rPr>
          <w:w w:val="98"/>
        </w:rPr>
        <w:t xml:space="preserve">, ¶ 9, Doc. ONU CCPR/CO/69/KGZ (2000); </w:t>
      </w:r>
      <w:r w:rsidRPr="00AC72B5">
        <w:rPr>
          <w:i/>
          <w:w w:val="98"/>
        </w:rPr>
        <w:t>Malawi</w:t>
      </w:r>
      <w:r w:rsidRPr="00AC72B5">
        <w:rPr>
          <w:w w:val="98"/>
        </w:rPr>
        <w:t>, ¶ 9, Doc. ONU CCPR/C/MWI/CO/1/Add.1 (2014);</w:t>
      </w:r>
      <w:r w:rsidRPr="00AC72B5">
        <w:rPr>
          <w:i/>
          <w:w w:val="98"/>
        </w:rPr>
        <w:t xml:space="preserve"> Marruecos</w:t>
      </w:r>
      <w:r w:rsidRPr="00AC72B5">
        <w:rPr>
          <w:w w:val="98"/>
        </w:rPr>
        <w:t xml:space="preserve">, ¶ 29, Doc. ONU CCPR/CO/82/MAR (2004); </w:t>
      </w:r>
      <w:r w:rsidRPr="00AC72B5">
        <w:rPr>
          <w:i/>
          <w:w w:val="98"/>
        </w:rPr>
        <w:t>Paraguay</w:t>
      </w:r>
      <w:r w:rsidRPr="00AC72B5">
        <w:rPr>
          <w:w w:val="98"/>
        </w:rPr>
        <w:t>, ¶ 13, Doc. ONU CCPR/C/PRY/CO/3;</w:t>
      </w:r>
      <w:r w:rsidRPr="00AC72B5">
        <w:rPr>
          <w:i/>
          <w:w w:val="98"/>
        </w:rPr>
        <w:t xml:space="preserve"> Perú</w:t>
      </w:r>
      <w:r w:rsidRPr="00AC72B5">
        <w:rPr>
          <w:w w:val="98"/>
        </w:rPr>
        <w:t xml:space="preserve">, ¶ 20, Doc. ONU CCPR/CO/70/PER (2000); </w:t>
      </w:r>
      <w:r w:rsidRPr="00AC72B5">
        <w:rPr>
          <w:i/>
          <w:w w:val="98"/>
        </w:rPr>
        <w:t>San Marino</w:t>
      </w:r>
      <w:r w:rsidRPr="00AC72B5">
        <w:rPr>
          <w:w w:val="98"/>
        </w:rPr>
        <w:t xml:space="preserve">, ¶ 14, Doc. ONU CCPR/C/SMR/CO/3 (2015); </w:t>
      </w:r>
      <w:r w:rsidRPr="00AC72B5">
        <w:rPr>
          <w:i/>
          <w:w w:val="98"/>
        </w:rPr>
        <w:t>Sierra Leona</w:t>
      </w:r>
      <w:r w:rsidRPr="00AC72B5">
        <w:rPr>
          <w:w w:val="98"/>
        </w:rPr>
        <w:t xml:space="preserve">, ¶ 14, Doc. ONU CCPR/C/LES/CO/1 (2014); </w:t>
      </w:r>
      <w:r w:rsidRPr="00AC72B5">
        <w:rPr>
          <w:i/>
          <w:w w:val="98"/>
        </w:rPr>
        <w:t>Sri Lanka</w:t>
      </w:r>
      <w:r w:rsidRPr="00AC72B5">
        <w:rPr>
          <w:w w:val="98"/>
        </w:rPr>
        <w:t>, ¶ 10, Doc. ONU CCPR/C/LKA/CO/5 (2014);</w:t>
      </w:r>
      <w:r w:rsidRPr="00AC72B5">
        <w:rPr>
          <w:i/>
          <w:w w:val="98"/>
        </w:rPr>
        <w:t xml:space="preserve"> Venezuela</w:t>
      </w:r>
      <w:r w:rsidRPr="00AC72B5">
        <w:rPr>
          <w:w w:val="98"/>
        </w:rPr>
        <w:t>, ¶ 19, Doc. ONU CCPR/CO/71/VEN (2001).</w:t>
      </w:r>
    </w:p>
  </w:endnote>
  <w:endnote w:id="42">
    <w:p w14:paraId="1D145912" w14:textId="316F3482"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Suecia</w:t>
      </w:r>
      <w:r w:rsidRPr="00AC72B5">
        <w:rPr>
          <w:w w:val="98"/>
        </w:rPr>
        <w:t xml:space="preserve">, ¶ 8, Doc. ONU CCPR/C/CHL/CO/5 (2007); </w:t>
      </w:r>
      <w:r w:rsidRPr="00AC72B5">
        <w:rPr>
          <w:i/>
          <w:w w:val="98"/>
        </w:rPr>
        <w:t>Malta</w:t>
      </w:r>
      <w:r w:rsidRPr="00AC72B5">
        <w:rPr>
          <w:w w:val="98"/>
        </w:rPr>
        <w:t>, ¶ 13, Doc. ONU CCPR/C/MLT/CO/2 (2014);</w:t>
      </w:r>
      <w:r w:rsidRPr="00AC72B5">
        <w:rPr>
          <w:i/>
          <w:w w:val="98"/>
        </w:rPr>
        <w:t xml:space="preserve"> Mauricio</w:t>
      </w:r>
      <w:r w:rsidRPr="00AC72B5">
        <w:rPr>
          <w:w w:val="98"/>
        </w:rPr>
        <w:t xml:space="preserve">, ¶ 9, Doc. ONU CCPR/CO/83/MUS (2005); </w:t>
      </w:r>
      <w:r w:rsidRPr="00AC72B5">
        <w:rPr>
          <w:i/>
          <w:w w:val="98"/>
        </w:rPr>
        <w:t>Mónaco</w:t>
      </w:r>
      <w:r w:rsidRPr="00AC72B5">
        <w:rPr>
          <w:w w:val="98"/>
        </w:rPr>
        <w:t>, ¶ 10, Doc. ONU CCPR/C/MCO/CO/2 (2008);</w:t>
      </w:r>
      <w:r w:rsidRPr="00AC72B5">
        <w:rPr>
          <w:i/>
          <w:w w:val="98"/>
        </w:rPr>
        <w:t xml:space="preserve"> Nicaragua</w:t>
      </w:r>
      <w:r w:rsidRPr="00AC72B5">
        <w:rPr>
          <w:w w:val="98"/>
        </w:rPr>
        <w:t>, ¶ 13, Doc. ONU CCPR/C/NIC/CO/3 (2008).</w:t>
      </w:r>
    </w:p>
  </w:endnote>
  <w:endnote w:id="43">
    <w:p w14:paraId="30A9C4FB" w14:textId="331D1CA3"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Argentina</w:t>
      </w:r>
      <w:r w:rsidRPr="00AC72B5">
        <w:rPr>
          <w:w w:val="98"/>
        </w:rPr>
        <w:t>, ¶ 15, Doc. ONU CCPR/C/CHL/CO/6 (2014);</w:t>
      </w:r>
      <w:r w:rsidRPr="00AC72B5">
        <w:rPr>
          <w:i/>
          <w:w w:val="98"/>
        </w:rPr>
        <w:t xml:space="preserve"> Yibuti </w:t>
      </w:r>
      <w:r w:rsidRPr="00AC72B5">
        <w:rPr>
          <w:w w:val="98"/>
        </w:rPr>
        <w:t>, ¶ 9, Doc. ONU CCPR/C/DJI/CO/1 (2013);</w:t>
      </w:r>
      <w:r w:rsidRPr="00AC72B5">
        <w:rPr>
          <w:i/>
          <w:w w:val="98"/>
        </w:rPr>
        <w:t xml:space="preserve"> Gran Bretaña e Irlanda del Norte</w:t>
      </w:r>
      <w:r w:rsidRPr="00AC72B5">
        <w:rPr>
          <w:w w:val="98"/>
        </w:rPr>
        <w:t>, ¶ 17, Doc. ONU CCPR/C/GBR/CO/7 (2015);</w:t>
      </w:r>
      <w:r w:rsidRPr="00AC72B5">
        <w:rPr>
          <w:i/>
          <w:w w:val="98"/>
        </w:rPr>
        <w:t xml:space="preserve"> Guatemala</w:t>
      </w:r>
      <w:r w:rsidRPr="00AC72B5">
        <w:rPr>
          <w:w w:val="98"/>
        </w:rPr>
        <w:t>, ¶ 20, Doc. ONU CCPR/C/GTM/CO/3 (2012);</w:t>
      </w:r>
      <w:r w:rsidRPr="00AC72B5">
        <w:rPr>
          <w:i/>
          <w:w w:val="98"/>
        </w:rPr>
        <w:t xml:space="preserve"> Malta</w:t>
      </w:r>
      <w:r w:rsidRPr="00AC72B5">
        <w:rPr>
          <w:w w:val="98"/>
        </w:rPr>
        <w:t>, ¶ 13, Doc. ONU CCPR/C/MLT/CO/2 (2014);</w:t>
      </w:r>
      <w:r w:rsidRPr="00AC72B5">
        <w:rPr>
          <w:i/>
          <w:w w:val="98"/>
        </w:rPr>
        <w:t xml:space="preserve"> Nicaragua</w:t>
      </w:r>
      <w:r w:rsidRPr="00AC72B5">
        <w:rPr>
          <w:w w:val="98"/>
        </w:rPr>
        <w:t>, ¶ 13, Doc. ONU CCPR/C/NIC/CO/3 (2008);</w:t>
      </w:r>
      <w:r w:rsidRPr="00AC72B5">
        <w:rPr>
          <w:i/>
          <w:w w:val="98"/>
        </w:rPr>
        <w:t xml:space="preserve"> Paraguay</w:t>
      </w:r>
      <w:r w:rsidRPr="00AC72B5">
        <w:rPr>
          <w:w w:val="98"/>
        </w:rPr>
        <w:t>, ¶ 13, Doc. ONU CCPR/C/PRY/CO/3;</w:t>
      </w:r>
      <w:r w:rsidRPr="00AC72B5">
        <w:rPr>
          <w:i/>
          <w:w w:val="98"/>
        </w:rPr>
        <w:t xml:space="preserve"> Perú</w:t>
      </w:r>
      <w:r w:rsidRPr="00AC72B5">
        <w:rPr>
          <w:w w:val="98"/>
        </w:rPr>
        <w:t>, ¶ 14, Doc. ONU CCPR/C/ESP/CO/5 (2009);</w:t>
      </w:r>
      <w:r w:rsidRPr="00AC72B5">
        <w:rPr>
          <w:i/>
          <w:w w:val="98"/>
        </w:rPr>
        <w:t xml:space="preserve"> Sri Lanka</w:t>
      </w:r>
      <w:r w:rsidRPr="00AC72B5">
        <w:rPr>
          <w:w w:val="98"/>
        </w:rPr>
        <w:t>, ¶ 10, Doc. ONU CCPR/C/LKA/CO/5 (2014).</w:t>
      </w:r>
    </w:p>
  </w:endnote>
  <w:endnote w:id="44">
    <w:p w14:paraId="7BF6A8EC" w14:textId="0E3F9025"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Yibuti</w:t>
      </w:r>
      <w:r w:rsidRPr="00AC72B5">
        <w:rPr>
          <w:w w:val="98"/>
        </w:rPr>
        <w:t>, ¶ 9, Doc. ONU CCPR/C/DJI/CO/1 (2013);</w:t>
      </w:r>
      <w:r w:rsidRPr="00AC72B5">
        <w:rPr>
          <w:i/>
          <w:w w:val="98"/>
        </w:rPr>
        <w:t xml:space="preserve"> Gran Bretaña e Irlanda del Norte</w:t>
      </w:r>
      <w:r w:rsidRPr="00AC72B5">
        <w:rPr>
          <w:w w:val="98"/>
        </w:rPr>
        <w:t>, ¶ 17, Doc. ONU CCPR/C/GBR/CO/7 (2015);</w:t>
      </w:r>
      <w:r w:rsidRPr="00AC72B5">
        <w:rPr>
          <w:i/>
          <w:w w:val="98"/>
        </w:rPr>
        <w:t xml:space="preserve"> Guatemala</w:t>
      </w:r>
      <w:r w:rsidRPr="00AC72B5">
        <w:rPr>
          <w:w w:val="98"/>
        </w:rPr>
        <w:t>, ¶ 20, Doc. ONU CCPR/C/GTM/CO/3 (2012);</w:t>
      </w:r>
      <w:r w:rsidRPr="00AC72B5">
        <w:rPr>
          <w:i/>
          <w:w w:val="98"/>
        </w:rPr>
        <w:t xml:space="preserve"> Malta</w:t>
      </w:r>
      <w:r w:rsidRPr="00AC72B5">
        <w:rPr>
          <w:w w:val="98"/>
        </w:rPr>
        <w:t>, ¶ 13, Doc. ONU CCPR/C/MLT/CO/2 (2014);</w:t>
      </w:r>
      <w:r w:rsidRPr="00AC72B5">
        <w:rPr>
          <w:i/>
          <w:w w:val="98"/>
        </w:rPr>
        <w:t xml:space="preserve"> Nicaragua</w:t>
      </w:r>
      <w:r w:rsidRPr="00AC72B5">
        <w:rPr>
          <w:w w:val="98"/>
        </w:rPr>
        <w:t>, ¶ 13, Doc. ONU CCPR/C/NIC/CO/3 (2008);</w:t>
      </w:r>
      <w:r w:rsidRPr="00AC72B5">
        <w:rPr>
          <w:i/>
          <w:w w:val="98"/>
        </w:rPr>
        <w:t xml:space="preserve"> Paraguay</w:t>
      </w:r>
      <w:r w:rsidRPr="00AC72B5">
        <w:rPr>
          <w:w w:val="98"/>
        </w:rPr>
        <w:t xml:space="preserve">, ¶ 13, Doc. ONU CCPR/C/PRY/CO/3; </w:t>
      </w:r>
      <w:r w:rsidRPr="00AC72B5">
        <w:rPr>
          <w:i/>
          <w:w w:val="98"/>
        </w:rPr>
        <w:t>Perú</w:t>
      </w:r>
      <w:r w:rsidRPr="00AC72B5">
        <w:rPr>
          <w:w w:val="98"/>
        </w:rPr>
        <w:t>, ¶ 14, Doc. ONU CCPR/C/ESP/CO/5 (2009);</w:t>
      </w:r>
      <w:r w:rsidRPr="00AC72B5">
        <w:rPr>
          <w:i/>
          <w:w w:val="98"/>
        </w:rPr>
        <w:t xml:space="preserve"> Sri Lanka</w:t>
      </w:r>
      <w:r w:rsidRPr="00AC72B5">
        <w:rPr>
          <w:w w:val="98"/>
        </w:rPr>
        <w:t>, ¶ 10, Doc. ONU CCPR/C/LKA/CO/5 (2014).</w:t>
      </w:r>
    </w:p>
  </w:endnote>
  <w:endnote w:id="45">
    <w:p w14:paraId="078A21F7" w14:textId="35A07B18"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Argentina</w:t>
      </w:r>
      <w:r w:rsidRPr="00AC72B5">
        <w:rPr>
          <w:w w:val="98"/>
        </w:rPr>
        <w:t xml:space="preserve">, ¶ 13, Doc. ONU CCPR/C/ARG/CO/4 (2010); </w:t>
      </w:r>
      <w:r w:rsidRPr="00AC72B5">
        <w:rPr>
          <w:i/>
          <w:w w:val="98"/>
        </w:rPr>
        <w:t>Irlanda</w:t>
      </w:r>
      <w:r w:rsidRPr="00AC72B5">
        <w:rPr>
          <w:w w:val="98"/>
        </w:rPr>
        <w:t>, ¶ 9, Doc. ONU CCPR/C/IRL/CO/4 (2014).</w:t>
      </w:r>
    </w:p>
  </w:endnote>
  <w:endnote w:id="46">
    <w:p w14:paraId="588EEAED" w14:textId="689F1844"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Argentina</w:t>
      </w:r>
      <w:r w:rsidRPr="00AC72B5">
        <w:rPr>
          <w:w w:val="98"/>
        </w:rPr>
        <w:t>, ¶ 13, Doc. ONU CCPR/C/ARG/CO/4 (2010).</w:t>
      </w:r>
    </w:p>
  </w:endnote>
  <w:endnote w:id="47">
    <w:p w14:paraId="6E8EAEAD" w14:textId="3A72CCA8"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Nicaragua</w:t>
      </w:r>
      <w:r w:rsidRPr="00AC72B5">
        <w:rPr>
          <w:w w:val="98"/>
        </w:rPr>
        <w:t>, ¶ 13, Doc. ONU CCPR/C/NIC/CO/3 (2008).</w:t>
      </w:r>
    </w:p>
  </w:endnote>
  <w:endnote w:id="48">
    <w:p w14:paraId="047FF136" w14:textId="61222EB5"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Irlanda</w:t>
      </w:r>
      <w:r w:rsidRPr="00AC72B5">
        <w:rPr>
          <w:w w:val="98"/>
        </w:rPr>
        <w:t xml:space="preserve">, ¶ 9, Doc. ONU CCPR/C/IRL/CO/4 (2014). </w:t>
      </w:r>
    </w:p>
  </w:endnote>
  <w:endnote w:id="49">
    <w:p w14:paraId="752B58D6" w14:textId="7766C23F"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Argentina</w:t>
      </w:r>
      <w:r w:rsidRPr="00AC72B5">
        <w:rPr>
          <w:w w:val="98"/>
        </w:rPr>
        <w:t>, ¶ 14, Doc. ONU CCPR/CO/70/ARG (2000).</w:t>
      </w:r>
    </w:p>
  </w:endnote>
  <w:endnote w:id="50">
    <w:p w14:paraId="69949E6D" w14:textId="21FCA212"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Argentina</w:t>
      </w:r>
      <w:r w:rsidRPr="00AC72B5">
        <w:rPr>
          <w:w w:val="98"/>
        </w:rPr>
        <w:t xml:space="preserve">, ¶ 14, Doc. ONU CCPR/CO/70/ARG (2000); </w:t>
      </w:r>
      <w:r w:rsidRPr="00AC72B5">
        <w:rPr>
          <w:i/>
          <w:w w:val="98"/>
        </w:rPr>
        <w:t>Yibuti</w:t>
      </w:r>
      <w:r w:rsidRPr="00AC72B5">
        <w:rPr>
          <w:w w:val="98"/>
        </w:rPr>
        <w:t>, ¶ 9, Doc. ONU CCPR/C/DJI/CO/1 (2013);</w:t>
      </w:r>
      <w:r w:rsidRPr="00AC72B5">
        <w:rPr>
          <w:i/>
          <w:w w:val="98"/>
        </w:rPr>
        <w:t xml:space="preserve"> El Salvador</w:t>
      </w:r>
      <w:r w:rsidRPr="00AC72B5">
        <w:rPr>
          <w:w w:val="98"/>
        </w:rPr>
        <w:t>, ¶ 10, Doc. ONU CCPR/C/SLV/CO/6 (2010);</w:t>
      </w:r>
      <w:r w:rsidRPr="00AC72B5">
        <w:rPr>
          <w:i/>
          <w:w w:val="98"/>
        </w:rPr>
        <w:t xml:space="preserve"> Guatemala</w:t>
      </w:r>
      <w:r w:rsidRPr="00AC72B5">
        <w:rPr>
          <w:w w:val="98"/>
        </w:rPr>
        <w:t>, ¶ 19, Doc. ONU CCPR/CO/72/GTM (2001);</w:t>
      </w:r>
      <w:r w:rsidRPr="00AC72B5">
        <w:rPr>
          <w:i/>
          <w:w w:val="98"/>
        </w:rPr>
        <w:t xml:space="preserve"> Irlanda</w:t>
      </w:r>
      <w:r w:rsidRPr="00AC72B5">
        <w:rPr>
          <w:w w:val="98"/>
        </w:rPr>
        <w:t xml:space="preserve">, ¶ 9, Doc. ONU CCPR/C/IRL/CO/4 (2014); </w:t>
      </w:r>
      <w:r w:rsidRPr="00AC72B5">
        <w:rPr>
          <w:i/>
          <w:w w:val="98"/>
        </w:rPr>
        <w:t>Venezuela</w:t>
      </w:r>
      <w:r w:rsidRPr="00AC72B5">
        <w:rPr>
          <w:w w:val="98"/>
        </w:rPr>
        <w:t>, ¶ 19, Doc. ONU CCPR/CO/71/VEN (2001).</w:t>
      </w:r>
    </w:p>
  </w:endnote>
  <w:endnote w:id="51">
    <w:p w14:paraId="7F79B73E" w14:textId="02D9EE74"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Bolivia</w:t>
      </w:r>
      <w:r w:rsidRPr="00AC72B5">
        <w:rPr>
          <w:w w:val="98"/>
        </w:rPr>
        <w:t>, ¶ 9, Doc. ONU CCPR/C/BOL/CO/3 (2013);</w:t>
      </w:r>
      <w:r w:rsidRPr="00AC72B5">
        <w:rPr>
          <w:i/>
          <w:w w:val="98"/>
        </w:rPr>
        <w:t xml:space="preserve"> Colombia</w:t>
      </w:r>
      <w:r w:rsidRPr="00AC72B5">
        <w:rPr>
          <w:w w:val="98"/>
        </w:rPr>
        <w:t>, ¶ 13, Doc. ONU CCPR/CO/80/COL (2004);</w:t>
      </w:r>
      <w:r w:rsidRPr="00AC72B5">
        <w:rPr>
          <w:i/>
          <w:w w:val="98"/>
        </w:rPr>
        <w:t xml:space="preserve"> El Salvador</w:t>
      </w:r>
      <w:r w:rsidRPr="00AC72B5">
        <w:rPr>
          <w:w w:val="98"/>
        </w:rPr>
        <w:t>, ¶ 10, Doc. ONU CCPR/C/SLV/CO/6 (2010);</w:t>
      </w:r>
      <w:r w:rsidRPr="00AC72B5">
        <w:rPr>
          <w:i/>
          <w:w w:val="98"/>
        </w:rPr>
        <w:t xml:space="preserve"> </w:t>
      </w:r>
      <w:r w:rsidRPr="00AC72B5">
        <w:rPr>
          <w:w w:val="98"/>
        </w:rPr>
        <w:t>Moldavia, ¶ 17, Doc. ONU CCPR/C/MDA/CO/2 (2009).</w:t>
      </w:r>
    </w:p>
  </w:endnote>
  <w:endnote w:id="52">
    <w:p w14:paraId="7EBFD968" w14:textId="7D9D81DF"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Nicaragua</w:t>
      </w:r>
      <w:r w:rsidRPr="00AC72B5">
        <w:rPr>
          <w:w w:val="98"/>
        </w:rPr>
        <w:t xml:space="preserve">, ¶¶ 13, 19, Doc. ONU CCPR/C/NIC/CO/3 (2008); </w:t>
      </w:r>
      <w:r w:rsidRPr="00AC72B5">
        <w:rPr>
          <w:i/>
          <w:w w:val="98"/>
        </w:rPr>
        <w:t>Polonia</w:t>
      </w:r>
      <w:r w:rsidRPr="00AC72B5">
        <w:rPr>
          <w:w w:val="98"/>
        </w:rPr>
        <w:t>, ¶ 12, Doc. ONU CCPR/C/POL/CO/6 (2010).</w:t>
      </w:r>
      <w:r w:rsidRPr="00AC72B5">
        <w:rPr>
          <w:i/>
          <w:w w:val="98"/>
        </w:rPr>
        <w:t xml:space="preserve"> </w:t>
      </w:r>
    </w:p>
  </w:endnote>
  <w:endnote w:id="53">
    <w:p w14:paraId="79245DC7" w14:textId="1E8C4EE3"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Argentina</w:t>
      </w:r>
      <w:r w:rsidRPr="00AC72B5">
        <w:rPr>
          <w:w w:val="98"/>
        </w:rPr>
        <w:t>, ¶ 14, Doc. ONU CCPR/CO/70/ARG (2000).</w:t>
      </w:r>
    </w:p>
  </w:endnote>
  <w:endnote w:id="54">
    <w:p w14:paraId="240E3BFB" w14:textId="4C8E93DC"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El Salvador</w:t>
      </w:r>
      <w:r w:rsidRPr="00AC72B5">
        <w:rPr>
          <w:w w:val="98"/>
        </w:rPr>
        <w:t>, ¶ 10, Doc. ONU CCPR/C/SLV/CO/6 (2010);</w:t>
      </w:r>
      <w:r w:rsidRPr="00AC72B5">
        <w:rPr>
          <w:i/>
          <w:w w:val="98"/>
        </w:rPr>
        <w:t xml:space="preserve"> Venezuela</w:t>
      </w:r>
      <w:r w:rsidRPr="00AC72B5">
        <w:rPr>
          <w:w w:val="98"/>
        </w:rPr>
        <w:t>, ¶ 19, Doc. ONU CCPR/CO/71/VEN (2001).</w:t>
      </w:r>
    </w:p>
  </w:endnote>
  <w:endnote w:id="55">
    <w:p w14:paraId="1A21FEFB" w14:textId="3143037F"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Bolivia</w:t>
      </w:r>
      <w:r w:rsidRPr="00AC72B5">
        <w:rPr>
          <w:w w:val="98"/>
        </w:rPr>
        <w:t>, ¶ 9, Doc. ONU CCPR/C/BOL/CO/3 (2013);</w:t>
      </w:r>
      <w:r w:rsidRPr="00AC72B5">
        <w:rPr>
          <w:i/>
          <w:w w:val="98"/>
        </w:rPr>
        <w:t xml:space="preserve"> El Salvador</w:t>
      </w:r>
      <w:r w:rsidRPr="00AC72B5">
        <w:rPr>
          <w:w w:val="98"/>
        </w:rPr>
        <w:t>, ¶ 10, Doc. ONU CCPR/C/SLV/CO/6 (2010);</w:t>
      </w:r>
      <w:r w:rsidRPr="00AC72B5">
        <w:rPr>
          <w:i/>
          <w:w w:val="98"/>
        </w:rPr>
        <w:t xml:space="preserve"> </w:t>
      </w:r>
      <w:r w:rsidRPr="00AC72B5">
        <w:rPr>
          <w:w w:val="98"/>
        </w:rPr>
        <w:t>Moldavia, ¶ 17, Doc. ONU CCPR/C/MDA/CO/2 (2009).</w:t>
      </w:r>
    </w:p>
  </w:endnote>
  <w:endnote w:id="56">
    <w:p w14:paraId="4E0CFEA8" w14:textId="72E9E50B"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Moldavia</w:t>
      </w:r>
      <w:r w:rsidRPr="00AC72B5">
        <w:rPr>
          <w:w w:val="98"/>
        </w:rPr>
        <w:t>, ¶ 17, Doc. ONU CCPR/C/MDA/CO/2 (2009).</w:t>
      </w:r>
    </w:p>
  </w:endnote>
  <w:endnote w:id="57">
    <w:p w14:paraId="433C1FC0" w14:textId="34DA0100"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Nicaragua</w:t>
      </w:r>
      <w:r w:rsidRPr="00AC72B5">
        <w:rPr>
          <w:w w:val="98"/>
        </w:rPr>
        <w:t>, ¶ 13, Doc. ONU CCPR/C/NIC/CO/3 (2008).</w:t>
      </w:r>
    </w:p>
  </w:endnote>
  <w:endnote w:id="58">
    <w:p w14:paraId="651688B4" w14:textId="078B4C91" w:rsidR="005E3DDD" w:rsidRPr="00AC72B5" w:rsidRDefault="005E3DDD" w:rsidP="00E12C89">
      <w:pPr>
        <w:pStyle w:val="EndnoteText"/>
        <w:ind w:left="144" w:hanging="144"/>
        <w:rPr>
          <w:w w:val="98"/>
          <w:lang w:val="es-CO"/>
        </w:rPr>
      </w:pPr>
      <w:r w:rsidRPr="00AC72B5">
        <w:rPr>
          <w:rStyle w:val="EndnoteReference"/>
          <w:spacing w:val="-4"/>
          <w:w w:val="98"/>
          <w:kern w:val="2"/>
          <w:position w:val="0"/>
          <w14:ligatures w14:val="none"/>
          <w14:numForm w14:val="default"/>
          <w14:numSpacing w14:val="default"/>
          <w14:cntxtAlts/>
        </w:rPr>
        <w:endnoteRef/>
      </w:r>
      <w:r w:rsidRPr="00AC72B5">
        <w:rPr>
          <w:w w:val="98"/>
          <w:lang w:val="es-CO"/>
        </w:rPr>
        <w:t xml:space="preserve"> </w:t>
      </w:r>
      <w:r w:rsidRPr="00AC72B5">
        <w:rPr>
          <w:w w:val="98"/>
          <w:lang w:val="es-ES"/>
        </w:rPr>
        <w:t xml:space="preserve">Comité de Derechos Humanos, </w:t>
      </w:r>
      <w:r w:rsidRPr="00AC72B5">
        <w:rPr>
          <w:i/>
          <w:w w:val="98"/>
          <w:lang w:val="es-ES"/>
        </w:rPr>
        <w:t>Observaciones Finales</w:t>
      </w:r>
      <w:r w:rsidRPr="00AC72B5">
        <w:rPr>
          <w:w w:val="98"/>
          <w:lang w:val="es-ES"/>
        </w:rPr>
        <w:t xml:space="preserve">: </w:t>
      </w:r>
      <w:r w:rsidRPr="00AC72B5">
        <w:rPr>
          <w:i/>
          <w:w w:val="98"/>
          <w:lang w:val="es-ES"/>
        </w:rPr>
        <w:t>Argentina</w:t>
      </w:r>
      <w:r w:rsidRPr="00AC72B5">
        <w:rPr>
          <w:w w:val="98"/>
          <w:lang w:val="es-ES"/>
        </w:rPr>
        <w:t xml:space="preserve">, ¶ 13, Doc. ONU CCPR/C/ARG/CO/4 (2010); </w:t>
      </w:r>
      <w:r w:rsidRPr="00AC72B5">
        <w:rPr>
          <w:i/>
          <w:w w:val="98"/>
          <w:lang w:val="es-ES"/>
        </w:rPr>
        <w:t>Chile</w:t>
      </w:r>
      <w:r w:rsidRPr="00AC72B5">
        <w:rPr>
          <w:w w:val="98"/>
          <w:lang w:val="es-ES"/>
        </w:rPr>
        <w:t xml:space="preserve">, ¶ 8, Doc. ONU CCPR/C/CHL/CO/5 (2007); </w:t>
      </w:r>
      <w:r w:rsidRPr="00AC72B5">
        <w:rPr>
          <w:i/>
          <w:w w:val="98"/>
          <w:lang w:val="es-ES"/>
        </w:rPr>
        <w:t>El Salvador</w:t>
      </w:r>
      <w:r w:rsidRPr="00AC72B5">
        <w:rPr>
          <w:w w:val="98"/>
          <w:lang w:val="es-ES"/>
        </w:rPr>
        <w:t xml:space="preserve">, ¶ 10, Doc. ONU CCPR/C/SLV/CO/6 (2010); </w:t>
      </w:r>
      <w:r w:rsidRPr="00AC72B5">
        <w:rPr>
          <w:i/>
          <w:w w:val="98"/>
          <w:lang w:val="es-ES"/>
        </w:rPr>
        <w:t>Guatemala</w:t>
      </w:r>
      <w:r w:rsidRPr="00AC72B5">
        <w:rPr>
          <w:w w:val="98"/>
          <w:lang w:val="es-ES"/>
        </w:rPr>
        <w:t xml:space="preserve">, ¶ 19, Doc. ONU CCPR/CO/72/GTM (2001); </w:t>
      </w:r>
      <w:r w:rsidRPr="00AC72B5">
        <w:rPr>
          <w:i/>
          <w:w w:val="98"/>
          <w:lang w:val="es-ES"/>
        </w:rPr>
        <w:t>Honduras</w:t>
      </w:r>
      <w:r w:rsidRPr="00AC72B5">
        <w:rPr>
          <w:w w:val="98"/>
          <w:lang w:val="es-ES"/>
        </w:rPr>
        <w:t xml:space="preserve">, ¶ 8, Doc. ONU CCPR/C/HND/CO/1 (2006); </w:t>
      </w:r>
      <w:r w:rsidRPr="00AC72B5">
        <w:rPr>
          <w:i/>
          <w:w w:val="98"/>
          <w:lang w:val="es-ES"/>
        </w:rPr>
        <w:t>Irlanda</w:t>
      </w:r>
      <w:r w:rsidRPr="00AC72B5">
        <w:rPr>
          <w:w w:val="98"/>
          <w:lang w:val="es-ES"/>
        </w:rPr>
        <w:t xml:space="preserve">, ¶ 13, Doc. ONU CCPR/C/IRL/CO/3 (2008); </w:t>
      </w:r>
      <w:r w:rsidRPr="00AC72B5">
        <w:rPr>
          <w:i/>
          <w:w w:val="98"/>
          <w:lang w:val="es-ES"/>
        </w:rPr>
        <w:t>Jamaica</w:t>
      </w:r>
      <w:r w:rsidRPr="00AC72B5">
        <w:rPr>
          <w:w w:val="98"/>
          <w:lang w:val="es-ES"/>
        </w:rPr>
        <w:t xml:space="preserve">, ¶ 14, Doc. </w:t>
      </w:r>
      <w:r w:rsidRPr="00AC72B5">
        <w:rPr>
          <w:w w:val="98"/>
        </w:rPr>
        <w:t xml:space="preserve">ONU CCPR/C/JAM/CO/3 (2011); </w:t>
      </w:r>
      <w:r w:rsidRPr="00AC72B5">
        <w:rPr>
          <w:i/>
          <w:w w:val="98"/>
        </w:rPr>
        <w:t>Kenia</w:t>
      </w:r>
      <w:r w:rsidRPr="00AC72B5">
        <w:rPr>
          <w:w w:val="98"/>
        </w:rPr>
        <w:t xml:space="preserve">, ¶ 14, Doc. ONU CCPR/CO/83/KEN (2005); </w:t>
      </w:r>
      <w:r w:rsidRPr="00AC72B5">
        <w:rPr>
          <w:i/>
          <w:w w:val="98"/>
        </w:rPr>
        <w:t>Kuwait</w:t>
      </w:r>
      <w:r w:rsidRPr="00AC72B5">
        <w:rPr>
          <w:w w:val="98"/>
        </w:rPr>
        <w:t xml:space="preserve">, ¶ 9, Doc. ONU CCPR/CO/69/KWT (2000); </w:t>
      </w:r>
      <w:r w:rsidRPr="00AC72B5">
        <w:rPr>
          <w:i/>
          <w:w w:val="98"/>
        </w:rPr>
        <w:t>Madagascar</w:t>
      </w:r>
      <w:r w:rsidRPr="00AC72B5">
        <w:rPr>
          <w:w w:val="98"/>
        </w:rPr>
        <w:t xml:space="preserve">, ¶ 8, Doc. ONU CCPR/C/MDG/CO/3 (2007); </w:t>
      </w:r>
      <w:r w:rsidRPr="00AC72B5">
        <w:rPr>
          <w:i/>
          <w:w w:val="98"/>
        </w:rPr>
        <w:t>Mauricio</w:t>
      </w:r>
      <w:r w:rsidRPr="00AC72B5">
        <w:rPr>
          <w:w w:val="98"/>
        </w:rPr>
        <w:t xml:space="preserve">, ¶ 9; Doc. ONU CCPR/CO/83/MUS (2005); </w:t>
      </w:r>
      <w:r w:rsidRPr="00AC72B5">
        <w:rPr>
          <w:i/>
          <w:w w:val="98"/>
        </w:rPr>
        <w:t>México</w:t>
      </w:r>
      <w:r w:rsidRPr="00AC72B5">
        <w:rPr>
          <w:w w:val="98"/>
        </w:rPr>
        <w:t xml:space="preserve">, ¶ 10; Doc. ONU CCPR/C/MEX/CO/5 (2010); </w:t>
      </w:r>
      <w:r w:rsidRPr="00AC72B5">
        <w:rPr>
          <w:i/>
          <w:w w:val="98"/>
        </w:rPr>
        <w:t>Mónaco</w:t>
      </w:r>
      <w:r w:rsidRPr="00AC72B5">
        <w:rPr>
          <w:w w:val="98"/>
        </w:rPr>
        <w:t xml:space="preserve">, ¶ 10, Doc. </w:t>
      </w:r>
      <w:r w:rsidRPr="00AC72B5">
        <w:rPr>
          <w:w w:val="98"/>
          <w:lang w:val="es-ES"/>
        </w:rPr>
        <w:t xml:space="preserve">ONU CCPR/C/MCO/CO/2 (2008); </w:t>
      </w:r>
      <w:r w:rsidRPr="00AC72B5">
        <w:rPr>
          <w:i/>
          <w:w w:val="98"/>
          <w:lang w:val="es-ES"/>
        </w:rPr>
        <w:t>Marruecos</w:t>
      </w:r>
      <w:r w:rsidRPr="00AC72B5">
        <w:rPr>
          <w:w w:val="98"/>
          <w:lang w:val="es-ES"/>
        </w:rPr>
        <w:t xml:space="preserve">, ¶ 29, Doc. ONU CCPR/CO/82/MAR (2004); </w:t>
      </w:r>
      <w:r w:rsidRPr="00AC72B5">
        <w:rPr>
          <w:i/>
          <w:w w:val="98"/>
          <w:lang w:val="es-ES"/>
        </w:rPr>
        <w:t>Nicaragua</w:t>
      </w:r>
      <w:r w:rsidRPr="00AC72B5">
        <w:rPr>
          <w:w w:val="98"/>
          <w:lang w:val="es-ES"/>
        </w:rPr>
        <w:t xml:space="preserve">, ¶ 13, Doc. </w:t>
      </w:r>
      <w:r w:rsidRPr="00AC72B5">
        <w:rPr>
          <w:w w:val="98"/>
        </w:rPr>
        <w:t xml:space="preserve">ONU CCPR/C/NIC/CO/3 (2008); </w:t>
      </w:r>
      <w:r w:rsidRPr="00AC72B5">
        <w:rPr>
          <w:i/>
          <w:w w:val="98"/>
        </w:rPr>
        <w:t>Paraguay</w:t>
      </w:r>
      <w:r w:rsidRPr="00AC72B5">
        <w:rPr>
          <w:w w:val="98"/>
        </w:rPr>
        <w:t xml:space="preserve">, ¶ 10, Doc. ONU CCPR/C/PRY/CO/2 (2006); </w:t>
      </w:r>
      <w:r w:rsidRPr="00AC72B5">
        <w:rPr>
          <w:i/>
          <w:w w:val="98"/>
        </w:rPr>
        <w:t>Per</w:t>
      </w:r>
      <w:r w:rsidRPr="00AC72B5">
        <w:rPr>
          <w:rFonts w:hint="eastAsia"/>
          <w:i/>
          <w:w w:val="98"/>
        </w:rPr>
        <w:t>ú</w:t>
      </w:r>
      <w:r w:rsidRPr="00AC72B5">
        <w:rPr>
          <w:w w:val="98"/>
        </w:rPr>
        <w:t xml:space="preserve">, ¶ 20, Doc. ONU CCPR/CO/70/PER (2000); </w:t>
      </w:r>
      <w:r w:rsidRPr="00AC72B5">
        <w:rPr>
          <w:i/>
          <w:w w:val="98"/>
        </w:rPr>
        <w:t>Polonia</w:t>
      </w:r>
      <w:r w:rsidRPr="00AC72B5">
        <w:rPr>
          <w:w w:val="98"/>
        </w:rPr>
        <w:t xml:space="preserve">, ¶ 8, Doc. ONU CCPR/CO/82/POL (2004); </w:t>
      </w:r>
      <w:r w:rsidRPr="00AC72B5">
        <w:rPr>
          <w:i/>
          <w:w w:val="98"/>
        </w:rPr>
        <w:t>Sri Lanka</w:t>
      </w:r>
      <w:r w:rsidRPr="00AC72B5">
        <w:rPr>
          <w:w w:val="98"/>
        </w:rPr>
        <w:t xml:space="preserve">, ¶ 12, Doc. </w:t>
      </w:r>
      <w:r w:rsidRPr="00AC72B5">
        <w:rPr>
          <w:w w:val="98"/>
          <w:lang w:val="es-ES"/>
        </w:rPr>
        <w:t>ONU CCPR/CO/79/LKA (2003</w:t>
      </w:r>
      <w:r w:rsidRPr="00AC72B5">
        <w:rPr>
          <w:i/>
          <w:w w:val="98"/>
          <w:lang w:val="es-ES"/>
        </w:rPr>
        <w:t>); Trinidad y Tobago</w:t>
      </w:r>
      <w:r w:rsidRPr="00AC72B5">
        <w:rPr>
          <w:w w:val="98"/>
          <w:lang w:val="es-ES"/>
        </w:rPr>
        <w:t xml:space="preserve">, ¶ 18, Doc. ONU CCPR/CO/70/TTO (2000); </w:t>
      </w:r>
      <w:r w:rsidRPr="00AC72B5">
        <w:rPr>
          <w:i/>
          <w:w w:val="98"/>
          <w:lang w:val="es-ES"/>
        </w:rPr>
        <w:t>Venezuela</w:t>
      </w:r>
      <w:r w:rsidRPr="00AC72B5">
        <w:rPr>
          <w:w w:val="98"/>
          <w:lang w:val="es-ES"/>
        </w:rPr>
        <w:t>, ¶ 19, Doc. ONU CCPR/CO/71/VEN (2001).</w:t>
      </w:r>
    </w:p>
  </w:endnote>
  <w:endnote w:id="59">
    <w:p w14:paraId="1DAA7323" w14:textId="060508BB"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Observaciones</w:t>
      </w:r>
      <w:r w:rsidRPr="00AC72B5">
        <w:rPr>
          <w:i/>
          <w:w w:val="98"/>
        </w:rPr>
        <w:t xml:space="preserve"> Finales: Angola</w:t>
      </w:r>
      <w:r w:rsidRPr="00AC72B5">
        <w:rPr>
          <w:w w:val="98"/>
        </w:rPr>
        <w:t xml:space="preserve">, ¶ 13, Doc. ONU CCPR/C/HACE/CO/1 (2013); </w:t>
      </w:r>
      <w:r w:rsidRPr="00AC72B5">
        <w:rPr>
          <w:i/>
          <w:w w:val="98"/>
        </w:rPr>
        <w:t>Chile</w:t>
      </w:r>
      <w:r w:rsidRPr="00AC72B5">
        <w:rPr>
          <w:w w:val="98"/>
        </w:rPr>
        <w:t>, ¶ 15, Doc. ONU CCPR/C/CHL/CO/6 (2014);</w:t>
      </w:r>
      <w:r w:rsidRPr="00AC72B5">
        <w:rPr>
          <w:i/>
          <w:w w:val="98"/>
        </w:rPr>
        <w:t xml:space="preserve"> República Dominicana</w:t>
      </w:r>
      <w:r w:rsidRPr="00AC72B5">
        <w:rPr>
          <w:w w:val="98"/>
        </w:rPr>
        <w:t>, ¶ 15, Doc. ONU CCPR/C/DOM/CO/5 (2012);</w:t>
      </w:r>
      <w:r w:rsidRPr="00AC72B5">
        <w:rPr>
          <w:i/>
          <w:w w:val="98"/>
        </w:rPr>
        <w:t xml:space="preserve"> Malta</w:t>
      </w:r>
      <w:r w:rsidRPr="00AC72B5">
        <w:rPr>
          <w:w w:val="98"/>
        </w:rPr>
        <w:t xml:space="preserve">, ¶ 13; Doc. ONU CCPR/C/MLT/CO/2 (2014); </w:t>
      </w:r>
      <w:r w:rsidRPr="00AC72B5">
        <w:rPr>
          <w:i/>
          <w:w w:val="98"/>
        </w:rPr>
        <w:t>San Marino</w:t>
      </w:r>
      <w:r w:rsidRPr="00AC72B5">
        <w:rPr>
          <w:w w:val="98"/>
        </w:rPr>
        <w:t xml:space="preserve">, ¶ 14, Doc. ONU CCPR/C/SMR/CO/3 (2015); </w:t>
      </w:r>
      <w:r w:rsidRPr="00AC72B5">
        <w:rPr>
          <w:i/>
          <w:w w:val="98"/>
        </w:rPr>
        <w:t>Sierra Leona</w:t>
      </w:r>
      <w:r w:rsidRPr="00AC72B5">
        <w:rPr>
          <w:w w:val="98"/>
        </w:rPr>
        <w:t xml:space="preserve">, ¶ 14, Doc. ONU CCPR/C/LES/CO/1 (2014); </w:t>
      </w:r>
      <w:r w:rsidRPr="00AC72B5">
        <w:rPr>
          <w:i/>
          <w:w w:val="98"/>
        </w:rPr>
        <w:t>Sri Lanka</w:t>
      </w:r>
      <w:r w:rsidRPr="00AC72B5">
        <w:rPr>
          <w:w w:val="98"/>
        </w:rPr>
        <w:t>, ¶ 10, Doc. ONU CCPR/C/LKA/CO/5 (2014).</w:t>
      </w:r>
    </w:p>
  </w:endnote>
  <w:endnote w:id="60">
    <w:p w14:paraId="5659BAA3" w14:textId="31934448"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Colombia</w:t>
      </w:r>
      <w:r w:rsidRPr="00AC72B5">
        <w:rPr>
          <w:w w:val="98"/>
        </w:rPr>
        <w:t xml:space="preserve">, ¶ 13, Doc. ONU CCPR/CO/80/COL (2004); </w:t>
      </w:r>
      <w:r w:rsidRPr="00AC72B5">
        <w:rPr>
          <w:i/>
          <w:w w:val="98"/>
        </w:rPr>
        <w:t>Guatemala</w:t>
      </w:r>
      <w:r w:rsidRPr="00AC72B5">
        <w:rPr>
          <w:w w:val="98"/>
        </w:rPr>
        <w:t xml:space="preserve">, ¶ 20, Doc. ONU CCPR/C/GTM/CO/3 (2012); </w:t>
      </w:r>
      <w:r w:rsidRPr="00AC72B5">
        <w:rPr>
          <w:i/>
          <w:w w:val="98"/>
        </w:rPr>
        <w:t>Irlanda</w:t>
      </w:r>
      <w:r w:rsidRPr="00AC72B5">
        <w:rPr>
          <w:w w:val="98"/>
        </w:rPr>
        <w:t xml:space="preserve">, ¶ 9, Doc. ONU CCPR/C/IRL/CO/4 (2014); </w:t>
      </w:r>
      <w:r w:rsidRPr="00AC72B5">
        <w:rPr>
          <w:i/>
          <w:w w:val="98"/>
        </w:rPr>
        <w:t>Malawi</w:t>
      </w:r>
      <w:r w:rsidRPr="00AC72B5">
        <w:rPr>
          <w:w w:val="98"/>
        </w:rPr>
        <w:t>, ¶ 9, Doc. ONU CCPR/C/MWI/CO/1/Add.1 (2014);</w:t>
      </w:r>
      <w:r w:rsidRPr="00AC72B5">
        <w:rPr>
          <w:i/>
          <w:w w:val="98"/>
        </w:rPr>
        <w:t xml:space="preserve"> Filipinas</w:t>
      </w:r>
      <w:r w:rsidRPr="00AC72B5">
        <w:rPr>
          <w:w w:val="98"/>
        </w:rPr>
        <w:t>, ¶ 13, Doc. ONU CCPR/C/PHL/CO/4 (2012).</w:t>
      </w:r>
    </w:p>
  </w:endnote>
  <w:endnote w:id="61">
    <w:p w14:paraId="36927583" w14:textId="63CE8D38"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Angola</w:t>
      </w:r>
      <w:r w:rsidRPr="00AC72B5">
        <w:rPr>
          <w:w w:val="98"/>
        </w:rPr>
        <w:t>, ¶ 13, Doc. ONU CCPR/C/HACE/CO/1 (2013);</w:t>
      </w:r>
      <w:r w:rsidRPr="00AC72B5">
        <w:rPr>
          <w:i/>
          <w:w w:val="98"/>
        </w:rPr>
        <w:t xml:space="preserve"> Argentina</w:t>
      </w:r>
      <w:r w:rsidRPr="00AC72B5">
        <w:rPr>
          <w:w w:val="98"/>
        </w:rPr>
        <w:t>, ¶ 14, Doc. ONU CCPR/CO/70/ARG (2000);</w:t>
      </w:r>
      <w:r w:rsidRPr="00AC72B5">
        <w:rPr>
          <w:i/>
          <w:w w:val="98"/>
        </w:rPr>
        <w:t xml:space="preserve"> Chile</w:t>
      </w:r>
      <w:r w:rsidRPr="00AC72B5">
        <w:rPr>
          <w:w w:val="98"/>
        </w:rPr>
        <w:t>, ¶ 15, Doc. ONU CCPR/C/CHL/CO/6 (2014);</w:t>
      </w:r>
      <w:r w:rsidRPr="00AC72B5">
        <w:rPr>
          <w:i/>
          <w:w w:val="98"/>
        </w:rPr>
        <w:t xml:space="preserve"> Colombia</w:t>
      </w:r>
      <w:r w:rsidRPr="00AC72B5">
        <w:rPr>
          <w:w w:val="98"/>
        </w:rPr>
        <w:t xml:space="preserve">, ¶ 13, Doc. ONU CCPR/CO/80/COL (2004); </w:t>
      </w:r>
      <w:r w:rsidRPr="00AC72B5">
        <w:rPr>
          <w:i/>
          <w:w w:val="98"/>
        </w:rPr>
        <w:t>Cote d'Ivoire</w:t>
      </w:r>
      <w:r w:rsidRPr="00AC72B5">
        <w:rPr>
          <w:w w:val="98"/>
        </w:rPr>
        <w:t xml:space="preserve">, ¶ 15, Doc. ONU CCPR/C/CIV/CO/1 (2015); </w:t>
      </w:r>
      <w:r w:rsidRPr="00AC72B5">
        <w:rPr>
          <w:i/>
          <w:w w:val="98"/>
        </w:rPr>
        <w:t>Yibuti</w:t>
      </w:r>
      <w:r w:rsidRPr="00AC72B5">
        <w:rPr>
          <w:w w:val="98"/>
        </w:rPr>
        <w:t>, ¶ 9, Doc. ONU CCPR/C/DJI/CO/1 (2013);</w:t>
      </w:r>
      <w:r w:rsidRPr="00AC72B5">
        <w:rPr>
          <w:i/>
          <w:w w:val="98"/>
        </w:rPr>
        <w:t xml:space="preserve"> República Dominicana</w:t>
      </w:r>
      <w:r w:rsidRPr="00AC72B5">
        <w:rPr>
          <w:w w:val="98"/>
        </w:rPr>
        <w:t>, ¶ 15, Doc. ONU CCPR/C/DOM/CO/5 (2012);</w:t>
      </w:r>
      <w:r w:rsidRPr="00AC72B5">
        <w:rPr>
          <w:i/>
          <w:w w:val="98"/>
        </w:rPr>
        <w:t xml:space="preserve"> Gran Bretaña e Irlanda del Norte</w:t>
      </w:r>
      <w:r w:rsidRPr="00AC72B5">
        <w:rPr>
          <w:w w:val="98"/>
        </w:rPr>
        <w:t xml:space="preserve">, ¶ 17, Doc. ONU CCPR/C/GBR/CO/7 (2015); </w:t>
      </w:r>
      <w:r w:rsidRPr="00AC72B5">
        <w:rPr>
          <w:i/>
          <w:w w:val="98"/>
        </w:rPr>
        <w:t>Guatemala</w:t>
      </w:r>
      <w:r w:rsidRPr="00AC72B5">
        <w:rPr>
          <w:w w:val="98"/>
        </w:rPr>
        <w:t xml:space="preserve">, ¶ 20, Doc. ONU CCPR/C/GTM/CO/3 (2012); </w:t>
      </w:r>
      <w:r w:rsidRPr="00AC72B5">
        <w:rPr>
          <w:i/>
          <w:w w:val="98"/>
        </w:rPr>
        <w:t>Irlanda</w:t>
      </w:r>
      <w:r w:rsidRPr="00AC72B5">
        <w:rPr>
          <w:w w:val="98"/>
        </w:rPr>
        <w:t>, ¶ 9, Doc. ONU CCPR/C/IRL/CO/4 (2014);</w:t>
      </w:r>
      <w:r w:rsidRPr="00AC72B5">
        <w:rPr>
          <w:i/>
          <w:w w:val="98"/>
        </w:rPr>
        <w:t xml:space="preserve"> Malawi</w:t>
      </w:r>
      <w:r w:rsidRPr="00AC72B5">
        <w:rPr>
          <w:w w:val="98"/>
        </w:rPr>
        <w:t xml:space="preserve">, ¶ 9, Doc. ONU CCPR/C/MWI/CO/1/Add.1 (2014); </w:t>
      </w:r>
      <w:r w:rsidRPr="00AC72B5">
        <w:rPr>
          <w:i/>
          <w:w w:val="98"/>
        </w:rPr>
        <w:t>Malta</w:t>
      </w:r>
      <w:r w:rsidRPr="00AC72B5">
        <w:rPr>
          <w:w w:val="98"/>
        </w:rPr>
        <w:t xml:space="preserve">, ¶ 13, Doc. ONU CCPR/C/MLT/CO/2 (2014); </w:t>
      </w:r>
      <w:r w:rsidRPr="00AC72B5">
        <w:rPr>
          <w:i/>
          <w:w w:val="98"/>
        </w:rPr>
        <w:t>Paraguay</w:t>
      </w:r>
      <w:r w:rsidRPr="00AC72B5">
        <w:rPr>
          <w:w w:val="98"/>
        </w:rPr>
        <w:t xml:space="preserve">, ¶ 13, Doc. ONU CCPR/C/PRY/CO/3; </w:t>
      </w:r>
      <w:r w:rsidRPr="00AC72B5">
        <w:rPr>
          <w:i/>
          <w:w w:val="98"/>
        </w:rPr>
        <w:t>Perú</w:t>
      </w:r>
      <w:r w:rsidRPr="00AC72B5">
        <w:rPr>
          <w:w w:val="98"/>
        </w:rPr>
        <w:t xml:space="preserve">, ¶ 14, Doc. ONU CCPR/C/POR/CO/5 (2013); </w:t>
      </w:r>
      <w:r w:rsidRPr="00AC72B5">
        <w:rPr>
          <w:i/>
          <w:w w:val="98"/>
        </w:rPr>
        <w:t>Filipinas</w:t>
      </w:r>
      <w:r w:rsidRPr="00AC72B5">
        <w:rPr>
          <w:w w:val="98"/>
        </w:rPr>
        <w:t xml:space="preserve">, ¶ 13, Doc. ONU CCPR/C/PHL/CO/4 (2012); </w:t>
      </w:r>
      <w:r w:rsidRPr="00AC72B5">
        <w:rPr>
          <w:i/>
          <w:w w:val="98"/>
        </w:rPr>
        <w:t>San Marino</w:t>
      </w:r>
      <w:r w:rsidRPr="00AC72B5">
        <w:rPr>
          <w:w w:val="98"/>
        </w:rPr>
        <w:t>, ¶ 14, Doc. ONU CCPR/C/SMR/CO/3 (2015);</w:t>
      </w:r>
      <w:r w:rsidRPr="00AC72B5">
        <w:rPr>
          <w:i/>
          <w:w w:val="98"/>
        </w:rPr>
        <w:t xml:space="preserve"> Sierra Leona</w:t>
      </w:r>
      <w:r w:rsidRPr="00AC72B5">
        <w:rPr>
          <w:w w:val="98"/>
        </w:rPr>
        <w:t xml:space="preserve">, ¶ 14, Doc. ONU CCPR/C/LES/CO/1 (2014); </w:t>
      </w:r>
      <w:r w:rsidRPr="00AC72B5">
        <w:rPr>
          <w:i/>
          <w:w w:val="98"/>
        </w:rPr>
        <w:t>Sri Lanka</w:t>
      </w:r>
      <w:r w:rsidRPr="00AC72B5">
        <w:rPr>
          <w:w w:val="98"/>
        </w:rPr>
        <w:t>, ¶ 10, Doc. ONU CCPR/C/LKA/CO/5 (2014).</w:t>
      </w:r>
    </w:p>
  </w:endnote>
  <w:endnote w:id="62">
    <w:p w14:paraId="0B01E713" w14:textId="48313063"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 xml:space="preserve">Observaciones </w:t>
      </w:r>
      <w:r w:rsidRPr="00AC72B5">
        <w:rPr>
          <w:w w:val="98"/>
        </w:rPr>
        <w:t>Finales</w:t>
      </w:r>
      <w:r w:rsidRPr="00AC72B5">
        <w:rPr>
          <w:i/>
          <w:w w:val="98"/>
        </w:rPr>
        <w:t>: Gran Bretaña e Irlanda del Norte</w:t>
      </w:r>
      <w:r w:rsidRPr="00AC72B5">
        <w:rPr>
          <w:w w:val="98"/>
        </w:rPr>
        <w:t>, ¶ 17, Doc. ONU CCPR/C/GBR/CO/7 (2015);</w:t>
      </w:r>
      <w:r w:rsidRPr="00AC72B5">
        <w:rPr>
          <w:i/>
          <w:w w:val="98"/>
        </w:rPr>
        <w:t xml:space="preserve"> </w:t>
      </w:r>
      <w:r w:rsidRPr="00AC72B5">
        <w:rPr>
          <w:w w:val="98"/>
        </w:rPr>
        <w:t>Irlanda, ¶ 9, Doc. ONU CCPR/C/IRL/CO/4 (2014).</w:t>
      </w:r>
    </w:p>
  </w:endnote>
  <w:endnote w:id="63">
    <w:p w14:paraId="574F9F82" w14:textId="3CFBEFCE"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Observaciones</w:t>
      </w:r>
      <w:r w:rsidRPr="00AC72B5">
        <w:rPr>
          <w:i/>
          <w:w w:val="98"/>
        </w:rPr>
        <w:t xml:space="preserve"> Finales: Sri Lanka</w:t>
      </w:r>
      <w:r w:rsidRPr="00AC72B5">
        <w:rPr>
          <w:w w:val="98"/>
        </w:rPr>
        <w:t>, ¶ 12, Doc. ONU CCPR/CO/79/LKA (2003).</w:t>
      </w:r>
    </w:p>
  </w:endnote>
  <w:endnote w:id="64">
    <w:p w14:paraId="799352B9" w14:textId="0A7EF022"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Colombia</w:t>
      </w:r>
      <w:r w:rsidRPr="00AC72B5">
        <w:rPr>
          <w:w w:val="98"/>
        </w:rPr>
        <w:t>, ¶ 19, Doc. ONU CCPR/C/COL/CO/6 (2010).</w:t>
      </w:r>
    </w:p>
  </w:endnote>
  <w:endnote w:id="65">
    <w:p w14:paraId="155A23D8" w14:textId="282B986A"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Argentina</w:t>
      </w:r>
      <w:r w:rsidRPr="00AC72B5">
        <w:rPr>
          <w:w w:val="98"/>
        </w:rPr>
        <w:t>, ¶ 14, Doc. ONU CCPR/CO/70/ARG (2000);</w:t>
      </w:r>
      <w:r w:rsidRPr="00AC72B5">
        <w:rPr>
          <w:i/>
          <w:w w:val="98"/>
        </w:rPr>
        <w:t xml:space="preserve"> Bolivia</w:t>
      </w:r>
      <w:r w:rsidRPr="00AC72B5">
        <w:rPr>
          <w:w w:val="98"/>
        </w:rPr>
        <w:t>, ¶ 9, Doc. ONU CCPR/C/BOL/CO/3 (2013);</w:t>
      </w:r>
      <w:r w:rsidRPr="00AC72B5">
        <w:rPr>
          <w:i/>
          <w:w w:val="98"/>
        </w:rPr>
        <w:t xml:space="preserve"> Camerún</w:t>
      </w:r>
      <w:r w:rsidRPr="00AC72B5">
        <w:rPr>
          <w:w w:val="98"/>
        </w:rPr>
        <w:t>, ¶ 13, Doc. ONU CCPR/C/CMR/CO/4 (2010);</w:t>
      </w:r>
      <w:r w:rsidRPr="00AC72B5">
        <w:rPr>
          <w:i/>
          <w:w w:val="98"/>
        </w:rPr>
        <w:t xml:space="preserve"> Mónaco</w:t>
      </w:r>
      <w:r w:rsidRPr="00AC72B5">
        <w:rPr>
          <w:w w:val="98"/>
        </w:rPr>
        <w:t xml:space="preserve">, ¶ 12, Doc. ONU CCPR/C/MCO/CO/3 (2015); </w:t>
      </w:r>
      <w:r w:rsidRPr="00AC72B5">
        <w:rPr>
          <w:i/>
          <w:w w:val="98"/>
        </w:rPr>
        <w:t>Polonia</w:t>
      </w:r>
      <w:r w:rsidRPr="00AC72B5">
        <w:rPr>
          <w:w w:val="98"/>
        </w:rPr>
        <w:t>, ¶ 12, Doc. ONU CCPR/C/POL/CO/6 (2010).</w:t>
      </w:r>
    </w:p>
  </w:endnote>
  <w:endnote w:id="66">
    <w:p w14:paraId="4023F527" w14:textId="2B82E789"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Bolivia</w:t>
      </w:r>
      <w:r w:rsidRPr="00AC72B5">
        <w:rPr>
          <w:w w:val="98"/>
        </w:rPr>
        <w:t>, ¶ 9, Doc. ONU CCPR/C/BOL/CO/3 (2013).</w:t>
      </w:r>
    </w:p>
  </w:endnote>
  <w:endnote w:id="67">
    <w:p w14:paraId="7EC78636" w14:textId="57F9421E"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Nicaragua</w:t>
      </w:r>
      <w:r w:rsidRPr="00AC72B5">
        <w:rPr>
          <w:w w:val="98"/>
        </w:rPr>
        <w:t xml:space="preserve">, ¶ 12, Doc. ONU CCPR/C/MCO/CO/3 (2015); </w:t>
      </w:r>
      <w:r w:rsidRPr="00AC72B5">
        <w:rPr>
          <w:i/>
          <w:w w:val="98"/>
        </w:rPr>
        <w:t>Polonia</w:t>
      </w:r>
      <w:r w:rsidRPr="00AC72B5">
        <w:rPr>
          <w:w w:val="98"/>
        </w:rPr>
        <w:t>, ¶ 12, Doc. ONU CCPR/C/POL/CO/6 (2010).</w:t>
      </w:r>
    </w:p>
  </w:endnote>
  <w:endnote w:id="68">
    <w:p w14:paraId="56F97F03" w14:textId="4687B2AF"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Colombia</w:t>
      </w:r>
      <w:r w:rsidRPr="00AC72B5">
        <w:rPr>
          <w:w w:val="98"/>
        </w:rPr>
        <w:t xml:space="preserve">, ¶ 19, Doc. ONU CCPR/C/COL/CO/6 (2010); </w:t>
      </w:r>
      <w:r w:rsidRPr="00AC72B5">
        <w:rPr>
          <w:i/>
          <w:w w:val="98"/>
        </w:rPr>
        <w:t>Polonia</w:t>
      </w:r>
      <w:r w:rsidRPr="00AC72B5">
        <w:rPr>
          <w:w w:val="98"/>
        </w:rPr>
        <w:t>, ¶ 12, Doc. ONU CCPR/C/POL/CO/6 (2010).</w:t>
      </w:r>
    </w:p>
  </w:endnote>
  <w:endnote w:id="69">
    <w:p w14:paraId="70BC834E" w14:textId="5443F87B"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Perú</w:t>
      </w:r>
      <w:r w:rsidRPr="00AC72B5">
        <w:rPr>
          <w:w w:val="98"/>
        </w:rPr>
        <w:t>, ¶ 14,Doc. ONU CCPR/C/PER/CO/5 (2013).</w:t>
      </w:r>
    </w:p>
  </w:endnote>
  <w:endnote w:id="70">
    <w:p w14:paraId="6C7F384D" w14:textId="18B908B4"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Finales:Panam</w:t>
      </w:r>
      <w:r w:rsidRPr="00AC72B5">
        <w:rPr>
          <w:i/>
          <w:w w:val="98"/>
          <w:lang w:val="es-CO"/>
        </w:rPr>
        <w:t>á</w:t>
      </w:r>
      <w:r w:rsidRPr="00AC72B5">
        <w:rPr>
          <w:w w:val="98"/>
        </w:rPr>
        <w:t>, ¶ 9, Doc. ONU CCPR/C/PAN/CO/3 (2008).</w:t>
      </w:r>
    </w:p>
  </w:endnote>
  <w:endnote w:id="71">
    <w:p w14:paraId="2089F11F" w14:textId="0D8F9E76"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Argentina</w:t>
      </w:r>
      <w:r w:rsidRPr="00AC72B5">
        <w:rPr>
          <w:w w:val="98"/>
        </w:rPr>
        <w:t>, ¶ 14, Doc. ONU CCPR/CO/70/ARG (2000).</w:t>
      </w:r>
    </w:p>
  </w:endnote>
  <w:endnote w:id="72">
    <w:p w14:paraId="267DECCB" w14:textId="2311A85C"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Bolivia</w:t>
      </w:r>
      <w:r w:rsidRPr="00AC72B5">
        <w:rPr>
          <w:w w:val="98"/>
        </w:rPr>
        <w:t>, ¶ 9, Doc. ONU CCPR/C/BOL/CO/3 (2013).</w:t>
      </w:r>
    </w:p>
  </w:endnote>
  <w:endnote w:id="73">
    <w:p w14:paraId="525861FD" w14:textId="7774984D"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Irlanda</w:t>
      </w:r>
      <w:r w:rsidRPr="00AC72B5">
        <w:rPr>
          <w:w w:val="98"/>
        </w:rPr>
        <w:t xml:space="preserve">, ¶ 9, Doc. ONU CCPR/C/IRL/CO/4 (2014); </w:t>
      </w:r>
      <w:r w:rsidRPr="00AC72B5">
        <w:rPr>
          <w:i/>
          <w:w w:val="98"/>
        </w:rPr>
        <w:t>Perú</w:t>
      </w:r>
      <w:r w:rsidRPr="00AC72B5">
        <w:rPr>
          <w:w w:val="98"/>
        </w:rPr>
        <w:t>, ¶ 14, Doc. ONU CCPR/C/PER/CO/5 (2013).</w:t>
      </w:r>
    </w:p>
  </w:endnote>
  <w:endnote w:id="74">
    <w:p w14:paraId="13170B85" w14:textId="52F53FCA"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Colombia</w:t>
      </w:r>
      <w:r w:rsidRPr="00AC72B5">
        <w:rPr>
          <w:w w:val="98"/>
        </w:rPr>
        <w:t xml:space="preserve">, ¶ 19, Doc. ONU CCPR/C/COL/CO/6 (2010); </w:t>
      </w:r>
      <w:r w:rsidRPr="00AC72B5">
        <w:rPr>
          <w:i/>
          <w:w w:val="98"/>
        </w:rPr>
        <w:t>Polonia</w:t>
      </w:r>
      <w:r w:rsidRPr="00AC72B5">
        <w:rPr>
          <w:w w:val="98"/>
        </w:rPr>
        <w:t>, ¶ 12, Doc. ONU CCPR/C/POL/CO/6 (2010).</w:t>
      </w:r>
    </w:p>
  </w:endnote>
  <w:endnote w:id="75">
    <w:p w14:paraId="556CED51" w14:textId="6D7D3B73"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Polonia</w:t>
      </w:r>
      <w:r w:rsidRPr="00AC72B5">
        <w:rPr>
          <w:w w:val="98"/>
        </w:rPr>
        <w:t>, ¶ 12, Doc. ONU CCPR/C/POL/CO/6 (2010).</w:t>
      </w:r>
    </w:p>
  </w:endnote>
  <w:endnote w:id="76">
    <w:p w14:paraId="4974980F" w14:textId="62FA7AA8"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Japón</w:t>
      </w:r>
      <w:r w:rsidRPr="00AC72B5">
        <w:rPr>
          <w:w w:val="98"/>
        </w:rPr>
        <w:t>, ¶ 19, Doc. ONU CCPR/CO/71/VEN (2001).</w:t>
      </w:r>
    </w:p>
  </w:endnote>
  <w:endnote w:id="77">
    <w:p w14:paraId="38725A2F" w14:textId="4F03BBBB"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Moldavia</w:t>
      </w:r>
      <w:r w:rsidRPr="00AC72B5">
        <w:rPr>
          <w:w w:val="98"/>
        </w:rPr>
        <w:t>, ¶ 17, Doc. ONU CCPR/C/MDA/CO/2 (2009).</w:t>
      </w:r>
    </w:p>
  </w:endnote>
  <w:endnote w:id="78">
    <w:p w14:paraId="3FD33BFB" w14:textId="25EA34FF"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Colombia</w:t>
      </w:r>
      <w:r w:rsidRPr="00AC72B5">
        <w:rPr>
          <w:w w:val="98"/>
        </w:rPr>
        <w:t>, ¶ 19, Doc. ONU CCPR/C/COL/CO/6 (2010).</w:t>
      </w:r>
    </w:p>
  </w:endnote>
  <w:endnote w:id="79">
    <w:p w14:paraId="5B6B3AC5" w14:textId="5D45D537" w:rsidR="005E3DDD" w:rsidRPr="00AC72B5" w:rsidRDefault="005E3DDD" w:rsidP="00E12C89">
      <w:pPr>
        <w:pStyle w:val="EndnoteText"/>
        <w:ind w:left="144" w:hanging="144"/>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Irlanda</w:t>
      </w:r>
      <w:r w:rsidRPr="00AC72B5">
        <w:rPr>
          <w:w w:val="98"/>
        </w:rPr>
        <w:t xml:space="preserve">, ¶ 9, Doc. </w:t>
      </w:r>
      <w:r w:rsidRPr="00AC72B5">
        <w:rPr>
          <w:w w:val="98"/>
          <w:lang w:val="es-CO"/>
        </w:rPr>
        <w:t>ONU CCPR/C/IRL/CO/4 (2014).</w:t>
      </w:r>
    </w:p>
  </w:endnote>
  <w:endnote w:id="80">
    <w:p w14:paraId="667DFE88" w14:textId="001A7B97"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lang w:val="es-CO"/>
        </w:rPr>
        <w:t xml:space="preserve"> </w:t>
      </w:r>
      <w:r w:rsidRPr="00AC72B5">
        <w:rPr>
          <w:w w:val="98"/>
        </w:rPr>
        <w:t>Comité de Derechos Humanos</w:t>
      </w:r>
      <w:r w:rsidRPr="00AC72B5">
        <w:rPr>
          <w:w w:val="98"/>
          <w:lang w:val="es-CO"/>
        </w:rPr>
        <w:t xml:space="preserve">, </w:t>
      </w:r>
      <w:r w:rsidRPr="00AC72B5">
        <w:rPr>
          <w:i/>
          <w:w w:val="98"/>
          <w:lang w:val="es-CO"/>
        </w:rPr>
        <w:t>Observaciones Finales: Argentina</w:t>
      </w:r>
      <w:r w:rsidRPr="00AC72B5">
        <w:rPr>
          <w:w w:val="98"/>
          <w:lang w:val="es-CO"/>
        </w:rPr>
        <w:t xml:space="preserve">, ¶ 13, Doc. </w:t>
      </w:r>
      <w:r w:rsidRPr="00AC72B5">
        <w:rPr>
          <w:w w:val="98"/>
        </w:rPr>
        <w:t>ONU CCPR/C/ARG/CO/4 (2010).</w:t>
      </w:r>
    </w:p>
  </w:endnote>
  <w:endnote w:id="81">
    <w:p w14:paraId="42DF2E62" w14:textId="05D141B9"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Armenia</w:t>
      </w:r>
      <w:r w:rsidRPr="00AC72B5">
        <w:rPr>
          <w:w w:val="98"/>
        </w:rPr>
        <w:t>, ¶ 9, Doc. ONU CCPR/C/ARM/CO/2 (2012).</w:t>
      </w:r>
    </w:p>
  </w:endnote>
  <w:endnote w:id="82">
    <w:p w14:paraId="46DA5F41" w14:textId="7D0372A3"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Armenia</w:t>
      </w:r>
      <w:r w:rsidRPr="00AC72B5">
        <w:rPr>
          <w:w w:val="98"/>
        </w:rPr>
        <w:t>, ¶ 9, Doc. ONU CCPR/C/ARM/CO/2 (2012).</w:t>
      </w:r>
    </w:p>
  </w:endnote>
  <w:endnote w:id="83">
    <w:p w14:paraId="3CC93604" w14:textId="2339D77B"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Polonia</w:t>
      </w:r>
      <w:r w:rsidRPr="00AC72B5">
        <w:rPr>
          <w:w w:val="98"/>
        </w:rPr>
        <w:t>, ¶ 8, Doc. ONU CCPR/CO/82/POL (2004).</w:t>
      </w:r>
      <w:r w:rsidRPr="00AC72B5">
        <w:rPr>
          <w:i/>
          <w:w w:val="98"/>
        </w:rPr>
        <w:t xml:space="preserve"> </w:t>
      </w:r>
    </w:p>
  </w:endnote>
  <w:endnote w:id="84">
    <w:p w14:paraId="168A4C04" w14:textId="59C11D7F"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Polonia</w:t>
      </w:r>
      <w:r w:rsidRPr="00AC72B5">
        <w:rPr>
          <w:w w:val="98"/>
        </w:rPr>
        <w:t>, ¶ 12, Doc. ONU CCPR/C/POL/CO/6 (2010).</w:t>
      </w:r>
    </w:p>
  </w:endnote>
  <w:endnote w:id="85">
    <w:p w14:paraId="199722CB" w14:textId="46B5A347"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Azerbaiy</w:t>
      </w:r>
      <w:r w:rsidRPr="00AC72B5">
        <w:rPr>
          <w:i/>
          <w:w w:val="98"/>
          <w:lang w:val="es-CO"/>
        </w:rPr>
        <w:t>á</w:t>
      </w:r>
      <w:r w:rsidRPr="00AC72B5">
        <w:rPr>
          <w:i/>
          <w:w w:val="98"/>
        </w:rPr>
        <w:t>n</w:t>
      </w:r>
      <w:r w:rsidRPr="00AC72B5">
        <w:rPr>
          <w:w w:val="98"/>
        </w:rPr>
        <w:t xml:space="preserve">, ¶ 16, Doc. ONU CCPR/CO/73/AZE (2001); </w:t>
      </w:r>
      <w:r w:rsidRPr="00AC72B5">
        <w:rPr>
          <w:i/>
          <w:w w:val="98"/>
        </w:rPr>
        <w:t>Camerún</w:t>
      </w:r>
      <w:r w:rsidRPr="00AC72B5">
        <w:rPr>
          <w:w w:val="98"/>
        </w:rPr>
        <w:t>, ¶ 13, Doc. ONU CCPR/C/CMR/CO/4 (2010);</w:t>
      </w:r>
      <w:r w:rsidRPr="00AC72B5">
        <w:rPr>
          <w:i/>
          <w:w w:val="98"/>
        </w:rPr>
        <w:t xml:space="preserve"> Chile</w:t>
      </w:r>
      <w:r w:rsidRPr="00AC72B5">
        <w:rPr>
          <w:w w:val="98"/>
        </w:rPr>
        <w:t xml:space="preserve">, ¶ 8, Doc. ONU CCPR/C/CHL/CO/5 (2007); </w:t>
      </w:r>
      <w:r w:rsidRPr="00AC72B5">
        <w:rPr>
          <w:i/>
          <w:w w:val="98"/>
        </w:rPr>
        <w:t>Yibuti</w:t>
      </w:r>
      <w:r w:rsidRPr="00AC72B5">
        <w:rPr>
          <w:w w:val="98"/>
        </w:rPr>
        <w:t>, ¶ 9, Doc. ONU CCPR/C/DJI/CO/1 (2013);</w:t>
      </w:r>
      <w:r w:rsidRPr="00AC72B5">
        <w:rPr>
          <w:i/>
          <w:w w:val="98"/>
        </w:rPr>
        <w:t xml:space="preserve"> El Salvador</w:t>
      </w:r>
      <w:r w:rsidRPr="00AC72B5">
        <w:rPr>
          <w:w w:val="98"/>
        </w:rPr>
        <w:t>, ¶ 14, Doc. ONU CCPR/CO/78/SLV (2003);</w:t>
      </w:r>
      <w:r w:rsidRPr="00AC72B5">
        <w:rPr>
          <w:i/>
          <w:w w:val="98"/>
        </w:rPr>
        <w:t xml:space="preserve"> Irlanda</w:t>
      </w:r>
      <w:r w:rsidRPr="00AC72B5">
        <w:rPr>
          <w:w w:val="98"/>
        </w:rPr>
        <w:t xml:space="preserve">, ¶ 13, Doc. ONU CCPR/C/IRL/CO/3 (2008); </w:t>
      </w:r>
      <w:r w:rsidRPr="00AC72B5">
        <w:rPr>
          <w:i/>
          <w:w w:val="98"/>
        </w:rPr>
        <w:t>Jamaica</w:t>
      </w:r>
      <w:r w:rsidRPr="00AC72B5">
        <w:rPr>
          <w:w w:val="98"/>
        </w:rPr>
        <w:t xml:space="preserve">, ¶ 14, Doc. ONU CCPR/C/JAM/CO/3 (2011); </w:t>
      </w:r>
      <w:r w:rsidRPr="00AC72B5">
        <w:rPr>
          <w:i/>
          <w:w w:val="98"/>
        </w:rPr>
        <w:t>Kazajistán</w:t>
      </w:r>
      <w:r w:rsidRPr="00AC72B5">
        <w:rPr>
          <w:w w:val="98"/>
        </w:rPr>
        <w:t>, ¶ 11, Doc. ONU CCPR/C/KAZ/CO/1 (2011);</w:t>
      </w:r>
      <w:r w:rsidRPr="00AC72B5">
        <w:rPr>
          <w:i/>
          <w:w w:val="98"/>
        </w:rPr>
        <w:t xml:space="preserve"> Madagascar</w:t>
      </w:r>
      <w:r w:rsidRPr="00AC72B5">
        <w:rPr>
          <w:w w:val="98"/>
        </w:rPr>
        <w:t>, ¶ 8, Doc. ONU CCPR/C/MDG/CO/3 (2007);</w:t>
      </w:r>
      <w:r w:rsidRPr="00AC72B5">
        <w:rPr>
          <w:i/>
          <w:w w:val="98"/>
        </w:rPr>
        <w:t xml:space="preserve"> Mali</w:t>
      </w:r>
      <w:r w:rsidRPr="00AC72B5">
        <w:rPr>
          <w:w w:val="98"/>
        </w:rPr>
        <w:t>, ¶ 14; Doc. ONU CCPR/CO/77/MLI (2003);</w:t>
      </w:r>
      <w:r w:rsidRPr="00AC72B5">
        <w:rPr>
          <w:i/>
          <w:w w:val="98"/>
        </w:rPr>
        <w:t xml:space="preserve"> México</w:t>
      </w:r>
      <w:r w:rsidRPr="00AC72B5">
        <w:rPr>
          <w:w w:val="98"/>
        </w:rPr>
        <w:t>, ¶ 10, Doc. ONU CCPR/C/MEX/CO/5 (2010);</w:t>
      </w:r>
      <w:r w:rsidRPr="00AC72B5">
        <w:rPr>
          <w:i/>
          <w:w w:val="98"/>
        </w:rPr>
        <w:t xml:space="preserve"> Mónaco</w:t>
      </w:r>
      <w:r w:rsidRPr="00AC72B5">
        <w:rPr>
          <w:w w:val="98"/>
        </w:rPr>
        <w:t xml:space="preserve">, ¶ 10, Doc. ONU CCPR/C/MCO/CO/2 (2008); </w:t>
      </w:r>
      <w:r w:rsidRPr="00AC72B5">
        <w:rPr>
          <w:i/>
          <w:w w:val="98"/>
        </w:rPr>
        <w:t>Nicaragua</w:t>
      </w:r>
      <w:r w:rsidRPr="00AC72B5">
        <w:rPr>
          <w:w w:val="98"/>
        </w:rPr>
        <w:t xml:space="preserve">, ¶ 13, Doc. </w:t>
      </w:r>
      <w:r w:rsidRPr="00AC72B5">
        <w:rPr>
          <w:w w:val="98"/>
          <w:lang w:val="es-CO"/>
        </w:rPr>
        <w:t xml:space="preserve">ONU CCPR/C/NIC/CO/3 (2008); </w:t>
      </w:r>
      <w:r w:rsidRPr="00AC72B5">
        <w:rPr>
          <w:i/>
          <w:w w:val="98"/>
          <w:lang w:val="es-CO"/>
        </w:rPr>
        <w:t>Panamá</w:t>
      </w:r>
      <w:r w:rsidRPr="00AC72B5">
        <w:rPr>
          <w:w w:val="98"/>
          <w:lang w:val="es-CO"/>
        </w:rPr>
        <w:t xml:space="preserve">, ¶ 9, Doc. </w:t>
      </w:r>
      <w:r w:rsidRPr="00AC72B5">
        <w:rPr>
          <w:w w:val="98"/>
        </w:rPr>
        <w:t xml:space="preserve">ONU CCPR/C/PAN/CO/3 (2008); </w:t>
      </w:r>
      <w:r w:rsidRPr="00AC72B5">
        <w:rPr>
          <w:i/>
          <w:w w:val="98"/>
        </w:rPr>
        <w:t>Polonia</w:t>
      </w:r>
      <w:r w:rsidRPr="00AC72B5">
        <w:rPr>
          <w:w w:val="98"/>
        </w:rPr>
        <w:t>, ¶ 12, Doc. ONU CCPR/C/POL/CO/6 (2010);</w:t>
      </w:r>
      <w:r w:rsidRPr="00AC72B5">
        <w:rPr>
          <w:i/>
          <w:w w:val="98"/>
        </w:rPr>
        <w:t xml:space="preserve"> Vietnam</w:t>
      </w:r>
      <w:r w:rsidRPr="00AC72B5">
        <w:rPr>
          <w:w w:val="98"/>
        </w:rPr>
        <w:t>, ¶ 15, Doc. ONU CCPR/CO/75/VNM (2002).</w:t>
      </w:r>
    </w:p>
  </w:endnote>
  <w:endnote w:id="86">
    <w:p w14:paraId="561E8A61" w14:textId="477344A6"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Argentina</w:t>
      </w:r>
      <w:r w:rsidRPr="00AC72B5">
        <w:rPr>
          <w:w w:val="98"/>
        </w:rPr>
        <w:t xml:space="preserve">, ¶ 14, Doc. ONU CCPR/CO/70/ARG (2000); </w:t>
      </w:r>
      <w:r w:rsidRPr="00AC72B5">
        <w:rPr>
          <w:i/>
          <w:w w:val="98"/>
        </w:rPr>
        <w:t>Azerbaiyán</w:t>
      </w:r>
      <w:r w:rsidRPr="00AC72B5">
        <w:rPr>
          <w:w w:val="98"/>
        </w:rPr>
        <w:t xml:space="preserve">, ¶ 16, Doc. ONU CCPR/CO/73/AZE (2001); </w:t>
      </w:r>
      <w:r w:rsidRPr="00AC72B5">
        <w:rPr>
          <w:i/>
          <w:w w:val="98"/>
        </w:rPr>
        <w:t>Kenia</w:t>
      </w:r>
      <w:r w:rsidRPr="00AC72B5">
        <w:rPr>
          <w:w w:val="98"/>
        </w:rPr>
        <w:t xml:space="preserve">, ¶ 14, Doc. ONU CCPR/CO/83/KEN (2005); </w:t>
      </w:r>
      <w:r w:rsidRPr="00AC72B5">
        <w:rPr>
          <w:i/>
          <w:w w:val="98"/>
        </w:rPr>
        <w:t>Mali</w:t>
      </w:r>
      <w:r w:rsidRPr="00AC72B5">
        <w:rPr>
          <w:w w:val="98"/>
        </w:rPr>
        <w:t xml:space="preserve">, ¶ 14, Doc. ONU CCPR/CO/77/MLI (2003); </w:t>
      </w:r>
      <w:r w:rsidRPr="00AC72B5">
        <w:rPr>
          <w:i/>
          <w:w w:val="98"/>
        </w:rPr>
        <w:t>Paraguay</w:t>
      </w:r>
      <w:r w:rsidRPr="00AC72B5">
        <w:rPr>
          <w:w w:val="98"/>
        </w:rPr>
        <w:t xml:space="preserve">, ¶ 10, Doc. ONU CCPR/C/PRY/CO/2 (2006); </w:t>
      </w:r>
      <w:r w:rsidRPr="00AC72B5">
        <w:rPr>
          <w:i/>
          <w:w w:val="98"/>
        </w:rPr>
        <w:t>Vietnam</w:t>
      </w:r>
      <w:r w:rsidRPr="00AC72B5">
        <w:rPr>
          <w:w w:val="98"/>
        </w:rPr>
        <w:t>, ¶ 15, Doc. ONU CCPR/CO/75/VNM (2002).</w:t>
      </w:r>
    </w:p>
  </w:endnote>
  <w:endnote w:id="87">
    <w:p w14:paraId="6CAF93C3" w14:textId="7DCA0D9F"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Filipinas</w:t>
      </w:r>
      <w:r w:rsidRPr="00AC72B5">
        <w:rPr>
          <w:w w:val="98"/>
        </w:rPr>
        <w:t>, ¶ 13, Doc. ONU CCPR/C/PHL/CO/4 (2012);</w:t>
      </w:r>
      <w:r w:rsidRPr="00AC72B5">
        <w:rPr>
          <w:i/>
          <w:w w:val="98"/>
        </w:rPr>
        <w:t xml:space="preserve"> Polonia</w:t>
      </w:r>
      <w:r w:rsidRPr="00AC72B5">
        <w:rPr>
          <w:w w:val="98"/>
        </w:rPr>
        <w:t>, ¶ 12, Doc. ONU CCPR/C/POL/CO/6 (2010).</w:t>
      </w:r>
    </w:p>
  </w:endnote>
  <w:endnote w:id="88">
    <w:p w14:paraId="26C48897" w14:textId="113010C2"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Filipinas</w:t>
      </w:r>
      <w:r w:rsidRPr="00AC72B5">
        <w:rPr>
          <w:w w:val="98"/>
        </w:rPr>
        <w:t>, ¶ 13, Doc. ONU CCPR/C/PHL/CO/4 (2012).</w:t>
      </w:r>
    </w:p>
  </w:endnote>
  <w:endnote w:id="89">
    <w:p w14:paraId="5CB8E04C" w14:textId="3F2129FD"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Polonia</w:t>
      </w:r>
      <w:r w:rsidRPr="00AC72B5">
        <w:rPr>
          <w:w w:val="98"/>
        </w:rPr>
        <w:t>, ¶ 9, Doc. ONU CCPR/CO/82/POL (2004).</w:t>
      </w:r>
    </w:p>
  </w:endnote>
  <w:endnote w:id="90">
    <w:p w14:paraId="3B819C7A" w14:textId="29E8D344"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Polonia</w:t>
      </w:r>
      <w:r w:rsidRPr="00AC72B5">
        <w:rPr>
          <w:w w:val="98"/>
        </w:rPr>
        <w:t>, ¶ 12, Doc. ONU CCPR/C/POL/CO/6 (2010).</w:t>
      </w:r>
    </w:p>
  </w:endnote>
  <w:endnote w:id="91">
    <w:p w14:paraId="765CB821" w14:textId="7BFFA742"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Albania</w:t>
      </w:r>
      <w:r w:rsidRPr="00AC72B5">
        <w:rPr>
          <w:w w:val="98"/>
        </w:rPr>
        <w:t>, ¶ 9, Doc. ONU CCPR/CO/82/ALB (2004).</w:t>
      </w:r>
    </w:p>
  </w:endnote>
  <w:endnote w:id="92">
    <w:p w14:paraId="5E10B296" w14:textId="0B453B74"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Paraguay</w:t>
      </w:r>
      <w:r w:rsidRPr="00AC72B5">
        <w:rPr>
          <w:w w:val="98"/>
        </w:rPr>
        <w:t>, ¶ 10, Doc. ONU CCPR/C/PRY/CO/2 (2006).</w:t>
      </w:r>
    </w:p>
  </w:endnote>
  <w:endnote w:id="93">
    <w:p w14:paraId="41A01436" w14:textId="7A0689DC"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Angola</w:t>
      </w:r>
      <w:r w:rsidRPr="00AC72B5">
        <w:rPr>
          <w:w w:val="98"/>
        </w:rPr>
        <w:t>, ¶ 13, Doc. ONU CCPR/C/AGO/CO/1 (2013);</w:t>
      </w:r>
      <w:r w:rsidRPr="00AC72B5">
        <w:rPr>
          <w:i/>
          <w:w w:val="98"/>
        </w:rPr>
        <w:t xml:space="preserve"> Bolivia</w:t>
      </w:r>
      <w:r w:rsidRPr="00AC72B5">
        <w:rPr>
          <w:w w:val="98"/>
        </w:rPr>
        <w:t>, ¶ 9, Doc. ONU CCPR/C/BOL/CO/3 (2013);</w:t>
      </w:r>
      <w:r w:rsidRPr="00AC72B5">
        <w:rPr>
          <w:i/>
          <w:w w:val="98"/>
        </w:rPr>
        <w:t xml:space="preserve"> Cote d'Ivoire</w:t>
      </w:r>
      <w:r w:rsidRPr="00AC72B5">
        <w:rPr>
          <w:w w:val="98"/>
        </w:rPr>
        <w:t>, ¶ 15, Doc. ONU CCPR/C/CIV/CO/1 (2015);</w:t>
      </w:r>
      <w:r w:rsidRPr="00AC72B5">
        <w:rPr>
          <w:i/>
          <w:w w:val="98"/>
        </w:rPr>
        <w:t xml:space="preserve"> República Dominicana</w:t>
      </w:r>
      <w:r w:rsidRPr="00AC72B5">
        <w:rPr>
          <w:w w:val="98"/>
        </w:rPr>
        <w:t>, ¶ 15, Doc. ONU CCPR/C/DOM/CO/5 (2012);</w:t>
      </w:r>
      <w:r w:rsidRPr="00AC72B5">
        <w:rPr>
          <w:i/>
          <w:w w:val="98"/>
        </w:rPr>
        <w:t xml:space="preserve"> Guatemala</w:t>
      </w:r>
      <w:r w:rsidRPr="00AC72B5">
        <w:rPr>
          <w:w w:val="98"/>
        </w:rPr>
        <w:t xml:space="preserve">, ¶ 20, Doc. ONU CCPR/C/LTU/CO/3 (2012); </w:t>
      </w:r>
      <w:r w:rsidRPr="00AC72B5">
        <w:rPr>
          <w:i/>
          <w:w w:val="98"/>
        </w:rPr>
        <w:t>Malawi</w:t>
      </w:r>
      <w:r w:rsidRPr="00AC72B5">
        <w:rPr>
          <w:w w:val="98"/>
        </w:rPr>
        <w:t>, ¶ 9, Doc. ONU CCPR/C/MWI/CO/1/Add.1 (2014);</w:t>
      </w:r>
      <w:r w:rsidRPr="00AC72B5">
        <w:rPr>
          <w:i/>
          <w:w w:val="98"/>
        </w:rPr>
        <w:t xml:space="preserve"> Malta</w:t>
      </w:r>
      <w:r w:rsidRPr="00AC72B5">
        <w:rPr>
          <w:w w:val="98"/>
        </w:rPr>
        <w:t xml:space="preserve">, ¶ 13, Doc. ONU CCPR/C/MLT/CO/2 (2014); </w:t>
      </w:r>
      <w:r w:rsidRPr="00AC72B5">
        <w:rPr>
          <w:i/>
          <w:w w:val="98"/>
        </w:rPr>
        <w:t>San Marino</w:t>
      </w:r>
      <w:r w:rsidRPr="00AC72B5">
        <w:rPr>
          <w:w w:val="98"/>
        </w:rPr>
        <w:t>, ¶ 14, Doc. ONU CCPR/C/SMR/CO/3 (2015);</w:t>
      </w:r>
      <w:r w:rsidRPr="00AC72B5">
        <w:rPr>
          <w:i/>
          <w:w w:val="98"/>
        </w:rPr>
        <w:t xml:space="preserve"> Paraguay</w:t>
      </w:r>
      <w:r w:rsidRPr="00AC72B5">
        <w:rPr>
          <w:w w:val="98"/>
        </w:rPr>
        <w:t xml:space="preserve">, ¶ 13, Doc. ONU CCPR/C/PRY/CO/3; </w:t>
      </w:r>
      <w:r w:rsidRPr="00AC72B5">
        <w:rPr>
          <w:i/>
          <w:w w:val="98"/>
        </w:rPr>
        <w:t>Perú</w:t>
      </w:r>
      <w:r w:rsidRPr="00AC72B5">
        <w:rPr>
          <w:w w:val="98"/>
        </w:rPr>
        <w:t>, ¶ 14, Doc. ONU CCPR/C/POR/CO/5 (2013);</w:t>
      </w:r>
      <w:r w:rsidRPr="00AC72B5">
        <w:rPr>
          <w:i/>
          <w:w w:val="98"/>
        </w:rPr>
        <w:t xml:space="preserve"> Filipinas</w:t>
      </w:r>
      <w:r w:rsidRPr="00AC72B5">
        <w:rPr>
          <w:w w:val="98"/>
        </w:rPr>
        <w:t xml:space="preserve">, ¶ 13, Doc. ONU CCPR/C/PHL/CO/4 (2012); </w:t>
      </w:r>
      <w:r w:rsidRPr="00AC72B5">
        <w:rPr>
          <w:i/>
          <w:w w:val="98"/>
        </w:rPr>
        <w:t>Sierra Leona</w:t>
      </w:r>
      <w:r w:rsidRPr="00AC72B5">
        <w:rPr>
          <w:w w:val="98"/>
        </w:rPr>
        <w:t xml:space="preserve">, ¶ 14, Doc. ONU CCPR/C/LES/CO/1 (2014); </w:t>
      </w:r>
      <w:r w:rsidRPr="00AC72B5">
        <w:rPr>
          <w:i/>
          <w:w w:val="98"/>
        </w:rPr>
        <w:t>Sri Lanka</w:t>
      </w:r>
      <w:r w:rsidRPr="00AC72B5">
        <w:rPr>
          <w:w w:val="98"/>
        </w:rPr>
        <w:t>, ¶ 10, Doc. ONU CCPR/C/LKA/CO/5 (2014).</w:t>
      </w:r>
    </w:p>
  </w:endnote>
  <w:endnote w:id="94">
    <w:p w14:paraId="35342ECA" w14:textId="2C230ECE"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Gran Bretaña e Irlanda del Norte</w:t>
      </w:r>
      <w:r w:rsidRPr="00AC72B5">
        <w:rPr>
          <w:w w:val="98"/>
        </w:rPr>
        <w:t>, ¶ 17, Doc. ONU CCPR/C/GBR/CO/7 (2015);</w:t>
      </w:r>
      <w:r w:rsidRPr="00AC72B5">
        <w:rPr>
          <w:i/>
          <w:w w:val="98"/>
        </w:rPr>
        <w:t xml:space="preserve"> Guatemala</w:t>
      </w:r>
      <w:r w:rsidRPr="00AC72B5">
        <w:rPr>
          <w:w w:val="98"/>
        </w:rPr>
        <w:t>, ¶ 19, Doc. ONU CCPR/CO/72/GTM (2001).</w:t>
      </w:r>
    </w:p>
  </w:endnote>
  <w:endnote w:id="95">
    <w:p w14:paraId="2DF3C6B0" w14:textId="390D8857"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Perú</w:t>
      </w:r>
      <w:r w:rsidRPr="00AC72B5">
        <w:rPr>
          <w:w w:val="98"/>
        </w:rPr>
        <w:t>, ¶ 14, Doc. ONU CCPR/C/PER/CO/5 (2013).</w:t>
      </w:r>
    </w:p>
  </w:endnote>
  <w:endnote w:id="96">
    <w:p w14:paraId="7C1A1677" w14:textId="57344B4B"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Perú</w:t>
      </w:r>
      <w:r w:rsidRPr="00AC72B5">
        <w:rPr>
          <w:w w:val="98"/>
        </w:rPr>
        <w:t>, ¶ 14, Doc. ONU CCPR/C/PER/CO/5 (2013).</w:t>
      </w:r>
    </w:p>
  </w:endnote>
  <w:endnote w:id="97">
    <w:p w14:paraId="0FDCCCD8" w14:textId="0C396659"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Moldavia</w:t>
      </w:r>
      <w:r w:rsidRPr="00AC72B5">
        <w:rPr>
          <w:w w:val="98"/>
        </w:rPr>
        <w:t>, ¶ 17, Doc. ONU CCPR/C/MDA/CO/2 (2009).</w:t>
      </w:r>
    </w:p>
  </w:endnote>
  <w:endnote w:id="98">
    <w:p w14:paraId="24AB2674" w14:textId="6581246B"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Albania</w:t>
      </w:r>
      <w:r w:rsidRPr="00AC72B5">
        <w:rPr>
          <w:w w:val="98"/>
        </w:rPr>
        <w:t>, ¶ 9, Doc. ONU CCPR/CO/82/ALBA (2004);</w:t>
      </w:r>
      <w:r w:rsidRPr="00AC72B5">
        <w:rPr>
          <w:i/>
          <w:w w:val="98"/>
        </w:rPr>
        <w:t xml:space="preserve"> Moldavia</w:t>
      </w:r>
      <w:r w:rsidRPr="00AC72B5">
        <w:rPr>
          <w:w w:val="98"/>
        </w:rPr>
        <w:t>, ¶¶ 4, 17, Doc. ONU CCPR/C/MDA/CO/2 (2009).</w:t>
      </w:r>
    </w:p>
  </w:endnote>
  <w:endnote w:id="99">
    <w:p w14:paraId="54EEFB84" w14:textId="265F1608"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Moldavia</w:t>
      </w:r>
      <w:r w:rsidRPr="00AC72B5">
        <w:rPr>
          <w:w w:val="98"/>
        </w:rPr>
        <w:t>, ¶ 17, Doc. ONU CCPR/C/MDA/CO/2 (2009).</w:t>
      </w:r>
    </w:p>
  </w:endnote>
  <w:endnote w:id="100">
    <w:p w14:paraId="38138A80" w14:textId="096331EA" w:rsidR="005E3DDD" w:rsidRPr="00AC72B5" w:rsidRDefault="005E3DDD" w:rsidP="00E12C89">
      <w:pPr>
        <w:pStyle w:val="EndnoteText"/>
        <w:ind w:left="144" w:hanging="144"/>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Camerún</w:t>
      </w:r>
      <w:r w:rsidRPr="00AC72B5">
        <w:rPr>
          <w:w w:val="98"/>
        </w:rPr>
        <w:t>, ¶ 13, Doc. ONU CCPR/C/CMR/CO/4 (2010);</w:t>
      </w:r>
      <w:r w:rsidRPr="00AC72B5">
        <w:rPr>
          <w:i/>
          <w:w w:val="98"/>
        </w:rPr>
        <w:t xml:space="preserve"> República Democrática del Congo</w:t>
      </w:r>
      <w:r w:rsidRPr="00AC72B5">
        <w:rPr>
          <w:w w:val="98"/>
        </w:rPr>
        <w:t xml:space="preserve">, ¶ 14, Doc. ONU CCPR/C/COD/CO/3 (2006); </w:t>
      </w:r>
      <w:r w:rsidRPr="00AC72B5">
        <w:rPr>
          <w:i/>
          <w:w w:val="98"/>
        </w:rPr>
        <w:t>República Dominicana</w:t>
      </w:r>
      <w:r w:rsidRPr="00AC72B5">
        <w:rPr>
          <w:w w:val="98"/>
        </w:rPr>
        <w:t>, ¶ 15, Doc. ONU CCPR/C/DOM/CO/5 (2012);</w:t>
      </w:r>
      <w:r w:rsidRPr="00AC72B5">
        <w:rPr>
          <w:i/>
          <w:w w:val="98"/>
        </w:rPr>
        <w:t xml:space="preserve"> Guatemala</w:t>
      </w:r>
      <w:r w:rsidRPr="00AC72B5">
        <w:rPr>
          <w:w w:val="98"/>
        </w:rPr>
        <w:t xml:space="preserve">, ¶ 20, Doc. ONU CCPR/C/GTM/CO/3 (2012); </w:t>
      </w:r>
      <w:r w:rsidRPr="00AC72B5">
        <w:rPr>
          <w:i/>
          <w:w w:val="98"/>
        </w:rPr>
        <w:t>Kenia</w:t>
      </w:r>
      <w:r w:rsidRPr="00AC72B5">
        <w:rPr>
          <w:w w:val="98"/>
        </w:rPr>
        <w:t>, ¶ 14, Doc. ONU CCPR/CO/83/KEN (2005);</w:t>
      </w:r>
      <w:r w:rsidRPr="00AC72B5">
        <w:rPr>
          <w:i/>
          <w:w w:val="98"/>
        </w:rPr>
        <w:t xml:space="preserve"> República Kirguisa</w:t>
      </w:r>
      <w:r w:rsidRPr="00AC72B5">
        <w:rPr>
          <w:w w:val="98"/>
        </w:rPr>
        <w:t xml:space="preserve">, ¶ 13, Doc. ONU CCPR/CO/69/KGZ (2000); </w:t>
      </w:r>
      <w:r w:rsidRPr="00AC72B5">
        <w:rPr>
          <w:i/>
          <w:w w:val="98"/>
        </w:rPr>
        <w:t>Malawi</w:t>
      </w:r>
      <w:r w:rsidRPr="00AC72B5">
        <w:rPr>
          <w:w w:val="98"/>
        </w:rPr>
        <w:t>, ¶ 9, Doc. ONU CCPR/C/MWI/CO/1/Add.1 (2014);</w:t>
      </w:r>
      <w:r w:rsidRPr="00AC72B5">
        <w:rPr>
          <w:i/>
          <w:w w:val="98"/>
        </w:rPr>
        <w:t xml:space="preserve"> Mali</w:t>
      </w:r>
      <w:r w:rsidRPr="00AC72B5">
        <w:rPr>
          <w:w w:val="98"/>
        </w:rPr>
        <w:t>, ¶ 14, Doc. ONU CCPR/CO/77/MLI (2003);</w:t>
      </w:r>
      <w:r w:rsidRPr="00AC72B5">
        <w:rPr>
          <w:i/>
          <w:w w:val="98"/>
        </w:rPr>
        <w:t xml:space="preserve"> Mongolia</w:t>
      </w:r>
      <w:r w:rsidRPr="00AC72B5">
        <w:rPr>
          <w:w w:val="98"/>
        </w:rPr>
        <w:t>, ¶ 20, Doc. ONU CCPR/C/MNG/CO/5 (2011);</w:t>
      </w:r>
      <w:r w:rsidRPr="00AC72B5">
        <w:rPr>
          <w:i/>
          <w:w w:val="98"/>
        </w:rPr>
        <w:t xml:space="preserve"> Paraguay</w:t>
      </w:r>
      <w:r w:rsidRPr="00AC72B5">
        <w:rPr>
          <w:w w:val="98"/>
        </w:rPr>
        <w:t xml:space="preserve">, ¶ 13, Doc. ONU CCPR/C/PRY/CO/3 (2013); </w:t>
      </w:r>
      <w:r w:rsidRPr="00AC72B5">
        <w:rPr>
          <w:i/>
          <w:w w:val="98"/>
        </w:rPr>
        <w:t>Perú</w:t>
      </w:r>
      <w:r w:rsidRPr="00AC72B5">
        <w:rPr>
          <w:w w:val="98"/>
        </w:rPr>
        <w:t>, ¶ 14, Doc. ONU CCPR/C/POR/CO/5 (2013);</w:t>
      </w:r>
      <w:r w:rsidRPr="00AC72B5">
        <w:rPr>
          <w:i/>
          <w:w w:val="98"/>
        </w:rPr>
        <w:t xml:space="preserve"> Sierra Leona</w:t>
      </w:r>
      <w:r w:rsidRPr="00AC72B5">
        <w:rPr>
          <w:w w:val="98"/>
        </w:rPr>
        <w:t>, ¶ 14, Doc. ONU CCPR/C/LES/CO/1 (2014);</w:t>
      </w:r>
      <w:r w:rsidRPr="00AC72B5">
        <w:rPr>
          <w:i/>
          <w:w w:val="98"/>
        </w:rPr>
        <w:t xml:space="preserve"> Zambia</w:t>
      </w:r>
      <w:r w:rsidRPr="00AC72B5">
        <w:rPr>
          <w:w w:val="98"/>
        </w:rPr>
        <w:t>, ¶ 18, Doc. ONU CCPR/C/ZMB/CO/3 (2007).</w:t>
      </w:r>
    </w:p>
  </w:endnote>
  <w:endnote w:id="101">
    <w:p w14:paraId="1311E75F" w14:textId="13E4E94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Bolivia</w:t>
      </w:r>
      <w:r w:rsidRPr="00AC72B5">
        <w:rPr>
          <w:w w:val="98"/>
        </w:rPr>
        <w:t xml:space="preserve">, ¶ 9, Doc. ONU CCPR/C/BOL/CO/3 (2013); </w:t>
      </w:r>
      <w:r w:rsidRPr="00AC72B5">
        <w:rPr>
          <w:i/>
          <w:w w:val="98"/>
        </w:rPr>
        <w:t>Chile</w:t>
      </w:r>
      <w:r w:rsidRPr="00AC72B5">
        <w:rPr>
          <w:w w:val="98"/>
        </w:rPr>
        <w:t>, ¶ 15, Doc. ONU CCPR/C/CHL/CO/6 (2014);</w:t>
      </w:r>
      <w:r w:rsidRPr="00AC72B5">
        <w:rPr>
          <w:i/>
          <w:w w:val="98"/>
        </w:rPr>
        <w:t xml:space="preserve"> Colombia</w:t>
      </w:r>
      <w:r w:rsidRPr="00AC72B5">
        <w:rPr>
          <w:w w:val="98"/>
        </w:rPr>
        <w:t xml:space="preserve">, ¶ 19, Doc. ONU CCPR/C/COL/CO/6 (2010); </w:t>
      </w:r>
      <w:r w:rsidRPr="00AC72B5">
        <w:rPr>
          <w:i/>
          <w:w w:val="98"/>
        </w:rPr>
        <w:t>El Salvador</w:t>
      </w:r>
      <w:r w:rsidRPr="00AC72B5">
        <w:rPr>
          <w:w w:val="98"/>
        </w:rPr>
        <w:t>, ¶ 14, Doc. ONU CCPR/CO/78/SLV (2003);</w:t>
      </w:r>
      <w:r w:rsidRPr="00AC72B5">
        <w:rPr>
          <w:i/>
          <w:w w:val="98"/>
        </w:rPr>
        <w:t xml:space="preserve"> Guatemala</w:t>
      </w:r>
      <w:r w:rsidRPr="00AC72B5">
        <w:rPr>
          <w:w w:val="98"/>
        </w:rPr>
        <w:t>, ¶ 19, Doc. ONU CCPR/CO/72/GTM (2001);</w:t>
      </w:r>
      <w:r w:rsidRPr="00AC72B5">
        <w:rPr>
          <w:i/>
          <w:w w:val="98"/>
        </w:rPr>
        <w:t xml:space="preserve"> Kazajistán</w:t>
      </w:r>
      <w:r w:rsidRPr="00AC72B5">
        <w:rPr>
          <w:w w:val="98"/>
        </w:rPr>
        <w:t xml:space="preserve">, ¶ 11, Doc. ONU CCPR/C/KAZ/CO/1 (2011); </w:t>
      </w:r>
      <w:r w:rsidRPr="00AC72B5">
        <w:rPr>
          <w:i/>
          <w:w w:val="98"/>
        </w:rPr>
        <w:t>Kenia</w:t>
      </w:r>
      <w:r w:rsidRPr="00AC72B5">
        <w:rPr>
          <w:w w:val="98"/>
        </w:rPr>
        <w:t xml:space="preserve">, ¶ 14, Doc. ONU CCPR/CO/83/KEN (2005); </w:t>
      </w:r>
      <w:r w:rsidRPr="00AC72B5">
        <w:rPr>
          <w:i/>
          <w:w w:val="98"/>
        </w:rPr>
        <w:t>Malawi</w:t>
      </w:r>
      <w:r w:rsidRPr="00AC72B5">
        <w:rPr>
          <w:w w:val="98"/>
        </w:rPr>
        <w:t>, ¶ 9, Doc. ONU CCPR/C/MWI/CO/1/Add.1 (2014);</w:t>
      </w:r>
      <w:r w:rsidRPr="00AC72B5">
        <w:rPr>
          <w:i/>
          <w:w w:val="98"/>
        </w:rPr>
        <w:t xml:space="preserve"> Mali</w:t>
      </w:r>
      <w:r w:rsidRPr="00AC72B5">
        <w:rPr>
          <w:w w:val="98"/>
        </w:rPr>
        <w:t xml:space="preserve">, ¶ 14, Doc. ONU CCPR/CO/77/MLI (2003); </w:t>
      </w:r>
      <w:r w:rsidRPr="00AC72B5">
        <w:rPr>
          <w:i/>
          <w:w w:val="98"/>
        </w:rPr>
        <w:t>Mongolia</w:t>
      </w:r>
      <w:r w:rsidRPr="00AC72B5">
        <w:rPr>
          <w:w w:val="98"/>
        </w:rPr>
        <w:t>, ¶ 8, Doc. ONU CCPR/CO/79/Add.120 (2000);</w:t>
      </w:r>
      <w:r w:rsidRPr="00AC72B5">
        <w:rPr>
          <w:i/>
          <w:w w:val="98"/>
        </w:rPr>
        <w:t xml:space="preserve"> Nicaragua</w:t>
      </w:r>
      <w:r w:rsidRPr="00AC72B5">
        <w:rPr>
          <w:w w:val="98"/>
        </w:rPr>
        <w:t>, ¶ 13, Doc. ONU CCPR/C/NIC/CO/3 (2008);</w:t>
      </w:r>
      <w:r w:rsidRPr="00AC72B5">
        <w:rPr>
          <w:i/>
          <w:w w:val="98"/>
        </w:rPr>
        <w:t xml:space="preserve"> Perú</w:t>
      </w:r>
      <w:r w:rsidRPr="00AC72B5">
        <w:rPr>
          <w:w w:val="98"/>
        </w:rPr>
        <w:t>, ¶ 14, Doc. ONU CCPR/C/POR/CO/5 (2013);</w:t>
      </w:r>
      <w:r w:rsidRPr="00AC72B5">
        <w:rPr>
          <w:i/>
          <w:w w:val="98"/>
        </w:rPr>
        <w:t xml:space="preserve"> Filipinas</w:t>
      </w:r>
      <w:r w:rsidRPr="00AC72B5">
        <w:rPr>
          <w:w w:val="98"/>
        </w:rPr>
        <w:t>, ¶ 13, Doc. ONU CCPR/C/PHL/CO/4 (2012);</w:t>
      </w:r>
      <w:r w:rsidRPr="00AC72B5">
        <w:rPr>
          <w:i/>
          <w:w w:val="98"/>
        </w:rPr>
        <w:t xml:space="preserve"> Polonia</w:t>
      </w:r>
      <w:r w:rsidRPr="00AC72B5">
        <w:rPr>
          <w:w w:val="98"/>
        </w:rPr>
        <w:t>, ¶ 12, Doc. ONU CCPR/C/POL/CO/6 (2010);</w:t>
      </w:r>
      <w:r w:rsidRPr="00AC72B5">
        <w:rPr>
          <w:i/>
          <w:w w:val="98"/>
        </w:rPr>
        <w:t xml:space="preserve"> Sri Lanka</w:t>
      </w:r>
      <w:r w:rsidRPr="00AC72B5">
        <w:rPr>
          <w:w w:val="98"/>
        </w:rPr>
        <w:t>, ¶ 12, Doc. ONU CCPR/CO/79/LKA (2003).</w:t>
      </w:r>
    </w:p>
  </w:endnote>
  <w:endnote w:id="102">
    <w:p w14:paraId="1C19E538" w14:textId="4A70B1E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Argentina</w:t>
      </w:r>
      <w:r w:rsidRPr="00AC72B5">
        <w:rPr>
          <w:w w:val="98"/>
        </w:rPr>
        <w:t xml:space="preserve">, ¶ 13, Doc. ONU CCPR/C/ARG/CO/4 (2010); </w:t>
      </w:r>
      <w:r w:rsidRPr="00AC72B5">
        <w:rPr>
          <w:i/>
          <w:w w:val="98"/>
        </w:rPr>
        <w:t>Azerbaiyán</w:t>
      </w:r>
      <w:r w:rsidRPr="00AC72B5">
        <w:rPr>
          <w:w w:val="98"/>
        </w:rPr>
        <w:t xml:space="preserve">, ¶ 16, Doc. ONU CCPR/CO/73/AZE (2001); </w:t>
      </w:r>
      <w:r w:rsidRPr="00AC72B5">
        <w:rPr>
          <w:i/>
          <w:w w:val="98"/>
        </w:rPr>
        <w:t>Camerún</w:t>
      </w:r>
      <w:r w:rsidRPr="00AC72B5">
        <w:rPr>
          <w:w w:val="98"/>
        </w:rPr>
        <w:t>, ¶ 13, Doc. ONU CCPR/C/CMR/CO/4 (2010);</w:t>
      </w:r>
      <w:r w:rsidRPr="00AC72B5">
        <w:rPr>
          <w:i/>
          <w:w w:val="98"/>
        </w:rPr>
        <w:t xml:space="preserve"> Chile</w:t>
      </w:r>
      <w:r w:rsidRPr="00AC72B5">
        <w:rPr>
          <w:w w:val="98"/>
        </w:rPr>
        <w:t xml:space="preserve">, ¶ 8, Doc. ONU CCPR/C/CHL/CO/5 (2007); </w:t>
      </w:r>
      <w:r w:rsidRPr="00AC72B5">
        <w:rPr>
          <w:i/>
          <w:w w:val="98"/>
        </w:rPr>
        <w:t>Colombia</w:t>
      </w:r>
      <w:r w:rsidRPr="00AC72B5">
        <w:rPr>
          <w:w w:val="98"/>
        </w:rPr>
        <w:t>, ¶ 19, Doc. ONU CCPR/C/COL/CO/6 (2010);</w:t>
      </w:r>
      <w:r w:rsidRPr="00AC72B5">
        <w:rPr>
          <w:i/>
          <w:w w:val="98"/>
        </w:rPr>
        <w:t xml:space="preserve"> Yibuti</w:t>
      </w:r>
      <w:r w:rsidRPr="00AC72B5">
        <w:rPr>
          <w:w w:val="98"/>
        </w:rPr>
        <w:t xml:space="preserve">, ¶ 9, Doc. ONU CCPR/C/DJI/CO/1 (2013); </w:t>
      </w:r>
      <w:r w:rsidRPr="00AC72B5">
        <w:rPr>
          <w:i/>
          <w:w w:val="98"/>
        </w:rPr>
        <w:t>El Salvador</w:t>
      </w:r>
      <w:r w:rsidRPr="00AC72B5">
        <w:rPr>
          <w:w w:val="98"/>
        </w:rPr>
        <w:t>, ¶ 14, Doc. ONU CCPR/CO/78/SLV (2003);</w:t>
      </w:r>
      <w:r w:rsidRPr="00AC72B5">
        <w:rPr>
          <w:i/>
          <w:w w:val="98"/>
        </w:rPr>
        <w:t xml:space="preserve"> Honduras</w:t>
      </w:r>
      <w:r w:rsidRPr="00AC72B5">
        <w:rPr>
          <w:w w:val="98"/>
        </w:rPr>
        <w:t>, ¶ 8, Doc. ONU CCPR/C/HND/CO/1 (2006);</w:t>
      </w:r>
      <w:r w:rsidRPr="00AC72B5">
        <w:rPr>
          <w:i/>
          <w:w w:val="98"/>
        </w:rPr>
        <w:t xml:space="preserve"> Irlanda</w:t>
      </w:r>
      <w:r w:rsidRPr="00AC72B5">
        <w:rPr>
          <w:w w:val="98"/>
        </w:rPr>
        <w:t xml:space="preserve">, ¶ 13, Doc. ONU CCPR/C/IRL/CO/3 (2008); </w:t>
      </w:r>
      <w:r w:rsidRPr="00AC72B5">
        <w:rPr>
          <w:i/>
          <w:w w:val="98"/>
        </w:rPr>
        <w:t>Jamaica</w:t>
      </w:r>
      <w:r w:rsidRPr="00AC72B5">
        <w:rPr>
          <w:w w:val="98"/>
        </w:rPr>
        <w:t xml:space="preserve">, ¶ 14, Doc. ONU CCPR/C/JAM/CO/3 (2011); </w:t>
      </w:r>
      <w:r w:rsidRPr="00AC72B5">
        <w:rPr>
          <w:i/>
          <w:w w:val="98"/>
        </w:rPr>
        <w:t>Kazajistán</w:t>
      </w:r>
      <w:r w:rsidRPr="00AC72B5">
        <w:rPr>
          <w:w w:val="98"/>
        </w:rPr>
        <w:t>, ¶ 11, Doc. ONU CCPR/C/KAZ/CO/1 (2011);</w:t>
      </w:r>
      <w:r w:rsidRPr="00AC72B5">
        <w:rPr>
          <w:i/>
          <w:w w:val="98"/>
        </w:rPr>
        <w:t xml:space="preserve"> Madagascar</w:t>
      </w:r>
      <w:r w:rsidRPr="00AC72B5">
        <w:rPr>
          <w:w w:val="98"/>
        </w:rPr>
        <w:t>, ¶ 8, Doc. ONU CCPR/C/MDG/CO/3 (2007);</w:t>
      </w:r>
      <w:r w:rsidRPr="00AC72B5">
        <w:rPr>
          <w:i/>
          <w:w w:val="98"/>
        </w:rPr>
        <w:t xml:space="preserve"> Mali</w:t>
      </w:r>
      <w:r w:rsidRPr="00AC72B5">
        <w:rPr>
          <w:w w:val="98"/>
        </w:rPr>
        <w:t>, ¶ 14; Doc. ONU CCPR/CO/77/MLI (2003);</w:t>
      </w:r>
      <w:r>
        <w:rPr>
          <w:w w:val="98"/>
        </w:rPr>
        <w:t xml:space="preserve"> </w:t>
      </w:r>
      <w:r w:rsidRPr="00AC72B5">
        <w:rPr>
          <w:i/>
          <w:w w:val="98"/>
        </w:rPr>
        <w:t>México</w:t>
      </w:r>
      <w:r w:rsidRPr="00AC72B5">
        <w:rPr>
          <w:w w:val="98"/>
        </w:rPr>
        <w:t>, ¶ 10, Doc. ONU CCPR/C/MEX/CO/5 (2010);</w:t>
      </w:r>
      <w:r w:rsidRPr="00AC72B5">
        <w:rPr>
          <w:i/>
          <w:w w:val="98"/>
        </w:rPr>
        <w:t xml:space="preserve"> Mónaco</w:t>
      </w:r>
      <w:r w:rsidRPr="00AC72B5">
        <w:rPr>
          <w:w w:val="98"/>
        </w:rPr>
        <w:t>, ¶ 10, Doc. ONU CCPR/C/MCO/CO/2 (2008);</w:t>
      </w:r>
      <w:r w:rsidRPr="00AC72B5">
        <w:rPr>
          <w:i/>
          <w:w w:val="98"/>
        </w:rPr>
        <w:t xml:space="preserve"> Nicaragua</w:t>
      </w:r>
      <w:r w:rsidRPr="00AC72B5">
        <w:rPr>
          <w:w w:val="98"/>
        </w:rPr>
        <w:t xml:space="preserve">, ¶ 13, Doc. ONU CCPR/C/NIC/CO/3 (2008); </w:t>
      </w:r>
      <w:r w:rsidRPr="00AC72B5">
        <w:rPr>
          <w:i/>
          <w:w w:val="98"/>
        </w:rPr>
        <w:t>Panamá</w:t>
      </w:r>
      <w:r w:rsidRPr="00AC72B5">
        <w:rPr>
          <w:w w:val="98"/>
        </w:rPr>
        <w:t>, ¶ 9, Doc. ONU CCPR/C/PAN/CO/3 (2008);</w:t>
      </w:r>
      <w:r w:rsidRPr="00AC72B5">
        <w:rPr>
          <w:i/>
          <w:w w:val="98"/>
        </w:rPr>
        <w:t xml:space="preserve"> Vietnam</w:t>
      </w:r>
      <w:r w:rsidRPr="00AC72B5">
        <w:rPr>
          <w:w w:val="98"/>
        </w:rPr>
        <w:t>, ¶ 15, Doc. ONU CCPR/CO/75/VNM (2002);</w:t>
      </w:r>
      <w:r w:rsidRPr="00AC72B5">
        <w:rPr>
          <w:i/>
          <w:w w:val="98"/>
        </w:rPr>
        <w:t xml:space="preserve"> Zambia</w:t>
      </w:r>
      <w:r w:rsidRPr="00AC72B5">
        <w:rPr>
          <w:w w:val="98"/>
        </w:rPr>
        <w:t>, ¶ 18, Doc. ONU CCPR/C/ZMB/CO/3 (2007).</w:t>
      </w:r>
    </w:p>
  </w:endnote>
  <w:endnote w:id="103">
    <w:p w14:paraId="6DF6BD32" w14:textId="25A8BF73" w:rsidR="005E3DDD" w:rsidRPr="00AC72B5" w:rsidRDefault="005E3DDD" w:rsidP="00AC72B5">
      <w:pPr>
        <w:pStyle w:val="EndnoteText"/>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República Democrática del Congo</w:t>
      </w:r>
      <w:r w:rsidRPr="00AC72B5">
        <w:rPr>
          <w:w w:val="98"/>
        </w:rPr>
        <w:t xml:space="preserve">, ¶ 14, Doc. ONU CCPR/C/COD/CO/3 (2006); </w:t>
      </w:r>
      <w:r w:rsidRPr="00AC72B5">
        <w:rPr>
          <w:i/>
          <w:w w:val="98"/>
        </w:rPr>
        <w:t>Mali</w:t>
      </w:r>
      <w:r w:rsidRPr="00AC72B5">
        <w:rPr>
          <w:w w:val="98"/>
        </w:rPr>
        <w:t xml:space="preserve">, ¶ 14; Doc. ONU CCPR/CO/77/MLI (2003); </w:t>
      </w:r>
      <w:r w:rsidRPr="00AC72B5">
        <w:rPr>
          <w:i/>
          <w:w w:val="98"/>
        </w:rPr>
        <w:t>Mongolia</w:t>
      </w:r>
      <w:r w:rsidRPr="00AC72B5">
        <w:rPr>
          <w:w w:val="98"/>
        </w:rPr>
        <w:t xml:space="preserve">, ¶ 20, Doc. </w:t>
      </w:r>
      <w:r w:rsidRPr="00AC72B5">
        <w:rPr>
          <w:w w:val="98"/>
          <w:lang w:val="es-CO"/>
        </w:rPr>
        <w:t>ONU CCPR/C/MNG/CO/5 (2011).</w:t>
      </w:r>
    </w:p>
  </w:endnote>
  <w:endnote w:id="104">
    <w:p w14:paraId="180308F1" w14:textId="55C56E6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Mongolia</w:t>
      </w:r>
      <w:r w:rsidRPr="00AC72B5">
        <w:rPr>
          <w:w w:val="98"/>
        </w:rPr>
        <w:t>, ¶ 20, Doc. ONU CCPR/C/MNG/CO/5 (2011).</w:t>
      </w:r>
    </w:p>
  </w:endnote>
  <w:endnote w:id="105">
    <w:p w14:paraId="50968CC2" w14:textId="613D2C7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Mali</w:t>
      </w:r>
      <w:r w:rsidRPr="00AC72B5">
        <w:rPr>
          <w:w w:val="98"/>
        </w:rPr>
        <w:t xml:space="preserve">, ¶ 14, Doc. ONU CCPR/CO/77/MLI (2003); </w:t>
      </w:r>
      <w:r w:rsidRPr="00AC72B5">
        <w:rPr>
          <w:i/>
          <w:w w:val="98"/>
        </w:rPr>
        <w:t>Mongolia</w:t>
      </w:r>
      <w:r w:rsidRPr="00AC72B5">
        <w:rPr>
          <w:w w:val="98"/>
        </w:rPr>
        <w:t>, ¶ 8, Doc. ONU CCPR/CO/79/Add.120 (2000).</w:t>
      </w:r>
    </w:p>
  </w:endnote>
  <w:endnote w:id="106">
    <w:p w14:paraId="60E60996" w14:textId="4753F6C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Mali</w:t>
      </w:r>
      <w:r w:rsidRPr="00AC72B5">
        <w:rPr>
          <w:w w:val="98"/>
        </w:rPr>
        <w:t>, ¶ 14, Doc. ONU CCPR/CO/77/MLI (2003).</w:t>
      </w:r>
    </w:p>
  </w:endnote>
  <w:endnote w:id="107">
    <w:p w14:paraId="382A117A" w14:textId="3995571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Camerún</w:t>
      </w:r>
      <w:r w:rsidRPr="00AC72B5">
        <w:rPr>
          <w:w w:val="98"/>
        </w:rPr>
        <w:t>, ¶ 13, Doc. ONU CCPR/C/CMR/CO/4 (2010);</w:t>
      </w:r>
      <w:r w:rsidRPr="00AC72B5">
        <w:rPr>
          <w:i/>
          <w:w w:val="98"/>
        </w:rPr>
        <w:t xml:space="preserve"> Malawi</w:t>
      </w:r>
      <w:r w:rsidRPr="00AC72B5">
        <w:rPr>
          <w:w w:val="98"/>
        </w:rPr>
        <w:t>, ¶ 9, Doc. ONU CCPR/C/MWI/CO/1/Add.1 (2014);</w:t>
      </w:r>
      <w:r w:rsidRPr="00AC72B5">
        <w:rPr>
          <w:i/>
          <w:w w:val="98"/>
        </w:rPr>
        <w:t xml:space="preserve"> Moldavia</w:t>
      </w:r>
      <w:r w:rsidRPr="00AC72B5">
        <w:rPr>
          <w:w w:val="98"/>
        </w:rPr>
        <w:t>, ¶ 18, Doc. ONU CCPR/CO/75/MDA (2002);</w:t>
      </w:r>
      <w:r w:rsidRPr="00AC72B5">
        <w:rPr>
          <w:i/>
          <w:w w:val="98"/>
        </w:rPr>
        <w:t xml:space="preserve"> Mongolia</w:t>
      </w:r>
      <w:r w:rsidRPr="00AC72B5">
        <w:rPr>
          <w:w w:val="98"/>
        </w:rPr>
        <w:t>, ¶ 20, Doc. ONU CCPR/C/MNG/CO/5 (2011);</w:t>
      </w:r>
      <w:r w:rsidRPr="00AC72B5">
        <w:rPr>
          <w:i/>
          <w:w w:val="98"/>
        </w:rPr>
        <w:t xml:space="preserve"> Paraguay</w:t>
      </w:r>
      <w:r w:rsidRPr="00AC72B5">
        <w:rPr>
          <w:w w:val="98"/>
        </w:rPr>
        <w:t xml:space="preserve">, ¶ 10, Doc. ONU CCPR/C/PRY/CO/2 (2006); </w:t>
      </w:r>
      <w:r w:rsidRPr="00AC72B5">
        <w:rPr>
          <w:i/>
          <w:w w:val="98"/>
        </w:rPr>
        <w:t>Perú</w:t>
      </w:r>
      <w:r w:rsidRPr="00AC72B5">
        <w:rPr>
          <w:w w:val="98"/>
        </w:rPr>
        <w:t xml:space="preserve">, ¶ 14, Doc. ONU CCPR/C/POR/CO/5 (2013); </w:t>
      </w:r>
      <w:r w:rsidRPr="00AC72B5">
        <w:rPr>
          <w:i/>
          <w:w w:val="98"/>
        </w:rPr>
        <w:t>Zambia</w:t>
      </w:r>
      <w:r w:rsidRPr="00AC72B5">
        <w:rPr>
          <w:w w:val="98"/>
        </w:rPr>
        <w:t>, ¶ 18, Doc. ONU CCPR/C/ZMB/CO/3 (2007).</w:t>
      </w:r>
    </w:p>
  </w:endnote>
  <w:endnote w:id="108">
    <w:p w14:paraId="62C1A9D1" w14:textId="071E9DE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Camerún</w:t>
      </w:r>
      <w:r w:rsidRPr="00AC72B5">
        <w:rPr>
          <w:w w:val="98"/>
        </w:rPr>
        <w:t xml:space="preserve">, ¶ 13, Doc. ONU CCPR/C/CMR/CO/4 (2010); </w:t>
      </w:r>
      <w:r w:rsidRPr="00AC72B5">
        <w:rPr>
          <w:i/>
          <w:w w:val="98"/>
        </w:rPr>
        <w:t>Malawi</w:t>
      </w:r>
      <w:r w:rsidRPr="00AC72B5">
        <w:rPr>
          <w:w w:val="98"/>
        </w:rPr>
        <w:t>, ¶ 9, Doc. ONU CCPR/C/MWI/CO/1/Add.1 (2014);</w:t>
      </w:r>
      <w:r w:rsidRPr="00AC72B5">
        <w:rPr>
          <w:i/>
          <w:w w:val="98"/>
        </w:rPr>
        <w:t xml:space="preserve"> Mali</w:t>
      </w:r>
      <w:r w:rsidRPr="00AC72B5">
        <w:rPr>
          <w:w w:val="98"/>
        </w:rPr>
        <w:t>, ¶ 14, Doc. ONU CCPR/CO/77/MLI (2003);</w:t>
      </w:r>
      <w:r w:rsidRPr="00AC72B5">
        <w:rPr>
          <w:i/>
          <w:w w:val="98"/>
        </w:rPr>
        <w:t xml:space="preserve"> Perú</w:t>
      </w:r>
      <w:r w:rsidRPr="00AC72B5">
        <w:rPr>
          <w:w w:val="98"/>
        </w:rPr>
        <w:t>, ¶ 14, Doc. ONU CCPR/C/PER/CO/5 (2013).</w:t>
      </w:r>
    </w:p>
  </w:endnote>
  <w:endnote w:id="109">
    <w:p w14:paraId="39C99906" w14:textId="3C9C28B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Argentina</w:t>
      </w:r>
      <w:r w:rsidRPr="00AC72B5">
        <w:rPr>
          <w:w w:val="98"/>
        </w:rPr>
        <w:t xml:space="preserve">, ¶ 13, Doc. ONU CCPR/C/ARG/CO/4 (2010); </w:t>
      </w:r>
      <w:r w:rsidRPr="00AC72B5">
        <w:rPr>
          <w:i/>
          <w:w w:val="98"/>
        </w:rPr>
        <w:t>Camerún</w:t>
      </w:r>
      <w:r w:rsidRPr="00AC72B5">
        <w:rPr>
          <w:w w:val="98"/>
        </w:rPr>
        <w:t xml:space="preserve">, ¶ 13, Doc. ONU CCPR/C/CMR/CO/4 (2010); </w:t>
      </w:r>
      <w:r w:rsidRPr="00AC72B5">
        <w:rPr>
          <w:i/>
          <w:w w:val="98"/>
        </w:rPr>
        <w:t>Chile</w:t>
      </w:r>
      <w:r w:rsidRPr="00AC72B5">
        <w:rPr>
          <w:w w:val="98"/>
        </w:rPr>
        <w:t xml:space="preserve">, ¶ 8, Doc. ONU CCPR/C/CHL/CO/5 (2007); </w:t>
      </w:r>
      <w:r w:rsidRPr="00AC72B5">
        <w:rPr>
          <w:i/>
          <w:w w:val="98"/>
        </w:rPr>
        <w:t>El Salvador</w:t>
      </w:r>
      <w:r w:rsidRPr="00AC72B5">
        <w:rPr>
          <w:w w:val="98"/>
        </w:rPr>
        <w:t xml:space="preserve">, ¶ 14, Doc. ONU CCPR/CO/78/SLV (2003); </w:t>
      </w:r>
      <w:r w:rsidRPr="00AC72B5">
        <w:rPr>
          <w:i/>
          <w:w w:val="98"/>
        </w:rPr>
        <w:t>Honduras</w:t>
      </w:r>
      <w:r w:rsidRPr="00AC72B5">
        <w:rPr>
          <w:w w:val="98"/>
        </w:rPr>
        <w:t xml:space="preserve">, ¶ 8, Doc. ONU CCPR/C/HND/CO/1 (2006); </w:t>
      </w:r>
      <w:r w:rsidRPr="00AC72B5">
        <w:rPr>
          <w:i/>
          <w:w w:val="98"/>
        </w:rPr>
        <w:t>Jamaica</w:t>
      </w:r>
      <w:r w:rsidRPr="00AC72B5">
        <w:rPr>
          <w:w w:val="98"/>
        </w:rPr>
        <w:t>, ¶ 14, Doc. ONU CCPR/C/JAM/CO/3 (2011);</w:t>
      </w:r>
      <w:r w:rsidRPr="00AC72B5">
        <w:rPr>
          <w:i/>
          <w:w w:val="98"/>
        </w:rPr>
        <w:t xml:space="preserve"> Madagascar</w:t>
      </w:r>
      <w:r w:rsidRPr="00AC72B5">
        <w:rPr>
          <w:w w:val="98"/>
        </w:rPr>
        <w:t>, ¶ 8, Doc. ONU CCPR/C/MDG/CO/3 (2007);</w:t>
      </w:r>
      <w:r w:rsidRPr="00AC72B5">
        <w:rPr>
          <w:i/>
          <w:w w:val="98"/>
        </w:rPr>
        <w:t xml:space="preserve"> Panamá</w:t>
      </w:r>
      <w:r w:rsidRPr="00AC72B5">
        <w:rPr>
          <w:w w:val="98"/>
        </w:rPr>
        <w:t>, ¶ 9, Doc. ONU CCPR/C/PAN/CO/3 (2008);</w:t>
      </w:r>
      <w:r w:rsidRPr="00AC72B5">
        <w:rPr>
          <w:i/>
          <w:w w:val="98"/>
        </w:rPr>
        <w:t xml:space="preserve"> Paraguay</w:t>
      </w:r>
      <w:r w:rsidRPr="00AC72B5">
        <w:rPr>
          <w:w w:val="98"/>
        </w:rPr>
        <w:t>, ¶ 10, Doc. ONU CCPR/C/PRY/CO/2 (2006);</w:t>
      </w:r>
      <w:r w:rsidRPr="00AC72B5">
        <w:rPr>
          <w:i/>
          <w:w w:val="98"/>
        </w:rPr>
        <w:t xml:space="preserve"> Zambia</w:t>
      </w:r>
      <w:r w:rsidRPr="00AC72B5">
        <w:rPr>
          <w:w w:val="98"/>
        </w:rPr>
        <w:t>, ¶ 18, Doc. ONU CCPR/C/ZMB/CO/3 (2007).</w:t>
      </w:r>
    </w:p>
  </w:endnote>
  <w:endnote w:id="110">
    <w:p w14:paraId="7485251E" w14:textId="2D52D9A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Mongolia</w:t>
      </w:r>
      <w:r w:rsidRPr="00AC72B5">
        <w:rPr>
          <w:w w:val="98"/>
        </w:rPr>
        <w:t>, ¶ 20, Doc. ONU CCPR/C/MNG/CO/5 (2011);</w:t>
      </w:r>
      <w:r w:rsidRPr="00AC72B5">
        <w:rPr>
          <w:i/>
          <w:w w:val="98"/>
        </w:rPr>
        <w:t xml:space="preserve"> Mali</w:t>
      </w:r>
      <w:r w:rsidRPr="00AC72B5">
        <w:rPr>
          <w:w w:val="98"/>
        </w:rPr>
        <w:t>, ¶ 14, Doc. ONU CCPR/CO/77/MLI (2003).</w:t>
      </w:r>
    </w:p>
  </w:endnote>
  <w:endnote w:id="111">
    <w:p w14:paraId="5CE39537" w14:textId="50EAF88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Mali</w:t>
      </w:r>
      <w:r w:rsidRPr="00AC72B5">
        <w:rPr>
          <w:w w:val="98"/>
        </w:rPr>
        <w:t>, ¶ 14, Doc. ONU CCPR/CO/77/MLI (2003).</w:t>
      </w:r>
    </w:p>
  </w:endnote>
  <w:endnote w:id="112">
    <w:p w14:paraId="6F7DE388" w14:textId="504545B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Bolivia</w:t>
      </w:r>
      <w:r w:rsidRPr="00AC72B5">
        <w:rPr>
          <w:w w:val="98"/>
        </w:rPr>
        <w:t xml:space="preserve">, ¶ 10, Doc. ONU CCPR/C/PRY/CO/2 (2006); </w:t>
      </w:r>
      <w:r w:rsidRPr="00AC72B5">
        <w:rPr>
          <w:i/>
          <w:w w:val="98"/>
        </w:rPr>
        <w:t>Perú</w:t>
      </w:r>
      <w:r w:rsidRPr="00AC72B5">
        <w:rPr>
          <w:w w:val="98"/>
        </w:rPr>
        <w:t>, ¶ 14, Doc. ONU CCPR/C/PER/CO/5 (2013).</w:t>
      </w:r>
    </w:p>
  </w:endnote>
  <w:endnote w:id="113">
    <w:p w14:paraId="03D32EE1" w14:textId="0C8FEAA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Mongolia</w:t>
      </w:r>
      <w:r w:rsidRPr="00AC72B5">
        <w:rPr>
          <w:w w:val="98"/>
        </w:rPr>
        <w:t>, ¶ 20, Doc. ONU CCPR/C/MNG/CO/5 (2011).</w:t>
      </w:r>
    </w:p>
  </w:endnote>
  <w:endnote w:id="114">
    <w:p w14:paraId="42369BA8" w14:textId="082AB1F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Mongolia</w:t>
      </w:r>
      <w:r w:rsidRPr="00AC72B5">
        <w:rPr>
          <w:w w:val="98"/>
        </w:rPr>
        <w:t>, ¶ 20, Doc. ONU CCPR/C/MNG/CO/5 (2011).</w:t>
      </w:r>
    </w:p>
  </w:endnote>
  <w:endnote w:id="115">
    <w:p w14:paraId="70A74B82" w14:textId="68FAE0C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Moldavia</w:t>
      </w:r>
      <w:r w:rsidRPr="00AC72B5">
        <w:rPr>
          <w:w w:val="98"/>
        </w:rPr>
        <w:t>, ¶ 18, Doc. ONU CCPR/CO/75/MDA (2002).</w:t>
      </w:r>
    </w:p>
  </w:endnote>
  <w:endnote w:id="116">
    <w:p w14:paraId="5D81152B" w14:textId="529787D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Bolivia</w:t>
      </w:r>
      <w:r w:rsidRPr="00AC72B5">
        <w:rPr>
          <w:w w:val="98"/>
        </w:rPr>
        <w:t xml:space="preserve">, ¶ 9, Doc. ONU CCPR/C/BOL/CO/3 (2013); </w:t>
      </w:r>
      <w:r w:rsidRPr="00AC72B5">
        <w:rPr>
          <w:i/>
          <w:w w:val="98"/>
        </w:rPr>
        <w:t>Chile</w:t>
      </w:r>
      <w:r w:rsidRPr="00AC72B5">
        <w:rPr>
          <w:w w:val="98"/>
        </w:rPr>
        <w:t xml:space="preserve">, ¶ 15, Doc. ONU CCPR/C/CHL/CO/6 (2014); </w:t>
      </w:r>
      <w:r w:rsidRPr="00AC72B5">
        <w:rPr>
          <w:i/>
          <w:w w:val="98"/>
        </w:rPr>
        <w:t>República Dominicana</w:t>
      </w:r>
      <w:r w:rsidRPr="00AC72B5">
        <w:rPr>
          <w:w w:val="98"/>
        </w:rPr>
        <w:t xml:space="preserve">, ¶ 15, Doc. ONU CCPR/C/DOM/CO/5 (2012); </w:t>
      </w:r>
      <w:r w:rsidRPr="00AC72B5">
        <w:rPr>
          <w:i/>
          <w:w w:val="98"/>
        </w:rPr>
        <w:t>Guatemala</w:t>
      </w:r>
      <w:r w:rsidRPr="00AC72B5">
        <w:rPr>
          <w:w w:val="98"/>
        </w:rPr>
        <w:t>, ¶ 20, Doc. ONU CCPR/C/GTM/CO/3 (2012);</w:t>
      </w:r>
      <w:r w:rsidRPr="00AC72B5">
        <w:rPr>
          <w:i/>
          <w:w w:val="98"/>
        </w:rPr>
        <w:t xml:space="preserve"> Jamaica</w:t>
      </w:r>
      <w:r w:rsidRPr="00AC72B5">
        <w:rPr>
          <w:w w:val="98"/>
        </w:rPr>
        <w:t xml:space="preserve">, ¶ 14, Doc. ONU CCPR/C/JAM/CO/3 (2011); </w:t>
      </w:r>
      <w:r w:rsidRPr="00AC72B5">
        <w:rPr>
          <w:i/>
          <w:w w:val="98"/>
        </w:rPr>
        <w:t>Kazajistán</w:t>
      </w:r>
      <w:r w:rsidRPr="00AC72B5">
        <w:rPr>
          <w:w w:val="98"/>
        </w:rPr>
        <w:t xml:space="preserve">, ¶ 11, Doc. ONU CCPR/C/KAZ/CO/1 (2011); </w:t>
      </w:r>
      <w:r w:rsidRPr="00AC72B5">
        <w:rPr>
          <w:i/>
          <w:w w:val="98"/>
        </w:rPr>
        <w:t>Malawi</w:t>
      </w:r>
      <w:r w:rsidRPr="00AC72B5">
        <w:rPr>
          <w:w w:val="98"/>
        </w:rPr>
        <w:t>, ¶ 9, Doc. ONU CCPR/C/MWI/CO/1/Add.1 (2014);</w:t>
      </w:r>
      <w:r w:rsidRPr="00AC72B5">
        <w:rPr>
          <w:i/>
          <w:w w:val="98"/>
        </w:rPr>
        <w:t xml:space="preserve"> Paraguay</w:t>
      </w:r>
      <w:r w:rsidRPr="00AC72B5">
        <w:rPr>
          <w:w w:val="98"/>
        </w:rPr>
        <w:t>, ¶ 13, Doc. ONU CCPR/C/PRY/CO/3;</w:t>
      </w:r>
      <w:r w:rsidRPr="00AC72B5">
        <w:rPr>
          <w:i/>
          <w:w w:val="98"/>
        </w:rPr>
        <w:t xml:space="preserve"> Perú</w:t>
      </w:r>
      <w:r w:rsidRPr="00AC72B5">
        <w:rPr>
          <w:w w:val="98"/>
        </w:rPr>
        <w:t xml:space="preserve">, ¶ 14, Doc. ONU CCPR/C/POR/CO/5 (2013); </w:t>
      </w:r>
      <w:r w:rsidRPr="00AC72B5">
        <w:rPr>
          <w:i/>
          <w:w w:val="98"/>
        </w:rPr>
        <w:t>Sierra Leona</w:t>
      </w:r>
      <w:r w:rsidRPr="00AC72B5">
        <w:rPr>
          <w:w w:val="98"/>
        </w:rPr>
        <w:t>, ¶ 14, Doc. ONU CCPR/C/SLE/CO/1 (2014).</w:t>
      </w:r>
    </w:p>
  </w:endnote>
  <w:endnote w:id="117">
    <w:p w14:paraId="7388D5AF" w14:textId="3EF2AF2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Kazajistán</w:t>
      </w:r>
      <w:r w:rsidRPr="00AC72B5">
        <w:rPr>
          <w:w w:val="98"/>
        </w:rPr>
        <w:t>, ¶ 11, Doc. ONU CCPR/C/KAZ/CO/1 (2011).</w:t>
      </w:r>
    </w:p>
  </w:endnote>
  <w:endnote w:id="118">
    <w:p w14:paraId="23399FD1" w14:textId="7F369C8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Malawi</w:t>
      </w:r>
      <w:r w:rsidRPr="00AC72B5">
        <w:rPr>
          <w:w w:val="98"/>
        </w:rPr>
        <w:t xml:space="preserve">, ¶ 9, Doc. ONU CCPR/C/MWI/CO/1/Add.1 (2014); </w:t>
      </w:r>
      <w:r w:rsidRPr="00AC72B5">
        <w:rPr>
          <w:i/>
          <w:w w:val="98"/>
        </w:rPr>
        <w:t>Perú</w:t>
      </w:r>
      <w:r w:rsidRPr="00AC72B5">
        <w:rPr>
          <w:w w:val="98"/>
        </w:rPr>
        <w:t>, ¶ 14, Doc. ONU CCPR/C/PER/CO/5 (2013).</w:t>
      </w:r>
    </w:p>
  </w:endnote>
  <w:endnote w:id="119">
    <w:p w14:paraId="0CB2075D" w14:textId="24FA38D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Angola</w:t>
      </w:r>
      <w:r w:rsidRPr="00AC72B5">
        <w:rPr>
          <w:w w:val="98"/>
        </w:rPr>
        <w:t>, ¶ 13, Doc. ONU CCPR/C/AGO/CO/1 (2013);</w:t>
      </w:r>
      <w:r w:rsidRPr="00AC72B5">
        <w:rPr>
          <w:i/>
          <w:w w:val="98"/>
        </w:rPr>
        <w:t xml:space="preserve"> Bolivia</w:t>
      </w:r>
      <w:r w:rsidRPr="00AC72B5">
        <w:rPr>
          <w:w w:val="98"/>
        </w:rPr>
        <w:t>, ¶ 9, Doc. ONU CCPR/C/BOL/CO/3 (2013);</w:t>
      </w:r>
      <w:r w:rsidRPr="00AC72B5">
        <w:rPr>
          <w:i/>
          <w:w w:val="98"/>
        </w:rPr>
        <w:t xml:space="preserve"> Chile</w:t>
      </w:r>
      <w:r w:rsidRPr="00AC72B5">
        <w:rPr>
          <w:w w:val="98"/>
        </w:rPr>
        <w:t xml:space="preserve">, ¶ 15, Doc. ONU CCPR/C/CHL/CO/6 (2014); </w:t>
      </w:r>
      <w:r w:rsidRPr="00AC72B5">
        <w:rPr>
          <w:i/>
          <w:w w:val="98"/>
        </w:rPr>
        <w:t>Cote d’Ivoire</w:t>
      </w:r>
      <w:r w:rsidRPr="00AC72B5">
        <w:rPr>
          <w:w w:val="98"/>
        </w:rPr>
        <w:t xml:space="preserve">, ¶ 15, Doc. ONU CCPR/C/CIV/CO/1 (2015); </w:t>
      </w:r>
      <w:r w:rsidRPr="00AC72B5">
        <w:rPr>
          <w:i/>
          <w:w w:val="98"/>
        </w:rPr>
        <w:t>Yibuti</w:t>
      </w:r>
      <w:r w:rsidRPr="00AC72B5">
        <w:rPr>
          <w:w w:val="98"/>
        </w:rPr>
        <w:t>, ¶ 9, Doc. ONU CCPR/C/DJI/CO/1 (2013);</w:t>
      </w:r>
      <w:r w:rsidRPr="00AC72B5">
        <w:rPr>
          <w:i/>
          <w:w w:val="98"/>
        </w:rPr>
        <w:t xml:space="preserve"> República Dominicana</w:t>
      </w:r>
      <w:r w:rsidRPr="00AC72B5">
        <w:rPr>
          <w:w w:val="98"/>
        </w:rPr>
        <w:t xml:space="preserve">, ¶ 15, Doc. ONU CCPR/C/DOM/CO/5 (2012); </w:t>
      </w:r>
      <w:r w:rsidRPr="00AC72B5">
        <w:rPr>
          <w:i/>
          <w:w w:val="98"/>
        </w:rPr>
        <w:t>Guatemala</w:t>
      </w:r>
      <w:r w:rsidRPr="00AC72B5">
        <w:rPr>
          <w:w w:val="98"/>
        </w:rPr>
        <w:t xml:space="preserve">, ¶ 20, Doc. ONU CCPR/C/LTU/CO/3 (2012); </w:t>
      </w:r>
      <w:r w:rsidRPr="00AC72B5">
        <w:rPr>
          <w:i/>
          <w:w w:val="98"/>
        </w:rPr>
        <w:t>Malawi</w:t>
      </w:r>
      <w:r w:rsidRPr="00AC72B5">
        <w:rPr>
          <w:w w:val="98"/>
        </w:rPr>
        <w:t xml:space="preserve">, ¶ 9, Doc. ONU CCPR/C/MWI/CO/1/Add.1 (2014); </w:t>
      </w:r>
      <w:r w:rsidRPr="00AC72B5">
        <w:rPr>
          <w:i/>
          <w:w w:val="98"/>
        </w:rPr>
        <w:t>Mali</w:t>
      </w:r>
      <w:r w:rsidRPr="00AC72B5">
        <w:rPr>
          <w:w w:val="98"/>
        </w:rPr>
        <w:t xml:space="preserve">, ¶ 14, Doc. </w:t>
      </w:r>
      <w:r w:rsidRPr="00AC72B5">
        <w:rPr>
          <w:w w:val="98"/>
          <w:lang w:val="es-CO"/>
        </w:rPr>
        <w:t>ONU CCPR/CO/77/MLI (2003);</w:t>
      </w:r>
      <w:r w:rsidRPr="00AC72B5">
        <w:rPr>
          <w:i/>
          <w:w w:val="98"/>
          <w:lang w:val="es-CO"/>
        </w:rPr>
        <w:t xml:space="preserve"> Malta</w:t>
      </w:r>
      <w:r w:rsidRPr="00AC72B5">
        <w:rPr>
          <w:w w:val="98"/>
          <w:lang w:val="es-CO"/>
        </w:rPr>
        <w:t>, ¶ 13; Doc. ONU CCPR/C/MLT/CO/2 (2014);</w:t>
      </w:r>
      <w:r w:rsidRPr="00AC72B5">
        <w:rPr>
          <w:i/>
          <w:w w:val="98"/>
          <w:lang w:val="es-CO"/>
        </w:rPr>
        <w:t xml:space="preserve"> Moldavia</w:t>
      </w:r>
      <w:r w:rsidRPr="00AC72B5">
        <w:rPr>
          <w:w w:val="98"/>
          <w:lang w:val="es-CO"/>
        </w:rPr>
        <w:t xml:space="preserve">, ¶ 17, Doc. </w:t>
      </w:r>
      <w:r w:rsidRPr="00AC72B5">
        <w:rPr>
          <w:w w:val="98"/>
        </w:rPr>
        <w:t>ONU CCPR/C/MDA/CO/2 (2009);</w:t>
      </w:r>
      <w:r w:rsidRPr="00AC72B5">
        <w:rPr>
          <w:i/>
          <w:w w:val="98"/>
        </w:rPr>
        <w:t xml:space="preserve"> Mónaco</w:t>
      </w:r>
      <w:r w:rsidRPr="00AC72B5">
        <w:rPr>
          <w:w w:val="98"/>
        </w:rPr>
        <w:t>, ¶ 12, Doc. ONU CCPR/C/MCO/CO/3 (2015);</w:t>
      </w:r>
      <w:r w:rsidRPr="00AC72B5">
        <w:rPr>
          <w:i/>
          <w:w w:val="98"/>
        </w:rPr>
        <w:t xml:space="preserve"> Paraguay</w:t>
      </w:r>
      <w:r w:rsidRPr="00AC72B5">
        <w:rPr>
          <w:w w:val="98"/>
        </w:rPr>
        <w:t xml:space="preserve">, ¶ 13, Doc. ONU CCPR/C/PRY/CO/3; </w:t>
      </w:r>
      <w:r w:rsidRPr="00AC72B5">
        <w:rPr>
          <w:i/>
          <w:w w:val="98"/>
        </w:rPr>
        <w:t>Perú</w:t>
      </w:r>
      <w:r w:rsidRPr="00AC72B5">
        <w:rPr>
          <w:w w:val="98"/>
        </w:rPr>
        <w:t xml:space="preserve">, ¶ 14, Doc. ONU CCPR/C/POR/CO/5 (2013); </w:t>
      </w:r>
      <w:r w:rsidRPr="00AC72B5">
        <w:rPr>
          <w:i/>
          <w:w w:val="98"/>
        </w:rPr>
        <w:t>Filipinas</w:t>
      </w:r>
      <w:r w:rsidRPr="00AC72B5">
        <w:rPr>
          <w:w w:val="98"/>
        </w:rPr>
        <w:t xml:space="preserve">, ¶ 13, Doc. ONU CCPR/C/PHL/CO/4 (2012); </w:t>
      </w:r>
      <w:r w:rsidRPr="00AC72B5">
        <w:rPr>
          <w:i/>
          <w:w w:val="98"/>
        </w:rPr>
        <w:t>San Marino</w:t>
      </w:r>
      <w:r w:rsidRPr="00AC72B5">
        <w:rPr>
          <w:w w:val="98"/>
        </w:rPr>
        <w:t xml:space="preserve">, ¶ 14, Doc. ONU CCPR/C/SMR/CO/3 (2015); </w:t>
      </w:r>
      <w:r w:rsidRPr="00AC72B5">
        <w:rPr>
          <w:i/>
          <w:w w:val="98"/>
        </w:rPr>
        <w:t>Sierra Leona</w:t>
      </w:r>
      <w:r w:rsidRPr="00AC72B5">
        <w:rPr>
          <w:w w:val="98"/>
        </w:rPr>
        <w:t xml:space="preserve">, ¶ 14, Doc. ONU CCPR/C/LES/CO/1 (2014); </w:t>
      </w:r>
      <w:r w:rsidRPr="00AC72B5">
        <w:rPr>
          <w:i/>
          <w:w w:val="98"/>
        </w:rPr>
        <w:t>Sri Lanka</w:t>
      </w:r>
      <w:r w:rsidRPr="00AC72B5">
        <w:rPr>
          <w:w w:val="98"/>
        </w:rPr>
        <w:t>, ¶ 10, Doc. ONU CCPR/C/LKA/CO/5 (2014).</w:t>
      </w:r>
    </w:p>
  </w:endnote>
  <w:endnote w:id="120">
    <w:p w14:paraId="729209AC" w14:textId="2E63345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Angola</w:t>
      </w:r>
      <w:r w:rsidRPr="00AC72B5">
        <w:rPr>
          <w:w w:val="98"/>
        </w:rPr>
        <w:t>, ¶ 13, Doc. ONU CCPR/C/AGO/CO/1 (2013);</w:t>
      </w:r>
      <w:r w:rsidRPr="00AC72B5">
        <w:rPr>
          <w:i/>
          <w:w w:val="98"/>
        </w:rPr>
        <w:t xml:space="preserve"> Bolivia</w:t>
      </w:r>
      <w:r w:rsidRPr="00AC72B5">
        <w:rPr>
          <w:w w:val="98"/>
        </w:rPr>
        <w:t>, ¶ 9, Doc. ONU CCPR/C/BOL/CO/3 (2013);</w:t>
      </w:r>
      <w:r w:rsidRPr="00AC72B5">
        <w:rPr>
          <w:i/>
          <w:w w:val="98"/>
        </w:rPr>
        <w:t xml:space="preserve"> República Dominicana</w:t>
      </w:r>
      <w:r w:rsidRPr="00AC72B5">
        <w:rPr>
          <w:w w:val="98"/>
        </w:rPr>
        <w:t xml:space="preserve">, ¶ 15, Doc. ONU CCPR/C/DOM/CO/5 (2012); </w:t>
      </w:r>
      <w:r w:rsidRPr="00AC72B5">
        <w:rPr>
          <w:i/>
          <w:w w:val="98"/>
        </w:rPr>
        <w:t>Guatemala</w:t>
      </w:r>
      <w:r w:rsidRPr="00AC72B5">
        <w:rPr>
          <w:w w:val="98"/>
        </w:rPr>
        <w:t xml:space="preserve">, ¶ 20, Doc. ONU CCPR/C/LTU/CO/3 (2012); </w:t>
      </w:r>
      <w:r w:rsidRPr="00AC72B5">
        <w:rPr>
          <w:i/>
          <w:w w:val="98"/>
        </w:rPr>
        <w:t>Malawi</w:t>
      </w:r>
      <w:r w:rsidRPr="00AC72B5">
        <w:rPr>
          <w:w w:val="98"/>
        </w:rPr>
        <w:t>, ¶ 9, Doc. ONU CCPR/C/MWI/CO/1/Add.1 (2014);</w:t>
      </w:r>
      <w:r w:rsidRPr="00AC72B5">
        <w:rPr>
          <w:i/>
          <w:w w:val="98"/>
        </w:rPr>
        <w:t xml:space="preserve"> Malta</w:t>
      </w:r>
      <w:r w:rsidRPr="00AC72B5">
        <w:rPr>
          <w:w w:val="98"/>
        </w:rPr>
        <w:t>, ¶ 13; Doc. ONU CCPR/C/MLT/CO/2 (2014);</w:t>
      </w:r>
      <w:r w:rsidRPr="00AC72B5">
        <w:rPr>
          <w:i/>
          <w:w w:val="98"/>
        </w:rPr>
        <w:t xml:space="preserve"> Moldavia</w:t>
      </w:r>
      <w:r w:rsidRPr="00AC72B5">
        <w:rPr>
          <w:w w:val="98"/>
        </w:rPr>
        <w:t>, ¶ 17, Doc. ONU CCPR/C/MDA/CO/2 (2009);</w:t>
      </w:r>
      <w:r w:rsidRPr="00AC72B5">
        <w:rPr>
          <w:i/>
          <w:w w:val="98"/>
        </w:rPr>
        <w:t xml:space="preserve"> Paraguay</w:t>
      </w:r>
      <w:r w:rsidRPr="00AC72B5">
        <w:rPr>
          <w:w w:val="98"/>
        </w:rPr>
        <w:t xml:space="preserve">, ¶ 13, Doc. ONU CCPR/C/PRY/CO/3; </w:t>
      </w:r>
      <w:r w:rsidRPr="00AC72B5">
        <w:rPr>
          <w:i/>
          <w:w w:val="98"/>
        </w:rPr>
        <w:t>Perú</w:t>
      </w:r>
      <w:r w:rsidRPr="00AC72B5">
        <w:rPr>
          <w:w w:val="98"/>
        </w:rPr>
        <w:t>, ¶ 14, Doc. ONU CCPR/C/POR/CO/5 (2013);</w:t>
      </w:r>
      <w:r w:rsidRPr="00AC72B5">
        <w:rPr>
          <w:i/>
          <w:w w:val="98"/>
        </w:rPr>
        <w:t xml:space="preserve"> Filipinas</w:t>
      </w:r>
      <w:r w:rsidRPr="00AC72B5">
        <w:rPr>
          <w:w w:val="98"/>
        </w:rPr>
        <w:t xml:space="preserve">, ¶ 13, Doc. ONU CCPR/C/PHL/CO/4 (2012); </w:t>
      </w:r>
      <w:r w:rsidRPr="00AC72B5">
        <w:rPr>
          <w:i/>
          <w:w w:val="98"/>
        </w:rPr>
        <w:t>Sierra Leona</w:t>
      </w:r>
      <w:r w:rsidRPr="00AC72B5">
        <w:rPr>
          <w:w w:val="98"/>
        </w:rPr>
        <w:t xml:space="preserve">, ¶ 14, Doc. ONU CCPR/C/LES/CO/1 (2014); </w:t>
      </w:r>
      <w:r w:rsidRPr="00AC72B5">
        <w:rPr>
          <w:i/>
          <w:w w:val="98"/>
        </w:rPr>
        <w:t>Sri Lanka</w:t>
      </w:r>
      <w:r w:rsidRPr="00AC72B5">
        <w:rPr>
          <w:w w:val="98"/>
        </w:rPr>
        <w:t>, ¶ 10, Doc. ONU CCPR/C/LKA/CO/5 (2014).</w:t>
      </w:r>
    </w:p>
  </w:endnote>
  <w:endnote w:id="121">
    <w:p w14:paraId="369BA8ED" w14:textId="2EDCF70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Angola</w:t>
      </w:r>
      <w:r w:rsidRPr="00AC72B5">
        <w:rPr>
          <w:w w:val="98"/>
        </w:rPr>
        <w:t>, ¶ 13, Doc. ONU CCPR/C/AGO/CO/1 (2013);</w:t>
      </w:r>
      <w:r w:rsidRPr="00AC72B5">
        <w:rPr>
          <w:i/>
          <w:w w:val="98"/>
        </w:rPr>
        <w:t xml:space="preserve"> Bolivia</w:t>
      </w:r>
      <w:r w:rsidRPr="00AC72B5">
        <w:rPr>
          <w:w w:val="98"/>
        </w:rPr>
        <w:t>, ¶ 9, Doc. ONU CCPR/C/BOL/CO/3 (2013);</w:t>
      </w:r>
      <w:r w:rsidRPr="00AC72B5">
        <w:rPr>
          <w:i/>
          <w:w w:val="98"/>
        </w:rPr>
        <w:t xml:space="preserve"> República Dominicana</w:t>
      </w:r>
      <w:r w:rsidRPr="00AC72B5">
        <w:rPr>
          <w:w w:val="98"/>
        </w:rPr>
        <w:t xml:space="preserve">, ¶ 15, Doc. ONU CCPR/C/DOM/CO/5 (2012); </w:t>
      </w:r>
      <w:r w:rsidRPr="00AC72B5">
        <w:rPr>
          <w:i/>
          <w:w w:val="98"/>
        </w:rPr>
        <w:t>Guatemala</w:t>
      </w:r>
      <w:r w:rsidRPr="00AC72B5">
        <w:rPr>
          <w:w w:val="98"/>
        </w:rPr>
        <w:t xml:space="preserve">, ¶ 20, Doc. ONU CCPR/C/LTU/CO/3 (2012); </w:t>
      </w:r>
      <w:r w:rsidRPr="00AC72B5">
        <w:rPr>
          <w:i/>
          <w:w w:val="98"/>
        </w:rPr>
        <w:t>Malawi</w:t>
      </w:r>
      <w:r w:rsidRPr="00AC72B5">
        <w:rPr>
          <w:w w:val="98"/>
        </w:rPr>
        <w:t>, ¶ 9, Doc. ONU CCPR/C/MWI/CO/1/Add.1 (2014);</w:t>
      </w:r>
      <w:r w:rsidRPr="00AC72B5">
        <w:rPr>
          <w:i/>
          <w:w w:val="98"/>
        </w:rPr>
        <w:t xml:space="preserve"> Malta</w:t>
      </w:r>
      <w:r w:rsidRPr="00AC72B5">
        <w:rPr>
          <w:w w:val="98"/>
        </w:rPr>
        <w:t>, ¶ 13; Doc. ONU CCPR/C/MLT/CO/2 (2014);</w:t>
      </w:r>
      <w:r w:rsidRPr="00AC72B5">
        <w:rPr>
          <w:i/>
          <w:w w:val="98"/>
        </w:rPr>
        <w:t xml:space="preserve"> Moldavia</w:t>
      </w:r>
      <w:r w:rsidRPr="00AC72B5">
        <w:rPr>
          <w:w w:val="98"/>
        </w:rPr>
        <w:t xml:space="preserve">, ¶ 17, Doc. ONU CCPR/C/MDA/CO/2 (2009); </w:t>
      </w:r>
      <w:r w:rsidRPr="00AC72B5">
        <w:rPr>
          <w:i/>
          <w:w w:val="98"/>
        </w:rPr>
        <w:t>Paraguay</w:t>
      </w:r>
      <w:r w:rsidRPr="00AC72B5">
        <w:rPr>
          <w:w w:val="98"/>
        </w:rPr>
        <w:t xml:space="preserve">, ¶ 13, Doc. ONU CCPR/C/PRY/CO/3; </w:t>
      </w:r>
      <w:r w:rsidRPr="00AC72B5">
        <w:rPr>
          <w:i/>
          <w:w w:val="98"/>
        </w:rPr>
        <w:t>Perú</w:t>
      </w:r>
      <w:r w:rsidRPr="00AC72B5">
        <w:rPr>
          <w:w w:val="98"/>
        </w:rPr>
        <w:t xml:space="preserve">, ¶ 14, Doc. ONU CCPR/C/POR/CO/5 (2013); </w:t>
      </w:r>
      <w:r w:rsidRPr="00AC72B5">
        <w:rPr>
          <w:i/>
          <w:w w:val="98"/>
        </w:rPr>
        <w:t>Filipinas</w:t>
      </w:r>
      <w:r w:rsidRPr="00AC72B5">
        <w:rPr>
          <w:w w:val="98"/>
        </w:rPr>
        <w:t xml:space="preserve">, ¶ 13, Doc. ONU CCPR/C/PHL/CO/4 (2012); </w:t>
      </w:r>
      <w:r w:rsidRPr="00AC72B5">
        <w:rPr>
          <w:i/>
          <w:w w:val="98"/>
        </w:rPr>
        <w:t>Sierra Leona</w:t>
      </w:r>
      <w:r w:rsidRPr="00AC72B5">
        <w:rPr>
          <w:w w:val="98"/>
        </w:rPr>
        <w:t xml:space="preserve">, ¶ 14, Doc. ONU CCPR/C/LES/CO/1 (2014); </w:t>
      </w:r>
      <w:r w:rsidRPr="00AC72B5">
        <w:rPr>
          <w:i/>
          <w:w w:val="98"/>
        </w:rPr>
        <w:t>Sri Lanka</w:t>
      </w:r>
      <w:r w:rsidRPr="00AC72B5">
        <w:rPr>
          <w:w w:val="98"/>
        </w:rPr>
        <w:t>, ¶ 10, Doc. ONU CCPR/C/LKA/CO/5 (2014).</w:t>
      </w:r>
    </w:p>
  </w:endnote>
  <w:endnote w:id="122">
    <w:p w14:paraId="480AC732" w14:textId="5D355C5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Angola</w:t>
      </w:r>
      <w:r w:rsidRPr="00AC72B5">
        <w:rPr>
          <w:w w:val="98"/>
        </w:rPr>
        <w:t>, ¶ 13, Doc. ONU CCPR/C/AGO/CO/1 (2013);</w:t>
      </w:r>
      <w:r w:rsidRPr="00AC72B5">
        <w:rPr>
          <w:i/>
          <w:w w:val="98"/>
        </w:rPr>
        <w:t xml:space="preserve"> Bolivia</w:t>
      </w:r>
      <w:r w:rsidRPr="00AC72B5">
        <w:rPr>
          <w:w w:val="98"/>
        </w:rPr>
        <w:t>, ¶ 9, Doc. ONU CCPR/C/BOL/CO/3 (2013);</w:t>
      </w:r>
      <w:r w:rsidRPr="00AC72B5">
        <w:rPr>
          <w:i/>
          <w:w w:val="98"/>
        </w:rPr>
        <w:t xml:space="preserve"> Cote d’Ivoire</w:t>
      </w:r>
      <w:r w:rsidRPr="00AC72B5">
        <w:rPr>
          <w:w w:val="98"/>
        </w:rPr>
        <w:t>, ¶ 15, Doc. ONU CCPR/C/CIV/CO/1 (2015);</w:t>
      </w:r>
      <w:r w:rsidRPr="00AC72B5">
        <w:rPr>
          <w:i/>
          <w:w w:val="98"/>
        </w:rPr>
        <w:t xml:space="preserve"> Yibuti</w:t>
      </w:r>
      <w:r w:rsidRPr="00AC72B5">
        <w:rPr>
          <w:w w:val="98"/>
        </w:rPr>
        <w:t>, ¶ 9, Doc. ONU CCPR/C/DJI/CO/1 (2013);</w:t>
      </w:r>
      <w:r w:rsidRPr="00AC72B5">
        <w:rPr>
          <w:i/>
          <w:w w:val="98"/>
        </w:rPr>
        <w:t xml:space="preserve"> República Dominicana</w:t>
      </w:r>
      <w:r w:rsidRPr="00AC72B5">
        <w:rPr>
          <w:w w:val="98"/>
        </w:rPr>
        <w:t>, ¶ 15, Doc. ONU CCPR/C/DOM/CO/5 (2012);</w:t>
      </w:r>
      <w:r w:rsidRPr="00AC72B5">
        <w:rPr>
          <w:i/>
          <w:w w:val="98"/>
        </w:rPr>
        <w:t xml:space="preserve"> Guatemala</w:t>
      </w:r>
      <w:r w:rsidRPr="00AC72B5">
        <w:rPr>
          <w:w w:val="98"/>
        </w:rPr>
        <w:t xml:space="preserve">, ¶ 20, Doc. ONU CCPR/C/LTU/CO/3 (2012); </w:t>
      </w:r>
      <w:r w:rsidRPr="00AC72B5">
        <w:rPr>
          <w:i/>
          <w:w w:val="98"/>
        </w:rPr>
        <w:t>Malawi</w:t>
      </w:r>
      <w:r w:rsidRPr="00AC72B5">
        <w:rPr>
          <w:w w:val="98"/>
        </w:rPr>
        <w:t xml:space="preserve">, ¶ 9, Doc. ONU CCPR/C/MWI/CO/1/Add.1 (2014); </w:t>
      </w:r>
      <w:r w:rsidRPr="00AC72B5">
        <w:rPr>
          <w:i/>
          <w:w w:val="98"/>
        </w:rPr>
        <w:t>Malta</w:t>
      </w:r>
      <w:r w:rsidRPr="00AC72B5">
        <w:rPr>
          <w:w w:val="98"/>
        </w:rPr>
        <w:t>, ¶ 13, Doc. ONU CCPR/C/MLT/CO/2 (2014);</w:t>
      </w:r>
      <w:r w:rsidRPr="00AC72B5">
        <w:rPr>
          <w:i/>
          <w:w w:val="98"/>
        </w:rPr>
        <w:t xml:space="preserve"> Mónaco</w:t>
      </w:r>
      <w:r w:rsidRPr="00AC72B5">
        <w:rPr>
          <w:w w:val="98"/>
        </w:rPr>
        <w:t>, ¶ 12, Doc. ONU CCPR/C/MCO/CO/3 (2015);</w:t>
      </w:r>
      <w:r w:rsidRPr="00AC72B5">
        <w:rPr>
          <w:i/>
          <w:w w:val="98"/>
        </w:rPr>
        <w:t xml:space="preserve"> Paraguay</w:t>
      </w:r>
      <w:r w:rsidRPr="00AC72B5">
        <w:rPr>
          <w:w w:val="98"/>
        </w:rPr>
        <w:t xml:space="preserve">, ¶ 13, Doc. ONU CCPR/C/PRY/CO/3; </w:t>
      </w:r>
      <w:r w:rsidRPr="00AC72B5">
        <w:rPr>
          <w:i/>
          <w:w w:val="98"/>
        </w:rPr>
        <w:t>Perú</w:t>
      </w:r>
      <w:r w:rsidRPr="00AC72B5">
        <w:rPr>
          <w:w w:val="98"/>
        </w:rPr>
        <w:t>, ¶ 14, Doc. ONU CCPR/C/POR/CO/5 (2013);</w:t>
      </w:r>
      <w:r w:rsidRPr="00AC72B5">
        <w:rPr>
          <w:i/>
          <w:w w:val="98"/>
        </w:rPr>
        <w:t xml:space="preserve"> Filipinas</w:t>
      </w:r>
      <w:r w:rsidRPr="00AC72B5">
        <w:rPr>
          <w:w w:val="98"/>
        </w:rPr>
        <w:t xml:space="preserve">, ¶ 13, Doc. ONU CCPR/C/PHL/CO/4 (2012); </w:t>
      </w:r>
      <w:r w:rsidRPr="00AC72B5">
        <w:rPr>
          <w:i/>
          <w:w w:val="98"/>
        </w:rPr>
        <w:t>San Marino</w:t>
      </w:r>
      <w:r w:rsidRPr="00AC72B5">
        <w:rPr>
          <w:w w:val="98"/>
        </w:rPr>
        <w:t xml:space="preserve">, ¶ 14, Doc. ONU CCPR/C/SMR/CO/3 (2015); </w:t>
      </w:r>
      <w:r w:rsidRPr="00AC72B5">
        <w:rPr>
          <w:i/>
          <w:w w:val="98"/>
        </w:rPr>
        <w:t>Sierra Leona</w:t>
      </w:r>
      <w:r w:rsidRPr="00AC72B5">
        <w:rPr>
          <w:w w:val="98"/>
        </w:rPr>
        <w:t xml:space="preserve">, ¶ 14, Doc. ONU CCPR/C/LES/CO/1 (2014); </w:t>
      </w:r>
      <w:r w:rsidRPr="00AC72B5">
        <w:rPr>
          <w:i/>
          <w:w w:val="98"/>
        </w:rPr>
        <w:t>Sri Lanka</w:t>
      </w:r>
      <w:r w:rsidRPr="00AC72B5">
        <w:rPr>
          <w:w w:val="98"/>
        </w:rPr>
        <w:t>, ¶ 10, Doc. ONU CCPR/C/LKA/CO/5 (2014).</w:t>
      </w:r>
    </w:p>
  </w:endnote>
  <w:endnote w:id="123">
    <w:p w14:paraId="6B7F1AD1" w14:textId="1014C3D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Angola</w:t>
      </w:r>
      <w:r w:rsidRPr="00AC72B5">
        <w:rPr>
          <w:w w:val="98"/>
        </w:rPr>
        <w:t>, ¶ 13, Doc. ONU CCPR/C/AGO/CO/1 (2013);</w:t>
      </w:r>
      <w:r w:rsidRPr="00AC72B5">
        <w:rPr>
          <w:i/>
          <w:w w:val="98"/>
        </w:rPr>
        <w:t xml:space="preserve"> Bolivia</w:t>
      </w:r>
      <w:r w:rsidRPr="00AC72B5">
        <w:rPr>
          <w:w w:val="98"/>
        </w:rPr>
        <w:t xml:space="preserve">, ¶ 9, Doc. ONU CCPR/C/BOL/CO/3 (2013); </w:t>
      </w:r>
      <w:r w:rsidRPr="00AC72B5">
        <w:rPr>
          <w:i/>
          <w:w w:val="98"/>
        </w:rPr>
        <w:t>Cote d’Ivoire</w:t>
      </w:r>
      <w:r w:rsidRPr="00AC72B5">
        <w:rPr>
          <w:w w:val="98"/>
        </w:rPr>
        <w:t xml:space="preserve">, ¶ 15, Doc. ONU CCPR/C/CIV/CO/1 (2015); </w:t>
      </w:r>
      <w:r w:rsidRPr="00AC72B5">
        <w:rPr>
          <w:i/>
          <w:w w:val="98"/>
        </w:rPr>
        <w:t>Yibuti</w:t>
      </w:r>
      <w:r w:rsidRPr="00AC72B5">
        <w:rPr>
          <w:w w:val="98"/>
        </w:rPr>
        <w:t>, ¶ 9, Doc. ONU CCPR/C/DJI/CO/1 (2013);</w:t>
      </w:r>
      <w:r w:rsidRPr="00AC72B5">
        <w:rPr>
          <w:i/>
          <w:w w:val="98"/>
        </w:rPr>
        <w:t xml:space="preserve"> República Dominicana</w:t>
      </w:r>
      <w:r w:rsidRPr="00AC72B5">
        <w:rPr>
          <w:w w:val="98"/>
        </w:rPr>
        <w:t xml:space="preserve">, ¶ 15, Doc. ONU CCPR/C/DOM/CO/5 (2012); </w:t>
      </w:r>
      <w:r w:rsidRPr="00AC72B5">
        <w:rPr>
          <w:i/>
          <w:w w:val="98"/>
        </w:rPr>
        <w:t>Guatemala</w:t>
      </w:r>
      <w:r w:rsidRPr="00AC72B5">
        <w:rPr>
          <w:w w:val="98"/>
        </w:rPr>
        <w:t xml:space="preserve">, ¶ 20, Doc. ONU CCPR/C/LTU/CO/3 (2012); </w:t>
      </w:r>
      <w:r w:rsidRPr="00AC72B5">
        <w:rPr>
          <w:i/>
          <w:w w:val="98"/>
        </w:rPr>
        <w:t>Malawi</w:t>
      </w:r>
      <w:r w:rsidRPr="00AC72B5">
        <w:rPr>
          <w:w w:val="98"/>
        </w:rPr>
        <w:t xml:space="preserve">, ¶ 9, Doc. ONU CCPR/C/MWI/CO/1/Add.1 (2014); </w:t>
      </w:r>
      <w:r w:rsidRPr="00AC72B5">
        <w:rPr>
          <w:i/>
          <w:w w:val="98"/>
        </w:rPr>
        <w:t>Malta</w:t>
      </w:r>
      <w:r w:rsidRPr="00AC72B5">
        <w:rPr>
          <w:w w:val="98"/>
        </w:rPr>
        <w:t>, ¶ 13, Doc. ONU CCPR/C/MLT/CO/2 (2014);</w:t>
      </w:r>
      <w:r w:rsidRPr="00AC72B5">
        <w:rPr>
          <w:i/>
          <w:w w:val="98"/>
        </w:rPr>
        <w:t xml:space="preserve"> Paraguay</w:t>
      </w:r>
      <w:r w:rsidRPr="00AC72B5">
        <w:rPr>
          <w:w w:val="98"/>
        </w:rPr>
        <w:t xml:space="preserve">, ¶ 13, Doc. ONU CCPR/C/PRY/CO/3; </w:t>
      </w:r>
      <w:r w:rsidRPr="00AC72B5">
        <w:rPr>
          <w:i/>
          <w:w w:val="98"/>
        </w:rPr>
        <w:t>Perú</w:t>
      </w:r>
      <w:r w:rsidRPr="00AC72B5">
        <w:rPr>
          <w:w w:val="98"/>
        </w:rPr>
        <w:t xml:space="preserve">, ¶ 14, Doc. ONU CCPR/C/POR/CO/5 (2013); </w:t>
      </w:r>
      <w:r w:rsidRPr="00AC72B5">
        <w:rPr>
          <w:i/>
          <w:w w:val="98"/>
        </w:rPr>
        <w:t>Filipinas</w:t>
      </w:r>
      <w:r w:rsidRPr="00AC72B5">
        <w:rPr>
          <w:w w:val="98"/>
        </w:rPr>
        <w:t xml:space="preserve">, ¶ 13, Doc. ONU CCPR/C/PHL/CO/4 (2012); </w:t>
      </w:r>
      <w:r w:rsidRPr="00AC72B5">
        <w:rPr>
          <w:i/>
          <w:w w:val="98"/>
        </w:rPr>
        <w:t>San Marino</w:t>
      </w:r>
      <w:r w:rsidRPr="00AC72B5">
        <w:rPr>
          <w:w w:val="98"/>
        </w:rPr>
        <w:t xml:space="preserve">, ¶ 14, Doc. ONU CCPR/C/SMR/CO/3 (2015); </w:t>
      </w:r>
      <w:r w:rsidRPr="00AC72B5">
        <w:rPr>
          <w:i/>
          <w:w w:val="98"/>
        </w:rPr>
        <w:t>Sierra Leona</w:t>
      </w:r>
      <w:r w:rsidRPr="00AC72B5">
        <w:rPr>
          <w:w w:val="98"/>
        </w:rPr>
        <w:t xml:space="preserve">, ¶ 14, Doc. ONU CCPR/C/LES/CO/1 (2014); </w:t>
      </w:r>
      <w:r w:rsidRPr="00AC72B5">
        <w:rPr>
          <w:i/>
          <w:w w:val="98"/>
        </w:rPr>
        <w:t>Sri Lanka</w:t>
      </w:r>
      <w:r w:rsidRPr="00AC72B5">
        <w:rPr>
          <w:w w:val="98"/>
        </w:rPr>
        <w:t>, ¶ 10, Doc. ONU CCPR/C/LKA/CO/5 (2014).</w:t>
      </w:r>
    </w:p>
  </w:endnote>
  <w:endnote w:id="124">
    <w:p w14:paraId="19EAC667" w14:textId="0FE3941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Argentina</w:t>
      </w:r>
      <w:r w:rsidRPr="00AC72B5">
        <w:rPr>
          <w:w w:val="98"/>
        </w:rPr>
        <w:t>, ¶ 15, Doc. ONU CCPR/C/CHL/CO/6 (2014).</w:t>
      </w:r>
    </w:p>
  </w:endnote>
  <w:endnote w:id="125">
    <w:p w14:paraId="7470C84E" w14:textId="3FBCC70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Colombia</w:t>
      </w:r>
      <w:r w:rsidRPr="00AC72B5">
        <w:rPr>
          <w:w w:val="98"/>
        </w:rPr>
        <w:t>, ¶ 19, Doc. ONU CCPR/C/COL/CO/6 (2010).</w:t>
      </w:r>
    </w:p>
  </w:endnote>
  <w:endnote w:id="126">
    <w:p w14:paraId="44589146" w14:textId="377C3EB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Polonia</w:t>
      </w:r>
      <w:r w:rsidRPr="00AC72B5">
        <w:rPr>
          <w:w w:val="98"/>
        </w:rPr>
        <w:t>, ¶ 9, Doc. ONU CCPR/CO/82/POL (2004).</w:t>
      </w:r>
    </w:p>
  </w:endnote>
  <w:endnote w:id="127">
    <w:p w14:paraId="6FEFC1E2" w14:textId="61F8EAE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República Checa</w:t>
      </w:r>
      <w:r w:rsidRPr="00AC72B5">
        <w:rPr>
          <w:w w:val="98"/>
        </w:rPr>
        <w:t>, ¶ 10, Doc. ONU CCPR/C/CZE/CO/2 (2007);</w:t>
      </w:r>
      <w:r w:rsidRPr="00AC72B5">
        <w:rPr>
          <w:i/>
          <w:w w:val="98"/>
        </w:rPr>
        <w:t xml:space="preserve"> Perú</w:t>
      </w:r>
      <w:r w:rsidRPr="00AC72B5">
        <w:rPr>
          <w:w w:val="98"/>
        </w:rPr>
        <w:t>, ¶ 20, Doc. ONU CCPR/CO/70/PER (2000);</w:t>
      </w:r>
      <w:r w:rsidRPr="00AC72B5">
        <w:rPr>
          <w:i/>
          <w:w w:val="98"/>
        </w:rPr>
        <w:t xml:space="preserve"> Eslovaquia</w:t>
      </w:r>
      <w:r w:rsidRPr="00AC72B5">
        <w:rPr>
          <w:w w:val="98"/>
        </w:rPr>
        <w:t>, ¶ 12, Doc. ONU CCPR/CO/78/SVK (2003).</w:t>
      </w:r>
    </w:p>
  </w:endnote>
  <w:endnote w:id="128">
    <w:p w14:paraId="34090E57" w14:textId="738B4EF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República Checa</w:t>
      </w:r>
      <w:r w:rsidRPr="00AC72B5">
        <w:rPr>
          <w:w w:val="98"/>
        </w:rPr>
        <w:t>, ¶ 11, Doc. ONU CCPR/C/CZE/CO/3 (2013);</w:t>
      </w:r>
      <w:r w:rsidRPr="00AC72B5">
        <w:rPr>
          <w:i/>
          <w:w w:val="98"/>
        </w:rPr>
        <w:t xml:space="preserve"> Perú</w:t>
      </w:r>
      <w:r w:rsidRPr="00AC72B5">
        <w:rPr>
          <w:w w:val="98"/>
        </w:rPr>
        <w:t>, ¶ 13, Doc. ONU CCPR/C/POR/CO/5 (2013);</w:t>
      </w:r>
      <w:r w:rsidRPr="00AC72B5">
        <w:rPr>
          <w:i/>
          <w:w w:val="98"/>
        </w:rPr>
        <w:t xml:space="preserve"> Eslovaquia</w:t>
      </w:r>
      <w:r w:rsidRPr="00AC72B5">
        <w:rPr>
          <w:w w:val="98"/>
        </w:rPr>
        <w:t>, ¶ 13, Doc. ONU CCPR/C/SVK/CO/3 (2011).</w:t>
      </w:r>
    </w:p>
  </w:endnote>
  <w:endnote w:id="129">
    <w:p w14:paraId="693CAC7E" w14:textId="381FFF6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República Checa</w:t>
      </w:r>
      <w:r w:rsidRPr="00AC72B5">
        <w:rPr>
          <w:w w:val="98"/>
        </w:rPr>
        <w:t>, ¶ 11, Doc. ONU CCPR/C/CZE/CO/3 (2013);</w:t>
      </w:r>
      <w:r w:rsidRPr="00AC72B5">
        <w:rPr>
          <w:i/>
          <w:w w:val="98"/>
        </w:rPr>
        <w:t xml:space="preserve"> Perú</w:t>
      </w:r>
      <w:r w:rsidRPr="00AC72B5">
        <w:rPr>
          <w:w w:val="98"/>
        </w:rPr>
        <w:t>, ¶ 20, Doc. ONU CCPR/CO/70/PER (2000);</w:t>
      </w:r>
      <w:r w:rsidRPr="00AC72B5">
        <w:rPr>
          <w:i/>
          <w:w w:val="98"/>
        </w:rPr>
        <w:t xml:space="preserve"> Eslovaquia</w:t>
      </w:r>
      <w:r w:rsidRPr="00AC72B5">
        <w:rPr>
          <w:w w:val="98"/>
        </w:rPr>
        <w:t>, ¶ 13, Doc. ONU CCPR/C/SVK/CO/3 (2011).</w:t>
      </w:r>
    </w:p>
  </w:endnote>
  <w:endnote w:id="130">
    <w:p w14:paraId="449D4007" w14:textId="6AB9DF8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República Checa</w:t>
      </w:r>
      <w:r w:rsidRPr="00AC72B5">
        <w:rPr>
          <w:w w:val="98"/>
        </w:rPr>
        <w:t>, ¶ 10, Doc. ONU CCPR/C/CZE/CO/2 (2007);</w:t>
      </w:r>
      <w:r w:rsidRPr="00AC72B5">
        <w:rPr>
          <w:i/>
          <w:w w:val="98"/>
        </w:rPr>
        <w:t xml:space="preserve"> Eslovaquia</w:t>
      </w:r>
      <w:r w:rsidRPr="00AC72B5">
        <w:rPr>
          <w:w w:val="98"/>
        </w:rPr>
        <w:t>, ¶ 12, Doc. ONU CCPR/CO/78/SVK (2003).</w:t>
      </w:r>
    </w:p>
  </w:endnote>
  <w:endnote w:id="131">
    <w:p w14:paraId="05BDAF24" w14:textId="6660503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República Checa</w:t>
      </w:r>
      <w:r w:rsidRPr="00AC72B5">
        <w:rPr>
          <w:w w:val="98"/>
        </w:rPr>
        <w:t>, ¶ 10, Doc. ONU CCPR/C/CZE/CO/2 (2007).</w:t>
      </w:r>
    </w:p>
  </w:endnote>
  <w:endnote w:id="132">
    <w:p w14:paraId="6340A8DC" w14:textId="3B4373C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Brasil</w:t>
      </w:r>
      <w:r w:rsidRPr="00AC72B5">
        <w:rPr>
          <w:w w:val="98"/>
        </w:rPr>
        <w:t>, ¶ 15, Doc. ONU CCPR/C/BRA/CO/2 (2005).</w:t>
      </w:r>
    </w:p>
  </w:endnote>
  <w:endnote w:id="133">
    <w:p w14:paraId="12AE7A6C" w14:textId="221D720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Lituania</w:t>
      </w:r>
      <w:r w:rsidRPr="00AC72B5">
        <w:rPr>
          <w:w w:val="98"/>
        </w:rPr>
        <w:t>, ¶ 14, Doc. ONU CCPR/C/LTU/CO/3</w:t>
      </w:r>
      <w:r w:rsidRPr="00AC72B5">
        <w:rPr>
          <w:i/>
          <w:w w:val="98"/>
        </w:rPr>
        <w:t xml:space="preserve"> </w:t>
      </w:r>
      <w:r w:rsidRPr="00AC72B5">
        <w:rPr>
          <w:w w:val="98"/>
        </w:rPr>
        <w:t>(2012).</w:t>
      </w:r>
    </w:p>
  </w:endnote>
  <w:endnote w:id="134">
    <w:p w14:paraId="769FB6E1" w14:textId="09C73E9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Lituania</w:t>
      </w:r>
      <w:r w:rsidRPr="00AC72B5">
        <w:rPr>
          <w:w w:val="98"/>
        </w:rPr>
        <w:t>, ¶ 14, Doc. ONU CCPR/C/LTU/CO/3</w:t>
      </w:r>
      <w:r w:rsidRPr="00AC72B5">
        <w:rPr>
          <w:i/>
          <w:w w:val="98"/>
        </w:rPr>
        <w:t xml:space="preserve"> </w:t>
      </w:r>
      <w:r w:rsidRPr="00AC72B5">
        <w:rPr>
          <w:w w:val="98"/>
        </w:rPr>
        <w:t>(2012).</w:t>
      </w:r>
    </w:p>
  </w:endnote>
  <w:endnote w:id="135">
    <w:p w14:paraId="488972D8" w14:textId="304962C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Lituania</w:t>
      </w:r>
      <w:r w:rsidRPr="00AC72B5">
        <w:rPr>
          <w:w w:val="98"/>
        </w:rPr>
        <w:t>, ¶ 14, Doc. ONU CCPR/C/LTU/CO/3</w:t>
      </w:r>
      <w:r w:rsidRPr="00AC72B5">
        <w:rPr>
          <w:i/>
          <w:w w:val="98"/>
        </w:rPr>
        <w:t xml:space="preserve"> </w:t>
      </w:r>
      <w:r w:rsidRPr="00AC72B5">
        <w:rPr>
          <w:w w:val="98"/>
        </w:rPr>
        <w:t>(2012).</w:t>
      </w:r>
    </w:p>
  </w:endnote>
  <w:endnote w:id="136">
    <w:p w14:paraId="10026BB6" w14:textId="4223CFB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República Checa</w:t>
      </w:r>
      <w:r w:rsidRPr="00AC72B5">
        <w:rPr>
          <w:w w:val="98"/>
        </w:rPr>
        <w:t xml:space="preserve">, ¶ 11, Doc. ONU CCPR/C/CZE/CO/3 (2013); </w:t>
      </w:r>
      <w:r w:rsidRPr="00AC72B5">
        <w:rPr>
          <w:i/>
          <w:w w:val="98"/>
        </w:rPr>
        <w:t>Perú</w:t>
      </w:r>
      <w:r w:rsidRPr="00AC72B5">
        <w:rPr>
          <w:w w:val="98"/>
        </w:rPr>
        <w:t>, ¶ 13, Doc. ONU CCPR/C/PER/CO/5 (2013).</w:t>
      </w:r>
    </w:p>
  </w:endnote>
  <w:endnote w:id="137">
    <w:p w14:paraId="30B96E6C" w14:textId="57BB48C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Perú</w:t>
      </w:r>
      <w:r w:rsidRPr="00AC72B5">
        <w:rPr>
          <w:w w:val="98"/>
        </w:rPr>
        <w:t>, ¶ 13, Doc. ONU CCPR/C/POR/CO/5 (2013);</w:t>
      </w:r>
      <w:r w:rsidRPr="00AC72B5">
        <w:rPr>
          <w:i/>
          <w:w w:val="98"/>
        </w:rPr>
        <w:t xml:space="preserve"> Eslovaquia</w:t>
      </w:r>
      <w:r w:rsidRPr="00AC72B5">
        <w:rPr>
          <w:w w:val="98"/>
        </w:rPr>
        <w:t>, ¶ 12, Doc. ONU CCPR/CO/78/SVK (2003).</w:t>
      </w:r>
    </w:p>
  </w:endnote>
  <w:endnote w:id="138">
    <w:p w14:paraId="7C7E2D1D" w14:textId="46E4322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República Checa</w:t>
      </w:r>
      <w:r w:rsidRPr="00AC72B5">
        <w:rPr>
          <w:w w:val="98"/>
        </w:rPr>
        <w:t>, ¶ 11, Doc. ONU CCPR/C/CZE/CO/3 (2013).</w:t>
      </w:r>
    </w:p>
  </w:endnote>
  <w:endnote w:id="139">
    <w:p w14:paraId="0A100112" w14:textId="3CE2525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Perú</w:t>
      </w:r>
      <w:r w:rsidRPr="00AC72B5">
        <w:rPr>
          <w:w w:val="98"/>
        </w:rPr>
        <w:t>, ¶ 13, Doc. ONU CCPR/C/PER/CO/5 (2013).</w:t>
      </w:r>
    </w:p>
  </w:endnote>
  <w:endnote w:id="140">
    <w:p w14:paraId="3244C144" w14:textId="517E1EB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República Checa</w:t>
      </w:r>
      <w:r w:rsidRPr="00AC72B5">
        <w:rPr>
          <w:w w:val="98"/>
        </w:rPr>
        <w:t>, ¶ 11, Doc. ONU CCPR/C/CZE/CO/3 (2013).</w:t>
      </w:r>
    </w:p>
  </w:endnote>
  <w:endnote w:id="141">
    <w:p w14:paraId="31E11DA5" w14:textId="6E6DFC8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República Checa</w:t>
      </w:r>
      <w:r w:rsidRPr="00AC72B5">
        <w:rPr>
          <w:w w:val="98"/>
        </w:rPr>
        <w:t xml:space="preserve">, ¶ 11, Doc. ONU CCPR/C/CZE/CO/3 (2013); </w:t>
      </w:r>
      <w:r w:rsidRPr="00AC72B5">
        <w:rPr>
          <w:i/>
          <w:w w:val="98"/>
        </w:rPr>
        <w:t>Perú</w:t>
      </w:r>
      <w:r w:rsidRPr="00AC72B5">
        <w:rPr>
          <w:w w:val="98"/>
        </w:rPr>
        <w:t>, ¶ 13, Doc. ONU CCPR/C/POR/CO/5 (2013);</w:t>
      </w:r>
      <w:r w:rsidRPr="00AC72B5">
        <w:rPr>
          <w:i/>
          <w:w w:val="98"/>
        </w:rPr>
        <w:t xml:space="preserve"> Eslovaquia</w:t>
      </w:r>
      <w:r w:rsidRPr="00AC72B5">
        <w:rPr>
          <w:w w:val="98"/>
        </w:rPr>
        <w:t>, ¶ 12, Doc. ONU CCPR/CO/78/SVK (2003).</w:t>
      </w:r>
    </w:p>
  </w:endnote>
  <w:endnote w:id="142">
    <w:p w14:paraId="12AAC29A" w14:textId="64D2617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Eslovaquia</w:t>
      </w:r>
      <w:r w:rsidRPr="00AC72B5">
        <w:rPr>
          <w:w w:val="98"/>
        </w:rPr>
        <w:t>, ¶ 12, Doc. ONU CCPR/CO/78/SVK (2003).</w:t>
      </w:r>
    </w:p>
  </w:endnote>
  <w:endnote w:id="143">
    <w:p w14:paraId="6DBC90B6" w14:textId="281AD23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Eslovaquia</w:t>
      </w:r>
      <w:r w:rsidRPr="00AC72B5">
        <w:rPr>
          <w:w w:val="98"/>
        </w:rPr>
        <w:t>, ¶ 13, Doc. ONU CCPR/C/SVK/CO/3 (2011);</w:t>
      </w:r>
      <w:r w:rsidRPr="00AC72B5">
        <w:rPr>
          <w:i/>
          <w:w w:val="98"/>
        </w:rPr>
        <w:t xml:space="preserve"> República Checa</w:t>
      </w:r>
      <w:r w:rsidRPr="00AC72B5">
        <w:rPr>
          <w:w w:val="98"/>
        </w:rPr>
        <w:t>, ¶ 10, Doc. ONU CCPR/C/CZE/CO/2 (2007).</w:t>
      </w:r>
    </w:p>
  </w:endnote>
  <w:endnote w:id="144">
    <w:p w14:paraId="6B95E878" w14:textId="27B3C8D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Eslovaquia</w:t>
      </w:r>
      <w:r w:rsidRPr="00AC72B5">
        <w:rPr>
          <w:w w:val="98"/>
        </w:rPr>
        <w:t>, ¶ 13, Doc. ONU CCPR/C/SVK/CO/3 (2011).</w:t>
      </w:r>
    </w:p>
  </w:endnote>
  <w:endnote w:id="145">
    <w:p w14:paraId="4A7519FA" w14:textId="39B4DE6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República Checa</w:t>
      </w:r>
      <w:r w:rsidRPr="00AC72B5">
        <w:rPr>
          <w:w w:val="98"/>
        </w:rPr>
        <w:t>, ¶ 10, Doc. ONU CCPR/C/CZE/CO/2 (2007).</w:t>
      </w:r>
    </w:p>
  </w:endnote>
  <w:endnote w:id="146">
    <w:p w14:paraId="3151D9CC" w14:textId="28FA627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República Checa</w:t>
      </w:r>
      <w:r w:rsidRPr="00AC72B5">
        <w:rPr>
          <w:w w:val="98"/>
        </w:rPr>
        <w:t>, ¶ 11, Doc. ONU CCPR/C/CZE/CO/3 (2013);</w:t>
      </w:r>
      <w:r w:rsidRPr="00AC72B5">
        <w:rPr>
          <w:i/>
          <w:w w:val="98"/>
        </w:rPr>
        <w:t xml:space="preserve"> Suiza</w:t>
      </w:r>
      <w:r w:rsidRPr="00AC72B5">
        <w:rPr>
          <w:w w:val="98"/>
        </w:rPr>
        <w:t>, ¶ 20, Doc. ONU CCPR/C/CHE/CO/3 (2009).</w:t>
      </w:r>
    </w:p>
  </w:endnote>
  <w:endnote w:id="147">
    <w:p w14:paraId="705C234B" w14:textId="3FD6F81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República Checa</w:t>
      </w:r>
      <w:r w:rsidRPr="00AC72B5">
        <w:rPr>
          <w:w w:val="98"/>
        </w:rPr>
        <w:t>, ¶ 11, Doc. ONU CCPR/C/CZE/CO/3 (2013).</w:t>
      </w:r>
    </w:p>
  </w:endnote>
  <w:endnote w:id="148">
    <w:p w14:paraId="7AE082DF" w14:textId="02A5B2C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Derechos Humanos, </w:t>
      </w:r>
      <w:r w:rsidRPr="00AC72B5">
        <w:rPr>
          <w:i/>
          <w:w w:val="98"/>
        </w:rPr>
        <w:t>Observaciones Finales: Suiza</w:t>
      </w:r>
      <w:r w:rsidRPr="00AC72B5">
        <w:rPr>
          <w:w w:val="98"/>
        </w:rPr>
        <w:t>, ¶ 20, Doc. ONU CCPR/C/CHE/CO/3 (2009).</w:t>
      </w:r>
    </w:p>
  </w:endnote>
  <w:endnote w:id="149">
    <w:p w14:paraId="613BADD4" w14:textId="248D5DD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Amanda Mellet v. Irlanda, Comité de Derechos Humanos, Comunicación</w:t>
      </w:r>
      <w:r w:rsidRPr="00AC72B5">
        <w:rPr>
          <w:i/>
          <w:w w:val="98"/>
        </w:rPr>
        <w:t xml:space="preserve"> </w:t>
      </w:r>
      <w:r w:rsidRPr="00AC72B5">
        <w:rPr>
          <w:w w:val="98"/>
        </w:rPr>
        <w:t>N</w:t>
      </w:r>
      <w:r w:rsidRPr="00AC72B5">
        <w:rPr>
          <w:w w:val="98"/>
          <w:lang w:val="es-CO"/>
        </w:rPr>
        <w:t>úm</w:t>
      </w:r>
      <w:r w:rsidRPr="00AC72B5">
        <w:rPr>
          <w:w w:val="98"/>
        </w:rPr>
        <w:t>. 2324/2013, ¶¶ 2.1-2.2, Doc. ONU CCPR/C/D/116/2324/2013 (2016).</w:t>
      </w:r>
    </w:p>
  </w:endnote>
  <w:endnote w:id="150">
    <w:p w14:paraId="6C6C1BF7" w14:textId="5727AB2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Amanda Mellet v. Irlanda, Comité de Derechos Humanos, Comunicación N</w:t>
      </w:r>
      <w:r w:rsidRPr="00AC72B5">
        <w:rPr>
          <w:w w:val="98"/>
          <w:lang w:val="es-CO"/>
        </w:rPr>
        <w:t>úm</w:t>
      </w:r>
      <w:r w:rsidRPr="00AC72B5">
        <w:rPr>
          <w:w w:val="98"/>
        </w:rPr>
        <w:t>. 2324/2013, ¶¶ 3.6-3.7, Doc. ONU CCPR/C/D/116/2324/2013 (2016).</w:t>
      </w:r>
    </w:p>
  </w:endnote>
  <w:endnote w:id="151">
    <w:p w14:paraId="16A660E8" w14:textId="353DFF7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Amanda Mellet v. Irlanda, Comité de Derechos Humanos, Comunicación N</w:t>
      </w:r>
      <w:r w:rsidRPr="00AC72B5">
        <w:rPr>
          <w:w w:val="98"/>
          <w:lang w:val="es-CO"/>
        </w:rPr>
        <w:t>úm</w:t>
      </w:r>
      <w:r w:rsidRPr="00AC72B5">
        <w:rPr>
          <w:w w:val="98"/>
        </w:rPr>
        <w:t>. 2324/2013, ¶¶ 7.4-7.6, Doc. ONU CCPR/C/D/116/2324/2013 (2016).</w:t>
      </w:r>
    </w:p>
  </w:endnote>
  <w:endnote w:id="152">
    <w:p w14:paraId="5227BFA0" w14:textId="791C8AF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Amanda Mellet v. Irlanda, Comité de Derechos Humanos, Comunicación N</w:t>
      </w:r>
      <w:r w:rsidRPr="00AC72B5">
        <w:rPr>
          <w:w w:val="98"/>
          <w:lang w:val="es-CO"/>
        </w:rPr>
        <w:t>úm</w:t>
      </w:r>
      <w:r w:rsidRPr="00AC72B5">
        <w:rPr>
          <w:w w:val="98"/>
        </w:rPr>
        <w:t>. 2324/2013, ¶ 7.8, Doc. ONU CCPR/C/D/116/2324/2013 (2016).</w:t>
      </w:r>
    </w:p>
  </w:endnote>
  <w:endnote w:id="153">
    <w:p w14:paraId="65C820C4" w14:textId="548EA76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Amanda Mellet v. Irlanda, Comité de Derechos Humanos, Comunicación N</w:t>
      </w:r>
      <w:r w:rsidRPr="00AC72B5">
        <w:rPr>
          <w:w w:val="98"/>
          <w:lang w:val="es-CO"/>
        </w:rPr>
        <w:t>úm</w:t>
      </w:r>
      <w:r w:rsidRPr="00AC72B5">
        <w:rPr>
          <w:w w:val="98"/>
        </w:rPr>
        <w:t>. 2324/2013, ¶ 7.11, Doc. ONU CCPR/C/D/116/2324/2013 (2016).</w:t>
      </w:r>
    </w:p>
  </w:endnote>
  <w:endnote w:id="154">
    <w:p w14:paraId="3721DCDF" w14:textId="25D7FD3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Amanda Mellet v. Irlanda, Comité de Derechos Humanos, Comunicación N</w:t>
      </w:r>
      <w:r w:rsidRPr="00AC72B5">
        <w:rPr>
          <w:w w:val="98"/>
          <w:lang w:val="es-CO"/>
        </w:rPr>
        <w:t>úm</w:t>
      </w:r>
      <w:r w:rsidRPr="00AC72B5">
        <w:rPr>
          <w:w w:val="98"/>
        </w:rPr>
        <w:t>. 2324/2013, ¶ 7.8, Doc. ONU CCPR/C/D/116/2324/2013 (2016).</w:t>
      </w:r>
    </w:p>
  </w:endnote>
  <w:endnote w:id="155">
    <w:p w14:paraId="1198BAC6" w14:textId="7463215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Amanda Mellet v. Irlanda, Comité de Derechos Humanos, Comunicación N</w:t>
      </w:r>
      <w:r w:rsidRPr="00AC72B5">
        <w:rPr>
          <w:w w:val="98"/>
          <w:lang w:val="es-CO"/>
        </w:rPr>
        <w:t>úm</w:t>
      </w:r>
      <w:r w:rsidRPr="00AC72B5">
        <w:rPr>
          <w:w w:val="98"/>
        </w:rPr>
        <w:t>. 2324/2013, ¶ 9, Doc. ONU CCPR/C/D/116/2324/2013 (2016).</w:t>
      </w:r>
    </w:p>
  </w:endnote>
  <w:endnote w:id="156">
    <w:p w14:paraId="78C291E2" w14:textId="051E340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L.M.R. v. Argentina, Comité de Derechos Humanos, Comunicación N</w:t>
      </w:r>
      <w:r w:rsidRPr="00AC72B5">
        <w:rPr>
          <w:w w:val="98"/>
          <w:lang w:val="es-CO"/>
        </w:rPr>
        <w:t>úm</w:t>
      </w:r>
      <w:r w:rsidRPr="00AC72B5">
        <w:rPr>
          <w:w w:val="98"/>
        </w:rPr>
        <w:t>. 1608/2007, ¶¶ 2.1-2.2, Doc. ONU CCPR/C/101/D/1608/2007 (2011).</w:t>
      </w:r>
    </w:p>
  </w:endnote>
  <w:endnote w:id="157">
    <w:p w14:paraId="5B637A72" w14:textId="27B32D9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L.M.R. v. Argentina, Comité de Derechos Humanos, Comunicación N</w:t>
      </w:r>
      <w:r w:rsidRPr="00AC72B5">
        <w:rPr>
          <w:w w:val="98"/>
          <w:lang w:val="es-CO"/>
        </w:rPr>
        <w:t>úm</w:t>
      </w:r>
      <w:r w:rsidRPr="00AC72B5">
        <w:rPr>
          <w:w w:val="98"/>
        </w:rPr>
        <w:t>. 1608/2007, ¶ 2.2, Doc. ONU CCPR/C/101/D/1608/2007 (2011).</w:t>
      </w:r>
    </w:p>
  </w:endnote>
  <w:endnote w:id="158">
    <w:p w14:paraId="79BA5458" w14:textId="0E1A757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L.M.R. v. Argentina, Comité de Derechos Humanos, Comunicación N</w:t>
      </w:r>
      <w:r w:rsidRPr="00AC72B5">
        <w:rPr>
          <w:w w:val="98"/>
          <w:lang w:val="es-CO"/>
        </w:rPr>
        <w:t>úm</w:t>
      </w:r>
      <w:r w:rsidRPr="00AC72B5">
        <w:rPr>
          <w:w w:val="98"/>
        </w:rPr>
        <w:t>. 1608/2007, ¶ 2.3, Doc. ONU CCPR/C/101/D/1608/2007 (2011).</w:t>
      </w:r>
    </w:p>
  </w:endnote>
  <w:endnote w:id="159">
    <w:p w14:paraId="498DC7EB" w14:textId="413C58B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L.M.R. v. Argentina, Comité de Derechos Humanos, Comunicación N</w:t>
      </w:r>
      <w:r w:rsidRPr="00AC72B5">
        <w:rPr>
          <w:w w:val="98"/>
          <w:lang w:val="es-CO"/>
        </w:rPr>
        <w:t>úm</w:t>
      </w:r>
      <w:r w:rsidRPr="00AC72B5">
        <w:rPr>
          <w:w w:val="98"/>
        </w:rPr>
        <w:t>. 1608/2007, ¶ 2.4, Doc. ONU CCPR/C/101/D/1608/2007 (2011).</w:t>
      </w:r>
    </w:p>
  </w:endnote>
  <w:endnote w:id="160">
    <w:p w14:paraId="5DA0C1C2" w14:textId="67A8A80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L.M.R. v. Argentina, Comité de Derechos Humanos, Comunicación N</w:t>
      </w:r>
      <w:r w:rsidRPr="00AC72B5">
        <w:rPr>
          <w:w w:val="98"/>
          <w:lang w:val="es-CO"/>
        </w:rPr>
        <w:t>úm</w:t>
      </w:r>
      <w:r w:rsidRPr="00AC72B5">
        <w:rPr>
          <w:w w:val="98"/>
        </w:rPr>
        <w:t>. 1608/2007, ¶ 2.8, Doc. ONU CCPR/C/101/D/1608/2007 (2011).</w:t>
      </w:r>
    </w:p>
  </w:endnote>
  <w:endnote w:id="161">
    <w:p w14:paraId="7B361500" w14:textId="350BBE0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L.M.R. v. Argentina, Comité de Derechos Humanos, Comunicación N</w:t>
      </w:r>
      <w:r w:rsidRPr="00AC72B5">
        <w:rPr>
          <w:w w:val="98"/>
          <w:lang w:val="es-CO"/>
        </w:rPr>
        <w:t>úm</w:t>
      </w:r>
      <w:r w:rsidRPr="00AC72B5">
        <w:rPr>
          <w:w w:val="98"/>
        </w:rPr>
        <w:t>. 1608/2007, ¶ 9.2, Doc. ONU CCPR/C/101/D/1608/2007 (2011).</w:t>
      </w:r>
    </w:p>
  </w:endnote>
  <w:endnote w:id="162">
    <w:p w14:paraId="64D0A5EC" w14:textId="471069B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L.M.R. v. Argentina, Comité de Derechos Humanos, Comunicación N</w:t>
      </w:r>
      <w:r w:rsidRPr="00AC72B5">
        <w:rPr>
          <w:w w:val="98"/>
          <w:lang w:val="es-CO"/>
        </w:rPr>
        <w:t>úm</w:t>
      </w:r>
      <w:r w:rsidRPr="00AC72B5">
        <w:rPr>
          <w:w w:val="98"/>
        </w:rPr>
        <w:t>. 1608/2007, ¶ 9.3, Doc. ONU CCPR/C/101/D/1608/2007 (2011).</w:t>
      </w:r>
    </w:p>
  </w:endnote>
  <w:endnote w:id="163">
    <w:p w14:paraId="46EA388A" w14:textId="754A5CB5" w:rsidR="005E3DDD" w:rsidRPr="00AC72B5" w:rsidRDefault="005E3DDD" w:rsidP="00AC72B5">
      <w:pPr>
        <w:pStyle w:val="EndnoteText"/>
        <w:rPr>
          <w:rFonts w:eastAsia="Times New Roman"/>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rStyle w:val="EndnoteTextChar"/>
          <w:w w:val="98"/>
          <w:kern w:val="2"/>
          <w:szCs w:val="20"/>
          <w14:numForm w14:val="default"/>
          <w14:numSpacing w14:val="default"/>
          <w14:cntxtAlts/>
        </w:rPr>
        <w:t xml:space="preserve">K.L. v. Perú, </w:t>
      </w:r>
      <w:r w:rsidRPr="00AC72B5">
        <w:rPr>
          <w:w w:val="98"/>
        </w:rPr>
        <w:t>Comité de Derechos Humanos</w:t>
      </w:r>
      <w:r w:rsidRPr="00AC72B5">
        <w:rPr>
          <w:rStyle w:val="EndnoteTextChar"/>
          <w:w w:val="98"/>
          <w:kern w:val="2"/>
          <w:szCs w:val="20"/>
          <w14:numForm w14:val="default"/>
          <w14:numSpacing w14:val="default"/>
          <w14:cntxtAlts/>
        </w:rPr>
        <w:t xml:space="preserve">, </w:t>
      </w:r>
      <w:r w:rsidRPr="00AC72B5">
        <w:rPr>
          <w:w w:val="98"/>
        </w:rPr>
        <w:t>Comunicación N</w:t>
      </w:r>
      <w:r w:rsidRPr="00AC72B5">
        <w:rPr>
          <w:w w:val="98"/>
          <w:lang w:val="es-CO"/>
        </w:rPr>
        <w:t>úm</w:t>
      </w:r>
      <w:r w:rsidRPr="00AC72B5">
        <w:rPr>
          <w:w w:val="98"/>
        </w:rPr>
        <w:t xml:space="preserve">. </w:t>
      </w:r>
      <w:r w:rsidRPr="00AC72B5">
        <w:rPr>
          <w:rStyle w:val="EndnoteTextChar"/>
          <w:w w:val="98"/>
          <w:kern w:val="2"/>
          <w:szCs w:val="20"/>
          <w14:numForm w14:val="default"/>
          <w14:numSpacing w14:val="default"/>
          <w14:cntxtAlts/>
        </w:rPr>
        <w:t xml:space="preserve">1153/2003, </w:t>
      </w:r>
      <w:r w:rsidRPr="00AC72B5">
        <w:rPr>
          <w:w w:val="98"/>
        </w:rPr>
        <w:t>¶¶</w:t>
      </w:r>
      <w:r w:rsidRPr="00AC72B5">
        <w:rPr>
          <w:rStyle w:val="EndnoteTextChar"/>
          <w:w w:val="98"/>
          <w:kern w:val="2"/>
          <w:szCs w:val="20"/>
          <w14:numForm w14:val="default"/>
          <w14:numSpacing w14:val="default"/>
          <w14:cntxtAlts/>
        </w:rPr>
        <w:t xml:space="preserve"> 2.1 y 2.7, Doc. ONU CCPR/C/85/D/1153/2003 (2005).</w:t>
      </w:r>
    </w:p>
  </w:endnote>
  <w:endnote w:id="164">
    <w:p w14:paraId="2430CB1F" w14:textId="02A5CB5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K.L. v. Perú, Comité de Derechos Humanos, Comunicación N</w:t>
      </w:r>
      <w:r w:rsidRPr="00AC72B5">
        <w:rPr>
          <w:w w:val="98"/>
          <w:lang w:val="es-CO"/>
        </w:rPr>
        <w:t>úm</w:t>
      </w:r>
      <w:r w:rsidRPr="00AC72B5">
        <w:rPr>
          <w:w w:val="98"/>
        </w:rPr>
        <w:t xml:space="preserve">. 1153/2003, ¶ 2.3, Doc. ONU </w:t>
      </w:r>
      <w:r w:rsidRPr="00AC72B5">
        <w:rPr>
          <w:rFonts w:eastAsia="Times New Roman"/>
          <w:w w:val="98"/>
        </w:rPr>
        <w:t xml:space="preserve">CCPR/C/85/D/1153/2003 </w:t>
      </w:r>
      <w:r w:rsidRPr="00AC72B5">
        <w:rPr>
          <w:w w:val="98"/>
        </w:rPr>
        <w:t>(2005).</w:t>
      </w:r>
    </w:p>
  </w:endnote>
  <w:endnote w:id="165">
    <w:p w14:paraId="2CC72C77" w14:textId="3171A14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K.L. v. Perú, Comité de Derechos Humanos, Comunicación N</w:t>
      </w:r>
      <w:r w:rsidRPr="00AC72B5">
        <w:rPr>
          <w:w w:val="98"/>
          <w:lang w:val="es-CO"/>
        </w:rPr>
        <w:t>úm</w:t>
      </w:r>
      <w:r w:rsidRPr="00AC72B5">
        <w:rPr>
          <w:w w:val="98"/>
        </w:rPr>
        <w:t xml:space="preserve">. 1153/2003, ¶ 2.2, Doc. ONU </w:t>
      </w:r>
      <w:r w:rsidRPr="00AC72B5">
        <w:rPr>
          <w:rFonts w:eastAsia="Times New Roman"/>
          <w:w w:val="98"/>
        </w:rPr>
        <w:t>CCPR/C/85/D/1153/2003</w:t>
      </w:r>
      <w:r w:rsidRPr="00AC72B5">
        <w:rPr>
          <w:w w:val="98"/>
        </w:rPr>
        <w:t xml:space="preserve"> (2005).</w:t>
      </w:r>
    </w:p>
  </w:endnote>
  <w:endnote w:id="166">
    <w:p w14:paraId="603F1DC7" w14:textId="2314AA5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K.L. v. Perú, Comité de Derechos Humanos, Comunicación N</w:t>
      </w:r>
      <w:r w:rsidRPr="00AC72B5">
        <w:rPr>
          <w:w w:val="98"/>
          <w:lang w:val="es-CO"/>
        </w:rPr>
        <w:t>úm</w:t>
      </w:r>
      <w:r w:rsidRPr="00AC72B5">
        <w:rPr>
          <w:w w:val="98"/>
        </w:rPr>
        <w:t xml:space="preserve">. 1153/2003, ¶¶ 2.2-2.6, Doc. ONU </w:t>
      </w:r>
      <w:r w:rsidRPr="00AC72B5">
        <w:rPr>
          <w:rFonts w:eastAsia="Times New Roman"/>
          <w:w w:val="98"/>
        </w:rPr>
        <w:t>CCPR/C/85/D/1153/2003</w:t>
      </w:r>
      <w:r w:rsidRPr="00AC72B5">
        <w:rPr>
          <w:w w:val="98"/>
        </w:rPr>
        <w:t xml:space="preserve"> (2005).</w:t>
      </w:r>
    </w:p>
  </w:endnote>
  <w:endnote w:id="167">
    <w:p w14:paraId="3AF763E6" w14:textId="0157886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K.L. v. Perú, Comité de Derechos Humanos, Comunicación N</w:t>
      </w:r>
      <w:r w:rsidRPr="00AC72B5">
        <w:rPr>
          <w:w w:val="98"/>
          <w:lang w:val="es-CO"/>
        </w:rPr>
        <w:t>úm</w:t>
      </w:r>
      <w:r w:rsidRPr="00AC72B5">
        <w:rPr>
          <w:w w:val="98"/>
        </w:rPr>
        <w:t xml:space="preserve">. 1153/2003, ¶¶ 6.4, 6.5, 6.6, Doc. ONU </w:t>
      </w:r>
      <w:r w:rsidRPr="00AC72B5">
        <w:rPr>
          <w:rFonts w:eastAsia="Times New Roman"/>
          <w:w w:val="98"/>
        </w:rPr>
        <w:t>CCPR/C/85/D/1153/2003</w:t>
      </w:r>
      <w:r w:rsidRPr="00AC72B5">
        <w:rPr>
          <w:w w:val="98"/>
        </w:rPr>
        <w:t xml:space="preserve"> (2005). </w:t>
      </w:r>
    </w:p>
  </w:endnote>
  <w:endnote w:id="168">
    <w:p w14:paraId="05AFBB9E" w14:textId="54F014F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K.L. v. Perú, Comité de Derechos Humanos, Comunicación N</w:t>
      </w:r>
      <w:r w:rsidRPr="00AC72B5">
        <w:rPr>
          <w:w w:val="98"/>
          <w:lang w:val="es-CO"/>
        </w:rPr>
        <w:t>úm</w:t>
      </w:r>
      <w:r w:rsidRPr="00AC72B5">
        <w:rPr>
          <w:w w:val="98"/>
        </w:rPr>
        <w:t xml:space="preserve">. 1153/2003, ¶ 7, Doc. ONU </w:t>
      </w:r>
      <w:r w:rsidRPr="00AC72B5">
        <w:rPr>
          <w:rFonts w:eastAsia="Times New Roman"/>
          <w:w w:val="98"/>
        </w:rPr>
        <w:t>CCPR/C/85/D/1153/2003</w:t>
      </w:r>
      <w:r w:rsidRPr="00AC72B5">
        <w:rPr>
          <w:w w:val="98"/>
        </w:rPr>
        <w:t xml:space="preserve"> (2005).</w:t>
      </w:r>
    </w:p>
  </w:endnote>
  <w:endnote w:id="169">
    <w:p w14:paraId="120D856E" w14:textId="512D9E6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K.L. v. Perú, Comité de Derechos Humanos, Comunicación N</w:t>
      </w:r>
      <w:r w:rsidRPr="00AC72B5">
        <w:rPr>
          <w:w w:val="98"/>
          <w:lang w:val="es-CO"/>
        </w:rPr>
        <w:t>úm</w:t>
      </w:r>
      <w:r w:rsidRPr="00AC72B5">
        <w:rPr>
          <w:w w:val="98"/>
        </w:rPr>
        <w:t xml:space="preserve">. 1153/2003, ¶ 6.5, Doc. ONU </w:t>
      </w:r>
      <w:r w:rsidRPr="00AC72B5">
        <w:rPr>
          <w:rFonts w:eastAsia="Times New Roman"/>
          <w:w w:val="98"/>
        </w:rPr>
        <w:t>CCPR/C/85/D/1153/2003</w:t>
      </w:r>
      <w:r w:rsidRPr="00AC72B5">
        <w:rPr>
          <w:w w:val="98"/>
        </w:rPr>
        <w:t xml:space="preserve"> (2005).</w:t>
      </w:r>
    </w:p>
  </w:endnote>
  <w:endnote w:id="170">
    <w:p w14:paraId="69D40688" w14:textId="7FB3F4B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K.L. v. Perú, Comité de Derechos Humanos, Comunicación N</w:t>
      </w:r>
      <w:r w:rsidRPr="00AC72B5">
        <w:rPr>
          <w:w w:val="98"/>
          <w:lang w:val="es-CO"/>
        </w:rPr>
        <w:t>úm</w:t>
      </w:r>
      <w:r w:rsidRPr="00AC72B5">
        <w:rPr>
          <w:w w:val="98"/>
        </w:rPr>
        <w:t xml:space="preserve">. 1153/2003, ¶ 6.4, Doc. ONU </w:t>
      </w:r>
      <w:r w:rsidRPr="00AC72B5">
        <w:rPr>
          <w:rFonts w:eastAsia="Times New Roman"/>
          <w:w w:val="98"/>
        </w:rPr>
        <w:t>CCPR/C/85/D/1153/2003</w:t>
      </w:r>
      <w:r w:rsidRPr="00AC72B5">
        <w:rPr>
          <w:w w:val="98"/>
        </w:rPr>
        <w:t xml:space="preserve"> (2005).</w:t>
      </w:r>
    </w:p>
  </w:endnote>
  <w:endnote w:id="171">
    <w:p w14:paraId="24A725D5" w14:textId="1DEAD75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Observación General N</w:t>
      </w:r>
      <w:r w:rsidRPr="00AC72B5">
        <w:rPr>
          <w:i/>
          <w:w w:val="98"/>
          <w:lang w:val="es-CO"/>
        </w:rPr>
        <w:t>úm</w:t>
      </w:r>
      <w:r w:rsidRPr="00AC72B5">
        <w:rPr>
          <w:i/>
          <w:w w:val="98"/>
        </w:rPr>
        <w:t>. 5: Personas con discapacidad</w:t>
      </w:r>
      <w:r w:rsidRPr="00AC72B5">
        <w:rPr>
          <w:w w:val="98"/>
        </w:rPr>
        <w:t>, ¶ 31, Doc. ONU. E/C.12/GC/5 (1994).</w:t>
      </w:r>
    </w:p>
  </w:endnote>
  <w:endnote w:id="172">
    <w:p w14:paraId="722C9828" w14:textId="4502E95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Observación General N</w:t>
      </w:r>
      <w:r w:rsidRPr="00AC72B5">
        <w:rPr>
          <w:i/>
          <w:w w:val="98"/>
          <w:lang w:val="es-CO"/>
        </w:rPr>
        <w:t>úm</w:t>
      </w:r>
      <w:r w:rsidRPr="00AC72B5">
        <w:rPr>
          <w:i/>
          <w:w w:val="98"/>
        </w:rPr>
        <w:t>. 5: Personas con discapacidad</w:t>
      </w:r>
      <w:r w:rsidRPr="00AC72B5">
        <w:rPr>
          <w:w w:val="98"/>
        </w:rPr>
        <w:t>, ¶ 31, Doc. ONU. E/C.12/GC/5 (1994).</w:t>
      </w:r>
    </w:p>
  </w:endnote>
  <w:endnote w:id="173">
    <w:p w14:paraId="294EEE3D" w14:textId="4ECC4B1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Observación General N</w:t>
      </w:r>
      <w:r w:rsidRPr="00AC72B5">
        <w:rPr>
          <w:i/>
          <w:w w:val="98"/>
          <w:lang w:val="es-CO"/>
        </w:rPr>
        <w:t>úm</w:t>
      </w:r>
      <w:r w:rsidRPr="00AC72B5">
        <w:rPr>
          <w:i/>
          <w:w w:val="98"/>
        </w:rPr>
        <w:t>. 14: El derecho al disfrute del más alto nivel posible de salud (artículo 12 del Pacto Internacional de Derechos Económicos, Sociales y Culturales)</w:t>
      </w:r>
      <w:r w:rsidRPr="00AC72B5">
        <w:rPr>
          <w:w w:val="98"/>
        </w:rPr>
        <w:t>, ¶ 8, Doc. ONU E/C.12/2000/4 (2000).</w:t>
      </w:r>
    </w:p>
  </w:endnote>
  <w:endnote w:id="174">
    <w:p w14:paraId="36335827" w14:textId="17AFFC8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Observación General N</w:t>
      </w:r>
      <w:r w:rsidRPr="00AC72B5">
        <w:rPr>
          <w:i/>
          <w:w w:val="98"/>
          <w:lang w:val="es-CO"/>
        </w:rPr>
        <w:t>úm</w:t>
      </w:r>
      <w:r w:rsidRPr="00AC72B5">
        <w:rPr>
          <w:i/>
          <w:w w:val="98"/>
        </w:rPr>
        <w:t>.14: El derecho al disfrute del más alto nivel posible de salud (artículo 12 del Pacto Internacional de Derechos Económicos, Sociales y Culturales)</w:t>
      </w:r>
      <w:r w:rsidRPr="00AC72B5">
        <w:rPr>
          <w:w w:val="98"/>
        </w:rPr>
        <w:t>, ¶ 11, Doc. ONU E/C.12/2000/4 (2000).</w:t>
      </w:r>
    </w:p>
  </w:endnote>
  <w:endnote w:id="175">
    <w:p w14:paraId="3FDC2DE4" w14:textId="0456C50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Observación General N</w:t>
      </w:r>
      <w:r w:rsidRPr="00AC72B5">
        <w:rPr>
          <w:i/>
          <w:w w:val="98"/>
          <w:lang w:val="es-CO"/>
        </w:rPr>
        <w:t>úm</w:t>
      </w:r>
      <w:r w:rsidRPr="00AC72B5">
        <w:rPr>
          <w:i/>
          <w:w w:val="98"/>
        </w:rPr>
        <w:t>. 14: El derecho al disfrute del más alto nivel posible de salud (artículo 12 del Pacto Internacional de Derechos Económicos, Sociales y Culturales)</w:t>
      </w:r>
      <w:r w:rsidRPr="00AC72B5">
        <w:rPr>
          <w:w w:val="98"/>
        </w:rPr>
        <w:t>, ¶ 14, Doc. ONU E/C.12/2000/4 (2000).</w:t>
      </w:r>
    </w:p>
  </w:endnote>
  <w:endnote w:id="176">
    <w:p w14:paraId="73918520" w14:textId="309F838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Observación General N</w:t>
      </w:r>
      <w:r w:rsidRPr="00AC72B5">
        <w:rPr>
          <w:i/>
          <w:w w:val="98"/>
          <w:lang w:val="es-CO"/>
        </w:rPr>
        <w:t>úm</w:t>
      </w:r>
      <w:r w:rsidRPr="00AC72B5">
        <w:rPr>
          <w:i/>
          <w:w w:val="98"/>
        </w:rPr>
        <w:t>. 14: El derecho al disfrute del más alto nivel posible de salud (artículo 12 del Pacto Internacional de Derechos Económicos, Sociales y Culturales)</w:t>
      </w:r>
      <w:r w:rsidRPr="00AC72B5">
        <w:rPr>
          <w:w w:val="98"/>
        </w:rPr>
        <w:t>, ¶ 12, Doc. ONU E/C.12/2000/4 (2000).</w:t>
      </w:r>
    </w:p>
  </w:endnote>
  <w:endnote w:id="177">
    <w:p w14:paraId="2ACAE3DD" w14:textId="42E382A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Observación General N</w:t>
      </w:r>
      <w:r w:rsidRPr="00AC72B5">
        <w:rPr>
          <w:i/>
          <w:w w:val="98"/>
          <w:lang w:val="es-CO"/>
        </w:rPr>
        <w:t>úm</w:t>
      </w:r>
      <w:r w:rsidRPr="00AC72B5">
        <w:rPr>
          <w:i/>
          <w:w w:val="98"/>
        </w:rPr>
        <w:t>. 14: El derecho al disfrute del más alto nivel posible de salud (artículo 12 del Pacto Internacional de Derechos Económicos, Sociales y Culturales)</w:t>
      </w:r>
      <w:r w:rsidRPr="00AC72B5">
        <w:rPr>
          <w:w w:val="98"/>
        </w:rPr>
        <w:t>, ¶ 18, Doc. ONU E/C.12/2000/4 (2000).</w:t>
      </w:r>
    </w:p>
  </w:endnote>
  <w:endnote w:id="178">
    <w:p w14:paraId="66583357" w14:textId="75086DC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Observación General Núm. 16: La igualdad de derechos del hombre y la mujer al disfrute de los derechos económicos, sociales y culturales (artículo 3 del Pacto Internacional de Derechos Económicos, Sociales y Culturales)</w:t>
      </w:r>
      <w:r w:rsidRPr="00AC72B5">
        <w:rPr>
          <w:w w:val="98"/>
        </w:rPr>
        <w:t>, ¶ 29, Doc. ONU E/C.12/2005/4 (2005).</w:t>
      </w:r>
    </w:p>
  </w:endnote>
  <w:endnote w:id="179">
    <w:p w14:paraId="018282A2" w14:textId="090FF55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Observación General Núm. 16: La igualdad de derechos del hombre y la mujer al disfrute de los derechos económicos, sociales y culturales (artículo 3 del Pacto Internacional de Derechos Económicos, Sociales y Culturales)</w:t>
      </w:r>
      <w:r w:rsidRPr="00AC72B5">
        <w:rPr>
          <w:w w:val="98"/>
        </w:rPr>
        <w:t>, ¶ 29, Doc. ONU E/C.12/2005/4 (2005).</w:t>
      </w:r>
    </w:p>
  </w:endnote>
  <w:endnote w:id="180">
    <w:p w14:paraId="7F973719" w14:textId="1E77812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Observación General Núm. 16: La igualdad de derechos del hombre y la mujer al disfrute de los derechos económicos, sociales y culturales (artículo 3 del Pacto Internacional de Derechos Económicos, Sociales y Culturales)</w:t>
      </w:r>
      <w:r w:rsidRPr="00AC72B5">
        <w:rPr>
          <w:w w:val="98"/>
        </w:rPr>
        <w:t>, ¶ 11, Doc. ONU E/C.12/2005/4 (2005).</w:t>
      </w:r>
    </w:p>
  </w:endnote>
  <w:endnote w:id="181">
    <w:p w14:paraId="2C8C8EA7" w14:textId="5E56C91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Observación General Núm. 20: Sobre la no discriminación y los derechos económicos, sociales y culturales (artículo 2, párrafo 2, del Pacto Internacional de Derechos Económicos, Sociales y Culturales)</w:t>
      </w:r>
      <w:r w:rsidRPr="00AC72B5">
        <w:rPr>
          <w:w w:val="98"/>
        </w:rPr>
        <w:t>, ¶ 29, Doc. ONU E/C.12/GC/20 (2009).</w:t>
      </w:r>
    </w:p>
  </w:endnote>
  <w:endnote w:id="182">
    <w:p w14:paraId="2AEE325B" w14:textId="426C6C9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Observación General Núm. 20: Sobre la no discriminación y los derechos económicos, sociales y culturales (artículo 2, párrafo 2, del Pacto Internacional de Derechos Económicos, Sociales y Culturales)</w:t>
      </w:r>
      <w:r w:rsidRPr="00AC72B5">
        <w:rPr>
          <w:w w:val="98"/>
        </w:rPr>
        <w:t>, ¶ 28, Doc. ONU E/C.12/GC/20 (2009).</w:t>
      </w:r>
    </w:p>
  </w:endnote>
  <w:endnote w:id="183">
    <w:p w14:paraId="349955FC" w14:textId="63BA09B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Observación General Núm. 22 (2016), relativa al derecho a la salud sexual y reproductiva (artículo 12 del Pacto Internacional de Derechos Económicos, Sociales y Culturales)</w:t>
      </w:r>
      <w:r w:rsidRPr="00AC72B5">
        <w:rPr>
          <w:w w:val="98"/>
        </w:rPr>
        <w:t>, ¶ 1, Doc. ONU E/C.12/GC/22 (2016).</w:t>
      </w:r>
    </w:p>
  </w:endnote>
  <w:endnote w:id="184">
    <w:p w14:paraId="28C3B2AC" w14:textId="655027F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Observación General Núm. 22 (2016), relativa al derecho a la salud sexual y reproductiva (artículo 12 del Pacto Internacional de Derechos Económicos, Sociales y Culturales)</w:t>
      </w:r>
      <w:r w:rsidRPr="00AC72B5">
        <w:rPr>
          <w:w w:val="98"/>
        </w:rPr>
        <w:t>, ¶ 5, Doc. ONU E/C.12/GC/22 (2016).</w:t>
      </w:r>
    </w:p>
  </w:endnote>
  <w:endnote w:id="185">
    <w:p w14:paraId="0B711736" w14:textId="163FDA5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Observación General Núm. 22 (2016), relativa al derecho a la salud sexual y reproductiva (artículo 12 del Pacto Internacional de Derechos Económicos, Sociales y Culturales)</w:t>
      </w:r>
      <w:r w:rsidRPr="00AC72B5">
        <w:rPr>
          <w:w w:val="98"/>
        </w:rPr>
        <w:t>, ¶ 5, Doc. ONU E/C.12/GC/22 (2016).</w:t>
      </w:r>
    </w:p>
  </w:endnote>
  <w:endnote w:id="186">
    <w:p w14:paraId="00A4C405" w14:textId="192F9F2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Observación General Núm. 22 (2016), relativa al derecho a la salud sexual y reproductiva (artículo 12 del Pacto Internacional de Derechos Económicos, Sociales y Culturales)</w:t>
      </w:r>
      <w:r w:rsidRPr="00AC72B5">
        <w:rPr>
          <w:w w:val="98"/>
        </w:rPr>
        <w:t>, ¶ 2, Doc. ONU E/C.12/GC/22 (2016).</w:t>
      </w:r>
    </w:p>
  </w:endnote>
  <w:endnote w:id="187">
    <w:p w14:paraId="58367CD6" w14:textId="16C99A8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Observación General Núm. 22 (2016), relativa al derecho a la salud sexual y reproductiva (artículo 12 del Pacto Internacional de Derechos Económicos, Sociales y Culturales)</w:t>
      </w:r>
      <w:r w:rsidRPr="00AC72B5">
        <w:rPr>
          <w:w w:val="98"/>
        </w:rPr>
        <w:t>, ¶ 24, Doc. ONU E/C.12/GC/22 (2016).</w:t>
      </w:r>
    </w:p>
  </w:endnote>
  <w:endnote w:id="188">
    <w:p w14:paraId="57F6764E" w14:textId="0ABAA3F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Observación General Núm. 22 (2016), relativa al derecho a la salud sexual y reproductiva (artículo 12 del Pacto Internacional de Derechos Económicos, Sociales y Culturales)</w:t>
      </w:r>
      <w:r w:rsidRPr="00AC72B5">
        <w:rPr>
          <w:w w:val="98"/>
        </w:rPr>
        <w:t>, ¶ 24, Doc. ONU E/C.12/GC/22 (2016).</w:t>
      </w:r>
    </w:p>
  </w:endnote>
  <w:endnote w:id="189">
    <w:p w14:paraId="34896A9E" w14:textId="531A275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Observación General Núm. 22 (2016), relativa al derecho a la salud sexual y reproductiva (artículo 12 del Pacto Internacional de Derechos Económicos, Sociales y Culturales)</w:t>
      </w:r>
      <w:r w:rsidRPr="00AC72B5">
        <w:rPr>
          <w:w w:val="98"/>
        </w:rPr>
        <w:t xml:space="preserve">, ¶ 48, Doc. ONU E/C.12/GC/22 (2016). </w:t>
      </w:r>
    </w:p>
  </w:endnote>
  <w:endnote w:id="190">
    <w:p w14:paraId="2BB21B26" w14:textId="51F76D8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China</w:t>
      </w:r>
      <w:r w:rsidRPr="00AC72B5">
        <w:rPr>
          <w:w w:val="98"/>
        </w:rPr>
        <w:t xml:space="preserve">, ¶ 88,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bCs/>
          <w:w w:val="98"/>
          <w:lang w:val="es-PE"/>
        </w:rPr>
        <w:t>E/C.12/1/Add.107</w:t>
      </w:r>
      <w:r w:rsidRPr="00AC72B5">
        <w:rPr>
          <w:bCs/>
          <w:w w:val="98"/>
          <w:lang w:val="en-GB"/>
        </w:rPr>
        <w:fldChar w:fldCharType="end"/>
      </w:r>
      <w:r w:rsidRPr="00AC72B5">
        <w:rPr>
          <w:w w:val="98"/>
        </w:rPr>
        <w:t xml:space="preserve"> (2005);</w:t>
      </w:r>
      <w:r w:rsidRPr="00AC72B5">
        <w:rPr>
          <w:i/>
          <w:w w:val="98"/>
        </w:rPr>
        <w:t xml:space="preserve"> Azerbaiyán</w:t>
      </w:r>
      <w:r w:rsidRPr="00AC72B5">
        <w:rPr>
          <w:w w:val="98"/>
        </w:rPr>
        <w:t xml:space="preserve">, ¶ 30,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bCs/>
          <w:w w:val="98"/>
          <w:lang w:val="es-PE"/>
        </w:rPr>
        <w:t>E/C.12/1/Add.104</w:t>
      </w:r>
      <w:r w:rsidRPr="00AC72B5">
        <w:rPr>
          <w:bCs/>
          <w:w w:val="98"/>
          <w:lang w:val="en-GB"/>
        </w:rPr>
        <w:fldChar w:fldCharType="end"/>
      </w:r>
      <w:r w:rsidRPr="00AC72B5">
        <w:rPr>
          <w:w w:val="98"/>
        </w:rPr>
        <w:t xml:space="preserve"> (2004);</w:t>
      </w:r>
      <w:r w:rsidRPr="00AC72B5">
        <w:rPr>
          <w:i/>
          <w:w w:val="98"/>
        </w:rPr>
        <w:t xml:space="preserve"> Benin</w:t>
      </w:r>
      <w:r w:rsidRPr="00AC72B5">
        <w:rPr>
          <w:w w:val="98"/>
        </w:rPr>
        <w:t>, ¶ 23, Doc. ONU E/C.12/1/Add.78 (2002);</w:t>
      </w:r>
      <w:r w:rsidRPr="00AC72B5">
        <w:rPr>
          <w:i/>
          <w:w w:val="98"/>
        </w:rPr>
        <w:t xml:space="preserve"> Georgia</w:t>
      </w:r>
      <w:r w:rsidRPr="00AC72B5">
        <w:rPr>
          <w:w w:val="98"/>
        </w:rPr>
        <w:t>, ¶ 18, Doc. ONU E/C.12/1/Add.42 (2000).</w:t>
      </w:r>
    </w:p>
  </w:endnote>
  <w:endnote w:id="191">
    <w:p w14:paraId="527A748B" w14:textId="3BF385B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El Salvador</w:t>
      </w:r>
      <w:r w:rsidRPr="00AC72B5">
        <w:rPr>
          <w:w w:val="98"/>
        </w:rPr>
        <w:t>, ¶ 23, Doc. ONU E/C.12/SLV/CO/3-5 (2014);</w:t>
      </w:r>
      <w:r w:rsidRPr="00AC72B5">
        <w:rPr>
          <w:i/>
          <w:w w:val="98"/>
        </w:rPr>
        <w:t xml:space="preserve"> Filipinas</w:t>
      </w:r>
      <w:r w:rsidRPr="00AC72B5">
        <w:rPr>
          <w:w w:val="98"/>
        </w:rPr>
        <w:t>, ¶ 31, Doc. ONU E/C.12/PHL/CO/4 (2008).</w:t>
      </w:r>
    </w:p>
  </w:endnote>
  <w:endnote w:id="192">
    <w:p w14:paraId="68BC1D99" w14:textId="1A0D17F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Nepal</w:t>
      </w:r>
      <w:r w:rsidRPr="00AC72B5">
        <w:rPr>
          <w:w w:val="98"/>
        </w:rPr>
        <w:t>, ¶ 26, Doc. ONU E/C.12/NPL/CO/2 (2008).</w:t>
      </w:r>
    </w:p>
  </w:endnote>
  <w:endnote w:id="193">
    <w:p w14:paraId="58644ED9" w14:textId="2FE912C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Romania</w:t>
      </w:r>
      <w:r w:rsidRPr="00AC72B5">
        <w:rPr>
          <w:w w:val="98"/>
        </w:rPr>
        <w:t xml:space="preserve">, ¶ 22, Doc. ONU </w:t>
      </w:r>
      <w:r w:rsidRPr="00AC72B5">
        <w:rPr>
          <w:rFonts w:eastAsia="MS Mincho"/>
          <w:w w:val="98"/>
        </w:rPr>
        <w:t xml:space="preserve">E/C.12/ROU/CO/3-5 (2014); </w:t>
      </w:r>
      <w:r w:rsidRPr="00AC72B5">
        <w:rPr>
          <w:rFonts w:eastAsia="MS Mincho"/>
          <w:i/>
          <w:w w:val="98"/>
        </w:rPr>
        <w:t>Azerbaiyán</w:t>
      </w:r>
      <w:r w:rsidRPr="00AC72B5">
        <w:rPr>
          <w:rFonts w:eastAsia="MS Mincho"/>
          <w:w w:val="98"/>
        </w:rPr>
        <w:t xml:space="preserve">, </w:t>
      </w:r>
      <w:r w:rsidRPr="00AC72B5">
        <w:rPr>
          <w:w w:val="98"/>
        </w:rPr>
        <w:t xml:space="preserve">¶ 16, </w:t>
      </w:r>
      <w:r w:rsidRPr="00AC72B5">
        <w:rPr>
          <w:rFonts w:eastAsia="MS Mincho"/>
          <w:w w:val="98"/>
        </w:rPr>
        <w:t xml:space="preserve">Doc. ONU </w:t>
      </w:r>
      <w:r w:rsidRPr="00AC72B5">
        <w:rPr>
          <w:w w:val="98"/>
        </w:rPr>
        <w:t>E/C.12/AZE/CO/3 (2013);</w:t>
      </w:r>
      <w:r w:rsidRPr="00AC72B5">
        <w:rPr>
          <w:rFonts w:eastAsia="MS Mincho"/>
          <w:i/>
          <w:w w:val="98"/>
        </w:rPr>
        <w:t xml:space="preserve"> Madagascar</w:t>
      </w:r>
      <w:r w:rsidRPr="00AC72B5">
        <w:rPr>
          <w:rFonts w:eastAsia="MS Mincho"/>
          <w:w w:val="98"/>
        </w:rPr>
        <w:t xml:space="preserve">, </w:t>
      </w:r>
      <w:r w:rsidRPr="00AC72B5">
        <w:rPr>
          <w:w w:val="98"/>
        </w:rPr>
        <w:t xml:space="preserve">¶ 30 </w:t>
      </w:r>
      <w:r w:rsidRPr="00AC72B5">
        <w:rPr>
          <w:rFonts w:eastAsia="MS Mincho"/>
          <w:w w:val="98"/>
        </w:rPr>
        <w:t xml:space="preserve">Doc. ONU </w:t>
      </w:r>
      <w:r w:rsidRPr="00AC72B5">
        <w:rPr>
          <w:w w:val="98"/>
        </w:rPr>
        <w:t>E/C.12/MDG/CO/2 (2009);</w:t>
      </w:r>
      <w:r w:rsidRPr="00AC72B5">
        <w:rPr>
          <w:rFonts w:eastAsia="MS Mincho"/>
          <w:i/>
          <w:w w:val="98"/>
        </w:rPr>
        <w:t xml:space="preserve"> </w:t>
      </w:r>
      <w:r w:rsidRPr="00AC72B5">
        <w:rPr>
          <w:i/>
          <w:w w:val="98"/>
        </w:rPr>
        <w:t>Angola</w:t>
      </w:r>
      <w:r w:rsidRPr="00AC72B5">
        <w:rPr>
          <w:w w:val="98"/>
        </w:rPr>
        <w:t xml:space="preserve">, ¶ 37, Doc. </w:t>
      </w:r>
      <w:r w:rsidRPr="00AC72B5">
        <w:rPr>
          <w:w w:val="98"/>
          <w:lang w:val="es-CO"/>
        </w:rPr>
        <w:t xml:space="preserve">ONU E/C.12/AGO/CO/3 (2008); </w:t>
      </w:r>
      <w:r w:rsidRPr="00AC72B5">
        <w:rPr>
          <w:i/>
          <w:w w:val="98"/>
          <w:lang w:val="es-CO"/>
        </w:rPr>
        <w:t>Kenia</w:t>
      </w:r>
      <w:r w:rsidRPr="00AC72B5">
        <w:rPr>
          <w:w w:val="98"/>
          <w:lang w:val="es-CO"/>
        </w:rPr>
        <w:t xml:space="preserve">, ¶ 33, Doc. ONU E/C.12/KEN/CO/1 (2008); </w:t>
      </w:r>
      <w:r w:rsidRPr="00AC72B5">
        <w:rPr>
          <w:i/>
          <w:w w:val="98"/>
          <w:lang w:val="es-CO"/>
        </w:rPr>
        <w:t>Rep</w:t>
      </w:r>
      <w:r w:rsidRPr="00AC72B5">
        <w:rPr>
          <w:i/>
          <w:w w:val="98"/>
        </w:rPr>
        <w:t>ú</w:t>
      </w:r>
      <w:r w:rsidRPr="00AC72B5">
        <w:rPr>
          <w:i/>
          <w:w w:val="98"/>
          <w:lang w:val="es-CO"/>
        </w:rPr>
        <w:t>blica de Macedonia</w:t>
      </w:r>
      <w:r w:rsidRPr="00AC72B5">
        <w:rPr>
          <w:w w:val="98"/>
          <w:lang w:val="es-CO"/>
        </w:rPr>
        <w:t xml:space="preserve">, ¶ 26, Doc. </w:t>
      </w:r>
      <w:r w:rsidRPr="00AC72B5">
        <w:rPr>
          <w:w w:val="98"/>
        </w:rPr>
        <w:t>ONU E/C.12/MKD/CO/1 (2008).</w:t>
      </w:r>
    </w:p>
  </w:endnote>
  <w:endnote w:id="194">
    <w:p w14:paraId="0C8E5E81" w14:textId="1B81E0D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Angola</w:t>
      </w:r>
      <w:r w:rsidRPr="00AC72B5">
        <w:rPr>
          <w:w w:val="98"/>
        </w:rPr>
        <w:t xml:space="preserve">, ¶ 37, Doc. ONU E/C.12/AGO/CO/3 (2008); </w:t>
      </w:r>
      <w:r w:rsidRPr="00AC72B5">
        <w:rPr>
          <w:i/>
          <w:w w:val="98"/>
        </w:rPr>
        <w:t>Kenia</w:t>
      </w:r>
      <w:r w:rsidRPr="00AC72B5">
        <w:rPr>
          <w:w w:val="98"/>
        </w:rPr>
        <w:t xml:space="preserve">, ¶ 33, Doc. ONU E/C.12/KEN/CO/1 (2008); </w:t>
      </w:r>
      <w:r w:rsidRPr="00AC72B5">
        <w:rPr>
          <w:i/>
          <w:w w:val="98"/>
        </w:rPr>
        <w:t>México</w:t>
      </w:r>
      <w:r w:rsidRPr="00AC72B5">
        <w:rPr>
          <w:w w:val="98"/>
        </w:rPr>
        <w:t xml:space="preserve">, ¶ 25, Doc. ONU </w:t>
      </w:r>
      <w:r w:rsidRPr="00AC72B5">
        <w:rPr>
          <w:w w:val="98"/>
        </w:rPr>
        <w:fldChar w:fldCharType="begin"/>
      </w:r>
      <w:r w:rsidRPr="00AC72B5">
        <w:rPr>
          <w:w w:val="98"/>
        </w:rPr>
        <w:instrText xml:space="preserve"> FILLIN "Symbol" \* MERGEFORMAT </w:instrText>
      </w:r>
      <w:r w:rsidRPr="00AC72B5">
        <w:rPr>
          <w:w w:val="98"/>
        </w:rPr>
        <w:fldChar w:fldCharType="separate"/>
      </w:r>
      <w:r w:rsidRPr="00AC72B5">
        <w:rPr>
          <w:w w:val="98"/>
        </w:rPr>
        <w:t>E/C.12/MEX/CO/4</w:t>
      </w:r>
      <w:r w:rsidRPr="00AC72B5">
        <w:rPr>
          <w:w w:val="98"/>
        </w:rPr>
        <w:fldChar w:fldCharType="end"/>
      </w:r>
      <w:r w:rsidRPr="00AC72B5">
        <w:rPr>
          <w:w w:val="98"/>
        </w:rPr>
        <w:t xml:space="preserve"> (2006).</w:t>
      </w:r>
    </w:p>
  </w:endnote>
  <w:endnote w:id="195">
    <w:p w14:paraId="4AC0F75B" w14:textId="5AB0790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Malta</w:t>
      </w:r>
      <w:r w:rsidRPr="00AC72B5">
        <w:rPr>
          <w:w w:val="98"/>
        </w:rPr>
        <w:t xml:space="preserve">, ¶ 24,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bCs/>
          <w:w w:val="98"/>
          <w:lang w:val="es-PE"/>
        </w:rPr>
        <w:t>E/C.12/1/Add.101</w:t>
      </w:r>
      <w:r w:rsidRPr="00AC72B5">
        <w:rPr>
          <w:bCs/>
          <w:w w:val="98"/>
          <w:lang w:val="en-GB"/>
        </w:rPr>
        <w:fldChar w:fldCharType="end"/>
      </w:r>
      <w:r w:rsidRPr="00AC72B5">
        <w:rPr>
          <w:w w:val="98"/>
        </w:rPr>
        <w:t xml:space="preserve"> (2004).</w:t>
      </w:r>
    </w:p>
  </w:endnote>
  <w:endnote w:id="196">
    <w:p w14:paraId="6026219B" w14:textId="2565BE5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Etiopia</w:t>
      </w:r>
      <w:r w:rsidRPr="00AC72B5">
        <w:rPr>
          <w:w w:val="98"/>
        </w:rPr>
        <w:t xml:space="preserve">, ¶ 25, Doc. ONU E/C.12/ETH/CO/1-3 (2012); </w:t>
      </w:r>
      <w:r w:rsidRPr="00AC72B5">
        <w:rPr>
          <w:i/>
          <w:w w:val="98"/>
        </w:rPr>
        <w:t>Nepal</w:t>
      </w:r>
      <w:r w:rsidRPr="00AC72B5">
        <w:rPr>
          <w:w w:val="98"/>
        </w:rPr>
        <w:t>, ¶ 26, Doc. ONU E/C.12/NPL/CO/2 (2008).</w:t>
      </w:r>
    </w:p>
  </w:endnote>
  <w:endnote w:id="197">
    <w:p w14:paraId="240E2E2E" w14:textId="4B444F0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Azerbaiyán</w:t>
      </w:r>
      <w:r w:rsidRPr="00AC72B5">
        <w:rPr>
          <w:w w:val="98"/>
        </w:rPr>
        <w:t xml:space="preserve">, ¶ 30,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bCs/>
          <w:w w:val="98"/>
          <w:lang w:val="es-PE"/>
        </w:rPr>
        <w:t>E/C.12/1/Add.104</w:t>
      </w:r>
      <w:r w:rsidRPr="00AC72B5">
        <w:rPr>
          <w:bCs/>
          <w:w w:val="98"/>
          <w:lang w:val="en-GB"/>
        </w:rPr>
        <w:fldChar w:fldCharType="end"/>
      </w:r>
      <w:r w:rsidRPr="00AC72B5">
        <w:rPr>
          <w:w w:val="98"/>
        </w:rPr>
        <w:t xml:space="preserve"> (2004); </w:t>
      </w:r>
      <w:r w:rsidRPr="00AC72B5">
        <w:rPr>
          <w:i/>
          <w:w w:val="98"/>
        </w:rPr>
        <w:t>Kuwait</w:t>
      </w:r>
      <w:r w:rsidRPr="00AC72B5">
        <w:rPr>
          <w:w w:val="98"/>
        </w:rPr>
        <w:t xml:space="preserve">, ¶ 23, Doc. ONU </w:t>
      </w:r>
      <w:r w:rsidRPr="00AC72B5">
        <w:rPr>
          <w:w w:val="98"/>
        </w:rPr>
        <w:fldChar w:fldCharType="begin"/>
      </w:r>
      <w:r w:rsidRPr="00AC72B5">
        <w:rPr>
          <w:w w:val="98"/>
        </w:rPr>
        <w:instrText xml:space="preserve"> FILLIN "Symbol" \* MERGEFORMAT </w:instrText>
      </w:r>
      <w:r w:rsidRPr="00AC72B5">
        <w:rPr>
          <w:w w:val="98"/>
        </w:rPr>
        <w:fldChar w:fldCharType="separate"/>
      </w:r>
      <w:r w:rsidRPr="00AC72B5">
        <w:rPr>
          <w:bCs/>
          <w:w w:val="98"/>
        </w:rPr>
        <w:t>E/C.12/1/Add.98</w:t>
      </w:r>
      <w:r w:rsidRPr="00AC72B5">
        <w:rPr>
          <w:bCs/>
          <w:w w:val="98"/>
        </w:rPr>
        <w:fldChar w:fldCharType="end"/>
      </w:r>
      <w:r w:rsidRPr="00AC72B5">
        <w:rPr>
          <w:w w:val="98"/>
        </w:rPr>
        <w:t xml:space="preserve"> (2004).</w:t>
      </w:r>
    </w:p>
  </w:endnote>
  <w:endnote w:id="198">
    <w:p w14:paraId="159D1838" w14:textId="1486E52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Chad</w:t>
      </w:r>
      <w:r w:rsidRPr="00AC72B5">
        <w:rPr>
          <w:w w:val="98"/>
        </w:rPr>
        <w:t>, ¶ 30, Doc. ONU E/C.12/TCD/CO/3 (2009).</w:t>
      </w:r>
    </w:p>
  </w:endnote>
  <w:endnote w:id="199">
    <w:p w14:paraId="1C1EFB85" w14:textId="18E78B2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Nepal</w:t>
      </w:r>
      <w:r w:rsidRPr="00AC72B5">
        <w:rPr>
          <w:w w:val="98"/>
        </w:rPr>
        <w:t>, ¶ 26, Doc. ONU E/C.12/NPL/CO/3 (2014).</w:t>
      </w:r>
    </w:p>
  </w:endnote>
  <w:endnote w:id="200">
    <w:p w14:paraId="3BB07E8C" w14:textId="308815F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Filipinas</w:t>
      </w:r>
      <w:r w:rsidRPr="00AC72B5">
        <w:rPr>
          <w:w w:val="98"/>
        </w:rPr>
        <w:t xml:space="preserve">, ¶ 31, Doc. ONU E/C.12/PHL/Co/4 (2008); </w:t>
      </w:r>
      <w:r w:rsidRPr="00AC72B5">
        <w:rPr>
          <w:i/>
          <w:w w:val="98"/>
        </w:rPr>
        <w:t>Moldavia</w:t>
      </w:r>
      <w:r w:rsidRPr="00AC72B5">
        <w:rPr>
          <w:w w:val="98"/>
        </w:rPr>
        <w:t>, ¶ 49, Doc. ONU E/C.12/1/Add.91 (2003);</w:t>
      </w:r>
      <w:r w:rsidRPr="00AC72B5">
        <w:rPr>
          <w:i/>
          <w:w w:val="98"/>
        </w:rPr>
        <w:t xml:space="preserve"> Georgia</w:t>
      </w:r>
      <w:r w:rsidRPr="00AC72B5">
        <w:rPr>
          <w:w w:val="98"/>
        </w:rPr>
        <w:t>, ¶ 18, Doc. ONU E/C.12/1/Add.42 (2000).</w:t>
      </w:r>
    </w:p>
  </w:endnote>
  <w:endnote w:id="201">
    <w:p w14:paraId="56ACBFF8" w14:textId="47B73FF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El Salvador</w:t>
      </w:r>
      <w:r w:rsidRPr="00AC72B5">
        <w:rPr>
          <w:w w:val="98"/>
        </w:rPr>
        <w:t>, ¶ 23, Doc. ONU E/C.12/SLV/CO/3-5 (2014);</w:t>
      </w:r>
      <w:r w:rsidRPr="00AC72B5">
        <w:rPr>
          <w:i/>
          <w:w w:val="98"/>
        </w:rPr>
        <w:t xml:space="preserve"> Guatemala</w:t>
      </w:r>
      <w:r w:rsidRPr="00AC72B5">
        <w:rPr>
          <w:w w:val="98"/>
        </w:rPr>
        <w:t>, ¶ 23, Doc. ONU E/C.12/GTM/CO/3 (2014);</w:t>
      </w:r>
      <w:r w:rsidRPr="00AC72B5">
        <w:rPr>
          <w:i/>
          <w:w w:val="98"/>
        </w:rPr>
        <w:t xml:space="preserve"> Chad</w:t>
      </w:r>
      <w:r w:rsidRPr="00AC72B5">
        <w:rPr>
          <w:w w:val="98"/>
        </w:rPr>
        <w:t xml:space="preserve">, ¶ 30, Doc. ONU E/C.12/TCD/CO/3 (2009); </w:t>
      </w:r>
      <w:r w:rsidRPr="00AC72B5">
        <w:rPr>
          <w:rFonts w:eastAsia="MS Mincho"/>
          <w:i/>
          <w:w w:val="98"/>
        </w:rPr>
        <w:t>Madagascar</w:t>
      </w:r>
      <w:r w:rsidRPr="00AC72B5">
        <w:rPr>
          <w:rFonts w:eastAsia="MS Mincho"/>
          <w:w w:val="98"/>
        </w:rPr>
        <w:t xml:space="preserve">, </w:t>
      </w:r>
      <w:r w:rsidRPr="00AC72B5">
        <w:rPr>
          <w:w w:val="98"/>
        </w:rPr>
        <w:t xml:space="preserve">¶ 30, </w:t>
      </w:r>
      <w:r w:rsidRPr="00AC72B5">
        <w:rPr>
          <w:rFonts w:eastAsia="MS Mincho"/>
          <w:w w:val="98"/>
        </w:rPr>
        <w:t xml:space="preserve">Doc. ONU </w:t>
      </w:r>
      <w:r w:rsidRPr="00AC72B5">
        <w:rPr>
          <w:w w:val="98"/>
        </w:rPr>
        <w:t>E/C.12/MDG/CO/2 (2009);</w:t>
      </w:r>
      <w:r w:rsidRPr="00AC72B5">
        <w:rPr>
          <w:rFonts w:eastAsia="MS Mincho"/>
          <w:i/>
          <w:w w:val="98"/>
        </w:rPr>
        <w:t xml:space="preserve"> </w:t>
      </w:r>
      <w:r w:rsidRPr="00AC72B5">
        <w:rPr>
          <w:i/>
          <w:w w:val="98"/>
        </w:rPr>
        <w:t>India</w:t>
      </w:r>
      <w:r w:rsidRPr="00AC72B5">
        <w:rPr>
          <w:w w:val="98"/>
        </w:rPr>
        <w:t>, ¶ 77, Doc. ONU E/C.12/IND/CO/5 (2008);</w:t>
      </w:r>
      <w:r w:rsidRPr="00AC72B5">
        <w:rPr>
          <w:i/>
          <w:w w:val="98"/>
        </w:rPr>
        <w:t xml:space="preserve"> Nepal</w:t>
      </w:r>
      <w:r w:rsidRPr="00AC72B5">
        <w:rPr>
          <w:w w:val="98"/>
        </w:rPr>
        <w:t xml:space="preserve">, ¶ 46, Doc. ONU E/C.12/NPL/CO/2 (2008); </w:t>
      </w:r>
      <w:r w:rsidRPr="00AC72B5">
        <w:rPr>
          <w:i/>
          <w:w w:val="98"/>
        </w:rPr>
        <w:t>Panamá</w:t>
      </w:r>
      <w:r w:rsidRPr="00AC72B5">
        <w:rPr>
          <w:w w:val="98"/>
        </w:rPr>
        <w:t>, ¶ 20, Doc. ONU E/C.12/1/Add.64 (2001).</w:t>
      </w:r>
    </w:p>
  </w:endnote>
  <w:endnote w:id="202">
    <w:p w14:paraId="3F49FB3E" w14:textId="6C3F103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Rumania</w:t>
      </w:r>
      <w:r w:rsidRPr="00AC72B5">
        <w:rPr>
          <w:w w:val="98"/>
        </w:rPr>
        <w:t xml:space="preserve">, ¶ 22, Doc. ONU </w:t>
      </w:r>
      <w:r w:rsidRPr="00AC72B5">
        <w:rPr>
          <w:rFonts w:eastAsia="MS Mincho"/>
          <w:w w:val="98"/>
        </w:rPr>
        <w:t>E/C.12/ROU/CO/3-5 (2014).</w:t>
      </w:r>
    </w:p>
  </w:endnote>
  <w:endnote w:id="203">
    <w:p w14:paraId="4A96F6E6" w14:textId="2B40D62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Kazajistán</w:t>
      </w:r>
      <w:r w:rsidRPr="00AC72B5">
        <w:rPr>
          <w:w w:val="98"/>
        </w:rPr>
        <w:t>, ¶ 33, Doc. ONU</w:t>
      </w:r>
      <w:r w:rsidRPr="00AC72B5">
        <w:rPr>
          <w:i/>
          <w:w w:val="98"/>
        </w:rPr>
        <w:t xml:space="preserve"> </w:t>
      </w:r>
      <w:r w:rsidRPr="00AC72B5">
        <w:rPr>
          <w:w w:val="98"/>
        </w:rPr>
        <w:t xml:space="preserve">E/C.12/KAZ/CO/1 (2010); </w:t>
      </w:r>
      <w:r w:rsidRPr="00AC72B5">
        <w:rPr>
          <w:i/>
          <w:w w:val="98"/>
        </w:rPr>
        <w:t>Países Bajos</w:t>
      </w:r>
      <w:r w:rsidRPr="00AC72B5">
        <w:rPr>
          <w:w w:val="98"/>
        </w:rPr>
        <w:t>, ¶ 27, Doc. ONU E/C.12/NDL/CO/4-5 (2010).</w:t>
      </w:r>
    </w:p>
  </w:endnote>
  <w:endnote w:id="204">
    <w:p w14:paraId="02F38426" w14:textId="5305168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Nicaragua</w:t>
      </w:r>
      <w:r w:rsidRPr="00AC72B5">
        <w:rPr>
          <w:w w:val="98"/>
        </w:rPr>
        <w:t>, ¶ 27, Doc. ONU E/C.12/NIC/CO/4 (2008);</w:t>
      </w:r>
      <w:r w:rsidRPr="00AC72B5">
        <w:rPr>
          <w:i/>
          <w:w w:val="98"/>
        </w:rPr>
        <w:t xml:space="preserve"> Paraguay</w:t>
      </w:r>
      <w:r w:rsidRPr="00AC72B5">
        <w:rPr>
          <w:w w:val="98"/>
        </w:rPr>
        <w:t>, ¶ 32, Doc. ONU E/C.12/PRY/CO/3 (2008);</w:t>
      </w:r>
      <w:r w:rsidRPr="00AC72B5">
        <w:rPr>
          <w:i/>
          <w:w w:val="98"/>
        </w:rPr>
        <w:t xml:space="preserve"> China</w:t>
      </w:r>
      <w:r w:rsidRPr="00AC72B5">
        <w:rPr>
          <w:w w:val="98"/>
        </w:rPr>
        <w:t xml:space="preserve">, ¶ 100,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w w:val="98"/>
          <w:lang w:val="es-PE"/>
        </w:rPr>
        <w:t>E/C.12/1/Add.107</w:t>
      </w:r>
      <w:r w:rsidRPr="00AC72B5">
        <w:rPr>
          <w:w w:val="98"/>
          <w:lang w:val="en-GB"/>
        </w:rPr>
        <w:fldChar w:fldCharType="end"/>
      </w:r>
      <w:r w:rsidRPr="00AC72B5">
        <w:rPr>
          <w:w w:val="98"/>
        </w:rPr>
        <w:t xml:space="preserve"> (2005);</w:t>
      </w:r>
      <w:r w:rsidRPr="00AC72B5">
        <w:rPr>
          <w:i/>
          <w:w w:val="98"/>
        </w:rPr>
        <w:t xml:space="preserve"> Azerbaiyán</w:t>
      </w:r>
      <w:r w:rsidRPr="00AC72B5">
        <w:rPr>
          <w:w w:val="98"/>
        </w:rPr>
        <w:t xml:space="preserve">, ¶ 30,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w w:val="98"/>
          <w:lang w:val="es-PE"/>
        </w:rPr>
        <w:t>E/C.12/1/Add.104</w:t>
      </w:r>
      <w:r w:rsidRPr="00AC72B5">
        <w:rPr>
          <w:w w:val="98"/>
          <w:lang w:val="en-GB"/>
        </w:rPr>
        <w:fldChar w:fldCharType="end"/>
      </w:r>
      <w:r w:rsidRPr="00AC72B5">
        <w:rPr>
          <w:w w:val="98"/>
        </w:rPr>
        <w:t xml:space="preserve"> (2004); </w:t>
      </w:r>
      <w:r w:rsidRPr="00AC72B5">
        <w:rPr>
          <w:i/>
          <w:w w:val="98"/>
        </w:rPr>
        <w:t>Kuwait</w:t>
      </w:r>
      <w:r w:rsidRPr="00AC72B5">
        <w:rPr>
          <w:w w:val="98"/>
        </w:rPr>
        <w:t xml:space="preserve">, ¶ 23, Doc. ONU </w:t>
      </w:r>
      <w:r w:rsidRPr="00AC72B5">
        <w:rPr>
          <w:w w:val="98"/>
        </w:rPr>
        <w:fldChar w:fldCharType="begin"/>
      </w:r>
      <w:r w:rsidRPr="00AC72B5">
        <w:rPr>
          <w:w w:val="98"/>
        </w:rPr>
        <w:instrText xml:space="preserve"> FILLIN "Symbol" \* MERGEFORMAT </w:instrText>
      </w:r>
      <w:r w:rsidRPr="00AC72B5">
        <w:rPr>
          <w:w w:val="98"/>
        </w:rPr>
        <w:fldChar w:fldCharType="separate"/>
      </w:r>
      <w:r w:rsidRPr="00AC72B5">
        <w:rPr>
          <w:w w:val="98"/>
        </w:rPr>
        <w:t>E/C.12/1/Add.98</w:t>
      </w:r>
      <w:r w:rsidRPr="00AC72B5">
        <w:rPr>
          <w:w w:val="98"/>
        </w:rPr>
        <w:fldChar w:fldCharType="end"/>
      </w:r>
      <w:r w:rsidRPr="00AC72B5">
        <w:rPr>
          <w:w w:val="98"/>
        </w:rPr>
        <w:t xml:space="preserve"> (2004).</w:t>
      </w:r>
    </w:p>
  </w:endnote>
  <w:endnote w:id="205">
    <w:p w14:paraId="175CD636" w14:textId="2FF2E6A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Nepal</w:t>
      </w:r>
      <w:r w:rsidRPr="00AC72B5">
        <w:rPr>
          <w:w w:val="98"/>
        </w:rPr>
        <w:t>, ¶ 26, Doc. ONU E/C.12/NPL/CO/3 (2014).</w:t>
      </w:r>
    </w:p>
  </w:endnote>
  <w:endnote w:id="206">
    <w:p w14:paraId="5008BFE7" w14:textId="3E6A5F4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Georgia</w:t>
      </w:r>
      <w:r w:rsidRPr="00AC72B5">
        <w:rPr>
          <w:w w:val="98"/>
        </w:rPr>
        <w:t>, ¶ 18, Doc. ONU E/C.12/1/Add.42 (2000).</w:t>
      </w:r>
    </w:p>
  </w:endnote>
  <w:endnote w:id="207">
    <w:p w14:paraId="7823E703" w14:textId="7C8BB2E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Kazajistán</w:t>
      </w:r>
      <w:r w:rsidRPr="00AC72B5">
        <w:rPr>
          <w:w w:val="98"/>
        </w:rPr>
        <w:t xml:space="preserve">, ¶ 33, Doc. </w:t>
      </w:r>
      <w:r w:rsidRPr="00AC72B5">
        <w:rPr>
          <w:w w:val="98"/>
          <w:lang w:val="es-CO"/>
        </w:rPr>
        <w:t>ONU</w:t>
      </w:r>
      <w:r w:rsidRPr="00AC72B5">
        <w:rPr>
          <w:i/>
          <w:w w:val="98"/>
          <w:lang w:val="es-CO"/>
        </w:rPr>
        <w:t xml:space="preserve"> </w:t>
      </w:r>
      <w:r w:rsidRPr="00AC72B5">
        <w:rPr>
          <w:w w:val="98"/>
          <w:lang w:val="es-CO"/>
        </w:rPr>
        <w:t xml:space="preserve">E/C.12/KAZ/CO/1 (2010); </w:t>
      </w:r>
      <w:r w:rsidRPr="00AC72B5">
        <w:rPr>
          <w:i/>
          <w:w w:val="98"/>
          <w:lang w:val="es-CO"/>
        </w:rPr>
        <w:t>Rep</w:t>
      </w:r>
      <w:r w:rsidRPr="00AC72B5">
        <w:rPr>
          <w:i/>
          <w:w w:val="98"/>
        </w:rPr>
        <w:t>ú</w:t>
      </w:r>
      <w:r w:rsidRPr="00AC72B5">
        <w:rPr>
          <w:i/>
          <w:w w:val="98"/>
          <w:lang w:val="es-CO"/>
        </w:rPr>
        <w:t>blica deMacedonia</w:t>
      </w:r>
      <w:r w:rsidRPr="00AC72B5">
        <w:rPr>
          <w:w w:val="98"/>
          <w:lang w:val="es-CO"/>
        </w:rPr>
        <w:t xml:space="preserve">, ¶ 26, Doc. </w:t>
      </w:r>
      <w:r w:rsidRPr="00AC72B5">
        <w:rPr>
          <w:w w:val="98"/>
        </w:rPr>
        <w:t>ONU E/C.12/MKD/CO/1 (2008).</w:t>
      </w:r>
    </w:p>
  </w:endnote>
  <w:endnote w:id="208">
    <w:p w14:paraId="6941441E" w14:textId="19B7BDC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Bosnia y Herzegovina</w:t>
      </w:r>
      <w:r w:rsidRPr="00AC72B5">
        <w:rPr>
          <w:w w:val="98"/>
        </w:rPr>
        <w:t xml:space="preserve">, ¶ 32, Doc. ONU E/C.12/BIH/CO/2 (2013); </w:t>
      </w:r>
      <w:r w:rsidRPr="00AC72B5">
        <w:rPr>
          <w:i/>
          <w:w w:val="98"/>
        </w:rPr>
        <w:t>Israel</w:t>
      </w:r>
      <w:r w:rsidRPr="00AC72B5">
        <w:rPr>
          <w:w w:val="98"/>
        </w:rPr>
        <w:t xml:space="preserve">, ¶ 19, Doc. ONU E/C.12/ISR/CO/3 (2011); </w:t>
      </w:r>
      <w:r w:rsidRPr="00AC72B5">
        <w:rPr>
          <w:i/>
          <w:w w:val="98"/>
        </w:rPr>
        <w:t>Nepal</w:t>
      </w:r>
      <w:r w:rsidRPr="00AC72B5">
        <w:rPr>
          <w:w w:val="98"/>
        </w:rPr>
        <w:t>, ¶ 26, Doc. ONU E/C.12/NPL/CO/2 (2008).</w:t>
      </w:r>
    </w:p>
  </w:endnote>
  <w:endnote w:id="209">
    <w:p w14:paraId="50ED6BF8" w14:textId="487A0AD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Nepal</w:t>
      </w:r>
      <w:r w:rsidRPr="00AC72B5">
        <w:rPr>
          <w:w w:val="98"/>
        </w:rPr>
        <w:t>, ¶ 26, Doc. ONU E/C.12/NPL/CO/2 (2008).</w:t>
      </w:r>
    </w:p>
  </w:endnote>
  <w:endnote w:id="210">
    <w:p w14:paraId="1AFF6596" w14:textId="73654F3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México</w:t>
      </w:r>
      <w:r w:rsidRPr="00AC72B5">
        <w:rPr>
          <w:w w:val="98"/>
        </w:rPr>
        <w:t xml:space="preserve">, ¶ 25, Doc. ONU </w:t>
      </w:r>
      <w:r w:rsidRPr="00AC72B5">
        <w:rPr>
          <w:w w:val="98"/>
        </w:rPr>
        <w:fldChar w:fldCharType="begin"/>
      </w:r>
      <w:r w:rsidRPr="00AC72B5">
        <w:rPr>
          <w:w w:val="98"/>
        </w:rPr>
        <w:instrText xml:space="preserve"> FILLIN "Symbol" \* MERGEFORMAT </w:instrText>
      </w:r>
      <w:r w:rsidRPr="00AC72B5">
        <w:rPr>
          <w:w w:val="98"/>
        </w:rPr>
        <w:fldChar w:fldCharType="separate"/>
      </w:r>
      <w:r w:rsidRPr="00AC72B5">
        <w:rPr>
          <w:w w:val="98"/>
        </w:rPr>
        <w:t>E/C.12/MEX/CO/4</w:t>
      </w:r>
      <w:r w:rsidRPr="00AC72B5">
        <w:rPr>
          <w:w w:val="98"/>
        </w:rPr>
        <w:fldChar w:fldCharType="end"/>
      </w:r>
      <w:r w:rsidRPr="00AC72B5">
        <w:rPr>
          <w:w w:val="98"/>
        </w:rPr>
        <w:t xml:space="preserve"> (2006).</w:t>
      </w:r>
    </w:p>
  </w:endnote>
  <w:endnote w:id="211">
    <w:p w14:paraId="2D627189" w14:textId="01A0DD3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Montenegro</w:t>
      </w:r>
      <w:r w:rsidRPr="00AC72B5">
        <w:rPr>
          <w:w w:val="98"/>
        </w:rPr>
        <w:t xml:space="preserve">, ¶ 24, Doc. ONU E/C.12/MNE/CO/1 (2014); </w:t>
      </w:r>
      <w:r w:rsidRPr="00AC72B5">
        <w:rPr>
          <w:rFonts w:eastAsia="MS Mincho"/>
          <w:i/>
          <w:w w:val="98"/>
        </w:rPr>
        <w:t>Azerbaiyán</w:t>
      </w:r>
      <w:r w:rsidRPr="00AC72B5">
        <w:rPr>
          <w:rFonts w:eastAsia="MS Mincho"/>
          <w:w w:val="98"/>
        </w:rPr>
        <w:t xml:space="preserve">, </w:t>
      </w:r>
      <w:r w:rsidRPr="00AC72B5">
        <w:rPr>
          <w:w w:val="98"/>
        </w:rPr>
        <w:t xml:space="preserve">¶ 16, </w:t>
      </w:r>
      <w:r w:rsidRPr="00AC72B5">
        <w:rPr>
          <w:rFonts w:eastAsia="MS Mincho"/>
          <w:w w:val="98"/>
        </w:rPr>
        <w:t xml:space="preserve">Doc. ONU </w:t>
      </w:r>
      <w:r w:rsidRPr="00AC72B5">
        <w:rPr>
          <w:w w:val="98"/>
        </w:rPr>
        <w:t xml:space="preserve">E/C.12/AZE/CO/3 (2013); </w:t>
      </w:r>
      <w:r w:rsidRPr="00AC72B5">
        <w:rPr>
          <w:i/>
          <w:w w:val="98"/>
        </w:rPr>
        <w:t>Bosnia y Herzegovina</w:t>
      </w:r>
      <w:r w:rsidRPr="00AC72B5">
        <w:rPr>
          <w:w w:val="98"/>
        </w:rPr>
        <w:t>, ¶ 32, Doc. ONU E/C.12/BIH/CO/2 (2013).</w:t>
      </w:r>
    </w:p>
  </w:endnote>
  <w:endnote w:id="212">
    <w:p w14:paraId="112B8D74" w14:textId="1345B43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Montenegro</w:t>
      </w:r>
      <w:r w:rsidRPr="00AC72B5">
        <w:rPr>
          <w:w w:val="98"/>
        </w:rPr>
        <w:t xml:space="preserve">, ¶ 24, Doc. ONU E/C.12/MNE/CO/1 (2014); </w:t>
      </w:r>
      <w:r w:rsidRPr="00AC72B5">
        <w:rPr>
          <w:rFonts w:eastAsia="MS Mincho"/>
          <w:i/>
          <w:w w:val="98"/>
        </w:rPr>
        <w:t>Azerbaiyán</w:t>
      </w:r>
      <w:r w:rsidRPr="00AC72B5">
        <w:rPr>
          <w:rFonts w:eastAsia="MS Mincho"/>
          <w:w w:val="98"/>
        </w:rPr>
        <w:t>,</w:t>
      </w:r>
      <w:r w:rsidRPr="00AC72B5">
        <w:rPr>
          <w:w w:val="98"/>
        </w:rPr>
        <w:t xml:space="preserve"> ¶ 16, </w:t>
      </w:r>
      <w:r w:rsidRPr="00AC72B5">
        <w:rPr>
          <w:rFonts w:eastAsia="MS Mincho"/>
          <w:w w:val="98"/>
        </w:rPr>
        <w:t xml:space="preserve">Doc. ONU </w:t>
      </w:r>
      <w:r w:rsidRPr="00AC72B5">
        <w:rPr>
          <w:w w:val="98"/>
        </w:rPr>
        <w:t>E/C.12/AZE/CO/3 (2013).</w:t>
      </w:r>
    </w:p>
  </w:endnote>
  <w:endnote w:id="213">
    <w:p w14:paraId="15D2A07F" w14:textId="4D034B0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Montenegro</w:t>
      </w:r>
      <w:r w:rsidRPr="00AC72B5">
        <w:rPr>
          <w:w w:val="98"/>
        </w:rPr>
        <w:t xml:space="preserve">, ¶ 24, Doc. ONU E/C.12/MNE/CO/1 (2014); </w:t>
      </w:r>
      <w:r w:rsidRPr="00AC72B5">
        <w:rPr>
          <w:i/>
          <w:w w:val="98"/>
        </w:rPr>
        <w:t>Bosnia y Herzegovina</w:t>
      </w:r>
      <w:r w:rsidRPr="00AC72B5">
        <w:rPr>
          <w:w w:val="98"/>
        </w:rPr>
        <w:t>, ¶ 32, Doc. ONU E/C.12/BIH/CO/2 (2013).</w:t>
      </w:r>
    </w:p>
  </w:endnote>
  <w:endnote w:id="214">
    <w:p w14:paraId="69A6B487" w14:textId="4741F41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Ecuador</w:t>
      </w:r>
      <w:r w:rsidRPr="00AC72B5">
        <w:rPr>
          <w:w w:val="98"/>
        </w:rPr>
        <w:t>, ¶ 30, Doc. ONU E/C.12/ECU/CO/3 (2012).</w:t>
      </w:r>
    </w:p>
  </w:endnote>
  <w:endnote w:id="215">
    <w:p w14:paraId="5DCBD5B5" w14:textId="7CAA074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Honduras</w:t>
      </w:r>
      <w:r w:rsidRPr="00AC72B5">
        <w:rPr>
          <w:w w:val="98"/>
        </w:rPr>
        <w:t>, Doc. ONU E/C.12/1/Add.57 (2001).</w:t>
      </w:r>
    </w:p>
  </w:endnote>
  <w:endnote w:id="216">
    <w:p w14:paraId="2BA9B8BF" w14:textId="4E546B3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Israel</w:t>
      </w:r>
      <w:r w:rsidRPr="00AC72B5">
        <w:rPr>
          <w:w w:val="98"/>
        </w:rPr>
        <w:t xml:space="preserve">, ¶ 19, Doc. ONU E/C.12/ISR/CO/3 (2011); </w:t>
      </w:r>
      <w:r w:rsidRPr="00AC72B5">
        <w:rPr>
          <w:i/>
          <w:w w:val="98"/>
        </w:rPr>
        <w:t>Países Bajos</w:t>
      </w:r>
      <w:r w:rsidRPr="00AC72B5">
        <w:rPr>
          <w:w w:val="98"/>
        </w:rPr>
        <w:t xml:space="preserve">, ¶ 27, Doc. ONU E/C.12/NDL/CO/4-5 (2010); </w:t>
      </w:r>
      <w:r w:rsidRPr="00AC72B5">
        <w:rPr>
          <w:i/>
          <w:w w:val="98"/>
        </w:rPr>
        <w:t>República de Macedonia</w:t>
      </w:r>
      <w:r w:rsidRPr="00AC72B5">
        <w:rPr>
          <w:w w:val="98"/>
        </w:rPr>
        <w:t>, ¶ 46, Doc. ONU E/C.12/MKD/CO/1 (2008).</w:t>
      </w:r>
    </w:p>
  </w:endnote>
  <w:endnote w:id="217">
    <w:p w14:paraId="5DBBADB9" w14:textId="01E9158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México</w:t>
      </w:r>
      <w:r w:rsidRPr="00AC72B5">
        <w:rPr>
          <w:w w:val="98"/>
        </w:rPr>
        <w:t xml:space="preserve">, ¶ 44, Doc. ONU </w:t>
      </w:r>
      <w:r w:rsidRPr="00AC72B5">
        <w:rPr>
          <w:w w:val="98"/>
        </w:rPr>
        <w:fldChar w:fldCharType="begin"/>
      </w:r>
      <w:r w:rsidRPr="00AC72B5">
        <w:rPr>
          <w:w w:val="98"/>
        </w:rPr>
        <w:instrText xml:space="preserve"> FILLIN "Symbol" \* MERGEFORMAT </w:instrText>
      </w:r>
      <w:r w:rsidRPr="00AC72B5">
        <w:rPr>
          <w:w w:val="98"/>
        </w:rPr>
        <w:fldChar w:fldCharType="separate"/>
      </w:r>
      <w:r w:rsidRPr="00AC72B5">
        <w:rPr>
          <w:w w:val="98"/>
        </w:rPr>
        <w:t>E/C.12/MEX/CO/4</w:t>
      </w:r>
      <w:r w:rsidRPr="00AC72B5">
        <w:rPr>
          <w:w w:val="98"/>
        </w:rPr>
        <w:fldChar w:fldCharType="end"/>
      </w:r>
      <w:r w:rsidRPr="00AC72B5">
        <w:rPr>
          <w:w w:val="98"/>
        </w:rPr>
        <w:t xml:space="preserve"> (2006).</w:t>
      </w:r>
    </w:p>
  </w:endnote>
  <w:endnote w:id="218">
    <w:p w14:paraId="0C0432E4" w14:textId="04EAE95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Corea</w:t>
      </w:r>
      <w:r w:rsidRPr="00AC72B5">
        <w:rPr>
          <w:w w:val="98"/>
        </w:rPr>
        <w:t>, ¶ 31, Doc. ONU E/C.12/KOR/CO/3 (2009).</w:t>
      </w:r>
    </w:p>
  </w:endnote>
  <w:endnote w:id="219">
    <w:p w14:paraId="35315E9F" w14:textId="34C3B40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Uganda</w:t>
      </w:r>
      <w:r w:rsidRPr="00AC72B5">
        <w:rPr>
          <w:w w:val="98"/>
        </w:rPr>
        <w:t xml:space="preserve">, ¶ 35, Doc. ONU E/C.12/UGA/CO/1 (2015); </w:t>
      </w:r>
      <w:r w:rsidRPr="00AC72B5">
        <w:rPr>
          <w:i/>
          <w:w w:val="98"/>
        </w:rPr>
        <w:t>Ruanda</w:t>
      </w:r>
      <w:r w:rsidRPr="00AC72B5">
        <w:rPr>
          <w:w w:val="98"/>
        </w:rPr>
        <w:t>, ¶ 26, Doc. ONU E/C.12/RWA/CO/2-4 (2013).</w:t>
      </w:r>
    </w:p>
  </w:endnote>
  <w:endnote w:id="220">
    <w:p w14:paraId="4BA45E0A" w14:textId="1F520F0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Burkina Faso</w:t>
      </w:r>
      <w:r w:rsidRPr="00AC72B5">
        <w:rPr>
          <w:w w:val="98"/>
        </w:rPr>
        <w:t>, ¶ 46, Doc. ONU E/C.12/BFA/CO/1 (2016);</w:t>
      </w:r>
      <w:r w:rsidRPr="00AC72B5">
        <w:rPr>
          <w:i/>
          <w:w w:val="98"/>
        </w:rPr>
        <w:t xml:space="preserve"> Honduras</w:t>
      </w:r>
      <w:r w:rsidRPr="00AC72B5">
        <w:rPr>
          <w:w w:val="98"/>
        </w:rPr>
        <w:t>, ¶ 53, Doc. ONU E/C.12/HND/CO/2 (2016);</w:t>
      </w:r>
      <w:r w:rsidRPr="00AC72B5">
        <w:rPr>
          <w:i/>
          <w:w w:val="98"/>
        </w:rPr>
        <w:t xml:space="preserve"> República Dominicana</w:t>
      </w:r>
      <w:r w:rsidRPr="00AC72B5">
        <w:rPr>
          <w:w w:val="98"/>
        </w:rPr>
        <w:t>, ¶ 59, Doc. ONU E/C.12/DOM/CO/4 (2016);</w:t>
      </w:r>
      <w:r w:rsidRPr="00AC72B5">
        <w:rPr>
          <w:i/>
          <w:w w:val="98"/>
        </w:rPr>
        <w:t xml:space="preserve"> Filipinas</w:t>
      </w:r>
      <w:r w:rsidRPr="00AC72B5">
        <w:rPr>
          <w:w w:val="98"/>
        </w:rPr>
        <w:t xml:space="preserve">, ¶ 47, Doc. ONU E/C.12/AGO/CO/4-5 (2016); </w:t>
      </w:r>
      <w:r w:rsidRPr="00AC72B5">
        <w:rPr>
          <w:i/>
          <w:w w:val="98"/>
        </w:rPr>
        <w:t>Burund</w:t>
      </w:r>
      <w:r w:rsidRPr="00AC72B5">
        <w:rPr>
          <w:w w:val="98"/>
        </w:rPr>
        <w:t xml:space="preserve">í, ¶ 54, Doc. ONU E/C.12/BDI/CO/1 (2015); </w:t>
      </w:r>
      <w:r w:rsidRPr="00AC72B5">
        <w:rPr>
          <w:i/>
          <w:w w:val="98"/>
        </w:rPr>
        <w:t>Costa Rica</w:t>
      </w:r>
      <w:r w:rsidRPr="00AC72B5">
        <w:rPr>
          <w:w w:val="98"/>
        </w:rPr>
        <w:t xml:space="preserve">, ¶ 25, Doc. ONU E/C.12/CRI/CO/4 (2008); </w:t>
      </w:r>
      <w:r w:rsidRPr="00AC72B5">
        <w:rPr>
          <w:i/>
          <w:w w:val="98"/>
        </w:rPr>
        <w:t>Nicaragua</w:t>
      </w:r>
      <w:r w:rsidRPr="00AC72B5">
        <w:rPr>
          <w:w w:val="98"/>
        </w:rPr>
        <w:t xml:space="preserve">, ¶ 26, Doc. ONU E/C.12/NIC/CO/4 (2008); </w:t>
      </w:r>
      <w:r w:rsidRPr="00AC72B5">
        <w:rPr>
          <w:i/>
          <w:w w:val="98"/>
        </w:rPr>
        <w:t>El Salvador</w:t>
      </w:r>
      <w:r w:rsidRPr="00AC72B5">
        <w:rPr>
          <w:w w:val="98"/>
        </w:rPr>
        <w:t xml:space="preserve">, ¶ 25, Doc. ONU E/C.12/SLV/CO/2 (2007); </w:t>
      </w:r>
      <w:r w:rsidRPr="00AC72B5">
        <w:rPr>
          <w:i/>
          <w:w w:val="98"/>
        </w:rPr>
        <w:t>Mónaco</w:t>
      </w:r>
      <w:r w:rsidRPr="00AC72B5">
        <w:rPr>
          <w:w w:val="98"/>
        </w:rPr>
        <w:t xml:space="preserve">, ¶ 15, Doc. ONU E/C.12/MCO/CO/1 (2006); </w:t>
      </w:r>
      <w:r w:rsidRPr="00AC72B5">
        <w:rPr>
          <w:i/>
          <w:w w:val="98"/>
        </w:rPr>
        <w:t>Chile</w:t>
      </w:r>
      <w:r w:rsidRPr="00AC72B5">
        <w:rPr>
          <w:w w:val="98"/>
        </w:rPr>
        <w:t xml:space="preserve">, ¶ 26,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bCs/>
          <w:w w:val="98"/>
          <w:lang w:val="es-PE"/>
        </w:rPr>
        <w:t>E/C.12/1/Add.105</w:t>
      </w:r>
      <w:r w:rsidRPr="00AC72B5">
        <w:rPr>
          <w:bCs/>
          <w:w w:val="98"/>
          <w:lang w:val="en-GB"/>
        </w:rPr>
        <w:fldChar w:fldCharType="end"/>
      </w:r>
      <w:r w:rsidRPr="00AC72B5">
        <w:rPr>
          <w:w w:val="98"/>
        </w:rPr>
        <w:t xml:space="preserve"> (2004); </w:t>
      </w:r>
      <w:r w:rsidRPr="00AC72B5">
        <w:rPr>
          <w:i/>
          <w:w w:val="98"/>
        </w:rPr>
        <w:t>Malta</w:t>
      </w:r>
      <w:r w:rsidRPr="00AC72B5">
        <w:rPr>
          <w:w w:val="98"/>
        </w:rPr>
        <w:t xml:space="preserve">, ¶ 23,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bCs/>
          <w:w w:val="98"/>
          <w:lang w:val="es-PE"/>
        </w:rPr>
        <w:t>E/C.12/1/Add.101</w:t>
      </w:r>
      <w:r w:rsidRPr="00AC72B5">
        <w:rPr>
          <w:bCs/>
          <w:w w:val="98"/>
          <w:lang w:val="en-GB"/>
        </w:rPr>
        <w:fldChar w:fldCharType="end"/>
      </w:r>
      <w:r w:rsidRPr="00AC72B5">
        <w:rPr>
          <w:w w:val="98"/>
        </w:rPr>
        <w:t xml:space="preserve"> (2004); </w:t>
      </w:r>
      <w:r w:rsidRPr="00AC72B5">
        <w:rPr>
          <w:i/>
          <w:w w:val="98"/>
        </w:rPr>
        <w:t>Nepal</w:t>
      </w:r>
      <w:r w:rsidRPr="00AC72B5">
        <w:rPr>
          <w:w w:val="98"/>
        </w:rPr>
        <w:t>, ¶ 33, Doc. ONU E/C.12/1/Add.66 (2001).</w:t>
      </w:r>
    </w:p>
  </w:endnote>
  <w:endnote w:id="221">
    <w:p w14:paraId="1125338F" w14:textId="453585F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Kenia</w:t>
      </w:r>
      <w:r w:rsidRPr="00AC72B5">
        <w:rPr>
          <w:w w:val="98"/>
        </w:rPr>
        <w:t xml:space="preserve">, ¶ 53, Doc. ONU E/C.12/KEN/CO/2-5 (2016); </w:t>
      </w:r>
      <w:r w:rsidRPr="00AC72B5">
        <w:rPr>
          <w:i/>
          <w:w w:val="98"/>
        </w:rPr>
        <w:t>Jamaica</w:t>
      </w:r>
      <w:r w:rsidRPr="00AC72B5">
        <w:rPr>
          <w:w w:val="98"/>
        </w:rPr>
        <w:t xml:space="preserve">, ¶ 29, Doc. ONU E/C.12/JAM/CO/3-4 (2013); </w:t>
      </w:r>
      <w:r w:rsidRPr="00AC72B5">
        <w:rPr>
          <w:i/>
          <w:w w:val="98"/>
        </w:rPr>
        <w:t>Países Bajos</w:t>
      </w:r>
      <w:r w:rsidRPr="00AC72B5">
        <w:rPr>
          <w:w w:val="98"/>
        </w:rPr>
        <w:t>, ¶ 27, Doc. ONU E/C.12/NDL/CO/4-5 (2010).</w:t>
      </w:r>
    </w:p>
  </w:endnote>
  <w:endnote w:id="222">
    <w:p w14:paraId="7BD3BB31" w14:textId="18EE508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Costa Rica</w:t>
      </w:r>
      <w:r w:rsidRPr="00AC72B5">
        <w:rPr>
          <w:w w:val="98"/>
        </w:rPr>
        <w:t xml:space="preserve">, ¶ 53, Doc. ONU E/C.12/CRI/CO/5 (2016); </w:t>
      </w:r>
      <w:r w:rsidRPr="00AC72B5">
        <w:rPr>
          <w:i/>
          <w:w w:val="98"/>
        </w:rPr>
        <w:t>Irlanda</w:t>
      </w:r>
      <w:r w:rsidRPr="00AC72B5">
        <w:rPr>
          <w:w w:val="98"/>
        </w:rPr>
        <w:t xml:space="preserve">, ¶ 30, Doc. ONU E/C.12/IRL/CO/3 (2015); </w:t>
      </w:r>
      <w:r w:rsidRPr="00AC72B5">
        <w:rPr>
          <w:i/>
          <w:w w:val="98"/>
        </w:rPr>
        <w:t>Guatemala</w:t>
      </w:r>
      <w:r w:rsidRPr="00AC72B5">
        <w:rPr>
          <w:w w:val="98"/>
        </w:rPr>
        <w:t xml:space="preserve">, ¶ 23, Doc. ONU E/C.12/GTM/CO/3 (2014); </w:t>
      </w:r>
      <w:r w:rsidRPr="00AC72B5">
        <w:rPr>
          <w:i/>
          <w:w w:val="98"/>
        </w:rPr>
        <w:t>Ecuador</w:t>
      </w:r>
      <w:r w:rsidRPr="00AC72B5">
        <w:rPr>
          <w:w w:val="98"/>
        </w:rPr>
        <w:t xml:space="preserve">, ¶ 29, Doc. ONU E/C.12/ECU/CO/3 (2012); </w:t>
      </w:r>
      <w:r w:rsidRPr="00AC72B5">
        <w:rPr>
          <w:i/>
          <w:w w:val="98"/>
        </w:rPr>
        <w:t>Perú</w:t>
      </w:r>
      <w:r w:rsidRPr="00AC72B5">
        <w:rPr>
          <w:w w:val="98"/>
        </w:rPr>
        <w:t xml:space="preserve">, ¶ 21, Doc. ONU E/C.12/PER/CO/2-4 (2012); </w:t>
      </w:r>
      <w:r w:rsidRPr="00AC72B5">
        <w:rPr>
          <w:i/>
          <w:w w:val="98"/>
        </w:rPr>
        <w:t>Kuwait</w:t>
      </w:r>
      <w:r w:rsidRPr="00AC72B5">
        <w:rPr>
          <w:w w:val="98"/>
        </w:rPr>
        <w:t xml:space="preserve">, ¶ 23, Doc. ONU </w:t>
      </w:r>
      <w:r w:rsidRPr="00AC72B5">
        <w:rPr>
          <w:w w:val="98"/>
        </w:rPr>
        <w:fldChar w:fldCharType="begin"/>
      </w:r>
      <w:r w:rsidRPr="00AC72B5">
        <w:rPr>
          <w:w w:val="98"/>
        </w:rPr>
        <w:instrText xml:space="preserve"> FILLIN "Symbol" \* MERGEFORMAT </w:instrText>
      </w:r>
      <w:r w:rsidRPr="00AC72B5">
        <w:rPr>
          <w:w w:val="98"/>
        </w:rPr>
        <w:fldChar w:fldCharType="separate"/>
      </w:r>
      <w:r w:rsidRPr="00AC72B5">
        <w:rPr>
          <w:bCs/>
          <w:w w:val="98"/>
        </w:rPr>
        <w:t>E/C.12/1/Add.98</w:t>
      </w:r>
      <w:r w:rsidRPr="00AC72B5">
        <w:rPr>
          <w:bCs/>
          <w:w w:val="98"/>
        </w:rPr>
        <w:fldChar w:fldCharType="end"/>
      </w:r>
      <w:r w:rsidRPr="00AC72B5">
        <w:rPr>
          <w:w w:val="98"/>
        </w:rPr>
        <w:t xml:space="preserve"> (2004).</w:t>
      </w:r>
    </w:p>
  </w:endnote>
  <w:endnote w:id="223">
    <w:p w14:paraId="4B214EBC" w14:textId="6DF6924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Costa Rica</w:t>
      </w:r>
      <w:r w:rsidRPr="00AC72B5">
        <w:rPr>
          <w:w w:val="98"/>
        </w:rPr>
        <w:t xml:space="preserve">, ¶ 53, Doc. ONU E/C.12/CRI/CO/5 (2016); </w:t>
      </w:r>
      <w:r w:rsidRPr="00AC72B5">
        <w:rPr>
          <w:i/>
          <w:w w:val="98"/>
        </w:rPr>
        <w:t>Guatemala</w:t>
      </w:r>
      <w:r w:rsidRPr="00AC72B5">
        <w:rPr>
          <w:w w:val="98"/>
        </w:rPr>
        <w:t xml:space="preserve">, ¶ 23, Doc. ONU E/C.12/GTM/CO/3 (2014); </w:t>
      </w:r>
      <w:r w:rsidRPr="00AC72B5">
        <w:rPr>
          <w:i/>
          <w:w w:val="98"/>
        </w:rPr>
        <w:t>Ecuador</w:t>
      </w:r>
      <w:r w:rsidRPr="00AC72B5">
        <w:rPr>
          <w:w w:val="98"/>
        </w:rPr>
        <w:t xml:space="preserve">, ¶ 29, Doc. ONU E/C.12/ECU/CO/3 (2012); </w:t>
      </w:r>
      <w:r w:rsidRPr="00AC72B5">
        <w:rPr>
          <w:i/>
          <w:w w:val="98"/>
        </w:rPr>
        <w:t>Perú</w:t>
      </w:r>
      <w:r w:rsidRPr="00AC72B5">
        <w:rPr>
          <w:w w:val="98"/>
        </w:rPr>
        <w:t>, ¶ 21, Doc. ONU E/C.12/PER/CO/2-4 (2012).</w:t>
      </w:r>
    </w:p>
  </w:endnote>
  <w:endnote w:id="224">
    <w:p w14:paraId="0C5562BD" w14:textId="5DC9910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Nicaragua</w:t>
      </w:r>
      <w:r w:rsidRPr="00AC72B5">
        <w:rPr>
          <w:w w:val="98"/>
        </w:rPr>
        <w:t>, ¶ 26, Doc. ONU E/C.12/NIC/CO/4 (2008).</w:t>
      </w:r>
    </w:p>
  </w:endnote>
  <w:endnote w:id="225">
    <w:p w14:paraId="00133385" w14:textId="006806B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Ecuador</w:t>
      </w:r>
      <w:r w:rsidRPr="00AC72B5">
        <w:rPr>
          <w:w w:val="98"/>
        </w:rPr>
        <w:t>, ¶ 29, Doc. ONU E/C.12/ECU/CO/3 (2012).</w:t>
      </w:r>
    </w:p>
  </w:endnote>
  <w:endnote w:id="226">
    <w:p w14:paraId="22FA962D" w14:textId="66A144E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Ecuador</w:t>
      </w:r>
      <w:r w:rsidRPr="00AC72B5">
        <w:rPr>
          <w:w w:val="98"/>
        </w:rPr>
        <w:t>, ¶ 29, Doc. ONU E/C.12/ECU/CO/3 (2012).</w:t>
      </w:r>
    </w:p>
  </w:endnote>
  <w:endnote w:id="227">
    <w:p w14:paraId="4A734232" w14:textId="09BCCA9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Burkina Faso</w:t>
      </w:r>
      <w:r w:rsidRPr="00AC72B5">
        <w:rPr>
          <w:w w:val="98"/>
        </w:rPr>
        <w:t>, ¶ 46, Doc. ONU E/C.12/BFA/CO/1 (2016);</w:t>
      </w:r>
      <w:r w:rsidRPr="00AC72B5">
        <w:rPr>
          <w:i/>
          <w:w w:val="98"/>
        </w:rPr>
        <w:t xml:space="preserve"> Observaciones Finales: República de Macedonia</w:t>
      </w:r>
      <w:r w:rsidRPr="00AC72B5">
        <w:rPr>
          <w:w w:val="98"/>
        </w:rPr>
        <w:t xml:space="preserve">, ¶ 49, Doc. ONU E/C.12/MKD/CO/2-4 (2016); </w:t>
      </w:r>
      <w:r w:rsidRPr="00AC72B5">
        <w:rPr>
          <w:i/>
          <w:w w:val="98"/>
        </w:rPr>
        <w:t>Observaciones Finales: Filipinas</w:t>
      </w:r>
      <w:r w:rsidRPr="00AC72B5">
        <w:rPr>
          <w:w w:val="98"/>
        </w:rPr>
        <w:t xml:space="preserve">, ¶ 47, Doc. ONU E/C.12/PHL/CO/5-6 (2016); </w:t>
      </w:r>
      <w:r w:rsidRPr="00AC72B5">
        <w:rPr>
          <w:i/>
          <w:w w:val="98"/>
        </w:rPr>
        <w:t>Observaciones Finales: Marruecos</w:t>
      </w:r>
      <w:r w:rsidRPr="00AC72B5">
        <w:rPr>
          <w:w w:val="98"/>
        </w:rPr>
        <w:t xml:space="preserve">, ¶ 45, Doc. ONU E/C.12/MAR/CO/4 (2015); </w:t>
      </w:r>
      <w:r w:rsidRPr="00AC72B5">
        <w:rPr>
          <w:i/>
          <w:w w:val="98"/>
        </w:rPr>
        <w:t>Jamaica</w:t>
      </w:r>
      <w:r w:rsidRPr="00AC72B5">
        <w:rPr>
          <w:w w:val="98"/>
        </w:rPr>
        <w:t xml:space="preserve">, ¶ 29, Doc. ONU E/C.12/JAM/CO/3-4 (2013); </w:t>
      </w:r>
      <w:r w:rsidRPr="00AC72B5">
        <w:rPr>
          <w:i/>
          <w:w w:val="98"/>
        </w:rPr>
        <w:t>Sri Lanka</w:t>
      </w:r>
      <w:r w:rsidRPr="00AC72B5">
        <w:rPr>
          <w:w w:val="98"/>
        </w:rPr>
        <w:t xml:space="preserve">, ¶ 34, Doc. </w:t>
      </w:r>
      <w:r w:rsidRPr="00AC72B5">
        <w:rPr>
          <w:w w:val="98"/>
          <w:lang w:val="es-CO"/>
        </w:rPr>
        <w:t xml:space="preserve">ONU E/C.12/LKA/CO/2-4 (2010); </w:t>
      </w:r>
      <w:r w:rsidRPr="00AC72B5">
        <w:rPr>
          <w:i/>
          <w:w w:val="98"/>
          <w:lang w:val="es-CO"/>
        </w:rPr>
        <w:t>Reino Unido de Gran Bretaña e Irlanda del Norte</w:t>
      </w:r>
      <w:r w:rsidRPr="00AC72B5">
        <w:rPr>
          <w:w w:val="98"/>
          <w:lang w:val="es-CO"/>
        </w:rPr>
        <w:t xml:space="preserve">, ¶ 25, Doc. </w:t>
      </w:r>
      <w:r w:rsidRPr="00AC72B5">
        <w:rPr>
          <w:w w:val="98"/>
        </w:rPr>
        <w:t xml:space="preserve">ONU E/C.12/GBR/CO/5 (2009); </w:t>
      </w:r>
      <w:r w:rsidRPr="00AC72B5">
        <w:rPr>
          <w:i/>
          <w:w w:val="98"/>
        </w:rPr>
        <w:t>Polonia</w:t>
      </w:r>
      <w:r w:rsidRPr="00AC72B5">
        <w:rPr>
          <w:w w:val="98"/>
        </w:rPr>
        <w:t>, ¶ 29, Doc. ONU E/C.12/1/ADD.82 (2002).</w:t>
      </w:r>
    </w:p>
  </w:endnote>
  <w:endnote w:id="228">
    <w:p w14:paraId="61B88B77" w14:textId="586350D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Filipinas</w:t>
      </w:r>
      <w:r w:rsidRPr="00AC72B5">
        <w:rPr>
          <w:w w:val="98"/>
        </w:rPr>
        <w:t>, ¶ 47, Doc. ONU E/C.12/PHL/CO/5-6 (2016).</w:t>
      </w:r>
    </w:p>
  </w:endnote>
  <w:endnote w:id="229">
    <w:p w14:paraId="50C8C219" w14:textId="1C6C0F2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Irlanda</w:t>
      </w:r>
      <w:r w:rsidRPr="00AC72B5">
        <w:rPr>
          <w:w w:val="98"/>
        </w:rPr>
        <w:t xml:space="preserve">, ¶ 30, Doc. ONU E/C.12/IRL/CO/3 (2015); </w:t>
      </w:r>
      <w:r w:rsidRPr="00AC72B5">
        <w:rPr>
          <w:i/>
          <w:w w:val="98"/>
        </w:rPr>
        <w:t>El Salvador</w:t>
      </w:r>
      <w:r w:rsidRPr="00AC72B5">
        <w:rPr>
          <w:w w:val="98"/>
        </w:rPr>
        <w:t>, ¶ 22, Doc. ONU E/C.12/SLV/CO/3-5 (2014).</w:t>
      </w:r>
    </w:p>
  </w:endnote>
  <w:endnote w:id="230">
    <w:p w14:paraId="15D43CC9" w14:textId="41DE036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M</w:t>
      </w:r>
      <w:r w:rsidRPr="00AC72B5">
        <w:rPr>
          <w:w w:val="98"/>
        </w:rPr>
        <w:t>ó</w:t>
      </w:r>
      <w:r w:rsidRPr="00AC72B5">
        <w:rPr>
          <w:i/>
          <w:w w:val="98"/>
        </w:rPr>
        <w:t>naco</w:t>
      </w:r>
      <w:r w:rsidRPr="00AC72B5">
        <w:rPr>
          <w:w w:val="98"/>
        </w:rPr>
        <w:t>, ¶ 21, Doc. ONU E/C.12/MCO/CO/2-3 (2014).</w:t>
      </w:r>
    </w:p>
  </w:endnote>
  <w:endnote w:id="231">
    <w:p w14:paraId="28C3B17D" w14:textId="264767B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El Salvador</w:t>
      </w:r>
      <w:r w:rsidRPr="00AC72B5">
        <w:rPr>
          <w:w w:val="98"/>
        </w:rPr>
        <w:t>, ¶ 22, Doc. ONU E/C.12/SLV/CO/3-5 (2014).</w:t>
      </w:r>
    </w:p>
  </w:endnote>
  <w:endnote w:id="232">
    <w:p w14:paraId="580AC96E" w14:textId="45657ED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Filipinas</w:t>
      </w:r>
      <w:r w:rsidRPr="00AC72B5">
        <w:rPr>
          <w:w w:val="98"/>
        </w:rPr>
        <w:t xml:space="preserve">, ¶ 47, Doc. ONU E/C.12/PHL/CO/5-6 (2016); </w:t>
      </w:r>
      <w:r w:rsidRPr="00AC72B5">
        <w:rPr>
          <w:i/>
          <w:w w:val="98"/>
        </w:rPr>
        <w:t>El Salvador</w:t>
      </w:r>
      <w:r w:rsidRPr="00AC72B5">
        <w:rPr>
          <w:w w:val="98"/>
        </w:rPr>
        <w:t xml:space="preserve">, ¶ 22, Doc. ONU E/C.12/SLV/CO/3-5 (2014); </w:t>
      </w:r>
      <w:r w:rsidRPr="00AC72B5">
        <w:rPr>
          <w:i/>
          <w:w w:val="98"/>
        </w:rPr>
        <w:t>Ruanda</w:t>
      </w:r>
      <w:r w:rsidRPr="00AC72B5">
        <w:rPr>
          <w:w w:val="98"/>
        </w:rPr>
        <w:t xml:space="preserve">, ¶ 26, Doc. ONU E/C.12/RWA/CO/2-4 (2013); </w:t>
      </w:r>
      <w:r w:rsidRPr="00AC72B5">
        <w:rPr>
          <w:i/>
          <w:w w:val="98"/>
        </w:rPr>
        <w:t>Nepal</w:t>
      </w:r>
      <w:r w:rsidRPr="00AC72B5">
        <w:rPr>
          <w:w w:val="98"/>
        </w:rPr>
        <w:t>, ¶ 33, Doc. ONU E/C.12/1/Add.66 (2001).</w:t>
      </w:r>
    </w:p>
  </w:endnote>
  <w:endnote w:id="233">
    <w:p w14:paraId="39AFA26F" w14:textId="4593815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El Salvador</w:t>
      </w:r>
      <w:r w:rsidRPr="00AC72B5">
        <w:rPr>
          <w:w w:val="98"/>
        </w:rPr>
        <w:t>, ¶ 22, Doc. ONU E/C.12/SLV/CO/3-5 (2014).</w:t>
      </w:r>
    </w:p>
  </w:endnote>
  <w:endnote w:id="234">
    <w:p w14:paraId="3F92C762" w14:textId="7BA0219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Observaciones Finales: </w:t>
      </w:r>
      <w:r w:rsidRPr="00AC72B5">
        <w:rPr>
          <w:i/>
          <w:w w:val="98"/>
        </w:rPr>
        <w:t>República</w:t>
      </w:r>
      <w:r w:rsidRPr="00AC72B5" w:rsidDel="00260B7D">
        <w:rPr>
          <w:w w:val="98"/>
        </w:rPr>
        <w:t xml:space="preserve"> </w:t>
      </w:r>
      <w:r w:rsidRPr="00AC72B5">
        <w:rPr>
          <w:w w:val="98"/>
        </w:rPr>
        <w:t>de Macedonia, ¶ 49, Doc. ONU E/C.12/MKD/CO/2-4 (2016).</w:t>
      </w:r>
    </w:p>
  </w:endnote>
  <w:endnote w:id="235">
    <w:p w14:paraId="6DD908F7" w14:textId="243B7AD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República Dominicana</w:t>
      </w:r>
      <w:r w:rsidRPr="00AC72B5">
        <w:rPr>
          <w:w w:val="98"/>
        </w:rPr>
        <w:t xml:space="preserve">, ¶ 59, Doc. ONU E/C.12/DOM/CO/4 (2016); </w:t>
      </w:r>
      <w:r w:rsidRPr="00AC72B5">
        <w:rPr>
          <w:i/>
          <w:w w:val="98"/>
        </w:rPr>
        <w:t>Guatemala</w:t>
      </w:r>
      <w:r w:rsidRPr="00AC72B5">
        <w:rPr>
          <w:w w:val="98"/>
        </w:rPr>
        <w:t xml:space="preserve">, ¶ 23, Doc. ONU E/C.12/GTM/CO/3 (2014); </w:t>
      </w:r>
      <w:r w:rsidRPr="00AC72B5">
        <w:rPr>
          <w:i/>
          <w:w w:val="98"/>
        </w:rPr>
        <w:t>Ecuador</w:t>
      </w:r>
      <w:r w:rsidRPr="00AC72B5">
        <w:rPr>
          <w:w w:val="98"/>
        </w:rPr>
        <w:t xml:space="preserve">, ¶ 29, Doc. ONU E/C.12/ECU/CO/3 (2012); </w:t>
      </w:r>
      <w:r w:rsidRPr="00AC72B5">
        <w:rPr>
          <w:i/>
          <w:w w:val="98"/>
        </w:rPr>
        <w:t>Perú</w:t>
      </w:r>
      <w:r w:rsidRPr="00AC72B5">
        <w:rPr>
          <w:w w:val="98"/>
        </w:rPr>
        <w:t xml:space="preserve">, ¶ 21, Doc. ONU E/C.12/PER/CO/2-4 (2012); </w:t>
      </w:r>
      <w:r w:rsidRPr="00AC72B5">
        <w:rPr>
          <w:i/>
          <w:w w:val="98"/>
        </w:rPr>
        <w:t>República Dominicana</w:t>
      </w:r>
      <w:r w:rsidRPr="00AC72B5">
        <w:rPr>
          <w:w w:val="98"/>
        </w:rPr>
        <w:t xml:space="preserve">, ¶ 29, Doc. ONU E/C.12/DOM/CO/3 (2010); </w:t>
      </w:r>
      <w:r w:rsidRPr="00AC72B5">
        <w:rPr>
          <w:i/>
          <w:w w:val="98"/>
        </w:rPr>
        <w:t>Países Bajos</w:t>
      </w:r>
      <w:r w:rsidRPr="00AC72B5">
        <w:rPr>
          <w:w w:val="98"/>
        </w:rPr>
        <w:t xml:space="preserve">, ¶ 27, Doc. ONU E/C.12/NDL/CO/4-5 (2010); </w:t>
      </w:r>
      <w:r w:rsidRPr="00AC72B5">
        <w:rPr>
          <w:i/>
          <w:w w:val="98"/>
        </w:rPr>
        <w:t>Sri Lanka</w:t>
      </w:r>
      <w:r w:rsidRPr="00AC72B5">
        <w:rPr>
          <w:w w:val="98"/>
        </w:rPr>
        <w:t xml:space="preserve">, ¶ 34, Doc. ONU E/C.12/LKA/CO/2-4 (2010); </w:t>
      </w:r>
      <w:r w:rsidRPr="00AC72B5">
        <w:rPr>
          <w:i/>
          <w:w w:val="98"/>
        </w:rPr>
        <w:t>Nicaragua</w:t>
      </w:r>
      <w:r w:rsidRPr="00AC72B5">
        <w:rPr>
          <w:w w:val="98"/>
        </w:rPr>
        <w:t xml:space="preserve">, ¶ 26, Doc. ONU E/C.12/NIC/CO/4 (2008); </w:t>
      </w:r>
      <w:r w:rsidRPr="00AC72B5">
        <w:rPr>
          <w:i/>
          <w:w w:val="98"/>
        </w:rPr>
        <w:t>Costa Rica</w:t>
      </w:r>
      <w:r w:rsidRPr="00AC72B5">
        <w:rPr>
          <w:w w:val="98"/>
        </w:rPr>
        <w:t xml:space="preserve">, ¶ 25, Doc. ONU E/C.12/CRI/CO/4 (2008); </w:t>
      </w:r>
      <w:r w:rsidRPr="00AC72B5">
        <w:rPr>
          <w:i/>
          <w:w w:val="98"/>
        </w:rPr>
        <w:t>Kenia</w:t>
      </w:r>
      <w:r w:rsidRPr="00AC72B5">
        <w:rPr>
          <w:w w:val="98"/>
        </w:rPr>
        <w:t xml:space="preserve">, ¶ 33, Doc. ONU E/C.12/KEN/CO/1 (2008); </w:t>
      </w:r>
      <w:r w:rsidRPr="00AC72B5">
        <w:rPr>
          <w:i/>
          <w:w w:val="98"/>
        </w:rPr>
        <w:t>El Salvador</w:t>
      </w:r>
      <w:r w:rsidRPr="00AC72B5">
        <w:rPr>
          <w:w w:val="98"/>
        </w:rPr>
        <w:t xml:space="preserve">, ¶ 25, Doc. ONU E/C.12/SLV/CO/2 (2007); </w:t>
      </w:r>
      <w:r w:rsidRPr="00AC72B5">
        <w:rPr>
          <w:i/>
          <w:w w:val="98"/>
        </w:rPr>
        <w:t>Mónaco</w:t>
      </w:r>
      <w:r w:rsidRPr="00AC72B5">
        <w:rPr>
          <w:w w:val="98"/>
        </w:rPr>
        <w:t xml:space="preserve">, ¶ 15, Doc. ONU E/C.12/MCO/CO/1 (2006); </w:t>
      </w:r>
      <w:r w:rsidRPr="00AC72B5">
        <w:rPr>
          <w:i/>
          <w:w w:val="98"/>
        </w:rPr>
        <w:t>Chile</w:t>
      </w:r>
      <w:r w:rsidRPr="00AC72B5">
        <w:rPr>
          <w:w w:val="98"/>
        </w:rPr>
        <w:t xml:space="preserve">, ¶ 53,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bCs/>
          <w:w w:val="98"/>
          <w:lang w:val="es-PE"/>
        </w:rPr>
        <w:t>E/C.12/1/Add.105</w:t>
      </w:r>
      <w:r w:rsidRPr="00AC72B5">
        <w:rPr>
          <w:bCs/>
          <w:w w:val="98"/>
          <w:lang w:val="en-GB"/>
        </w:rPr>
        <w:fldChar w:fldCharType="end"/>
      </w:r>
      <w:r w:rsidRPr="00AC72B5">
        <w:rPr>
          <w:w w:val="98"/>
        </w:rPr>
        <w:t xml:space="preserve"> (2004); </w:t>
      </w:r>
      <w:r w:rsidRPr="00AC72B5">
        <w:rPr>
          <w:i/>
          <w:w w:val="98"/>
        </w:rPr>
        <w:t>Malta</w:t>
      </w:r>
      <w:r w:rsidRPr="00AC72B5">
        <w:rPr>
          <w:w w:val="98"/>
        </w:rPr>
        <w:t xml:space="preserve">, ¶ 41,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bCs/>
          <w:w w:val="98"/>
          <w:lang w:val="es-PE"/>
        </w:rPr>
        <w:t>E/C.12/1/Add.101</w:t>
      </w:r>
      <w:r w:rsidRPr="00AC72B5">
        <w:rPr>
          <w:bCs/>
          <w:w w:val="98"/>
          <w:lang w:val="en-GB"/>
        </w:rPr>
        <w:fldChar w:fldCharType="end"/>
      </w:r>
      <w:r w:rsidRPr="00AC72B5">
        <w:rPr>
          <w:w w:val="98"/>
        </w:rPr>
        <w:t xml:space="preserve"> (2004); </w:t>
      </w:r>
      <w:r w:rsidRPr="00AC72B5">
        <w:rPr>
          <w:i/>
          <w:w w:val="98"/>
        </w:rPr>
        <w:t>Nepal</w:t>
      </w:r>
      <w:r w:rsidRPr="00AC72B5">
        <w:rPr>
          <w:w w:val="98"/>
        </w:rPr>
        <w:t>, ¶ 35, Doc. ONU E/C.12/1/Add.66 (2001).</w:t>
      </w:r>
    </w:p>
  </w:endnote>
  <w:endnote w:id="236">
    <w:p w14:paraId="7229B969" w14:textId="004889B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República Dominicana</w:t>
      </w:r>
      <w:r w:rsidRPr="00AC72B5">
        <w:rPr>
          <w:w w:val="98"/>
        </w:rPr>
        <w:t xml:space="preserve">, ¶ 59, Doc. </w:t>
      </w:r>
      <w:r w:rsidRPr="00AC72B5">
        <w:rPr>
          <w:w w:val="98"/>
          <w:lang w:val="es-CO"/>
        </w:rPr>
        <w:t xml:space="preserve">ONU E/C.12/DOM/CO/4 (2016); </w:t>
      </w:r>
      <w:r w:rsidRPr="00AC72B5">
        <w:rPr>
          <w:i/>
          <w:w w:val="98"/>
          <w:lang w:val="es-CO"/>
        </w:rPr>
        <w:t>Ecuador</w:t>
      </w:r>
      <w:r w:rsidRPr="00AC72B5">
        <w:rPr>
          <w:w w:val="98"/>
          <w:lang w:val="es-CO"/>
        </w:rPr>
        <w:t xml:space="preserve">, ¶ 29, Doc. ONU E/C.12/ECU/CO/3 (2012); </w:t>
      </w:r>
      <w:r w:rsidRPr="00AC72B5">
        <w:rPr>
          <w:i/>
          <w:w w:val="98"/>
          <w:lang w:val="es-CO"/>
        </w:rPr>
        <w:t>Reino Unido de Gran Bretaña e Irlanda del Norte</w:t>
      </w:r>
      <w:r w:rsidRPr="00AC72B5">
        <w:rPr>
          <w:w w:val="98"/>
          <w:lang w:val="es-CO"/>
        </w:rPr>
        <w:t xml:space="preserve">, ¶ 25, Doc. </w:t>
      </w:r>
      <w:r w:rsidRPr="00AC72B5">
        <w:rPr>
          <w:w w:val="98"/>
        </w:rPr>
        <w:t>ONU E/C.12/GBR/CO/5 (2009).</w:t>
      </w:r>
    </w:p>
  </w:endnote>
  <w:endnote w:id="237">
    <w:p w14:paraId="3B9CBBD4" w14:textId="150C1FA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Ruanda</w:t>
      </w:r>
      <w:r w:rsidRPr="00AC72B5">
        <w:rPr>
          <w:w w:val="98"/>
        </w:rPr>
        <w:t>, ¶ 26, Doc. ONU E/C.12/RWA/CO/2-4 (2013).</w:t>
      </w:r>
    </w:p>
  </w:endnote>
  <w:endnote w:id="238">
    <w:p w14:paraId="1788FEC7" w14:textId="597D77C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Nicaragua</w:t>
      </w:r>
      <w:r w:rsidRPr="00AC72B5">
        <w:rPr>
          <w:w w:val="98"/>
        </w:rPr>
        <w:t>, ¶ 26, Doc. ONU E/C.12/NIC/CO/4 (2008).</w:t>
      </w:r>
    </w:p>
  </w:endnote>
  <w:endnote w:id="239">
    <w:p w14:paraId="3BF3E6D2" w14:textId="1D42E4B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Jamaica</w:t>
      </w:r>
      <w:r w:rsidRPr="00AC72B5">
        <w:rPr>
          <w:w w:val="98"/>
        </w:rPr>
        <w:t xml:space="preserve">, ¶ 29, Doc. ONU E/C.12/JAM/CO/3-4 (2013); </w:t>
      </w:r>
      <w:r w:rsidRPr="00AC72B5">
        <w:rPr>
          <w:i/>
          <w:w w:val="98"/>
        </w:rPr>
        <w:t>Ruanda</w:t>
      </w:r>
      <w:r w:rsidRPr="00AC72B5">
        <w:rPr>
          <w:w w:val="98"/>
        </w:rPr>
        <w:t>, ¶ 26, Doc. ONU E/C.12/RWA/CO/2-4 (2013).</w:t>
      </w:r>
    </w:p>
  </w:endnote>
  <w:endnote w:id="240">
    <w:p w14:paraId="7520D899" w14:textId="6E6FC57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Polonia</w:t>
      </w:r>
      <w:r w:rsidRPr="00AC72B5">
        <w:rPr>
          <w:w w:val="98"/>
        </w:rPr>
        <w:t>, ¶ 47, Doc. ONU E/C.12/POL/CO/6 (2016).</w:t>
      </w:r>
    </w:p>
  </w:endnote>
  <w:endnote w:id="241">
    <w:p w14:paraId="21EADACC" w14:textId="52477E6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Irlanda</w:t>
      </w:r>
      <w:r w:rsidRPr="00AC72B5">
        <w:rPr>
          <w:w w:val="98"/>
        </w:rPr>
        <w:t>, ¶ 30, Doc. ONU E/C.12/IRL/CO/3 (2015).</w:t>
      </w:r>
    </w:p>
  </w:endnote>
  <w:endnote w:id="242">
    <w:p w14:paraId="3838CB88" w14:textId="6C1CDFE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Mónaco</w:t>
      </w:r>
      <w:r w:rsidRPr="00AC72B5">
        <w:rPr>
          <w:w w:val="98"/>
        </w:rPr>
        <w:t>, ¶ 21, Doc. ONU E/C.12/MCO/CO/2-3 (2014).</w:t>
      </w:r>
    </w:p>
  </w:endnote>
  <w:endnote w:id="243">
    <w:p w14:paraId="18C57B96" w14:textId="15D6E4C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Filipinas</w:t>
      </w:r>
      <w:r w:rsidRPr="00AC72B5">
        <w:rPr>
          <w:w w:val="98"/>
        </w:rPr>
        <w:t>, ¶ 47, Doc. ONU E/C.12/PHL/CO/5-6 (2016).</w:t>
      </w:r>
    </w:p>
  </w:endnote>
  <w:endnote w:id="244">
    <w:p w14:paraId="286A444A" w14:textId="3BCFE3A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Kenia</w:t>
      </w:r>
      <w:r w:rsidRPr="00AC72B5">
        <w:rPr>
          <w:w w:val="98"/>
        </w:rPr>
        <w:t>, ¶ 54, Doc. ONU E/C.12/KEN/CO/2-5 (2016);</w:t>
      </w:r>
      <w:r w:rsidRPr="00AC72B5">
        <w:rPr>
          <w:i/>
          <w:w w:val="98"/>
        </w:rPr>
        <w:t xml:space="preserve"> Burkina Faso</w:t>
      </w:r>
      <w:r w:rsidRPr="00AC72B5">
        <w:rPr>
          <w:w w:val="98"/>
        </w:rPr>
        <w:t>, ¶ 47, Doc. ONU E/C.12/BFA/CO/1 (2016);</w:t>
      </w:r>
      <w:r w:rsidRPr="00AC72B5">
        <w:rPr>
          <w:i/>
          <w:w w:val="98"/>
        </w:rPr>
        <w:t xml:space="preserve"> Honduras</w:t>
      </w:r>
      <w:r w:rsidRPr="00AC72B5">
        <w:rPr>
          <w:w w:val="98"/>
        </w:rPr>
        <w:t>, ¶ 55, Doc. ONU E/C.12/HND/CO/2 (2016);</w:t>
      </w:r>
      <w:r w:rsidRPr="00AC72B5">
        <w:rPr>
          <w:i/>
          <w:w w:val="98"/>
        </w:rPr>
        <w:t xml:space="preserve"> Reino Unido de Gran Bretaña e Irlanda del Norte</w:t>
      </w:r>
      <w:r w:rsidRPr="00AC72B5">
        <w:rPr>
          <w:w w:val="98"/>
        </w:rPr>
        <w:t>, ¶ 61, Doc. ONU E/C.12/GBR/CO/6 (2016);</w:t>
      </w:r>
      <w:r w:rsidRPr="00AC72B5">
        <w:rPr>
          <w:i/>
          <w:w w:val="98"/>
        </w:rPr>
        <w:t xml:space="preserve"> Costa Rica</w:t>
      </w:r>
      <w:r w:rsidRPr="00AC72B5">
        <w:rPr>
          <w:w w:val="98"/>
        </w:rPr>
        <w:t xml:space="preserve">, ¶ 54, Doc. ONU E/C.12/CRI/CO/5 (2016); </w:t>
      </w:r>
      <w:r w:rsidRPr="00AC72B5">
        <w:rPr>
          <w:i/>
          <w:w w:val="98"/>
        </w:rPr>
        <w:t>Polonia</w:t>
      </w:r>
      <w:r w:rsidRPr="00AC72B5">
        <w:rPr>
          <w:w w:val="98"/>
        </w:rPr>
        <w:t xml:space="preserve">, ¶ 47, Doc. ONU E/C.12/POL/CO/6 (2016); </w:t>
      </w:r>
      <w:r w:rsidRPr="00AC72B5">
        <w:rPr>
          <w:i/>
          <w:w w:val="98"/>
        </w:rPr>
        <w:t>Chile</w:t>
      </w:r>
      <w:r w:rsidRPr="00AC72B5">
        <w:rPr>
          <w:w w:val="98"/>
        </w:rPr>
        <w:t xml:space="preserve">, ¶ 29, Doc. ONU E/C.12/CHL/CO/4 (2015); </w:t>
      </w:r>
      <w:r w:rsidRPr="00AC72B5">
        <w:rPr>
          <w:i/>
          <w:w w:val="98"/>
        </w:rPr>
        <w:t>Marruecos</w:t>
      </w:r>
      <w:r w:rsidRPr="00AC72B5">
        <w:rPr>
          <w:w w:val="98"/>
        </w:rPr>
        <w:t xml:space="preserve">, ¶ 46, Doc. ONU E/C.12/MAR/CO/4 (2015); </w:t>
      </w:r>
      <w:r w:rsidRPr="00AC72B5">
        <w:rPr>
          <w:i/>
          <w:w w:val="98"/>
        </w:rPr>
        <w:t>El Salvador</w:t>
      </w:r>
      <w:r w:rsidRPr="00AC72B5">
        <w:rPr>
          <w:w w:val="98"/>
        </w:rPr>
        <w:t>, ¶ 22, Doc. ONU E/C.12/SLV/CO/3-5 (2014).</w:t>
      </w:r>
    </w:p>
  </w:endnote>
  <w:endnote w:id="245">
    <w:p w14:paraId="5381F125" w14:textId="0BC9C89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Costa Rica</w:t>
      </w:r>
      <w:r w:rsidRPr="00AC72B5">
        <w:rPr>
          <w:w w:val="98"/>
        </w:rPr>
        <w:t xml:space="preserve">, ¶ 53, Doc. ONU E/C.12/CRI/CO/5 (2016); </w:t>
      </w:r>
      <w:r w:rsidRPr="00AC72B5">
        <w:rPr>
          <w:i/>
          <w:w w:val="98"/>
        </w:rPr>
        <w:t>Mónaco</w:t>
      </w:r>
      <w:r w:rsidRPr="00AC72B5">
        <w:rPr>
          <w:w w:val="98"/>
        </w:rPr>
        <w:t>, ¶ 21, Doc. ONU E/C.12/MCO/CO/2-3 (2014).</w:t>
      </w:r>
    </w:p>
  </w:endnote>
  <w:endnote w:id="246">
    <w:p w14:paraId="7D073681" w14:textId="01A32E8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Costa Rica</w:t>
      </w:r>
      <w:r w:rsidRPr="00AC72B5">
        <w:rPr>
          <w:w w:val="98"/>
        </w:rPr>
        <w:t>, ¶ 53, Doc. ONU E/C.12/CRI/CO/5 (2016).</w:t>
      </w:r>
    </w:p>
  </w:endnote>
  <w:endnote w:id="247">
    <w:p w14:paraId="60DA8579" w14:textId="6CF495D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Mónaco</w:t>
      </w:r>
      <w:r w:rsidRPr="00AC72B5">
        <w:rPr>
          <w:w w:val="98"/>
        </w:rPr>
        <w:t>, ¶ 21, Doc. ONU E/C.12/MCO/CO/2-3 (2014).</w:t>
      </w:r>
    </w:p>
  </w:endnote>
  <w:endnote w:id="248">
    <w:p w14:paraId="7C6085E8" w14:textId="0CD35ED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Mónaco</w:t>
      </w:r>
      <w:r w:rsidRPr="00AC72B5">
        <w:rPr>
          <w:w w:val="98"/>
        </w:rPr>
        <w:t>, ¶ 21, Doc. ONU E/C.12/MCO/CO/2-3 (2014).</w:t>
      </w:r>
    </w:p>
  </w:endnote>
  <w:endnote w:id="249">
    <w:p w14:paraId="520C00D9" w14:textId="6320C7E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Perú</w:t>
      </w:r>
      <w:r w:rsidRPr="00AC72B5">
        <w:rPr>
          <w:w w:val="98"/>
        </w:rPr>
        <w:t>, ¶ 21, Doc. ONU E/C.12/PER/CO/2-4 (2012).</w:t>
      </w:r>
    </w:p>
  </w:endnote>
  <w:endnote w:id="250">
    <w:p w14:paraId="110A72D0" w14:textId="63B3FD0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Polonia</w:t>
      </w:r>
      <w:r w:rsidRPr="00AC72B5">
        <w:rPr>
          <w:w w:val="98"/>
        </w:rPr>
        <w:t>, ¶ 46, Doc. ONU E/C.12/POL/CO/6 (2016).</w:t>
      </w:r>
    </w:p>
  </w:endnote>
  <w:endnote w:id="251">
    <w:p w14:paraId="04A84711" w14:textId="5116DB9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Costa Rica</w:t>
      </w:r>
      <w:r w:rsidRPr="00AC72B5">
        <w:rPr>
          <w:w w:val="98"/>
        </w:rPr>
        <w:t xml:space="preserve">, ¶ 53, Doc. ONU E/C.12/CRI/CO/5 (2016); </w:t>
      </w:r>
      <w:r w:rsidRPr="00AC72B5">
        <w:rPr>
          <w:i/>
          <w:w w:val="98"/>
        </w:rPr>
        <w:t>Irlanda</w:t>
      </w:r>
      <w:r w:rsidRPr="00AC72B5">
        <w:rPr>
          <w:w w:val="98"/>
        </w:rPr>
        <w:t xml:space="preserve">, ¶ 30, Doc. ONU E/C.12/IRL/CO/3 (2015); </w:t>
      </w:r>
      <w:r w:rsidRPr="00AC72B5">
        <w:rPr>
          <w:i/>
          <w:w w:val="98"/>
        </w:rPr>
        <w:t>México</w:t>
      </w:r>
      <w:r w:rsidRPr="00AC72B5">
        <w:rPr>
          <w:w w:val="98"/>
        </w:rPr>
        <w:t>, ¶ 25, Doc. ONU E/C.12/MEX/CO/4 (2006).</w:t>
      </w:r>
    </w:p>
  </w:endnote>
  <w:endnote w:id="252">
    <w:p w14:paraId="6BE3FA6F" w14:textId="70B5935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Rumania</w:t>
      </w:r>
      <w:r w:rsidRPr="00AC72B5">
        <w:rPr>
          <w:w w:val="98"/>
        </w:rPr>
        <w:t xml:space="preserve">, ¶ 22, Doc. ONU </w:t>
      </w:r>
      <w:r w:rsidRPr="00AC72B5">
        <w:rPr>
          <w:rFonts w:eastAsia="MS Mincho"/>
          <w:w w:val="98"/>
        </w:rPr>
        <w:t>E/C.12/ROU/CO/3-5 (2014).</w:t>
      </w:r>
    </w:p>
  </w:endnote>
  <w:endnote w:id="253">
    <w:p w14:paraId="5D9A9ED6" w14:textId="2C21024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Italia</w:t>
      </w:r>
      <w:r w:rsidRPr="00AC72B5">
        <w:rPr>
          <w:w w:val="98"/>
        </w:rPr>
        <w:t xml:space="preserve">, ¶ 48, Doc. ONU E/C.12/ITA/CO/5 (2015); </w:t>
      </w:r>
      <w:r w:rsidRPr="00AC72B5">
        <w:rPr>
          <w:i/>
          <w:w w:val="98"/>
        </w:rPr>
        <w:t>Rumania</w:t>
      </w:r>
      <w:r w:rsidRPr="00AC72B5">
        <w:rPr>
          <w:w w:val="98"/>
        </w:rPr>
        <w:t xml:space="preserve">, ¶ 22, Doc. ONU </w:t>
      </w:r>
      <w:r w:rsidRPr="00AC72B5">
        <w:rPr>
          <w:rFonts w:eastAsia="MS Mincho"/>
          <w:w w:val="98"/>
        </w:rPr>
        <w:t>E/C.12/ROU/CO/3-5 (2014).</w:t>
      </w:r>
    </w:p>
  </w:endnote>
  <w:endnote w:id="254">
    <w:p w14:paraId="698496E1" w14:textId="71C1220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Polonia</w:t>
      </w:r>
      <w:r w:rsidRPr="00AC72B5">
        <w:rPr>
          <w:w w:val="98"/>
        </w:rPr>
        <w:t>, ¶ 46, Doc. ONU E/C.12/POL/CO/6 (2016).</w:t>
      </w:r>
    </w:p>
  </w:endnote>
  <w:endnote w:id="255">
    <w:p w14:paraId="1E18D111" w14:textId="2792E48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México</w:t>
      </w:r>
      <w:r w:rsidRPr="00AC72B5">
        <w:rPr>
          <w:w w:val="98"/>
        </w:rPr>
        <w:t>, ¶ 25, Doc. ONU E/C.12/MEX/CO/4 (2006).</w:t>
      </w:r>
    </w:p>
  </w:endnote>
  <w:endnote w:id="256">
    <w:p w14:paraId="15FAFFF3" w14:textId="5F10312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Costa Rica</w:t>
      </w:r>
      <w:r w:rsidRPr="00AC72B5">
        <w:rPr>
          <w:w w:val="98"/>
        </w:rPr>
        <w:t xml:space="preserve">, ¶ 53, Doc. ONU E/C.12/CRI/CO/5 (2016); </w:t>
      </w:r>
      <w:r w:rsidRPr="00AC72B5">
        <w:rPr>
          <w:i/>
          <w:w w:val="98"/>
        </w:rPr>
        <w:t>Irlanda</w:t>
      </w:r>
      <w:r w:rsidRPr="00AC72B5">
        <w:rPr>
          <w:w w:val="98"/>
        </w:rPr>
        <w:t xml:space="preserve">, ¶ 30, Doc. ONU E/C.12/IRL/CO/3 (2015); </w:t>
      </w:r>
      <w:r w:rsidRPr="00AC72B5">
        <w:rPr>
          <w:i/>
          <w:w w:val="98"/>
        </w:rPr>
        <w:t>Perú</w:t>
      </w:r>
      <w:r w:rsidRPr="00AC72B5">
        <w:rPr>
          <w:w w:val="98"/>
        </w:rPr>
        <w:t>, ¶ 21, Doc. ONU E/C.12/PER/CO/2-4 (2012).</w:t>
      </w:r>
    </w:p>
  </w:endnote>
  <w:endnote w:id="257">
    <w:p w14:paraId="60C5BE52" w14:textId="40137E7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Rumania</w:t>
      </w:r>
      <w:r w:rsidRPr="00AC72B5">
        <w:rPr>
          <w:w w:val="98"/>
        </w:rPr>
        <w:t xml:space="preserve">, ¶ 22, Doc. ONU </w:t>
      </w:r>
      <w:r w:rsidRPr="00AC72B5">
        <w:rPr>
          <w:rFonts w:eastAsia="MS Mincho"/>
          <w:w w:val="98"/>
        </w:rPr>
        <w:t>E/C.12/ROU/CO/3-5 (2014).</w:t>
      </w:r>
    </w:p>
  </w:endnote>
  <w:endnote w:id="258">
    <w:p w14:paraId="20E97ABA" w14:textId="4952239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Canadá</w:t>
      </w:r>
      <w:r w:rsidRPr="00AC72B5">
        <w:rPr>
          <w:w w:val="98"/>
        </w:rPr>
        <w:t xml:space="preserve">, ¶ 24, Doc. ONU E/C.12/CAN/CO/6 (2016); </w:t>
      </w:r>
      <w:r w:rsidRPr="00AC72B5">
        <w:rPr>
          <w:i/>
          <w:w w:val="98"/>
        </w:rPr>
        <w:t>Italia</w:t>
      </w:r>
      <w:r w:rsidRPr="00AC72B5">
        <w:rPr>
          <w:w w:val="98"/>
        </w:rPr>
        <w:t xml:space="preserve">, ¶ 49, Doc. ONU E/C.12/ITA/CO/5 (2015); </w:t>
      </w:r>
      <w:r w:rsidRPr="00AC72B5">
        <w:rPr>
          <w:i/>
          <w:w w:val="98"/>
        </w:rPr>
        <w:t>España</w:t>
      </w:r>
      <w:r w:rsidRPr="00AC72B5">
        <w:rPr>
          <w:w w:val="98"/>
        </w:rPr>
        <w:t>, ¶ 24, Doc. ONU E/C.12/ESP/CO/5 (2012).</w:t>
      </w:r>
    </w:p>
  </w:endnote>
  <w:endnote w:id="259">
    <w:p w14:paraId="2B454226" w14:textId="25288D4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Polonia</w:t>
      </w:r>
      <w:r w:rsidRPr="00AC72B5">
        <w:rPr>
          <w:w w:val="98"/>
        </w:rPr>
        <w:t>, ¶ 47, Doc. ONU E/C.12/POL/CO/6 (2016).</w:t>
      </w:r>
    </w:p>
  </w:endnote>
  <w:endnote w:id="260">
    <w:p w14:paraId="232AB1F5" w14:textId="05C589F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México</w:t>
      </w:r>
      <w:r w:rsidRPr="00AC72B5">
        <w:rPr>
          <w:w w:val="98"/>
        </w:rPr>
        <w:t>, ¶ 25, Doc. ONU E/C.12/MEX/CO/4 (2006).</w:t>
      </w:r>
    </w:p>
  </w:endnote>
  <w:endnote w:id="261">
    <w:p w14:paraId="21B70929" w14:textId="5F278E4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Guatemala</w:t>
      </w:r>
      <w:r w:rsidRPr="00AC72B5">
        <w:rPr>
          <w:w w:val="98"/>
        </w:rPr>
        <w:t xml:space="preserve">, ¶ 23, Doc. ONU E/C.12/GTM/CO/3 (2014); </w:t>
      </w:r>
      <w:r w:rsidRPr="00AC72B5">
        <w:rPr>
          <w:i/>
          <w:w w:val="98"/>
        </w:rPr>
        <w:t>Argentina</w:t>
      </w:r>
      <w:r w:rsidRPr="00AC72B5">
        <w:rPr>
          <w:w w:val="98"/>
        </w:rPr>
        <w:t>, ¶ 22, Doc. ONU E/C.12/ARG/CO/3 (2011).</w:t>
      </w:r>
    </w:p>
  </w:endnote>
  <w:endnote w:id="262">
    <w:p w14:paraId="642811AC" w14:textId="4289027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Polonia</w:t>
      </w:r>
      <w:r w:rsidRPr="00AC72B5">
        <w:rPr>
          <w:w w:val="98"/>
        </w:rPr>
        <w:t>, ¶ 47, Doc. ONU E/C.12/POL/CO/6 (2016).</w:t>
      </w:r>
    </w:p>
  </w:endnote>
  <w:endnote w:id="263">
    <w:p w14:paraId="300B2B19" w14:textId="5AB082A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Uganda</w:t>
      </w:r>
      <w:r w:rsidRPr="00AC72B5">
        <w:rPr>
          <w:w w:val="98"/>
        </w:rPr>
        <w:t>, ¶ 35, Doc. ONU E/C.12/UGA/CO/1 (2015).</w:t>
      </w:r>
    </w:p>
  </w:endnote>
  <w:endnote w:id="264">
    <w:p w14:paraId="68660DD3" w14:textId="13212A8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El Salvador</w:t>
      </w:r>
      <w:r w:rsidRPr="00AC72B5">
        <w:rPr>
          <w:w w:val="98"/>
        </w:rPr>
        <w:t>, ¶ 22, Doc. ONU E/C.12/SLV/CO/3-5 (2014).</w:t>
      </w:r>
    </w:p>
  </w:endnote>
  <w:endnote w:id="265">
    <w:p w14:paraId="182D994E" w14:textId="54291A0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Irlanda</w:t>
      </w:r>
      <w:r w:rsidRPr="00AC72B5">
        <w:rPr>
          <w:w w:val="98"/>
        </w:rPr>
        <w:t>, ¶ 30, Doc. ONU E/C.12/IRL/CO/3 (2015).</w:t>
      </w:r>
    </w:p>
  </w:endnote>
  <w:endnote w:id="266">
    <w:p w14:paraId="2F6E82AD" w14:textId="7C7FA04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México</w:t>
      </w:r>
      <w:r w:rsidRPr="00AC72B5">
        <w:rPr>
          <w:w w:val="98"/>
        </w:rPr>
        <w:t>, ¶ 25, Doc. ONU E/C.12/MEX/CO/4 (2006).</w:t>
      </w:r>
    </w:p>
  </w:endnote>
  <w:endnote w:id="267">
    <w:p w14:paraId="6933FA2F" w14:textId="2641CB9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Irlanda</w:t>
      </w:r>
      <w:r w:rsidRPr="00AC72B5">
        <w:rPr>
          <w:w w:val="98"/>
        </w:rPr>
        <w:t>, ¶ 30, Doc. ONU E/C.12/IRL/CO/3 (2015).</w:t>
      </w:r>
    </w:p>
  </w:endnote>
  <w:endnote w:id="268">
    <w:p w14:paraId="743AE50D" w14:textId="3DD7DA0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Observaciones Finales:</w:t>
      </w:r>
      <w:r>
        <w:rPr>
          <w:w w:val="98"/>
        </w:rPr>
        <w:t xml:space="preserve"> </w:t>
      </w:r>
      <w:r w:rsidRPr="00AC72B5">
        <w:rPr>
          <w:i/>
          <w:w w:val="98"/>
        </w:rPr>
        <w:t>República</w:t>
      </w:r>
      <w:r w:rsidRPr="00AC72B5" w:rsidDel="00260B7D">
        <w:rPr>
          <w:w w:val="98"/>
        </w:rPr>
        <w:t xml:space="preserve"> </w:t>
      </w:r>
      <w:r w:rsidRPr="00AC72B5">
        <w:rPr>
          <w:i/>
          <w:w w:val="98"/>
        </w:rPr>
        <w:t>de Macedonia</w:t>
      </w:r>
      <w:r w:rsidRPr="00AC72B5">
        <w:rPr>
          <w:w w:val="98"/>
        </w:rPr>
        <w:t>, ¶ 49, Doc. ONU E/C.12/MKD/CO/2-4 (2016).</w:t>
      </w:r>
    </w:p>
  </w:endnote>
  <w:endnote w:id="269">
    <w:p w14:paraId="33412927" w14:textId="138279F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Uganda</w:t>
      </w:r>
      <w:r w:rsidRPr="00AC72B5">
        <w:rPr>
          <w:w w:val="98"/>
        </w:rPr>
        <w:t>, ¶ 35, Doc. ONU E/C.12/UGA/CO/1 (2015).</w:t>
      </w:r>
    </w:p>
  </w:endnote>
  <w:endnote w:id="270">
    <w:p w14:paraId="465423F1" w14:textId="4B5EA48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Cambodia</w:t>
      </w:r>
      <w:r w:rsidRPr="00AC72B5">
        <w:rPr>
          <w:w w:val="98"/>
        </w:rPr>
        <w:t>, ¶ 32, Doc. ONU E/C.12/KHM/CO/1 (2009).</w:t>
      </w:r>
    </w:p>
  </w:endnote>
  <w:endnote w:id="271">
    <w:p w14:paraId="2D177E91" w14:textId="6A7D0E7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Montenegro</w:t>
      </w:r>
      <w:r w:rsidRPr="00AC72B5">
        <w:rPr>
          <w:w w:val="98"/>
        </w:rPr>
        <w:t xml:space="preserve">, ¶ 24, Doc. ONU E/C.12/MNE/CO/1 (2014); </w:t>
      </w:r>
      <w:r w:rsidRPr="00AC72B5">
        <w:rPr>
          <w:i/>
          <w:w w:val="98"/>
        </w:rPr>
        <w:t>Armenia</w:t>
      </w:r>
      <w:r w:rsidRPr="00AC72B5">
        <w:rPr>
          <w:w w:val="98"/>
        </w:rPr>
        <w:t xml:space="preserve">, ¶ 22, Doc. ONU E/C.12/ARM/CO/2-3 (2014); </w:t>
      </w:r>
      <w:r w:rsidRPr="00AC72B5">
        <w:rPr>
          <w:i/>
          <w:w w:val="98"/>
        </w:rPr>
        <w:t>Albania</w:t>
      </w:r>
      <w:r w:rsidRPr="00AC72B5">
        <w:rPr>
          <w:w w:val="98"/>
        </w:rPr>
        <w:t xml:space="preserve">, ¶ 33, Doc. ONU E/C.12/ALB/CO/2-3 (2013); </w:t>
      </w:r>
      <w:r w:rsidRPr="00AC72B5">
        <w:rPr>
          <w:i/>
          <w:w w:val="98"/>
        </w:rPr>
        <w:t>India</w:t>
      </w:r>
      <w:r w:rsidRPr="00AC72B5">
        <w:rPr>
          <w:w w:val="98"/>
        </w:rPr>
        <w:t>, ¶ 17, Doc. ONU E/C.12/IND/CO/5 (2008).</w:t>
      </w:r>
    </w:p>
  </w:endnote>
  <w:endnote w:id="272">
    <w:p w14:paraId="622E06B2" w14:textId="4615921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India</w:t>
      </w:r>
      <w:r w:rsidRPr="00AC72B5">
        <w:rPr>
          <w:w w:val="98"/>
        </w:rPr>
        <w:t xml:space="preserve">, ¶ 17, Doc. ONU E/C.12/IND/CO/5 (2008); </w:t>
      </w:r>
      <w:r w:rsidRPr="00AC72B5">
        <w:rPr>
          <w:i/>
          <w:w w:val="98"/>
        </w:rPr>
        <w:t>China</w:t>
      </w:r>
      <w:r w:rsidRPr="00AC72B5">
        <w:rPr>
          <w:w w:val="98"/>
        </w:rPr>
        <w:t xml:space="preserve">, ¶ 18,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w w:val="98"/>
          <w:lang w:val="es-PE"/>
        </w:rPr>
        <w:t>E/C.12/1/Add.107</w:t>
      </w:r>
      <w:r w:rsidRPr="00AC72B5">
        <w:rPr>
          <w:w w:val="98"/>
          <w:lang w:val="en-GB"/>
        </w:rPr>
        <w:fldChar w:fldCharType="end"/>
      </w:r>
      <w:r w:rsidRPr="00AC72B5">
        <w:rPr>
          <w:w w:val="98"/>
        </w:rPr>
        <w:t xml:space="preserve"> (2005).</w:t>
      </w:r>
    </w:p>
  </w:endnote>
  <w:endnote w:id="273">
    <w:p w14:paraId="7EFE9EA3" w14:textId="6E44E47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Montenegro</w:t>
      </w:r>
      <w:r w:rsidRPr="00AC72B5">
        <w:rPr>
          <w:w w:val="98"/>
        </w:rPr>
        <w:t xml:space="preserve">, ¶ 24, Doc. ONU E/C.12/MNE/CO/1 (2014); </w:t>
      </w:r>
      <w:r w:rsidRPr="00AC72B5">
        <w:rPr>
          <w:i/>
          <w:w w:val="98"/>
        </w:rPr>
        <w:t>Albania</w:t>
      </w:r>
      <w:r w:rsidRPr="00AC72B5">
        <w:rPr>
          <w:w w:val="98"/>
        </w:rPr>
        <w:t>, ¶ 33, Doc. ONU E/C.12/ALB/CO/2-3 (2013).</w:t>
      </w:r>
    </w:p>
  </w:endnote>
  <w:endnote w:id="274">
    <w:p w14:paraId="2E835FDE" w14:textId="6A7B06D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Albania</w:t>
      </w:r>
      <w:r w:rsidRPr="00AC72B5">
        <w:rPr>
          <w:w w:val="98"/>
        </w:rPr>
        <w:t>, ¶ 33, Doc. ONU E/C.12/ALB/CO/2-3 (2013).</w:t>
      </w:r>
    </w:p>
  </w:endnote>
  <w:endnote w:id="275">
    <w:p w14:paraId="5DF9F4E3" w14:textId="0F1F868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Armenia</w:t>
      </w:r>
      <w:r w:rsidRPr="00AC72B5">
        <w:rPr>
          <w:w w:val="98"/>
        </w:rPr>
        <w:t>, ¶ 22, Doc. ONU E/C.12/ARM/CO/2-3 (2014).</w:t>
      </w:r>
    </w:p>
  </w:endnote>
  <w:endnote w:id="276">
    <w:p w14:paraId="53711DB5" w14:textId="28DA394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Montenegro</w:t>
      </w:r>
      <w:r w:rsidRPr="00AC72B5">
        <w:rPr>
          <w:w w:val="98"/>
        </w:rPr>
        <w:t>, ¶ 24, Doc. ONU E/C.12/MNE/CO/1 (2014).</w:t>
      </w:r>
    </w:p>
  </w:endnote>
  <w:endnote w:id="277">
    <w:p w14:paraId="1AFA8FA2" w14:textId="21B3700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Montenegro</w:t>
      </w:r>
      <w:r w:rsidRPr="00AC72B5">
        <w:rPr>
          <w:w w:val="98"/>
        </w:rPr>
        <w:t xml:space="preserve">, ¶ 24, Doc. ONU E/C.12/MNE/CO/1 (2014); </w:t>
      </w:r>
      <w:r w:rsidRPr="00AC72B5">
        <w:rPr>
          <w:i/>
          <w:w w:val="98"/>
        </w:rPr>
        <w:t>Albania</w:t>
      </w:r>
      <w:r w:rsidRPr="00AC72B5">
        <w:rPr>
          <w:w w:val="98"/>
        </w:rPr>
        <w:t>, ¶ 33, Doc. ONU E/C.12/ALB/CO/2-3 (2013).</w:t>
      </w:r>
    </w:p>
  </w:endnote>
  <w:endnote w:id="278">
    <w:p w14:paraId="2F5F87BC" w14:textId="1A78816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Albania</w:t>
      </w:r>
      <w:r w:rsidRPr="00AC72B5">
        <w:rPr>
          <w:w w:val="98"/>
        </w:rPr>
        <w:t>, ¶ 33, Doc. ONU E/C.12/ALB/CO/2-3 (2013).</w:t>
      </w:r>
    </w:p>
  </w:endnote>
  <w:endnote w:id="279">
    <w:p w14:paraId="1D1520EF" w14:textId="395163B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Rumania</w:t>
      </w:r>
      <w:r w:rsidRPr="00AC72B5">
        <w:rPr>
          <w:w w:val="98"/>
        </w:rPr>
        <w:t xml:space="preserve">, ¶ 22, Doc. ONU </w:t>
      </w:r>
      <w:r w:rsidRPr="00AC72B5">
        <w:rPr>
          <w:rFonts w:eastAsia="MS Mincho"/>
          <w:w w:val="98"/>
        </w:rPr>
        <w:t xml:space="preserve">E/C.12/ROU/Co/3-5 (2014); </w:t>
      </w:r>
      <w:r w:rsidRPr="00AC72B5">
        <w:rPr>
          <w:i/>
          <w:w w:val="98"/>
        </w:rPr>
        <w:t>Filipinas</w:t>
      </w:r>
      <w:r w:rsidRPr="00AC72B5">
        <w:rPr>
          <w:w w:val="98"/>
        </w:rPr>
        <w:t>, ¶ 31, Doc. ONU E/C.12/PHL/CO/4 (2008);</w:t>
      </w:r>
      <w:r w:rsidRPr="00AC72B5">
        <w:rPr>
          <w:i/>
          <w:w w:val="98"/>
        </w:rPr>
        <w:t xml:space="preserve"> Azerbaiyán</w:t>
      </w:r>
      <w:r w:rsidRPr="00AC72B5">
        <w:rPr>
          <w:w w:val="98"/>
        </w:rPr>
        <w:t xml:space="preserve">, ¶ 30,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bCs/>
          <w:w w:val="98"/>
          <w:lang w:val="es-PE"/>
        </w:rPr>
        <w:t>E/C.12/1/Add.104</w:t>
      </w:r>
      <w:r w:rsidRPr="00AC72B5">
        <w:rPr>
          <w:bCs/>
          <w:w w:val="98"/>
          <w:lang w:val="en-GB"/>
        </w:rPr>
        <w:fldChar w:fldCharType="end"/>
      </w:r>
      <w:r w:rsidRPr="00AC72B5">
        <w:rPr>
          <w:w w:val="98"/>
        </w:rPr>
        <w:t xml:space="preserve"> (2004).</w:t>
      </w:r>
    </w:p>
  </w:endnote>
  <w:endnote w:id="280">
    <w:p w14:paraId="4E9D39F4" w14:textId="3F54710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Ecuador</w:t>
      </w:r>
      <w:r w:rsidRPr="00AC72B5">
        <w:rPr>
          <w:w w:val="98"/>
        </w:rPr>
        <w:t xml:space="preserve">, ¶ 28, Doc. ONU E/C.12/ECU/CO/3 (2012); </w:t>
      </w:r>
      <w:r w:rsidRPr="00AC72B5">
        <w:rPr>
          <w:i/>
          <w:w w:val="98"/>
        </w:rPr>
        <w:t>Mauritania</w:t>
      </w:r>
      <w:r w:rsidRPr="00AC72B5">
        <w:rPr>
          <w:w w:val="98"/>
        </w:rPr>
        <w:t xml:space="preserve">, ¶ 28, Doc. ONU </w:t>
      </w:r>
      <w:r w:rsidRPr="00AC72B5">
        <w:rPr>
          <w:rFonts w:eastAsia="MS Mincho"/>
          <w:w w:val="98"/>
        </w:rPr>
        <w:t>E/C.12/MRT/Co/1 (2012);</w:t>
      </w:r>
      <w:r w:rsidRPr="00AC72B5">
        <w:rPr>
          <w:i/>
          <w:w w:val="98"/>
        </w:rPr>
        <w:t xml:space="preserve"> República de Macedonia</w:t>
      </w:r>
      <w:r w:rsidRPr="00AC72B5">
        <w:rPr>
          <w:w w:val="98"/>
        </w:rPr>
        <w:t xml:space="preserve">, ¶ 26, Doc. ONU E/C.12/MKD/CO/1 (2008); </w:t>
      </w:r>
      <w:r w:rsidRPr="00AC72B5">
        <w:rPr>
          <w:i/>
          <w:w w:val="98"/>
        </w:rPr>
        <w:t>Filipinas</w:t>
      </w:r>
      <w:r w:rsidRPr="00AC72B5">
        <w:rPr>
          <w:w w:val="98"/>
        </w:rPr>
        <w:t>, ¶ 31, Doc. ONU E/C.12/PHL/CO/4 (2008).</w:t>
      </w:r>
    </w:p>
  </w:endnote>
  <w:endnote w:id="281">
    <w:p w14:paraId="00C52A46" w14:textId="353A8C6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Rumania</w:t>
      </w:r>
      <w:r w:rsidRPr="00AC72B5">
        <w:rPr>
          <w:w w:val="98"/>
        </w:rPr>
        <w:t xml:space="preserve">, ¶ 22, Doc. ONU </w:t>
      </w:r>
      <w:r w:rsidRPr="00AC72B5">
        <w:rPr>
          <w:rFonts w:eastAsia="MS Mincho"/>
          <w:w w:val="98"/>
        </w:rPr>
        <w:t>E/C.12/ROU/CO/3-5 (2014).</w:t>
      </w:r>
    </w:p>
  </w:endnote>
  <w:endnote w:id="282">
    <w:p w14:paraId="26F370BC" w14:textId="4B0C280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Rumania</w:t>
      </w:r>
      <w:r w:rsidRPr="00AC72B5">
        <w:rPr>
          <w:w w:val="98"/>
        </w:rPr>
        <w:t xml:space="preserve">, ¶ 22, Doc. ONU </w:t>
      </w:r>
      <w:r w:rsidRPr="00AC72B5">
        <w:rPr>
          <w:rFonts w:eastAsia="MS Mincho"/>
          <w:w w:val="98"/>
        </w:rPr>
        <w:t xml:space="preserve">E/C.12/ROU/CO/3-5 (2014); </w:t>
      </w:r>
      <w:r w:rsidRPr="00AC72B5">
        <w:rPr>
          <w:rFonts w:eastAsia="MS Mincho"/>
          <w:i/>
          <w:w w:val="98"/>
        </w:rPr>
        <w:t>Armenia</w:t>
      </w:r>
      <w:r w:rsidRPr="00AC72B5">
        <w:rPr>
          <w:rFonts w:eastAsia="MS Mincho"/>
          <w:w w:val="98"/>
        </w:rPr>
        <w:t xml:space="preserve">, </w:t>
      </w:r>
      <w:r w:rsidRPr="00AC72B5">
        <w:rPr>
          <w:w w:val="98"/>
        </w:rPr>
        <w:t>¶ 22</w:t>
      </w:r>
      <w:r w:rsidRPr="00AC72B5">
        <w:rPr>
          <w:rFonts w:eastAsia="MS Mincho"/>
          <w:w w:val="98"/>
        </w:rPr>
        <w:t xml:space="preserve">, Doc. </w:t>
      </w:r>
      <w:r w:rsidRPr="00AC72B5">
        <w:rPr>
          <w:rFonts w:eastAsia="MS Mincho"/>
          <w:w w:val="98"/>
          <w:lang w:val="es-CO"/>
        </w:rPr>
        <w:t xml:space="preserve">ONU E/C.12/ARM/CO/2-3 (2014); </w:t>
      </w:r>
      <w:r w:rsidRPr="00AC72B5">
        <w:rPr>
          <w:i/>
          <w:w w:val="98"/>
        </w:rPr>
        <w:t>República</w:t>
      </w:r>
      <w:r w:rsidRPr="00AC72B5">
        <w:rPr>
          <w:w w:val="98"/>
        </w:rPr>
        <w:t xml:space="preserve"> </w:t>
      </w:r>
      <w:r w:rsidRPr="00AC72B5">
        <w:rPr>
          <w:i/>
          <w:w w:val="98"/>
        </w:rPr>
        <w:t>Dominicana</w:t>
      </w:r>
      <w:r w:rsidRPr="00AC72B5">
        <w:rPr>
          <w:w w:val="98"/>
          <w:lang w:val="es-CO"/>
        </w:rPr>
        <w:t xml:space="preserve">, ¶ 28, Doc. ONU E/C.12/DOM/CO/3 (2010); </w:t>
      </w:r>
      <w:r w:rsidRPr="00AC72B5">
        <w:rPr>
          <w:i/>
          <w:w w:val="98"/>
          <w:lang w:val="es-CO"/>
        </w:rPr>
        <w:t>Kenia</w:t>
      </w:r>
      <w:r w:rsidRPr="00AC72B5">
        <w:rPr>
          <w:w w:val="98"/>
          <w:lang w:val="es-CO"/>
        </w:rPr>
        <w:t xml:space="preserve">, ¶ 33, Doc. </w:t>
      </w:r>
      <w:r w:rsidRPr="00AC72B5">
        <w:rPr>
          <w:w w:val="98"/>
        </w:rPr>
        <w:t>ONU E/C.12/KEN/CO/1 (2008).</w:t>
      </w:r>
    </w:p>
  </w:endnote>
  <w:endnote w:id="283">
    <w:p w14:paraId="6438A3B4" w14:textId="7E3CA2A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w:t>
      </w:r>
      <w:r>
        <w:rPr>
          <w:w w:val="98"/>
        </w:rPr>
        <w:t xml:space="preserve"> </w:t>
      </w:r>
      <w:r w:rsidRPr="00AC72B5">
        <w:rPr>
          <w:w w:val="98"/>
        </w:rPr>
        <w:t xml:space="preserve">DESC, </w:t>
      </w:r>
      <w:r w:rsidRPr="00AC72B5">
        <w:rPr>
          <w:i/>
          <w:w w:val="98"/>
        </w:rPr>
        <w:t>Observaciones Finales: Nepal</w:t>
      </w:r>
      <w:r w:rsidRPr="00AC72B5">
        <w:rPr>
          <w:w w:val="98"/>
        </w:rPr>
        <w:t>, ¶ 46, Doc. ONU E/C.12/NPL/CO/2 (2008).</w:t>
      </w:r>
    </w:p>
  </w:endnote>
  <w:endnote w:id="284">
    <w:p w14:paraId="6BED19B3" w14:textId="4B64D71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Angola</w:t>
      </w:r>
      <w:r w:rsidRPr="00AC72B5">
        <w:rPr>
          <w:w w:val="98"/>
        </w:rPr>
        <w:t xml:space="preserve">, ¶ 37, Doc. ONU E/C.12/AGO/CO/3 (2008); </w:t>
      </w:r>
      <w:r w:rsidRPr="00AC72B5">
        <w:rPr>
          <w:i/>
          <w:w w:val="98"/>
        </w:rPr>
        <w:t>Kenia</w:t>
      </w:r>
      <w:r w:rsidRPr="00AC72B5">
        <w:rPr>
          <w:w w:val="98"/>
        </w:rPr>
        <w:t>, ¶ 33, Doc. ONU E/C.12/KEN/CO/1 (2008).</w:t>
      </w:r>
    </w:p>
  </w:endnote>
  <w:endnote w:id="285">
    <w:p w14:paraId="01FFE05E" w14:textId="53AD1CA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Bosnia y Herzegovina</w:t>
      </w:r>
      <w:r w:rsidRPr="00AC72B5">
        <w:rPr>
          <w:w w:val="98"/>
        </w:rPr>
        <w:t xml:space="preserve">, ¶ 32, Doc. ONU E/C.12/BIH/CO/2 (2013); </w:t>
      </w:r>
      <w:r w:rsidRPr="00AC72B5">
        <w:rPr>
          <w:i/>
          <w:w w:val="98"/>
        </w:rPr>
        <w:t>Kenia</w:t>
      </w:r>
      <w:r w:rsidRPr="00AC72B5">
        <w:rPr>
          <w:w w:val="98"/>
        </w:rPr>
        <w:t xml:space="preserve">, ¶ 33, Doc. ONU E/C.12/KEN/CO/1 (2008); </w:t>
      </w:r>
      <w:r w:rsidRPr="00AC72B5">
        <w:rPr>
          <w:i/>
          <w:w w:val="98"/>
        </w:rPr>
        <w:t>China</w:t>
      </w:r>
      <w:r w:rsidRPr="00AC72B5">
        <w:rPr>
          <w:w w:val="98"/>
        </w:rPr>
        <w:t xml:space="preserve">, ¶ 88,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w w:val="98"/>
          <w:lang w:val="es-PE"/>
        </w:rPr>
        <w:t>E/C.12/1/Add.107</w:t>
      </w:r>
      <w:r w:rsidRPr="00AC72B5">
        <w:rPr>
          <w:w w:val="98"/>
          <w:lang w:val="en-GB"/>
        </w:rPr>
        <w:fldChar w:fldCharType="end"/>
      </w:r>
      <w:r w:rsidRPr="00AC72B5">
        <w:rPr>
          <w:w w:val="98"/>
        </w:rPr>
        <w:t xml:space="preserve"> (2005);</w:t>
      </w:r>
      <w:r w:rsidRPr="00AC72B5">
        <w:rPr>
          <w:i/>
          <w:w w:val="98"/>
        </w:rPr>
        <w:t xml:space="preserve"> Chile</w:t>
      </w:r>
      <w:r w:rsidRPr="00AC72B5">
        <w:rPr>
          <w:w w:val="98"/>
        </w:rPr>
        <w:t xml:space="preserve">, ¶ 54,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w w:val="98"/>
          <w:lang w:val="es-PE"/>
        </w:rPr>
        <w:t>E/C.12/1/Add.105</w:t>
      </w:r>
      <w:r w:rsidRPr="00AC72B5">
        <w:rPr>
          <w:w w:val="98"/>
          <w:lang w:val="en-GB"/>
        </w:rPr>
        <w:fldChar w:fldCharType="end"/>
      </w:r>
      <w:r w:rsidRPr="00AC72B5">
        <w:rPr>
          <w:w w:val="98"/>
        </w:rPr>
        <w:t xml:space="preserve"> (2004); </w:t>
      </w:r>
      <w:r w:rsidRPr="00AC72B5">
        <w:rPr>
          <w:i/>
          <w:w w:val="98"/>
        </w:rPr>
        <w:t>Moldavia</w:t>
      </w:r>
      <w:r w:rsidRPr="00AC72B5">
        <w:rPr>
          <w:w w:val="98"/>
        </w:rPr>
        <w:t>, ¶ 49, Doc. ONU E/C.12/1/Add.91 (2003);</w:t>
      </w:r>
      <w:r w:rsidRPr="00AC72B5">
        <w:rPr>
          <w:i/>
          <w:w w:val="98"/>
        </w:rPr>
        <w:t xml:space="preserve"> República de Estonia</w:t>
      </w:r>
      <w:r w:rsidRPr="00AC72B5">
        <w:rPr>
          <w:w w:val="98"/>
        </w:rPr>
        <w:t>, ¶ 53, Doc. ONU E/C.12/1/Add.85 (2002).</w:t>
      </w:r>
    </w:p>
  </w:endnote>
  <w:endnote w:id="286">
    <w:p w14:paraId="504F1ED5" w14:textId="579560B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Filipinas</w:t>
      </w:r>
      <w:r w:rsidRPr="00AC72B5">
        <w:rPr>
          <w:w w:val="98"/>
        </w:rPr>
        <w:t>, ¶ 51, Doc. ONU E/C.12/PHL/CO/5-6 (2016);</w:t>
      </w:r>
      <w:r w:rsidRPr="00AC72B5">
        <w:rPr>
          <w:i/>
          <w:w w:val="98"/>
        </w:rPr>
        <w:t xml:space="preserve"> Observaciones Finales: Honduras</w:t>
      </w:r>
      <w:r w:rsidRPr="00AC72B5">
        <w:rPr>
          <w:w w:val="98"/>
        </w:rPr>
        <w:t xml:space="preserve">, ¶ 53, Doc. ONU E/C.12/HND/CO/2 (2016); </w:t>
      </w:r>
      <w:r w:rsidRPr="00AC72B5">
        <w:rPr>
          <w:i/>
          <w:w w:val="98"/>
        </w:rPr>
        <w:t>Ecuador</w:t>
      </w:r>
      <w:r w:rsidRPr="00AC72B5">
        <w:rPr>
          <w:w w:val="98"/>
        </w:rPr>
        <w:t>, ¶ 28, Doc. ONU E/C.12/ECU/CO/3 (2012).</w:t>
      </w:r>
    </w:p>
  </w:endnote>
  <w:endnote w:id="287">
    <w:p w14:paraId="065EC36D" w14:textId="440A020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Honduras</w:t>
      </w:r>
      <w:r w:rsidRPr="00AC72B5">
        <w:rPr>
          <w:w w:val="98"/>
        </w:rPr>
        <w:t>, ¶ 53, Doc. ONU E/C.12/HND/CO/2 (2016).</w:t>
      </w:r>
    </w:p>
  </w:endnote>
  <w:endnote w:id="288">
    <w:p w14:paraId="7C7BE23E" w14:textId="6B09C30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Filipinas</w:t>
      </w:r>
      <w:r w:rsidRPr="00AC72B5">
        <w:rPr>
          <w:w w:val="98"/>
        </w:rPr>
        <w:t>, ¶ 51, Doc. ONU E/C.12/PHL/CO/5-6 (2016).</w:t>
      </w:r>
    </w:p>
  </w:endnote>
  <w:endnote w:id="289">
    <w:p w14:paraId="37A366D3" w14:textId="6A6F52A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Burkina Faso</w:t>
      </w:r>
      <w:r w:rsidRPr="00AC72B5">
        <w:rPr>
          <w:w w:val="98"/>
        </w:rPr>
        <w:t>, ¶ 46, Doc. ONU E/C.12/BFA/CO/1 (2016).</w:t>
      </w:r>
    </w:p>
  </w:endnote>
  <w:endnote w:id="290">
    <w:p w14:paraId="12AC81B3" w14:textId="2FA5702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Ecuador</w:t>
      </w:r>
      <w:r w:rsidRPr="00AC72B5">
        <w:rPr>
          <w:w w:val="98"/>
        </w:rPr>
        <w:t>, ¶ 28, Doc. ONU E/C.12/ECU/CO/3 (2012).</w:t>
      </w:r>
    </w:p>
  </w:endnote>
  <w:endnote w:id="291">
    <w:p w14:paraId="7EF869B8" w14:textId="38E5EEC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Filipinas</w:t>
      </w:r>
      <w:r w:rsidRPr="00AC72B5">
        <w:rPr>
          <w:w w:val="98"/>
        </w:rPr>
        <w:t xml:space="preserve">, ¶ 52, Doc. ONU E/C.12/PHL/CO/5-6 (2016); </w:t>
      </w:r>
      <w:r w:rsidRPr="00AC72B5">
        <w:rPr>
          <w:i/>
          <w:w w:val="98"/>
        </w:rPr>
        <w:t>Honduras</w:t>
      </w:r>
      <w:r w:rsidRPr="00AC72B5">
        <w:rPr>
          <w:w w:val="98"/>
        </w:rPr>
        <w:t xml:space="preserve">, ¶ 54, Doc. ONU E/C.12/HND/CO/2 (2016); </w:t>
      </w:r>
      <w:r w:rsidRPr="00AC72B5">
        <w:rPr>
          <w:i/>
          <w:w w:val="98"/>
        </w:rPr>
        <w:t>Burkina Faso</w:t>
      </w:r>
      <w:r w:rsidRPr="00AC72B5">
        <w:rPr>
          <w:w w:val="98"/>
        </w:rPr>
        <w:t xml:space="preserve">, ¶ 47, Doc. ONU E/C.12/BFA/CO/1 (2016); </w:t>
      </w:r>
      <w:r w:rsidRPr="00AC72B5">
        <w:rPr>
          <w:i/>
          <w:w w:val="98"/>
        </w:rPr>
        <w:t>Angola</w:t>
      </w:r>
      <w:r w:rsidRPr="00AC72B5">
        <w:rPr>
          <w:w w:val="98"/>
        </w:rPr>
        <w:t xml:space="preserve">, ¶ 52, Doc. ONU E/C.12/AGO/CO/4-5 (2016); </w:t>
      </w:r>
      <w:r w:rsidRPr="00AC72B5">
        <w:rPr>
          <w:i/>
          <w:w w:val="98"/>
        </w:rPr>
        <w:t>Chile</w:t>
      </w:r>
      <w:r w:rsidRPr="00AC72B5">
        <w:rPr>
          <w:w w:val="98"/>
        </w:rPr>
        <w:t xml:space="preserve">, ¶ 29, Doc. ONU E/C.12/CHL/CO/4 (2015); </w:t>
      </w:r>
      <w:r w:rsidRPr="00AC72B5">
        <w:rPr>
          <w:i/>
          <w:w w:val="98"/>
        </w:rPr>
        <w:t>Perú</w:t>
      </w:r>
      <w:r w:rsidRPr="00AC72B5">
        <w:rPr>
          <w:w w:val="98"/>
        </w:rPr>
        <w:t>, ¶ 21, Doc. ONU E/C.12/PER/CO/2-4 (2012).</w:t>
      </w:r>
    </w:p>
  </w:endnote>
  <w:endnote w:id="292">
    <w:p w14:paraId="1AFCB2CE" w14:textId="52F88EB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Ecuador</w:t>
      </w:r>
      <w:r w:rsidRPr="00AC72B5">
        <w:rPr>
          <w:w w:val="98"/>
        </w:rPr>
        <w:t>, ¶ 28, Doc. ONU E/C.12/ECU/CO/3 (2012).</w:t>
      </w:r>
    </w:p>
  </w:endnote>
  <w:endnote w:id="293">
    <w:p w14:paraId="6B643F28" w14:textId="7FFA08C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Rumania</w:t>
      </w:r>
      <w:r w:rsidRPr="00AC72B5">
        <w:rPr>
          <w:w w:val="98"/>
        </w:rPr>
        <w:t xml:space="preserve">, ¶ 22, Doc. ONU </w:t>
      </w:r>
      <w:r w:rsidRPr="00AC72B5">
        <w:rPr>
          <w:rFonts w:eastAsia="MS Mincho"/>
          <w:w w:val="98"/>
        </w:rPr>
        <w:t xml:space="preserve">E/C.12/ROU/CO/3-5 (2014); </w:t>
      </w:r>
      <w:r w:rsidRPr="00AC72B5">
        <w:rPr>
          <w:rFonts w:eastAsia="MS Mincho"/>
          <w:i/>
          <w:w w:val="98"/>
        </w:rPr>
        <w:t>Armenia</w:t>
      </w:r>
      <w:r w:rsidRPr="00AC72B5">
        <w:rPr>
          <w:rFonts w:eastAsia="MS Mincho"/>
          <w:w w:val="98"/>
        </w:rPr>
        <w:t xml:space="preserve">, </w:t>
      </w:r>
      <w:r w:rsidRPr="00AC72B5">
        <w:rPr>
          <w:w w:val="98"/>
        </w:rPr>
        <w:t>¶ 22</w:t>
      </w:r>
      <w:r w:rsidRPr="00AC72B5">
        <w:rPr>
          <w:rFonts w:eastAsia="MS Mincho"/>
          <w:w w:val="98"/>
        </w:rPr>
        <w:t>, Doc. ONU E/C.12/ARM/CO/2-3 (2014).</w:t>
      </w:r>
    </w:p>
  </w:endnote>
  <w:endnote w:id="294">
    <w:p w14:paraId="7FD7D5D1" w14:textId="6091CF3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w:t>
      </w:r>
      <w:r w:rsidRPr="00AC72B5">
        <w:rPr>
          <w:i/>
          <w:w w:val="98"/>
        </w:rPr>
        <w:t xml:space="preserve"> Observaciones Finales: Azerbaiyán</w:t>
      </w:r>
      <w:r w:rsidRPr="00AC72B5">
        <w:rPr>
          <w:w w:val="98"/>
        </w:rPr>
        <w:t xml:space="preserve">, ¶ 30,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bCs/>
          <w:w w:val="98"/>
          <w:lang w:val="es-PE"/>
        </w:rPr>
        <w:t>E/C.12/1/Add.104</w:t>
      </w:r>
      <w:r w:rsidRPr="00AC72B5">
        <w:rPr>
          <w:bCs/>
          <w:w w:val="98"/>
          <w:lang w:val="en-GB"/>
        </w:rPr>
        <w:fldChar w:fldCharType="end"/>
      </w:r>
      <w:r w:rsidRPr="00AC72B5">
        <w:rPr>
          <w:w w:val="98"/>
        </w:rPr>
        <w:t xml:space="preserve"> (2004); </w:t>
      </w:r>
      <w:r w:rsidRPr="00AC72B5">
        <w:rPr>
          <w:i/>
          <w:w w:val="98"/>
        </w:rPr>
        <w:t>República de Estonia</w:t>
      </w:r>
      <w:r w:rsidRPr="00AC72B5">
        <w:rPr>
          <w:w w:val="98"/>
        </w:rPr>
        <w:t>, ¶ 30, Doc. ONU E/C.12/1/Add.85 (2002).</w:t>
      </w:r>
    </w:p>
  </w:endnote>
  <w:endnote w:id="295">
    <w:p w14:paraId="1632AF89" w14:textId="6D03787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República de Estonia</w:t>
      </w:r>
      <w:r w:rsidRPr="00AC72B5">
        <w:rPr>
          <w:w w:val="98"/>
        </w:rPr>
        <w:t>, ¶ 30, Doc. ONU E/C.12/1/Add.85 (2002).</w:t>
      </w:r>
    </w:p>
  </w:endnote>
  <w:endnote w:id="296">
    <w:p w14:paraId="3184D0F2" w14:textId="098866F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República de Estonia</w:t>
      </w:r>
      <w:r w:rsidRPr="00AC72B5">
        <w:rPr>
          <w:w w:val="98"/>
        </w:rPr>
        <w:t>, ¶ 53, Doc. ONU E/C.12/1/Add.85 (2002).</w:t>
      </w:r>
    </w:p>
  </w:endnote>
  <w:endnote w:id="297">
    <w:p w14:paraId="584C7EF9" w14:textId="665FAEB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Yibuti</w:t>
      </w:r>
      <w:r w:rsidRPr="00AC72B5">
        <w:rPr>
          <w:w w:val="98"/>
        </w:rPr>
        <w:t xml:space="preserve">, ¶ 32, Doc. ONU </w:t>
      </w:r>
      <w:r w:rsidRPr="00AC72B5">
        <w:rPr>
          <w:rFonts w:eastAsia="MS Mincho"/>
          <w:w w:val="98"/>
        </w:rPr>
        <w:t>E/C.12/DJI/CO/1-2 (2013).</w:t>
      </w:r>
    </w:p>
  </w:endnote>
  <w:endnote w:id="298">
    <w:p w14:paraId="1E4564B4" w14:textId="020210C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República Dominicana</w:t>
      </w:r>
      <w:r w:rsidRPr="00AC72B5">
        <w:rPr>
          <w:w w:val="98"/>
        </w:rPr>
        <w:t>, ¶ 28, Doc. ONU E/C.12/DOM/CO/3 (2010).</w:t>
      </w:r>
    </w:p>
  </w:endnote>
  <w:endnote w:id="299">
    <w:p w14:paraId="40133348" w14:textId="1EAC318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Etiopía</w:t>
      </w:r>
      <w:r w:rsidRPr="00AC72B5">
        <w:rPr>
          <w:w w:val="98"/>
        </w:rPr>
        <w:t>, ¶ 25, Doc. ONU E/C.12/ETH/CO/1-3 (2012).</w:t>
      </w:r>
    </w:p>
  </w:endnote>
  <w:endnote w:id="300">
    <w:p w14:paraId="63AA7346" w14:textId="4641781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 xml:space="preserve">, Comité DESC, </w:t>
      </w:r>
      <w:r w:rsidRPr="00AC72B5">
        <w:rPr>
          <w:i/>
          <w:w w:val="98"/>
        </w:rPr>
        <w:t>Observaciones Finales: Guatemala</w:t>
      </w:r>
      <w:r w:rsidRPr="00AC72B5">
        <w:rPr>
          <w:w w:val="98"/>
        </w:rPr>
        <w:t xml:space="preserve">, ¶ 23, Doc. ONU E/C.12/GTM/CO/3 (2014); </w:t>
      </w:r>
      <w:r w:rsidRPr="00AC72B5">
        <w:rPr>
          <w:i/>
          <w:w w:val="98"/>
        </w:rPr>
        <w:t>Etiopía</w:t>
      </w:r>
      <w:r w:rsidRPr="00AC72B5">
        <w:rPr>
          <w:w w:val="98"/>
        </w:rPr>
        <w:t xml:space="preserve">, ¶ 25, Doc. ONU E/C.12/ETH/CO/1-3 (2012); </w:t>
      </w:r>
      <w:r w:rsidRPr="00AC72B5">
        <w:rPr>
          <w:i/>
          <w:w w:val="98"/>
        </w:rPr>
        <w:t>Mauritania</w:t>
      </w:r>
      <w:r w:rsidRPr="00AC72B5">
        <w:rPr>
          <w:w w:val="98"/>
        </w:rPr>
        <w:t xml:space="preserve">, ¶ 28, Doc. ONU </w:t>
      </w:r>
      <w:r w:rsidRPr="00AC72B5">
        <w:rPr>
          <w:rFonts w:eastAsia="MS Mincho"/>
          <w:w w:val="98"/>
        </w:rPr>
        <w:t xml:space="preserve">E/C.12/MRT/Co/1 (2012); </w:t>
      </w:r>
      <w:r w:rsidRPr="00AC72B5">
        <w:rPr>
          <w:i/>
          <w:w w:val="98"/>
        </w:rPr>
        <w:t>Argentina</w:t>
      </w:r>
      <w:r w:rsidRPr="00AC72B5">
        <w:rPr>
          <w:w w:val="98"/>
        </w:rPr>
        <w:t xml:space="preserve">, ¶ 22, Doc. ONU E/C.12/ARG/CO/3 (2011); </w:t>
      </w:r>
      <w:r w:rsidRPr="00AC72B5">
        <w:rPr>
          <w:i/>
          <w:w w:val="98"/>
        </w:rPr>
        <w:t>República Dominicana</w:t>
      </w:r>
      <w:r w:rsidRPr="00AC72B5">
        <w:rPr>
          <w:w w:val="98"/>
        </w:rPr>
        <w:t xml:space="preserve">, ¶ 28, Doc. ONU E/C.12/DOM/CO/3 (2010); </w:t>
      </w:r>
      <w:r w:rsidRPr="00AC72B5">
        <w:rPr>
          <w:rFonts w:eastAsia="MS Mincho"/>
          <w:i/>
          <w:w w:val="98"/>
        </w:rPr>
        <w:t>Cambodia</w:t>
      </w:r>
      <w:r w:rsidRPr="00AC72B5">
        <w:rPr>
          <w:rFonts w:eastAsia="MS Mincho"/>
          <w:w w:val="98"/>
        </w:rPr>
        <w:t xml:space="preserve">, </w:t>
      </w:r>
      <w:r w:rsidRPr="00AC72B5">
        <w:rPr>
          <w:w w:val="98"/>
        </w:rPr>
        <w:t xml:space="preserve">¶ 32, </w:t>
      </w:r>
      <w:r w:rsidRPr="00AC72B5">
        <w:rPr>
          <w:rFonts w:eastAsia="MS Mincho"/>
          <w:w w:val="98"/>
        </w:rPr>
        <w:t xml:space="preserve">Doc. ONU </w:t>
      </w:r>
      <w:r w:rsidRPr="00AC72B5">
        <w:rPr>
          <w:w w:val="98"/>
        </w:rPr>
        <w:t xml:space="preserve">E/C.12/KHM/CO/1 (2009); </w:t>
      </w:r>
      <w:r w:rsidRPr="00AC72B5">
        <w:rPr>
          <w:i/>
          <w:w w:val="98"/>
        </w:rPr>
        <w:t>Benin</w:t>
      </w:r>
      <w:r w:rsidRPr="00AC72B5">
        <w:rPr>
          <w:w w:val="98"/>
        </w:rPr>
        <w:t xml:space="preserve">, ¶ 25, Doc. ONU E/C.12/BEN/CO/2 (2008); </w:t>
      </w:r>
      <w:r w:rsidRPr="00AC72B5">
        <w:rPr>
          <w:i/>
          <w:w w:val="98"/>
        </w:rPr>
        <w:t>Azerbaiyán</w:t>
      </w:r>
      <w:r w:rsidRPr="00AC72B5">
        <w:rPr>
          <w:w w:val="98"/>
        </w:rPr>
        <w:t xml:space="preserve">, ¶ 30,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bCs/>
          <w:w w:val="98"/>
          <w:lang w:val="es-PE"/>
        </w:rPr>
        <w:t>E/C.12/1/Add.104</w:t>
      </w:r>
      <w:r w:rsidRPr="00AC72B5">
        <w:rPr>
          <w:bCs/>
          <w:w w:val="98"/>
          <w:lang w:val="en-GB"/>
        </w:rPr>
        <w:fldChar w:fldCharType="end"/>
      </w:r>
      <w:r w:rsidRPr="00AC72B5">
        <w:rPr>
          <w:w w:val="98"/>
        </w:rPr>
        <w:t xml:space="preserve"> (2004); </w:t>
      </w:r>
      <w:r w:rsidRPr="00AC72B5">
        <w:rPr>
          <w:i/>
          <w:w w:val="98"/>
        </w:rPr>
        <w:t>Panamá</w:t>
      </w:r>
      <w:r w:rsidRPr="00AC72B5">
        <w:rPr>
          <w:w w:val="98"/>
        </w:rPr>
        <w:t xml:space="preserve">, ¶ 20, Doc. ONU E/C.12/1/Add.64 (2004); </w:t>
      </w:r>
      <w:r w:rsidRPr="00AC72B5">
        <w:rPr>
          <w:i/>
          <w:w w:val="98"/>
        </w:rPr>
        <w:t>Guatemala</w:t>
      </w:r>
      <w:r w:rsidRPr="00AC72B5">
        <w:rPr>
          <w:w w:val="98"/>
        </w:rPr>
        <w:t xml:space="preserve">, ¶ 25,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bCs/>
          <w:w w:val="98"/>
          <w:lang w:val="es-PE"/>
        </w:rPr>
        <w:t>E/C.12/1/Add.93</w:t>
      </w:r>
      <w:r w:rsidRPr="00AC72B5">
        <w:rPr>
          <w:bCs/>
          <w:w w:val="98"/>
          <w:lang w:val="en-GB"/>
        </w:rPr>
        <w:fldChar w:fldCharType="end"/>
      </w:r>
      <w:r w:rsidRPr="00AC72B5">
        <w:rPr>
          <w:w w:val="98"/>
        </w:rPr>
        <w:t xml:space="preserve"> (2003); </w:t>
      </w:r>
      <w:r w:rsidRPr="00AC72B5">
        <w:rPr>
          <w:i/>
          <w:w w:val="98"/>
        </w:rPr>
        <w:t>Moldavia</w:t>
      </w:r>
      <w:r w:rsidRPr="00AC72B5">
        <w:rPr>
          <w:w w:val="98"/>
        </w:rPr>
        <w:t xml:space="preserve">, ¶ 27, Doc. ONU E/C.12/1/Add.91 (2003); </w:t>
      </w:r>
      <w:r w:rsidRPr="00AC72B5">
        <w:rPr>
          <w:i/>
          <w:w w:val="98"/>
        </w:rPr>
        <w:t>Argelia</w:t>
      </w:r>
      <w:r w:rsidRPr="00AC72B5">
        <w:rPr>
          <w:w w:val="98"/>
        </w:rPr>
        <w:t>, ¶ 37, Doc. ONU E/C.12/1/Add.71 (2001).</w:t>
      </w:r>
    </w:p>
  </w:endnote>
  <w:endnote w:id="301">
    <w:p w14:paraId="556AB578" w14:textId="13A19EA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México</w:t>
      </w:r>
      <w:r w:rsidRPr="00AC72B5">
        <w:rPr>
          <w:w w:val="98"/>
        </w:rPr>
        <w:t xml:space="preserve">, ¶ 25, Doc. ONU </w:t>
      </w:r>
      <w:r w:rsidRPr="00AC72B5">
        <w:rPr>
          <w:w w:val="98"/>
        </w:rPr>
        <w:fldChar w:fldCharType="begin"/>
      </w:r>
      <w:r w:rsidRPr="00AC72B5">
        <w:rPr>
          <w:w w:val="98"/>
        </w:rPr>
        <w:instrText xml:space="preserve"> FILLIN "Symbol" \* MERGEFORMAT </w:instrText>
      </w:r>
      <w:r w:rsidRPr="00AC72B5">
        <w:rPr>
          <w:w w:val="98"/>
        </w:rPr>
        <w:fldChar w:fldCharType="separate"/>
      </w:r>
      <w:r w:rsidRPr="00AC72B5">
        <w:rPr>
          <w:w w:val="98"/>
        </w:rPr>
        <w:t>E/C.12/MEX/CO/4</w:t>
      </w:r>
      <w:r w:rsidRPr="00AC72B5">
        <w:rPr>
          <w:w w:val="98"/>
        </w:rPr>
        <w:fldChar w:fldCharType="end"/>
      </w:r>
      <w:r w:rsidRPr="00AC72B5">
        <w:rPr>
          <w:w w:val="98"/>
        </w:rPr>
        <w:t xml:space="preserve"> (2006).</w:t>
      </w:r>
    </w:p>
  </w:endnote>
  <w:endnote w:id="302">
    <w:p w14:paraId="311B7132" w14:textId="01EC1C9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El Salvador</w:t>
      </w:r>
      <w:r w:rsidRPr="00AC72B5">
        <w:rPr>
          <w:w w:val="98"/>
        </w:rPr>
        <w:t xml:space="preserve">, ¶ 22, Doc. ONU E/C.12/SLV/CO/3-5 (2014); </w:t>
      </w:r>
      <w:r w:rsidRPr="00AC72B5">
        <w:rPr>
          <w:i/>
          <w:w w:val="98"/>
        </w:rPr>
        <w:t>Yibuti</w:t>
      </w:r>
      <w:r w:rsidRPr="00AC72B5">
        <w:rPr>
          <w:w w:val="98"/>
        </w:rPr>
        <w:t xml:space="preserve">, ¶ 32, Doc. ONU </w:t>
      </w:r>
      <w:r w:rsidRPr="00AC72B5">
        <w:rPr>
          <w:rFonts w:eastAsia="MS Mincho"/>
          <w:w w:val="98"/>
        </w:rPr>
        <w:t xml:space="preserve">E/C.12/DJI/Co/1-2 (2013); </w:t>
      </w:r>
      <w:r w:rsidRPr="00AC72B5">
        <w:rPr>
          <w:i/>
          <w:w w:val="98"/>
        </w:rPr>
        <w:t>Argentina</w:t>
      </w:r>
      <w:r w:rsidRPr="00AC72B5">
        <w:rPr>
          <w:w w:val="98"/>
        </w:rPr>
        <w:t xml:space="preserve">, ¶ 22, Doc. ONU E/C.12/ARG/CO/3 (2011); </w:t>
      </w:r>
      <w:r w:rsidRPr="00AC72B5">
        <w:rPr>
          <w:rFonts w:eastAsia="MS Mincho"/>
          <w:i/>
          <w:w w:val="98"/>
        </w:rPr>
        <w:t>Cambodia</w:t>
      </w:r>
      <w:r w:rsidRPr="00AC72B5">
        <w:rPr>
          <w:rFonts w:eastAsia="MS Mincho"/>
          <w:w w:val="98"/>
        </w:rPr>
        <w:t xml:space="preserve">, </w:t>
      </w:r>
      <w:r w:rsidRPr="00AC72B5">
        <w:rPr>
          <w:w w:val="98"/>
        </w:rPr>
        <w:t xml:space="preserve">¶ 32, </w:t>
      </w:r>
      <w:r w:rsidRPr="00AC72B5">
        <w:rPr>
          <w:rFonts w:eastAsia="MS Mincho"/>
          <w:w w:val="98"/>
        </w:rPr>
        <w:t xml:space="preserve">Doc. ONU </w:t>
      </w:r>
      <w:r w:rsidRPr="00AC72B5">
        <w:rPr>
          <w:w w:val="98"/>
        </w:rPr>
        <w:t xml:space="preserve">E/C.12/KHM/CO/1 (2009); </w:t>
      </w:r>
      <w:r w:rsidRPr="00AC72B5">
        <w:rPr>
          <w:i/>
          <w:w w:val="98"/>
        </w:rPr>
        <w:t>Filipinas</w:t>
      </w:r>
      <w:r w:rsidRPr="00AC72B5">
        <w:rPr>
          <w:w w:val="98"/>
        </w:rPr>
        <w:t xml:space="preserve">, ¶ 31, Doc. ONU E/C.12/PHL/CO/4 (2008); </w:t>
      </w:r>
      <w:r w:rsidRPr="00AC72B5">
        <w:rPr>
          <w:i/>
          <w:w w:val="98"/>
        </w:rPr>
        <w:t>Nicaragua</w:t>
      </w:r>
      <w:r w:rsidRPr="00AC72B5">
        <w:rPr>
          <w:w w:val="98"/>
        </w:rPr>
        <w:t xml:space="preserve">, ¶ 27, Doc. ONU E/C.12/NIC/CO/4 (2008); </w:t>
      </w:r>
      <w:r w:rsidRPr="00AC72B5">
        <w:rPr>
          <w:i/>
          <w:w w:val="98"/>
        </w:rPr>
        <w:t>México</w:t>
      </w:r>
      <w:r w:rsidRPr="00AC72B5">
        <w:rPr>
          <w:w w:val="98"/>
        </w:rPr>
        <w:t xml:space="preserve">, ¶ 25, Doc. ONU </w:t>
      </w:r>
      <w:r w:rsidRPr="00AC72B5">
        <w:rPr>
          <w:w w:val="98"/>
        </w:rPr>
        <w:fldChar w:fldCharType="begin"/>
      </w:r>
      <w:r w:rsidRPr="00AC72B5">
        <w:rPr>
          <w:w w:val="98"/>
        </w:rPr>
        <w:instrText xml:space="preserve"> FILLIN "Symbol" \* MERGEFORMAT </w:instrText>
      </w:r>
      <w:r w:rsidRPr="00AC72B5">
        <w:rPr>
          <w:w w:val="98"/>
        </w:rPr>
        <w:fldChar w:fldCharType="separate"/>
      </w:r>
      <w:r w:rsidRPr="00AC72B5">
        <w:rPr>
          <w:w w:val="98"/>
        </w:rPr>
        <w:t>E/C.12/MEX/CO/4</w:t>
      </w:r>
      <w:r w:rsidRPr="00AC72B5">
        <w:rPr>
          <w:w w:val="98"/>
        </w:rPr>
        <w:fldChar w:fldCharType="end"/>
      </w:r>
      <w:r w:rsidRPr="00AC72B5">
        <w:rPr>
          <w:w w:val="98"/>
        </w:rPr>
        <w:t xml:space="preserve"> (2006); </w:t>
      </w:r>
      <w:r w:rsidRPr="00AC72B5">
        <w:rPr>
          <w:i/>
          <w:w w:val="98"/>
        </w:rPr>
        <w:t>Brasil</w:t>
      </w:r>
      <w:r w:rsidRPr="00AC72B5">
        <w:rPr>
          <w:w w:val="98"/>
        </w:rPr>
        <w:t xml:space="preserve">, ¶ 27,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bCs/>
          <w:w w:val="98"/>
          <w:lang w:val="es-PE"/>
        </w:rPr>
        <w:t>E/C.12/1/Add.87</w:t>
      </w:r>
      <w:r w:rsidRPr="00AC72B5">
        <w:rPr>
          <w:bCs/>
          <w:w w:val="98"/>
          <w:lang w:val="en-GB"/>
        </w:rPr>
        <w:fldChar w:fldCharType="end"/>
      </w:r>
      <w:r w:rsidRPr="00AC72B5">
        <w:rPr>
          <w:w w:val="98"/>
        </w:rPr>
        <w:t xml:space="preserve"> (2003); </w:t>
      </w:r>
      <w:r w:rsidRPr="00AC72B5">
        <w:rPr>
          <w:i/>
          <w:w w:val="98"/>
        </w:rPr>
        <w:t>Benin</w:t>
      </w:r>
      <w:r w:rsidRPr="00AC72B5">
        <w:rPr>
          <w:w w:val="98"/>
        </w:rPr>
        <w:t xml:space="preserve">, ¶ 23, Doc. ONU E/C.12/1/Add.78 (2002); </w:t>
      </w:r>
      <w:r w:rsidRPr="00AC72B5">
        <w:rPr>
          <w:i/>
          <w:w w:val="98"/>
        </w:rPr>
        <w:t>Bolivia</w:t>
      </w:r>
      <w:r w:rsidRPr="00AC72B5">
        <w:rPr>
          <w:w w:val="98"/>
        </w:rPr>
        <w:t xml:space="preserve">, ¶ 23, Doc. ONU E/C.12/1/Add.60 (2001); </w:t>
      </w:r>
      <w:r w:rsidRPr="00AC72B5">
        <w:rPr>
          <w:i/>
          <w:w w:val="98"/>
        </w:rPr>
        <w:t>Jamaica</w:t>
      </w:r>
      <w:r w:rsidRPr="00AC72B5">
        <w:rPr>
          <w:w w:val="98"/>
        </w:rPr>
        <w:t xml:space="preserve">, ¶ 18, Doc. ONU </w:t>
      </w:r>
      <w:r w:rsidRPr="00AC72B5">
        <w:rPr>
          <w:w w:val="98"/>
          <w:lang w:val="es-ES"/>
        </w:rPr>
        <w:fldChar w:fldCharType="begin"/>
      </w:r>
      <w:r w:rsidRPr="00AC72B5">
        <w:rPr>
          <w:bCs/>
          <w:w w:val="98"/>
        </w:rPr>
        <w:instrText xml:space="preserve"> FILLIN "Symbol" \* MERGEFORMAT </w:instrText>
      </w:r>
      <w:r w:rsidRPr="00AC72B5">
        <w:rPr>
          <w:bCs/>
          <w:w w:val="98"/>
          <w:lang w:val="es-ES"/>
        </w:rPr>
        <w:fldChar w:fldCharType="separate"/>
      </w:r>
      <w:r w:rsidRPr="00AC72B5">
        <w:rPr>
          <w:bCs/>
          <w:w w:val="98"/>
          <w:lang w:val="es-PE"/>
        </w:rPr>
        <w:t>E/C.12/1/Add.75</w:t>
      </w:r>
      <w:r w:rsidRPr="00AC72B5">
        <w:rPr>
          <w:bCs/>
          <w:w w:val="98"/>
          <w:lang w:val="en-GB"/>
        </w:rPr>
        <w:fldChar w:fldCharType="end"/>
      </w:r>
      <w:r w:rsidRPr="00AC72B5">
        <w:rPr>
          <w:w w:val="98"/>
        </w:rPr>
        <w:t xml:space="preserve"> (2001); </w:t>
      </w:r>
      <w:r w:rsidRPr="00AC72B5">
        <w:rPr>
          <w:i/>
          <w:w w:val="98"/>
        </w:rPr>
        <w:t>Nepal</w:t>
      </w:r>
      <w:r w:rsidRPr="00AC72B5">
        <w:rPr>
          <w:w w:val="98"/>
        </w:rPr>
        <w:t>, ¶ 32, Doc. ONU E/C.12/1/Add.66 (2001).</w:t>
      </w:r>
    </w:p>
  </w:endnote>
  <w:endnote w:id="303">
    <w:p w14:paraId="6FC57C0C" w14:textId="6BF993D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Yibuti</w:t>
      </w:r>
      <w:r w:rsidRPr="00AC72B5">
        <w:rPr>
          <w:w w:val="98"/>
        </w:rPr>
        <w:t xml:space="preserve">, ¶ 32, Doc. ONU </w:t>
      </w:r>
      <w:r w:rsidRPr="00AC72B5">
        <w:rPr>
          <w:rFonts w:eastAsia="MS Mincho"/>
          <w:w w:val="98"/>
        </w:rPr>
        <w:t>E/C.12/DJI/CO/1-2 (2013).</w:t>
      </w:r>
    </w:p>
  </w:endnote>
  <w:endnote w:id="304">
    <w:p w14:paraId="095DA9FC" w14:textId="07B8932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Yibuti</w:t>
      </w:r>
      <w:r w:rsidRPr="00AC72B5">
        <w:rPr>
          <w:w w:val="98"/>
        </w:rPr>
        <w:t xml:space="preserve">, ¶ 32, Doc. ONU </w:t>
      </w:r>
      <w:r w:rsidRPr="00AC72B5">
        <w:rPr>
          <w:rFonts w:eastAsia="MS Mincho"/>
          <w:w w:val="98"/>
        </w:rPr>
        <w:t xml:space="preserve">E/C.12/DJI/CO/1-2 (2013); </w:t>
      </w:r>
      <w:r w:rsidRPr="00AC72B5">
        <w:rPr>
          <w:rFonts w:eastAsia="MS Mincho"/>
          <w:i/>
          <w:w w:val="98"/>
        </w:rPr>
        <w:t>Cambodia</w:t>
      </w:r>
      <w:r w:rsidRPr="00AC72B5">
        <w:rPr>
          <w:rFonts w:eastAsia="MS Mincho"/>
          <w:w w:val="98"/>
        </w:rPr>
        <w:t xml:space="preserve">, </w:t>
      </w:r>
      <w:r w:rsidRPr="00AC72B5">
        <w:rPr>
          <w:w w:val="98"/>
        </w:rPr>
        <w:t xml:space="preserve">¶ 32, </w:t>
      </w:r>
      <w:r w:rsidRPr="00AC72B5">
        <w:rPr>
          <w:rFonts w:eastAsia="MS Mincho"/>
          <w:w w:val="98"/>
        </w:rPr>
        <w:t xml:space="preserve">Doc. ONU </w:t>
      </w:r>
      <w:r w:rsidRPr="00AC72B5">
        <w:rPr>
          <w:w w:val="98"/>
        </w:rPr>
        <w:t xml:space="preserve">E/C.12/KHM/CO/1 (2009); </w:t>
      </w:r>
      <w:r w:rsidRPr="00AC72B5">
        <w:rPr>
          <w:i/>
          <w:w w:val="98"/>
        </w:rPr>
        <w:t>Bolivia</w:t>
      </w:r>
      <w:r w:rsidRPr="00AC72B5">
        <w:rPr>
          <w:w w:val="98"/>
        </w:rPr>
        <w:t>, ¶ 23, Doc. ONU E/C.12/1/Add.60 (2001).</w:t>
      </w:r>
    </w:p>
  </w:endnote>
  <w:endnote w:id="305">
    <w:p w14:paraId="5545BF3E" w14:textId="1B398EC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Yibuti</w:t>
      </w:r>
      <w:r w:rsidRPr="00AC72B5">
        <w:rPr>
          <w:w w:val="98"/>
        </w:rPr>
        <w:t xml:space="preserve">, ¶ 32, Doc. ONU </w:t>
      </w:r>
      <w:r w:rsidRPr="00AC72B5">
        <w:rPr>
          <w:rFonts w:eastAsia="MS Mincho"/>
          <w:w w:val="98"/>
        </w:rPr>
        <w:t>E/C.12/DJI/CO/1-2 (2013).</w:t>
      </w:r>
    </w:p>
  </w:endnote>
  <w:endnote w:id="306">
    <w:p w14:paraId="48C101E9" w14:textId="4A6A117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Cambodia</w:t>
      </w:r>
      <w:r w:rsidRPr="00AC72B5">
        <w:rPr>
          <w:w w:val="98"/>
        </w:rPr>
        <w:t>, ¶ 32, Doc. ONU E/C.12/KHM/CO/1 (2009).</w:t>
      </w:r>
    </w:p>
  </w:endnote>
  <w:endnote w:id="307">
    <w:p w14:paraId="08F47DE2" w14:textId="0B4821F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Filipinas</w:t>
      </w:r>
      <w:r w:rsidRPr="00AC72B5">
        <w:rPr>
          <w:w w:val="98"/>
        </w:rPr>
        <w:t>, ¶ 31, Doc. ONU E/C.12/PHL/CO/4 (2008).</w:t>
      </w:r>
    </w:p>
  </w:endnote>
  <w:endnote w:id="308">
    <w:p w14:paraId="7BA34CBF" w14:textId="7D2AE68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República Dominicana</w:t>
      </w:r>
      <w:r w:rsidRPr="00AC72B5">
        <w:rPr>
          <w:w w:val="98"/>
        </w:rPr>
        <w:t>, ¶ 28, Doc. ONU E/C.12/DOM/CO/3 (2010);</w:t>
      </w:r>
    </w:p>
  </w:endnote>
  <w:endnote w:id="309">
    <w:p w14:paraId="30549CB9" w14:textId="2A02CF1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Yibuti</w:t>
      </w:r>
      <w:r w:rsidRPr="00AC72B5">
        <w:rPr>
          <w:w w:val="98"/>
        </w:rPr>
        <w:t xml:space="preserve">, ¶ 32, Doc. ONU </w:t>
      </w:r>
      <w:r w:rsidRPr="00AC72B5">
        <w:rPr>
          <w:rFonts w:eastAsia="MS Mincho"/>
          <w:w w:val="98"/>
        </w:rPr>
        <w:t>E/C.12/DJI/CO/1-2 (2013).</w:t>
      </w:r>
    </w:p>
  </w:endnote>
  <w:endnote w:id="310">
    <w:p w14:paraId="5AB72384" w14:textId="74B58E4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Benin</w:t>
      </w:r>
      <w:r w:rsidRPr="00AC72B5">
        <w:rPr>
          <w:w w:val="98"/>
        </w:rPr>
        <w:t xml:space="preserve">, ¶ 25, Doc. ONU E/C.12/BEN/CO/2 (2008); </w:t>
      </w:r>
      <w:r w:rsidRPr="00AC72B5">
        <w:rPr>
          <w:i/>
          <w:w w:val="98"/>
        </w:rPr>
        <w:t>Brasil</w:t>
      </w:r>
      <w:r w:rsidRPr="00AC72B5">
        <w:rPr>
          <w:w w:val="98"/>
        </w:rPr>
        <w:t xml:space="preserve">, ¶ 27,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w w:val="98"/>
          <w:lang w:val="es-PE"/>
        </w:rPr>
        <w:t>E/C.12/1/Add.87</w:t>
      </w:r>
      <w:r w:rsidRPr="00AC72B5">
        <w:rPr>
          <w:w w:val="98"/>
          <w:lang w:val="en-GB"/>
        </w:rPr>
        <w:fldChar w:fldCharType="end"/>
      </w:r>
      <w:r w:rsidRPr="00AC72B5">
        <w:rPr>
          <w:w w:val="98"/>
        </w:rPr>
        <w:t xml:space="preserve"> (2003); </w:t>
      </w:r>
      <w:r w:rsidRPr="00AC72B5">
        <w:rPr>
          <w:i/>
          <w:w w:val="98"/>
        </w:rPr>
        <w:t>Nepal</w:t>
      </w:r>
      <w:r w:rsidRPr="00AC72B5">
        <w:rPr>
          <w:w w:val="98"/>
        </w:rPr>
        <w:t>, ¶ 32, Doc. ONU E/C.12/1/Add.66 (2001).</w:t>
      </w:r>
    </w:p>
  </w:endnote>
  <w:endnote w:id="311">
    <w:p w14:paraId="2C49EFB3" w14:textId="301C725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Benin</w:t>
      </w:r>
      <w:r w:rsidRPr="00AC72B5">
        <w:rPr>
          <w:w w:val="98"/>
        </w:rPr>
        <w:t xml:space="preserve">, ¶ 23, Doc. ONU E/C.12/1/Add.78 (2002); </w:t>
      </w:r>
      <w:r w:rsidRPr="00AC72B5">
        <w:rPr>
          <w:i/>
          <w:w w:val="98"/>
        </w:rPr>
        <w:t>Bolivia</w:t>
      </w:r>
      <w:r w:rsidRPr="00AC72B5">
        <w:rPr>
          <w:w w:val="98"/>
        </w:rPr>
        <w:t>, ¶ 23, Doc. ONU E/C.12/1/Add.60 (2001).</w:t>
      </w:r>
    </w:p>
  </w:endnote>
  <w:endnote w:id="312">
    <w:p w14:paraId="23127CD7" w14:textId="0A1F2A6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Nicaragua</w:t>
      </w:r>
      <w:r w:rsidRPr="00AC72B5">
        <w:rPr>
          <w:w w:val="98"/>
        </w:rPr>
        <w:t xml:space="preserve">, ¶ 27, Doc. ONU E/C.12/NIC/CO/4 (2008); </w:t>
      </w:r>
      <w:r w:rsidRPr="00AC72B5">
        <w:rPr>
          <w:i/>
          <w:w w:val="98"/>
        </w:rPr>
        <w:t>Paraguay</w:t>
      </w:r>
      <w:r w:rsidRPr="00AC72B5">
        <w:rPr>
          <w:w w:val="98"/>
        </w:rPr>
        <w:t xml:space="preserve">, ¶ 32, Doc. ONU E/C.12/PRY/CO/3 (2008); </w:t>
      </w:r>
      <w:r w:rsidRPr="00AC72B5">
        <w:rPr>
          <w:i/>
          <w:w w:val="98"/>
        </w:rPr>
        <w:t>Filipinas</w:t>
      </w:r>
      <w:r w:rsidRPr="00AC72B5">
        <w:rPr>
          <w:w w:val="98"/>
        </w:rPr>
        <w:t xml:space="preserve">, ¶ 31, Doc. ONU E/C.12/PHL/CO/4 (2008); </w:t>
      </w:r>
      <w:r w:rsidRPr="00AC72B5">
        <w:rPr>
          <w:i/>
          <w:w w:val="98"/>
        </w:rPr>
        <w:t>Brasil</w:t>
      </w:r>
      <w:r w:rsidRPr="00AC72B5">
        <w:rPr>
          <w:w w:val="98"/>
        </w:rPr>
        <w:t xml:space="preserve">, ¶ 51,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w w:val="98"/>
          <w:lang w:val="es-PE"/>
        </w:rPr>
        <w:t>E/C.12/1/Add.87</w:t>
      </w:r>
      <w:r w:rsidRPr="00AC72B5">
        <w:rPr>
          <w:w w:val="98"/>
          <w:lang w:val="en-GB"/>
        </w:rPr>
        <w:fldChar w:fldCharType="end"/>
      </w:r>
      <w:r w:rsidRPr="00AC72B5">
        <w:rPr>
          <w:w w:val="98"/>
        </w:rPr>
        <w:t xml:space="preserve"> (2003).</w:t>
      </w:r>
    </w:p>
  </w:endnote>
  <w:endnote w:id="313">
    <w:p w14:paraId="55A18802" w14:textId="1B2A76C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Argentina</w:t>
      </w:r>
      <w:r w:rsidRPr="00AC72B5">
        <w:rPr>
          <w:w w:val="98"/>
        </w:rPr>
        <w:t>, ¶ 22, Doc. ONU E/C.12/ARG/CO/3 (2011).</w:t>
      </w:r>
    </w:p>
  </w:endnote>
  <w:endnote w:id="314">
    <w:p w14:paraId="50E063F4" w14:textId="182D211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Argentina</w:t>
      </w:r>
      <w:r w:rsidRPr="00AC72B5">
        <w:rPr>
          <w:w w:val="98"/>
        </w:rPr>
        <w:t>, ¶ 22, Doc. ONU E/C.12/ARG/CO/3 (2011).</w:t>
      </w:r>
    </w:p>
  </w:endnote>
  <w:endnote w:id="315">
    <w:p w14:paraId="2887E1EA" w14:textId="665F0C6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Azerbaiyán</w:t>
      </w:r>
      <w:r w:rsidRPr="00AC72B5">
        <w:rPr>
          <w:w w:val="98"/>
        </w:rPr>
        <w:t xml:space="preserve">, ¶ 30,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bCs/>
          <w:w w:val="98"/>
          <w:lang w:val="es-PE"/>
        </w:rPr>
        <w:t>E/C.12/1/Add.104</w:t>
      </w:r>
      <w:r w:rsidRPr="00AC72B5">
        <w:rPr>
          <w:bCs/>
          <w:w w:val="98"/>
          <w:lang w:val="en-GB"/>
        </w:rPr>
        <w:fldChar w:fldCharType="end"/>
      </w:r>
      <w:r w:rsidRPr="00AC72B5">
        <w:rPr>
          <w:w w:val="98"/>
        </w:rPr>
        <w:t xml:space="preserve"> (2004).</w:t>
      </w:r>
    </w:p>
  </w:endnote>
  <w:endnote w:id="316">
    <w:p w14:paraId="11C58968" w14:textId="3396D7E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Filipinas</w:t>
      </w:r>
      <w:r w:rsidRPr="00AC72B5">
        <w:rPr>
          <w:w w:val="98"/>
        </w:rPr>
        <w:t xml:space="preserve">, ¶ 31, Doc. ONU E/C.12/PHL/CO/4 (2008); </w:t>
      </w:r>
      <w:r w:rsidRPr="00AC72B5">
        <w:rPr>
          <w:i/>
          <w:w w:val="98"/>
        </w:rPr>
        <w:t>Panamá</w:t>
      </w:r>
      <w:r w:rsidRPr="00AC72B5">
        <w:rPr>
          <w:w w:val="98"/>
        </w:rPr>
        <w:t>, ¶ 37, Doc. ONU E/C.12/1/Add.64 (2004).</w:t>
      </w:r>
    </w:p>
  </w:endnote>
  <w:endnote w:id="317">
    <w:p w14:paraId="5CF9EF1E" w14:textId="3EF1BB6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Yibuti</w:t>
      </w:r>
      <w:r w:rsidRPr="00AC72B5">
        <w:rPr>
          <w:w w:val="98"/>
        </w:rPr>
        <w:t xml:space="preserve">, ¶ 32, Doc. ONU </w:t>
      </w:r>
      <w:r w:rsidRPr="00AC72B5">
        <w:rPr>
          <w:rFonts w:eastAsia="MS Mincho"/>
          <w:w w:val="98"/>
        </w:rPr>
        <w:t xml:space="preserve">E/C.12/DJI/Co/1-2 (2013); </w:t>
      </w:r>
      <w:r w:rsidRPr="00AC72B5">
        <w:rPr>
          <w:i/>
          <w:w w:val="98"/>
        </w:rPr>
        <w:t>Etiopía</w:t>
      </w:r>
      <w:r w:rsidRPr="00AC72B5">
        <w:rPr>
          <w:w w:val="98"/>
        </w:rPr>
        <w:t xml:space="preserve">, ¶ 25, Doc. ONU E/C.12/ETH/CO/1-3 (2012); </w:t>
      </w:r>
      <w:r w:rsidRPr="00AC72B5">
        <w:rPr>
          <w:i/>
          <w:w w:val="98"/>
        </w:rPr>
        <w:t>Argentina</w:t>
      </w:r>
      <w:r w:rsidRPr="00AC72B5">
        <w:rPr>
          <w:w w:val="98"/>
        </w:rPr>
        <w:t xml:space="preserve">, ¶ 22, Doc. ONU E/C.12/ARG/CO/3 (2011); </w:t>
      </w:r>
      <w:r w:rsidRPr="00AC72B5">
        <w:rPr>
          <w:i/>
          <w:w w:val="98"/>
        </w:rPr>
        <w:t>República Dominicana</w:t>
      </w:r>
      <w:r w:rsidRPr="00AC72B5">
        <w:rPr>
          <w:w w:val="98"/>
        </w:rPr>
        <w:t xml:space="preserve">, ¶ 28, Doc. ONU E/C.12/DOM/CO/3 (2010); </w:t>
      </w:r>
      <w:r w:rsidRPr="00AC72B5">
        <w:rPr>
          <w:i/>
          <w:w w:val="98"/>
        </w:rPr>
        <w:t>Benin</w:t>
      </w:r>
      <w:r w:rsidRPr="00AC72B5">
        <w:rPr>
          <w:w w:val="98"/>
        </w:rPr>
        <w:t xml:space="preserve">, ¶ 25, Doc. ONU E/C.12/BEN/CO/2 (2008); </w:t>
      </w:r>
      <w:r w:rsidRPr="00AC72B5">
        <w:rPr>
          <w:i/>
          <w:w w:val="98"/>
        </w:rPr>
        <w:t>Moldavia</w:t>
      </w:r>
      <w:r w:rsidRPr="00AC72B5">
        <w:rPr>
          <w:w w:val="98"/>
        </w:rPr>
        <w:t xml:space="preserve">, ¶ 49, Doc. ONU E/C.12/1/Add.91 (2003); </w:t>
      </w:r>
      <w:r w:rsidRPr="00AC72B5">
        <w:rPr>
          <w:i/>
          <w:w w:val="98"/>
        </w:rPr>
        <w:t>Argelia</w:t>
      </w:r>
      <w:r w:rsidRPr="00AC72B5">
        <w:rPr>
          <w:w w:val="98"/>
        </w:rPr>
        <w:t xml:space="preserve">, ¶ 37, Doc. ONU E/C.12/1/Add.71 (2001); </w:t>
      </w:r>
      <w:r w:rsidRPr="00AC72B5">
        <w:rPr>
          <w:i/>
          <w:w w:val="98"/>
        </w:rPr>
        <w:t>Bolivia</w:t>
      </w:r>
      <w:r w:rsidRPr="00AC72B5">
        <w:rPr>
          <w:w w:val="98"/>
        </w:rPr>
        <w:t xml:space="preserve">, ¶ 23, Doc. ONU E/C.12/1/Add.60 (2001); </w:t>
      </w:r>
      <w:r w:rsidRPr="00AC72B5">
        <w:rPr>
          <w:i/>
          <w:w w:val="98"/>
        </w:rPr>
        <w:t>Nepal</w:t>
      </w:r>
      <w:r w:rsidRPr="00AC72B5">
        <w:rPr>
          <w:w w:val="98"/>
        </w:rPr>
        <w:t>, ¶ 55, Doc. ONU E/C.12/1/Add.66 (2001).</w:t>
      </w:r>
    </w:p>
  </w:endnote>
  <w:endnote w:id="318">
    <w:p w14:paraId="7B6B4D0C" w14:textId="2640C27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Nepal</w:t>
      </w:r>
      <w:r w:rsidRPr="00AC72B5">
        <w:rPr>
          <w:w w:val="98"/>
        </w:rPr>
        <w:t>, ¶ 46, Doc. ONU E/C.12/NPL/CO/2 (2008).</w:t>
      </w:r>
    </w:p>
  </w:endnote>
  <w:endnote w:id="319">
    <w:p w14:paraId="0AC35271" w14:textId="004DE2E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Yibuti</w:t>
      </w:r>
      <w:r w:rsidRPr="00AC72B5">
        <w:rPr>
          <w:w w:val="98"/>
        </w:rPr>
        <w:t xml:space="preserve">, ¶ 32, Doc. ONU </w:t>
      </w:r>
      <w:r w:rsidRPr="00AC72B5">
        <w:rPr>
          <w:rFonts w:eastAsia="MS Mincho"/>
          <w:w w:val="98"/>
        </w:rPr>
        <w:t xml:space="preserve">E/C.12/DJI/Co/1-2 (2013); </w:t>
      </w:r>
      <w:r w:rsidRPr="00AC72B5">
        <w:rPr>
          <w:i/>
          <w:w w:val="98"/>
        </w:rPr>
        <w:t>Argentina</w:t>
      </w:r>
      <w:r w:rsidRPr="00AC72B5">
        <w:rPr>
          <w:w w:val="98"/>
        </w:rPr>
        <w:t>, ¶ 22, Doc. ONU E/C.12/ARG/CO/3 (2011).</w:t>
      </w:r>
    </w:p>
  </w:endnote>
  <w:endnote w:id="320">
    <w:p w14:paraId="73EC9889" w14:textId="542DC25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Yibuti</w:t>
      </w:r>
      <w:r w:rsidRPr="00AC72B5">
        <w:rPr>
          <w:w w:val="98"/>
        </w:rPr>
        <w:t xml:space="preserve">, ¶ 32, Doc. ONU </w:t>
      </w:r>
      <w:r w:rsidRPr="00AC72B5">
        <w:rPr>
          <w:rFonts w:eastAsia="MS Mincho"/>
          <w:w w:val="98"/>
        </w:rPr>
        <w:t>E/C.12/DJI/CO/1-2 (2013).</w:t>
      </w:r>
    </w:p>
  </w:endnote>
  <w:endnote w:id="321">
    <w:p w14:paraId="59E732ED" w14:textId="499DA8C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Yibuti</w:t>
      </w:r>
      <w:r w:rsidRPr="00AC72B5">
        <w:rPr>
          <w:w w:val="98"/>
        </w:rPr>
        <w:t xml:space="preserve">, ¶ 32, Doc. ONU </w:t>
      </w:r>
      <w:r w:rsidRPr="00AC72B5">
        <w:rPr>
          <w:rFonts w:eastAsia="MS Mincho"/>
          <w:w w:val="98"/>
        </w:rPr>
        <w:t>E/C.12/DJI/Co/1-2 (2013);</w:t>
      </w:r>
      <w:r w:rsidRPr="00AC72B5">
        <w:rPr>
          <w:w w:val="98"/>
        </w:rPr>
        <w:t xml:space="preserve"> </w:t>
      </w:r>
      <w:r w:rsidRPr="00AC72B5">
        <w:rPr>
          <w:i/>
          <w:w w:val="98"/>
        </w:rPr>
        <w:t>Etiopía</w:t>
      </w:r>
      <w:r w:rsidRPr="00AC72B5">
        <w:rPr>
          <w:w w:val="98"/>
        </w:rPr>
        <w:t xml:space="preserve">, ¶ 25, Doc. ONU E/C.12/ETH/CO/1-3 (2012); </w:t>
      </w:r>
      <w:r w:rsidRPr="00AC72B5">
        <w:rPr>
          <w:i/>
          <w:w w:val="98"/>
        </w:rPr>
        <w:t>Benin</w:t>
      </w:r>
      <w:r w:rsidRPr="00AC72B5">
        <w:rPr>
          <w:w w:val="98"/>
        </w:rPr>
        <w:t xml:space="preserve">, ¶ 25, Doc. ONU E/C.12/BEN/CO/2 (2008); </w:t>
      </w:r>
      <w:r w:rsidRPr="00AC72B5">
        <w:rPr>
          <w:i/>
          <w:w w:val="98"/>
        </w:rPr>
        <w:t>Argelia</w:t>
      </w:r>
      <w:r w:rsidRPr="00AC72B5">
        <w:rPr>
          <w:w w:val="98"/>
        </w:rPr>
        <w:t xml:space="preserve">, ¶ 37, Doc. ONU E/C.12/1/Add.71 (2001); </w:t>
      </w:r>
      <w:r w:rsidRPr="00AC72B5">
        <w:rPr>
          <w:i/>
          <w:w w:val="98"/>
        </w:rPr>
        <w:t>Nepal</w:t>
      </w:r>
      <w:r w:rsidRPr="00AC72B5">
        <w:rPr>
          <w:w w:val="98"/>
        </w:rPr>
        <w:t>, ¶ 55, Doc. ONU E/C.12/1/Add.66 (2001).</w:t>
      </w:r>
    </w:p>
  </w:endnote>
  <w:endnote w:id="322">
    <w:p w14:paraId="69701079" w14:textId="53DAE85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Cambodia</w:t>
      </w:r>
      <w:r w:rsidRPr="00AC72B5">
        <w:rPr>
          <w:w w:val="98"/>
        </w:rPr>
        <w:t>, ¶ 32, Doc. ONU E/C.12/KHM/CO/1 (2009).</w:t>
      </w:r>
    </w:p>
  </w:endnote>
  <w:endnote w:id="323">
    <w:p w14:paraId="1AD615BF" w14:textId="656004D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rFonts w:eastAsia="MS Mincho"/>
          <w:i/>
          <w:w w:val="98"/>
        </w:rPr>
        <w:t>Observaciones Finales: Cambodia</w:t>
      </w:r>
      <w:r w:rsidRPr="00AC72B5">
        <w:rPr>
          <w:rFonts w:eastAsia="MS Mincho"/>
          <w:w w:val="98"/>
        </w:rPr>
        <w:t xml:space="preserve">, </w:t>
      </w:r>
      <w:r w:rsidRPr="00AC72B5">
        <w:rPr>
          <w:w w:val="98"/>
        </w:rPr>
        <w:t>¶ 32</w:t>
      </w:r>
      <w:r w:rsidRPr="00AC72B5">
        <w:rPr>
          <w:rFonts w:eastAsia="MS Mincho"/>
          <w:w w:val="98"/>
        </w:rPr>
        <w:t xml:space="preserve">, Doc. ONU </w:t>
      </w:r>
      <w:r w:rsidRPr="00AC72B5">
        <w:rPr>
          <w:w w:val="98"/>
        </w:rPr>
        <w:t xml:space="preserve">E/C.12/KHM/CO/1 (2009); </w:t>
      </w:r>
      <w:r w:rsidRPr="00AC72B5">
        <w:rPr>
          <w:i/>
          <w:w w:val="98"/>
        </w:rPr>
        <w:t>Guatemala</w:t>
      </w:r>
      <w:r w:rsidRPr="00AC72B5">
        <w:rPr>
          <w:w w:val="98"/>
        </w:rPr>
        <w:t xml:space="preserve">, ¶ 43,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w w:val="98"/>
          <w:lang w:val="es-PE"/>
        </w:rPr>
        <w:t>E/C.12/1/Add.93</w:t>
      </w:r>
      <w:r w:rsidRPr="00AC72B5">
        <w:rPr>
          <w:w w:val="98"/>
          <w:lang w:val="en-GB"/>
        </w:rPr>
        <w:fldChar w:fldCharType="end"/>
      </w:r>
      <w:r w:rsidRPr="00AC72B5">
        <w:rPr>
          <w:w w:val="98"/>
        </w:rPr>
        <w:t xml:space="preserve"> (2003).</w:t>
      </w:r>
    </w:p>
  </w:endnote>
  <w:endnote w:id="324">
    <w:p w14:paraId="61A9BCAF" w14:textId="5501F55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Jamaica</w:t>
      </w:r>
      <w:r w:rsidRPr="00AC72B5">
        <w:rPr>
          <w:w w:val="98"/>
        </w:rPr>
        <w:t xml:space="preserve">, ¶ 29, Doc. ONU E/C.12/JAM/CO/3-4 (2013); </w:t>
      </w:r>
      <w:r w:rsidRPr="00AC72B5">
        <w:rPr>
          <w:i/>
          <w:w w:val="98"/>
        </w:rPr>
        <w:t>Bosnia y Herzegovina</w:t>
      </w:r>
      <w:r w:rsidRPr="00AC72B5">
        <w:rPr>
          <w:w w:val="98"/>
        </w:rPr>
        <w:t xml:space="preserve">, ¶ 32, Doc. ONU E/C.12/BIH/CO/2 (2013); </w:t>
      </w:r>
      <w:r w:rsidRPr="00AC72B5">
        <w:rPr>
          <w:i/>
          <w:w w:val="98"/>
        </w:rPr>
        <w:t>Camerún</w:t>
      </w:r>
      <w:r w:rsidRPr="00AC72B5">
        <w:rPr>
          <w:w w:val="98"/>
        </w:rPr>
        <w:t xml:space="preserve">, ¶ 27, Doc. ONU E/C.12/CMR/CO/2-3 (2012); </w:t>
      </w:r>
      <w:r w:rsidRPr="00AC72B5">
        <w:rPr>
          <w:i/>
          <w:w w:val="98"/>
        </w:rPr>
        <w:t>Ecuador</w:t>
      </w:r>
      <w:r w:rsidRPr="00AC72B5">
        <w:rPr>
          <w:w w:val="98"/>
        </w:rPr>
        <w:t xml:space="preserve">, ¶ 28, Doc. ONU E/C.12/ECU/CO/3 (2012); </w:t>
      </w:r>
      <w:r w:rsidRPr="00AC72B5">
        <w:rPr>
          <w:i/>
          <w:w w:val="98"/>
        </w:rPr>
        <w:t>República Dominicana</w:t>
      </w:r>
      <w:r w:rsidRPr="00AC72B5">
        <w:rPr>
          <w:w w:val="98"/>
        </w:rPr>
        <w:t xml:space="preserve">, ¶ 28, Doc. ONU E/C.12/DOM/CO/3 (2010); </w:t>
      </w:r>
      <w:r w:rsidRPr="00AC72B5">
        <w:rPr>
          <w:i/>
          <w:w w:val="98"/>
        </w:rPr>
        <w:t>Países Bajos</w:t>
      </w:r>
      <w:r w:rsidRPr="00AC72B5">
        <w:rPr>
          <w:w w:val="98"/>
        </w:rPr>
        <w:t xml:space="preserve">, ¶ 20, Doc. ONU E/C.12/NLD/CO/3/Add.1 (2010); </w:t>
      </w:r>
      <w:r w:rsidRPr="00AC72B5">
        <w:rPr>
          <w:i/>
          <w:w w:val="98"/>
        </w:rPr>
        <w:t>Costa Rica</w:t>
      </w:r>
      <w:r w:rsidRPr="00AC72B5">
        <w:rPr>
          <w:w w:val="98"/>
        </w:rPr>
        <w:t xml:space="preserve">, ¶ 25, Doc. ONU E/C.12/CRI/CO/4 (2008); </w:t>
      </w:r>
      <w:r w:rsidRPr="00AC72B5">
        <w:rPr>
          <w:i/>
          <w:w w:val="98"/>
        </w:rPr>
        <w:t>República de Macedonia</w:t>
      </w:r>
      <w:r w:rsidRPr="00AC72B5">
        <w:rPr>
          <w:w w:val="98"/>
        </w:rPr>
        <w:t xml:space="preserve">, ¶ 26, Doc. ONU E/C.12/MKD/CO/1 (2008); </w:t>
      </w:r>
      <w:r w:rsidRPr="00AC72B5">
        <w:rPr>
          <w:i/>
          <w:w w:val="98"/>
        </w:rPr>
        <w:t>Panamá</w:t>
      </w:r>
      <w:r w:rsidRPr="00AC72B5">
        <w:rPr>
          <w:w w:val="98"/>
        </w:rPr>
        <w:t xml:space="preserve">, ¶ 20, Doc. ONU E/C.12/1/Add.64 (2004); </w:t>
      </w:r>
      <w:r w:rsidRPr="00AC72B5">
        <w:rPr>
          <w:i/>
          <w:w w:val="98"/>
        </w:rPr>
        <w:t>Honduras</w:t>
      </w:r>
      <w:r w:rsidRPr="00AC72B5">
        <w:rPr>
          <w:w w:val="98"/>
        </w:rPr>
        <w:t xml:space="preserve">, Doc. ONU E/C.12/1/Add.57 (2001); </w:t>
      </w:r>
      <w:r w:rsidRPr="00AC72B5">
        <w:rPr>
          <w:i/>
          <w:w w:val="98"/>
        </w:rPr>
        <w:t>Jamaica</w:t>
      </w:r>
      <w:r w:rsidRPr="00AC72B5">
        <w:rPr>
          <w:w w:val="98"/>
        </w:rPr>
        <w:t xml:space="preserve">, ¶ 17,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w w:val="98"/>
          <w:lang w:val="es-PE"/>
        </w:rPr>
        <w:t>E/C.12/1/Add.75</w:t>
      </w:r>
      <w:r w:rsidRPr="00AC72B5">
        <w:rPr>
          <w:w w:val="98"/>
          <w:lang w:val="en-GB"/>
        </w:rPr>
        <w:fldChar w:fldCharType="end"/>
      </w:r>
      <w:r w:rsidRPr="00AC72B5">
        <w:rPr>
          <w:w w:val="98"/>
        </w:rPr>
        <w:t xml:space="preserve"> (2001).</w:t>
      </w:r>
    </w:p>
  </w:endnote>
  <w:endnote w:id="325">
    <w:p w14:paraId="47AC8644" w14:textId="76D31004" w:rsidR="005E3DDD" w:rsidRPr="00AC72B5" w:rsidRDefault="005E3DDD" w:rsidP="00AC72B5">
      <w:pPr>
        <w:pStyle w:val="EndnoteText"/>
        <w:rPr>
          <w:i/>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El Salvador</w:t>
      </w:r>
      <w:r w:rsidRPr="00AC72B5">
        <w:rPr>
          <w:w w:val="98"/>
        </w:rPr>
        <w:t xml:space="preserve">, ¶ 23, Doc. ONU E/C.12/SLV/CO/3-5 (2014); </w:t>
      </w:r>
      <w:r w:rsidRPr="00AC72B5">
        <w:rPr>
          <w:i/>
          <w:w w:val="98"/>
        </w:rPr>
        <w:t>Guatemala</w:t>
      </w:r>
      <w:r w:rsidRPr="00AC72B5">
        <w:rPr>
          <w:w w:val="98"/>
        </w:rPr>
        <w:t xml:space="preserve">, ¶ 23, Doc. ONU E/C.12/GTM/CO/3 (2014); </w:t>
      </w:r>
      <w:r w:rsidRPr="00AC72B5">
        <w:rPr>
          <w:i/>
          <w:w w:val="98"/>
        </w:rPr>
        <w:t>Argentina</w:t>
      </w:r>
      <w:r w:rsidRPr="00AC72B5">
        <w:rPr>
          <w:w w:val="98"/>
        </w:rPr>
        <w:t>, ¶ 22, Doc. ONU E/C.12/ARG/CO/3 (2011).</w:t>
      </w:r>
    </w:p>
  </w:endnote>
  <w:endnote w:id="326">
    <w:p w14:paraId="2A8D9578" w14:textId="4B93595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Filipinas</w:t>
      </w:r>
      <w:r w:rsidRPr="00AC72B5">
        <w:rPr>
          <w:w w:val="98"/>
        </w:rPr>
        <w:t>, ¶ 31, Doc. ONU E/C.12/PHL/CO/4 (2008).</w:t>
      </w:r>
    </w:p>
  </w:endnote>
  <w:endnote w:id="327">
    <w:p w14:paraId="0F5149B0" w14:textId="5215927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Bolivia</w:t>
      </w:r>
      <w:r w:rsidRPr="00AC72B5">
        <w:rPr>
          <w:w w:val="98"/>
        </w:rPr>
        <w:t>, ¶ 14, Doc. ONU E/C.12/BOL/CO/2 (2008).</w:t>
      </w:r>
    </w:p>
  </w:endnote>
  <w:endnote w:id="328">
    <w:p w14:paraId="3C84A347" w14:textId="28631F4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Camerún</w:t>
      </w:r>
      <w:r w:rsidRPr="00AC72B5">
        <w:rPr>
          <w:w w:val="98"/>
        </w:rPr>
        <w:t xml:space="preserve">, ¶ 27, Doc. ONU E/C.12/CMR/CO/2-3 (2012); </w:t>
      </w:r>
      <w:r w:rsidRPr="00AC72B5">
        <w:rPr>
          <w:i/>
          <w:w w:val="98"/>
        </w:rPr>
        <w:t>República Dominicana</w:t>
      </w:r>
      <w:r w:rsidRPr="00AC72B5">
        <w:rPr>
          <w:w w:val="98"/>
        </w:rPr>
        <w:t xml:space="preserve">, ¶ 28, Doc. ONU E/C.12/DOM/CO/3 (2010); </w:t>
      </w:r>
      <w:r w:rsidRPr="00AC72B5">
        <w:rPr>
          <w:i/>
          <w:w w:val="98"/>
        </w:rPr>
        <w:t>Jamaica</w:t>
      </w:r>
      <w:r w:rsidRPr="00AC72B5">
        <w:rPr>
          <w:w w:val="98"/>
        </w:rPr>
        <w:t xml:space="preserve">, ¶ 17,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w w:val="98"/>
          <w:lang w:val="es-PE"/>
        </w:rPr>
        <w:t>E/C.12/1/Add.75</w:t>
      </w:r>
      <w:r w:rsidRPr="00AC72B5">
        <w:rPr>
          <w:w w:val="98"/>
          <w:lang w:val="en-GB"/>
        </w:rPr>
        <w:fldChar w:fldCharType="end"/>
      </w:r>
      <w:r w:rsidRPr="00AC72B5">
        <w:rPr>
          <w:w w:val="98"/>
        </w:rPr>
        <w:t xml:space="preserve"> (2001).</w:t>
      </w:r>
    </w:p>
  </w:endnote>
  <w:endnote w:id="329">
    <w:p w14:paraId="366EE0E5" w14:textId="6E654D7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Países Bajos</w:t>
      </w:r>
      <w:r w:rsidRPr="00AC72B5">
        <w:rPr>
          <w:w w:val="98"/>
        </w:rPr>
        <w:t xml:space="preserve">, ¶ 20, Doc. ONU E/C.12/NLD/CO/3/Add.1 (2010); </w:t>
      </w:r>
      <w:r w:rsidRPr="00AC72B5">
        <w:rPr>
          <w:i/>
          <w:w w:val="98"/>
        </w:rPr>
        <w:t>República de Estonia</w:t>
      </w:r>
      <w:r w:rsidRPr="00AC72B5">
        <w:rPr>
          <w:w w:val="98"/>
        </w:rPr>
        <w:t>, ¶ 24, Doc. ONU E/C.12/EST/CO/2 (2011); C</w:t>
      </w:r>
      <w:r w:rsidRPr="00AC72B5">
        <w:rPr>
          <w:i/>
          <w:w w:val="98"/>
        </w:rPr>
        <w:t>orea</w:t>
      </w:r>
      <w:r w:rsidRPr="00AC72B5">
        <w:rPr>
          <w:w w:val="98"/>
        </w:rPr>
        <w:t xml:space="preserve">, ¶ 31, Doc. ONU E/C.12/KOR/CO/3 (2009); </w:t>
      </w:r>
      <w:r w:rsidRPr="00AC72B5">
        <w:rPr>
          <w:i/>
          <w:w w:val="98"/>
        </w:rPr>
        <w:t>Honduras</w:t>
      </w:r>
      <w:r w:rsidRPr="00AC72B5">
        <w:rPr>
          <w:w w:val="98"/>
        </w:rPr>
        <w:t xml:space="preserve">, Doc. ONU E/C.12/1/Add.57 (2001); </w:t>
      </w:r>
      <w:r w:rsidRPr="00AC72B5">
        <w:rPr>
          <w:i/>
          <w:w w:val="98"/>
        </w:rPr>
        <w:t>Jamaica</w:t>
      </w:r>
      <w:r w:rsidRPr="00AC72B5">
        <w:rPr>
          <w:w w:val="98"/>
        </w:rPr>
        <w:t xml:space="preserve">, ¶ 17, Doc. ONU </w:t>
      </w:r>
      <w:r w:rsidRPr="00AC72B5">
        <w:rPr>
          <w:w w:val="98"/>
          <w:lang w:val="es-ES"/>
        </w:rPr>
        <w:fldChar w:fldCharType="begin"/>
      </w:r>
      <w:r w:rsidRPr="00AC72B5">
        <w:rPr>
          <w:bCs/>
          <w:w w:val="98"/>
        </w:rPr>
        <w:instrText xml:space="preserve"> FILLIN "Symbol" \* MERGEFORMAT </w:instrText>
      </w:r>
      <w:r w:rsidRPr="00AC72B5">
        <w:rPr>
          <w:bCs/>
          <w:w w:val="98"/>
          <w:lang w:val="es-ES"/>
        </w:rPr>
        <w:fldChar w:fldCharType="separate"/>
      </w:r>
      <w:r w:rsidRPr="00AC72B5">
        <w:rPr>
          <w:bCs/>
          <w:w w:val="98"/>
          <w:lang w:val="es-PE"/>
        </w:rPr>
        <w:t>E/C.12/1/Add.75</w:t>
      </w:r>
      <w:r w:rsidRPr="00AC72B5">
        <w:rPr>
          <w:bCs/>
          <w:w w:val="98"/>
          <w:lang w:val="en-GB"/>
        </w:rPr>
        <w:fldChar w:fldCharType="end"/>
      </w:r>
      <w:r w:rsidRPr="00AC72B5">
        <w:rPr>
          <w:w w:val="98"/>
        </w:rPr>
        <w:t xml:space="preserve"> (2001).</w:t>
      </w:r>
    </w:p>
  </w:endnote>
  <w:endnote w:id="330">
    <w:p w14:paraId="4567DA45" w14:textId="5517263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República de Estonia</w:t>
      </w:r>
      <w:r w:rsidRPr="00AC72B5">
        <w:rPr>
          <w:w w:val="98"/>
        </w:rPr>
        <w:t xml:space="preserve">, ¶ 24, Doc. ONU E/C.12/EST/CO/2 (2011); </w:t>
      </w:r>
      <w:r w:rsidRPr="00AC72B5">
        <w:rPr>
          <w:i/>
          <w:w w:val="98"/>
        </w:rPr>
        <w:t>Honduras</w:t>
      </w:r>
      <w:r w:rsidRPr="00AC72B5">
        <w:rPr>
          <w:w w:val="98"/>
        </w:rPr>
        <w:t xml:space="preserve">, Doc. ONU E/C.12/1/Add.57 (2001); </w:t>
      </w:r>
      <w:r w:rsidRPr="00AC72B5">
        <w:rPr>
          <w:i/>
          <w:w w:val="98"/>
        </w:rPr>
        <w:t>Jamaica</w:t>
      </w:r>
      <w:r w:rsidRPr="00AC72B5">
        <w:rPr>
          <w:w w:val="98"/>
        </w:rPr>
        <w:t xml:space="preserve">, ¶ 17,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w w:val="98"/>
          <w:lang w:val="es-PE"/>
        </w:rPr>
        <w:t>E/C.12/1/Add.75</w:t>
      </w:r>
      <w:r w:rsidRPr="00AC72B5">
        <w:rPr>
          <w:w w:val="98"/>
          <w:lang w:val="en-GB"/>
        </w:rPr>
        <w:fldChar w:fldCharType="end"/>
      </w:r>
      <w:r w:rsidRPr="00AC72B5">
        <w:rPr>
          <w:w w:val="98"/>
        </w:rPr>
        <w:t xml:space="preserve"> (2001).</w:t>
      </w:r>
    </w:p>
  </w:endnote>
  <w:endnote w:id="331">
    <w:p w14:paraId="25EC5060" w14:textId="557D03D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Corea</w:t>
      </w:r>
      <w:r w:rsidRPr="00AC72B5">
        <w:rPr>
          <w:w w:val="98"/>
        </w:rPr>
        <w:t>, ¶ 31, Doc. ONU E/C.12/KOR/CO/3 (2009).</w:t>
      </w:r>
    </w:p>
  </w:endnote>
  <w:endnote w:id="332">
    <w:p w14:paraId="3DC6C6DA" w14:textId="77756E1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Corea</w:t>
      </w:r>
      <w:r w:rsidRPr="00AC72B5">
        <w:rPr>
          <w:w w:val="98"/>
        </w:rPr>
        <w:t>, ¶ 31, Doc. ONU E/C.12/KOR/CO/3 (2009).</w:t>
      </w:r>
    </w:p>
  </w:endnote>
  <w:endnote w:id="333">
    <w:p w14:paraId="1352ADFE" w14:textId="621A4CE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El Salvador</w:t>
      </w:r>
      <w:r w:rsidRPr="00AC72B5">
        <w:rPr>
          <w:w w:val="98"/>
        </w:rPr>
        <w:t xml:space="preserve">, ¶ 23, Doc. ONU E/C.12/SLV/CO/3-5 (2014); </w:t>
      </w:r>
      <w:r w:rsidRPr="00AC72B5">
        <w:rPr>
          <w:i/>
          <w:w w:val="98"/>
        </w:rPr>
        <w:t>Camerún</w:t>
      </w:r>
      <w:r w:rsidRPr="00AC72B5">
        <w:rPr>
          <w:w w:val="98"/>
        </w:rPr>
        <w:t xml:space="preserve">, ¶ 27, Doc. ONU E/C.12/CMR/CO/2-3 (2012); </w:t>
      </w:r>
      <w:r w:rsidRPr="00AC72B5">
        <w:rPr>
          <w:i/>
          <w:w w:val="98"/>
        </w:rPr>
        <w:t>Panamá</w:t>
      </w:r>
      <w:r w:rsidRPr="00AC72B5">
        <w:rPr>
          <w:w w:val="98"/>
        </w:rPr>
        <w:t>, ¶ 37, Doc. ONU E/C.12/1/Add.64 (2004).</w:t>
      </w:r>
    </w:p>
  </w:endnote>
  <w:endnote w:id="334">
    <w:p w14:paraId="37C380A8" w14:textId="45E09F1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Jamaica</w:t>
      </w:r>
      <w:r w:rsidRPr="00AC72B5">
        <w:rPr>
          <w:w w:val="98"/>
        </w:rPr>
        <w:t xml:space="preserve">, ¶ 29, Doc. ONU E/C.12/JAM/CO/3-4 (2013); </w:t>
      </w:r>
      <w:r w:rsidRPr="00AC72B5">
        <w:rPr>
          <w:i/>
          <w:w w:val="98"/>
        </w:rPr>
        <w:t>República Dominicana</w:t>
      </w:r>
      <w:r w:rsidRPr="00AC72B5">
        <w:rPr>
          <w:w w:val="98"/>
        </w:rPr>
        <w:t xml:space="preserve">, ¶ 28, Doc. ONU E/C.12/DOM/CO/3 (2010). </w:t>
      </w:r>
    </w:p>
  </w:endnote>
  <w:endnote w:id="335">
    <w:p w14:paraId="4CA9D39F" w14:textId="503304C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Nicaragua</w:t>
      </w:r>
      <w:r w:rsidRPr="00AC72B5">
        <w:rPr>
          <w:w w:val="98"/>
        </w:rPr>
        <w:t xml:space="preserve">, ¶ 27, Doc. ONU E/C.12/NIC/CO/4 (2008); </w:t>
      </w:r>
      <w:r w:rsidRPr="00AC72B5">
        <w:rPr>
          <w:i/>
          <w:w w:val="98"/>
        </w:rPr>
        <w:t>Paraguay</w:t>
      </w:r>
      <w:r w:rsidRPr="00AC72B5">
        <w:rPr>
          <w:w w:val="98"/>
        </w:rPr>
        <w:t>, ¶ 32, Doc. ONU E/C.12/PRY/CO/3 (2008).</w:t>
      </w:r>
    </w:p>
  </w:endnote>
  <w:endnote w:id="336">
    <w:p w14:paraId="2DFDDDE0" w14:textId="192C0E8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Polonia</w:t>
      </w:r>
      <w:r w:rsidRPr="00AC72B5">
        <w:rPr>
          <w:w w:val="98"/>
        </w:rPr>
        <w:t>, ¶ 24, Doc. ONU E/C.12/POL/CO/6 (2016).</w:t>
      </w:r>
    </w:p>
  </w:endnote>
  <w:endnote w:id="337">
    <w:p w14:paraId="1994A9D5" w14:textId="3A82C7EC" w:rsidR="005E3DDD" w:rsidRPr="00AC72B5" w:rsidRDefault="005E3DDD" w:rsidP="00AC72B5">
      <w:pPr>
        <w:pStyle w:val="EndnoteText"/>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República de Estonia</w:t>
      </w:r>
      <w:r w:rsidRPr="00AC72B5">
        <w:rPr>
          <w:w w:val="98"/>
        </w:rPr>
        <w:t xml:space="preserve">, ¶ 24, Doc. </w:t>
      </w:r>
      <w:r w:rsidRPr="00AC72B5">
        <w:rPr>
          <w:w w:val="98"/>
          <w:lang w:val="es-CO"/>
        </w:rPr>
        <w:t>ONU E/C.12/EST/CO/2 (2011).</w:t>
      </w:r>
    </w:p>
  </w:endnote>
  <w:endnote w:id="338">
    <w:p w14:paraId="5F582763" w14:textId="233DB30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 xml:space="preserve">, Comité DESC, </w:t>
      </w:r>
      <w:r w:rsidRPr="00AC72B5">
        <w:rPr>
          <w:i/>
          <w:w w:val="98"/>
        </w:rPr>
        <w:t>Observaciones Finales: Tailandia</w:t>
      </w:r>
      <w:r w:rsidRPr="00AC72B5">
        <w:rPr>
          <w:w w:val="98"/>
        </w:rPr>
        <w:t xml:space="preserve">, ¶ 30, Doc. ONU E/C.12/THA/CO/1-2 (2015); </w:t>
      </w:r>
      <w:r w:rsidRPr="00AC72B5">
        <w:rPr>
          <w:i/>
          <w:w w:val="98"/>
        </w:rPr>
        <w:t>Serbia</w:t>
      </w:r>
      <w:r w:rsidRPr="00AC72B5">
        <w:rPr>
          <w:w w:val="98"/>
        </w:rPr>
        <w:t xml:space="preserve">, ¶ 33, Doc. ONU E/C.12/SRB/CO/2 (2014); </w:t>
      </w:r>
      <w:r w:rsidRPr="00AC72B5">
        <w:rPr>
          <w:i/>
          <w:w w:val="98"/>
        </w:rPr>
        <w:t>Armenia</w:t>
      </w:r>
      <w:r w:rsidRPr="00AC72B5">
        <w:rPr>
          <w:w w:val="98"/>
        </w:rPr>
        <w:t xml:space="preserve">, ¶ 22, Doc. ONU </w:t>
      </w:r>
      <w:r w:rsidRPr="00AC72B5">
        <w:rPr>
          <w:rFonts w:eastAsia="MS Mincho"/>
          <w:w w:val="98"/>
        </w:rPr>
        <w:t>E/C.12/ARM/CO/2-3 (2014);</w:t>
      </w:r>
      <w:r w:rsidRPr="00AC72B5">
        <w:rPr>
          <w:i/>
          <w:w w:val="98"/>
        </w:rPr>
        <w:t xml:space="preserve"> Bosnia y Herzegovina</w:t>
      </w:r>
      <w:r w:rsidRPr="00AC72B5">
        <w:rPr>
          <w:w w:val="98"/>
        </w:rPr>
        <w:t xml:space="preserve">, ¶ 32, Doc. ONU E/C.12/BIH/CO/2 (2013); </w:t>
      </w:r>
      <w:r w:rsidRPr="00AC72B5">
        <w:rPr>
          <w:i/>
          <w:w w:val="98"/>
        </w:rPr>
        <w:t>Jamaica</w:t>
      </w:r>
      <w:r w:rsidRPr="00AC72B5">
        <w:rPr>
          <w:w w:val="98"/>
        </w:rPr>
        <w:t xml:space="preserve">, ¶ 29, Doc. ONU E/C.12/JAM/CO/3-4 (2013); </w:t>
      </w:r>
      <w:r w:rsidRPr="00AC72B5">
        <w:rPr>
          <w:i/>
          <w:w w:val="98"/>
        </w:rPr>
        <w:t>Nueva Zelanda</w:t>
      </w:r>
      <w:r w:rsidRPr="00AC72B5">
        <w:rPr>
          <w:w w:val="98"/>
        </w:rPr>
        <w:t xml:space="preserve">, ¶ 28, Doc. ONU E/C.12/NZL/CO/3 (2012); </w:t>
      </w:r>
      <w:r w:rsidRPr="00AC72B5">
        <w:rPr>
          <w:i/>
          <w:w w:val="98"/>
        </w:rPr>
        <w:t>Argentina</w:t>
      </w:r>
      <w:r w:rsidRPr="00AC72B5">
        <w:rPr>
          <w:w w:val="98"/>
        </w:rPr>
        <w:t xml:space="preserve">, ¶ 22, Doc. ONU E/C.12/ARG/CO/3 (2011); </w:t>
      </w:r>
      <w:r w:rsidRPr="00AC72B5">
        <w:rPr>
          <w:i/>
          <w:w w:val="98"/>
        </w:rPr>
        <w:t>Israel</w:t>
      </w:r>
      <w:r w:rsidRPr="00AC72B5">
        <w:rPr>
          <w:w w:val="98"/>
        </w:rPr>
        <w:t xml:space="preserve">, ¶ 19, Doc. ONU E/C.12/ISR/CO/3 (2011); </w:t>
      </w:r>
      <w:r w:rsidRPr="00AC72B5">
        <w:rPr>
          <w:i/>
          <w:w w:val="98"/>
        </w:rPr>
        <w:t>República Dominicana</w:t>
      </w:r>
      <w:r w:rsidRPr="00AC72B5">
        <w:rPr>
          <w:w w:val="98"/>
        </w:rPr>
        <w:t xml:space="preserve">, ¶ 28, Doc. ONU E/C.12/DOM/CO/3 (2010); </w:t>
      </w:r>
      <w:r w:rsidRPr="00AC72B5">
        <w:rPr>
          <w:i/>
          <w:w w:val="98"/>
        </w:rPr>
        <w:t>Angola</w:t>
      </w:r>
      <w:r w:rsidRPr="00AC72B5">
        <w:rPr>
          <w:w w:val="98"/>
        </w:rPr>
        <w:t xml:space="preserve">, ¶ 37, Doc. ONU E/C.12/ago/Co/3 (2008); </w:t>
      </w:r>
      <w:r w:rsidRPr="00AC72B5">
        <w:rPr>
          <w:i/>
          <w:w w:val="98"/>
        </w:rPr>
        <w:t>India</w:t>
      </w:r>
      <w:r w:rsidRPr="00AC72B5">
        <w:rPr>
          <w:w w:val="98"/>
        </w:rPr>
        <w:t xml:space="preserve">, ¶ 77, Doc. ONU E/C.12/IND/CO/5 (2008); </w:t>
      </w:r>
      <w:r w:rsidRPr="00AC72B5">
        <w:rPr>
          <w:i/>
          <w:w w:val="98"/>
        </w:rPr>
        <w:t>China</w:t>
      </w:r>
      <w:r w:rsidRPr="00AC72B5">
        <w:rPr>
          <w:w w:val="98"/>
        </w:rPr>
        <w:t xml:space="preserve">, ¶ 100,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bCs/>
          <w:w w:val="98"/>
          <w:lang w:val="es-PE"/>
        </w:rPr>
        <w:t>E/C.12/1/Add.107</w:t>
      </w:r>
      <w:r w:rsidRPr="00AC72B5">
        <w:rPr>
          <w:bCs/>
          <w:w w:val="98"/>
          <w:lang w:val="en-GB"/>
        </w:rPr>
        <w:fldChar w:fldCharType="end"/>
      </w:r>
      <w:r w:rsidRPr="00AC72B5">
        <w:rPr>
          <w:w w:val="98"/>
        </w:rPr>
        <w:t xml:space="preserve"> (2005); </w:t>
      </w:r>
      <w:r w:rsidRPr="00AC72B5">
        <w:rPr>
          <w:i/>
          <w:w w:val="98"/>
        </w:rPr>
        <w:t>Chile</w:t>
      </w:r>
      <w:r w:rsidRPr="00AC72B5">
        <w:rPr>
          <w:w w:val="98"/>
        </w:rPr>
        <w:t xml:space="preserve">, ¶ 54,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bCs/>
          <w:w w:val="98"/>
          <w:lang w:val="es-PE"/>
        </w:rPr>
        <w:t>E/C.12/1/Add.105</w:t>
      </w:r>
      <w:r w:rsidRPr="00AC72B5">
        <w:rPr>
          <w:bCs/>
          <w:w w:val="98"/>
          <w:lang w:val="en-GB"/>
        </w:rPr>
        <w:fldChar w:fldCharType="end"/>
      </w:r>
      <w:r w:rsidRPr="00AC72B5">
        <w:rPr>
          <w:w w:val="98"/>
        </w:rPr>
        <w:t xml:space="preserve"> (2004); </w:t>
      </w:r>
      <w:r w:rsidRPr="00AC72B5">
        <w:rPr>
          <w:i/>
          <w:w w:val="98"/>
        </w:rPr>
        <w:t>Benin</w:t>
      </w:r>
      <w:r w:rsidRPr="00AC72B5">
        <w:rPr>
          <w:w w:val="98"/>
        </w:rPr>
        <w:t xml:space="preserve">, ¶ 42, Doc. ONU E/C.12/1/Add.78 (2002); </w:t>
      </w:r>
      <w:r w:rsidRPr="00AC72B5">
        <w:rPr>
          <w:i/>
          <w:w w:val="98"/>
        </w:rPr>
        <w:t>Bolivia</w:t>
      </w:r>
      <w:r w:rsidRPr="00AC72B5">
        <w:rPr>
          <w:w w:val="98"/>
        </w:rPr>
        <w:t xml:space="preserve">, ¶ 43, Doc. ONU E/C.12/1/Add.60 (2001); </w:t>
      </w:r>
      <w:r w:rsidRPr="00AC72B5">
        <w:rPr>
          <w:i/>
          <w:w w:val="98"/>
        </w:rPr>
        <w:t>Ucrania</w:t>
      </w:r>
      <w:r w:rsidRPr="00AC72B5">
        <w:rPr>
          <w:w w:val="98"/>
        </w:rPr>
        <w:t>, ¶ 31, Doc. ONU E/C.12/1/Add.65 (2001).</w:t>
      </w:r>
    </w:p>
  </w:endnote>
  <w:endnote w:id="339">
    <w:p w14:paraId="15869AEC" w14:textId="4879885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Mónaco</w:t>
      </w:r>
      <w:r w:rsidRPr="00AC72B5">
        <w:rPr>
          <w:w w:val="98"/>
        </w:rPr>
        <w:t xml:space="preserve">, ¶ 21, Doc. ONU E/C.12/MCO/CO/2-3 (2014); </w:t>
      </w:r>
      <w:r w:rsidRPr="00AC72B5">
        <w:rPr>
          <w:i/>
          <w:w w:val="98"/>
        </w:rPr>
        <w:t>Tanzania</w:t>
      </w:r>
      <w:r w:rsidRPr="00AC72B5">
        <w:rPr>
          <w:w w:val="98"/>
        </w:rPr>
        <w:t xml:space="preserve">, ¶ 24, Doc. ONU E/C.12/TZA/CO/1-3 (2012); </w:t>
      </w:r>
      <w:r w:rsidRPr="00AC72B5">
        <w:rPr>
          <w:i/>
          <w:w w:val="98"/>
        </w:rPr>
        <w:t>Argentina</w:t>
      </w:r>
      <w:r w:rsidRPr="00AC72B5">
        <w:rPr>
          <w:w w:val="98"/>
        </w:rPr>
        <w:t>, ¶ 22, Doc. ONU E/C.12/ARG/CO/3 (2011).</w:t>
      </w:r>
    </w:p>
  </w:endnote>
  <w:endnote w:id="340">
    <w:p w14:paraId="0EC572CC" w14:textId="007DEA7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Honduras</w:t>
      </w:r>
      <w:r w:rsidRPr="00AC72B5">
        <w:rPr>
          <w:w w:val="98"/>
        </w:rPr>
        <w:t xml:space="preserve">, ¶ 54, Doc. ONU E/C.12/HND/CO/2 (2016); </w:t>
      </w:r>
      <w:r w:rsidRPr="00AC72B5">
        <w:rPr>
          <w:i/>
          <w:w w:val="98"/>
        </w:rPr>
        <w:t>Observaciones Finales: Burkina Faso</w:t>
      </w:r>
      <w:r w:rsidRPr="00AC72B5">
        <w:rPr>
          <w:w w:val="98"/>
        </w:rPr>
        <w:t xml:space="preserve">, ¶ 47, Doc. ONU E/C.12/BFA/CO/1 (2016); </w:t>
      </w:r>
      <w:r w:rsidRPr="00AC72B5">
        <w:rPr>
          <w:i/>
          <w:w w:val="98"/>
        </w:rPr>
        <w:t>Observaciones Finales: Polonia</w:t>
      </w:r>
      <w:r w:rsidRPr="00AC72B5">
        <w:rPr>
          <w:w w:val="98"/>
        </w:rPr>
        <w:t xml:space="preserve">, ¶ 49, Doc. ONU E/C.12/POL/CO/6 (2016); </w:t>
      </w:r>
      <w:r w:rsidRPr="00AC72B5">
        <w:rPr>
          <w:i/>
          <w:w w:val="98"/>
        </w:rPr>
        <w:t>Chile</w:t>
      </w:r>
      <w:r w:rsidRPr="00AC72B5">
        <w:rPr>
          <w:w w:val="98"/>
        </w:rPr>
        <w:t xml:space="preserve">, ¶ 29, Doc. ONU E/C.12/CHL/CO/4 (2015); </w:t>
      </w:r>
      <w:r w:rsidRPr="00AC72B5">
        <w:rPr>
          <w:i/>
          <w:w w:val="98"/>
        </w:rPr>
        <w:t>Guyana</w:t>
      </w:r>
      <w:r w:rsidRPr="00AC72B5">
        <w:rPr>
          <w:w w:val="98"/>
        </w:rPr>
        <w:t xml:space="preserve">, ¶ 51, Doc. ONU E/C.12/GUY/CO/2-4 (2015); </w:t>
      </w:r>
      <w:r w:rsidRPr="00AC72B5">
        <w:rPr>
          <w:i/>
          <w:w w:val="98"/>
        </w:rPr>
        <w:t>Uganda</w:t>
      </w:r>
      <w:r w:rsidRPr="00AC72B5">
        <w:rPr>
          <w:w w:val="98"/>
        </w:rPr>
        <w:t xml:space="preserve">, ¶ 35, Doc. ONU E/C.12/UGA/CO/1 (2015); </w:t>
      </w:r>
      <w:r w:rsidRPr="00AC72B5">
        <w:rPr>
          <w:i/>
          <w:w w:val="98"/>
        </w:rPr>
        <w:t>Rumania</w:t>
      </w:r>
      <w:r w:rsidRPr="00AC72B5">
        <w:rPr>
          <w:w w:val="98"/>
        </w:rPr>
        <w:t xml:space="preserve">, ¶ 22, Doc. ONU </w:t>
      </w:r>
      <w:r w:rsidRPr="00AC72B5">
        <w:rPr>
          <w:rFonts w:eastAsia="MS Mincho"/>
          <w:w w:val="98"/>
        </w:rPr>
        <w:t xml:space="preserve">E/C.12/ROU/Co/3-5 (2014); </w:t>
      </w:r>
      <w:r w:rsidRPr="00AC72B5">
        <w:rPr>
          <w:i/>
          <w:w w:val="98"/>
        </w:rPr>
        <w:t>Eslovaquia</w:t>
      </w:r>
      <w:r w:rsidRPr="00AC72B5">
        <w:rPr>
          <w:w w:val="98"/>
        </w:rPr>
        <w:t xml:space="preserve">, ¶ 25, Doc. ONU E/C.12/SVK/CO/2 (2012); </w:t>
      </w:r>
      <w:r w:rsidRPr="00AC72B5">
        <w:rPr>
          <w:i/>
          <w:w w:val="98"/>
        </w:rPr>
        <w:t>Tanzania</w:t>
      </w:r>
      <w:r w:rsidRPr="00AC72B5">
        <w:rPr>
          <w:w w:val="98"/>
        </w:rPr>
        <w:t xml:space="preserve">, ¶ 24, Doc. ONU E/C.12/TZA/CO/1-3 (2012); </w:t>
      </w:r>
      <w:r w:rsidRPr="00AC72B5">
        <w:rPr>
          <w:i/>
          <w:w w:val="98"/>
        </w:rPr>
        <w:t>Federación de Rusia</w:t>
      </w:r>
      <w:r w:rsidRPr="00AC72B5">
        <w:rPr>
          <w:w w:val="98"/>
        </w:rPr>
        <w:t xml:space="preserve">, ¶ 30, Doc. ONU E/C.12/RUS/CO/5 (2011); </w:t>
      </w:r>
      <w:r w:rsidRPr="00AC72B5">
        <w:rPr>
          <w:i/>
          <w:w w:val="98"/>
        </w:rPr>
        <w:t>Sri Lanka</w:t>
      </w:r>
      <w:r w:rsidRPr="00AC72B5">
        <w:rPr>
          <w:w w:val="98"/>
        </w:rPr>
        <w:t xml:space="preserve">, ¶ 34, Doc. ONU E/C.12/LKA/CO/2-4 (2010); </w:t>
      </w:r>
      <w:r w:rsidRPr="00AC72B5">
        <w:rPr>
          <w:i/>
          <w:w w:val="98"/>
        </w:rPr>
        <w:t>Uruguay</w:t>
      </w:r>
      <w:r w:rsidRPr="00AC72B5">
        <w:rPr>
          <w:w w:val="98"/>
        </w:rPr>
        <w:t xml:space="preserve">, ¶ 24, Doc. ONU E/C.12/URY/CO/3-4 (2010); </w:t>
      </w:r>
      <w:r w:rsidRPr="00AC72B5">
        <w:rPr>
          <w:i/>
          <w:w w:val="98"/>
        </w:rPr>
        <w:t>Países Bajos</w:t>
      </w:r>
      <w:r w:rsidRPr="00AC72B5">
        <w:rPr>
          <w:w w:val="98"/>
        </w:rPr>
        <w:t xml:space="preserve">, ¶ 27, Doc. ONU E/C.12/NDL/CO/4-5 (2010); </w:t>
      </w:r>
      <w:r w:rsidRPr="00AC72B5">
        <w:rPr>
          <w:i/>
          <w:w w:val="98"/>
        </w:rPr>
        <w:t>Suiza</w:t>
      </w:r>
      <w:r w:rsidRPr="00AC72B5">
        <w:rPr>
          <w:w w:val="98"/>
        </w:rPr>
        <w:t xml:space="preserve">, ¶ 20, Doc. ONU E/C.12/CHE/CO/2-3 (2010); </w:t>
      </w:r>
      <w:r w:rsidRPr="00AC72B5">
        <w:rPr>
          <w:i/>
          <w:w w:val="98"/>
        </w:rPr>
        <w:t>Kazajistán</w:t>
      </w:r>
      <w:r w:rsidRPr="00AC72B5">
        <w:rPr>
          <w:w w:val="98"/>
        </w:rPr>
        <w:t xml:space="preserve">, ¶ 33, Doc. ONU E/C.12/KAZ/CO/1 (2010); </w:t>
      </w:r>
      <w:r w:rsidRPr="00AC72B5">
        <w:rPr>
          <w:i/>
          <w:w w:val="98"/>
        </w:rPr>
        <w:t>Polonia</w:t>
      </w:r>
      <w:r w:rsidRPr="00AC72B5">
        <w:rPr>
          <w:w w:val="98"/>
        </w:rPr>
        <w:t xml:space="preserve">, ¶ 31, Doc. ONU </w:t>
      </w:r>
      <w:r w:rsidRPr="00AC72B5">
        <w:rPr>
          <w:rFonts w:eastAsia="MS Mincho"/>
          <w:w w:val="98"/>
        </w:rPr>
        <w:t xml:space="preserve">E/C.12/Pol/Co/5 (2009); </w:t>
      </w:r>
      <w:r w:rsidRPr="00AC72B5">
        <w:rPr>
          <w:i/>
          <w:w w:val="98"/>
        </w:rPr>
        <w:t>Corea</w:t>
      </w:r>
      <w:r w:rsidRPr="00AC72B5">
        <w:rPr>
          <w:w w:val="98"/>
        </w:rPr>
        <w:t xml:space="preserve">, ¶ 31, Doc. ONU E/C.12/KOR/CO/3 (2009); </w:t>
      </w:r>
      <w:r w:rsidRPr="00AC72B5">
        <w:rPr>
          <w:i/>
          <w:w w:val="98"/>
        </w:rPr>
        <w:t>Madagascar</w:t>
      </w:r>
      <w:r w:rsidRPr="00AC72B5">
        <w:rPr>
          <w:w w:val="98"/>
        </w:rPr>
        <w:t xml:space="preserve">, ¶ 30, Doc. ONU E/C.12/MDG/CO/2 (2009); </w:t>
      </w:r>
      <w:r w:rsidRPr="00AC72B5">
        <w:rPr>
          <w:i/>
          <w:w w:val="98"/>
        </w:rPr>
        <w:t>Kenia</w:t>
      </w:r>
      <w:r w:rsidRPr="00AC72B5">
        <w:rPr>
          <w:w w:val="98"/>
        </w:rPr>
        <w:t xml:space="preserve">, ¶ 33, Doc. ONU E/C.12/KEN/CO/1 (2008); </w:t>
      </w:r>
      <w:r w:rsidRPr="00AC72B5">
        <w:rPr>
          <w:i/>
          <w:w w:val="98"/>
        </w:rPr>
        <w:t>India</w:t>
      </w:r>
      <w:r w:rsidRPr="00AC72B5">
        <w:rPr>
          <w:w w:val="98"/>
        </w:rPr>
        <w:t xml:space="preserve">, ¶ 77, Doc. ONU E/C.12/IND/CO/5 (2008); </w:t>
      </w:r>
      <w:r w:rsidRPr="00AC72B5">
        <w:rPr>
          <w:i/>
          <w:w w:val="98"/>
        </w:rPr>
        <w:t>Nicaragua</w:t>
      </w:r>
      <w:r w:rsidRPr="00AC72B5">
        <w:rPr>
          <w:w w:val="98"/>
        </w:rPr>
        <w:t xml:space="preserve">, ¶ 27, Doc. ONU E/C.12/NIC/CO/4 (2008); </w:t>
      </w:r>
      <w:r w:rsidRPr="00AC72B5">
        <w:rPr>
          <w:i/>
          <w:w w:val="98"/>
        </w:rPr>
        <w:t>El Salvador</w:t>
      </w:r>
      <w:r w:rsidRPr="00AC72B5">
        <w:rPr>
          <w:w w:val="98"/>
        </w:rPr>
        <w:t xml:space="preserve">, ¶ 44, Doc. ONU E/C.12/SLV/CO/2 (2007); </w:t>
      </w:r>
      <w:r w:rsidRPr="00AC72B5">
        <w:rPr>
          <w:i/>
          <w:w w:val="98"/>
        </w:rPr>
        <w:t>China</w:t>
      </w:r>
      <w:r w:rsidRPr="00AC72B5">
        <w:rPr>
          <w:w w:val="98"/>
        </w:rPr>
        <w:t xml:space="preserve">, ¶ 100,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bCs/>
          <w:w w:val="98"/>
          <w:lang w:val="es-PE"/>
        </w:rPr>
        <w:t>E/C.12/1/Add.107</w:t>
      </w:r>
      <w:r w:rsidRPr="00AC72B5">
        <w:rPr>
          <w:bCs/>
          <w:w w:val="98"/>
          <w:lang w:val="en-GB"/>
        </w:rPr>
        <w:fldChar w:fldCharType="end"/>
      </w:r>
      <w:r w:rsidRPr="00AC72B5">
        <w:rPr>
          <w:w w:val="98"/>
        </w:rPr>
        <w:t xml:space="preserve"> (2005); </w:t>
      </w:r>
      <w:r w:rsidRPr="00AC72B5">
        <w:rPr>
          <w:i/>
          <w:w w:val="98"/>
        </w:rPr>
        <w:t>Guatemala</w:t>
      </w:r>
      <w:r w:rsidRPr="00AC72B5">
        <w:rPr>
          <w:w w:val="98"/>
        </w:rPr>
        <w:t xml:space="preserve">, ¶ 43,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bCs/>
          <w:w w:val="98"/>
          <w:lang w:val="es-PE"/>
        </w:rPr>
        <w:t>E/C.12/1/Add.93</w:t>
      </w:r>
      <w:r w:rsidRPr="00AC72B5">
        <w:rPr>
          <w:bCs/>
          <w:w w:val="98"/>
          <w:lang w:val="en-GB"/>
        </w:rPr>
        <w:fldChar w:fldCharType="end"/>
      </w:r>
      <w:r w:rsidRPr="00AC72B5">
        <w:rPr>
          <w:w w:val="98"/>
        </w:rPr>
        <w:t xml:space="preserve"> (2003); </w:t>
      </w:r>
      <w:r w:rsidRPr="00AC72B5">
        <w:rPr>
          <w:i/>
          <w:w w:val="98"/>
        </w:rPr>
        <w:t>Senegal</w:t>
      </w:r>
      <w:r w:rsidRPr="00AC72B5">
        <w:rPr>
          <w:w w:val="98"/>
        </w:rPr>
        <w:t>, ¶ 47, Doc. ONU E/C.12/1/Add.62 (2001).</w:t>
      </w:r>
    </w:p>
  </w:endnote>
  <w:endnote w:id="341">
    <w:p w14:paraId="255D9FB4" w14:textId="5CDBD64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Polonia</w:t>
      </w:r>
      <w:r w:rsidRPr="00AC72B5">
        <w:rPr>
          <w:w w:val="98"/>
        </w:rPr>
        <w:t xml:space="preserve">, ¶ 49, Doc. ONU E/C.12/POL/CO/6 (2016); </w:t>
      </w:r>
      <w:r w:rsidRPr="00AC72B5">
        <w:rPr>
          <w:i/>
          <w:w w:val="98"/>
        </w:rPr>
        <w:t>Guyana</w:t>
      </w:r>
      <w:r w:rsidRPr="00AC72B5">
        <w:rPr>
          <w:w w:val="98"/>
        </w:rPr>
        <w:t>, ¶ 51, Doc. ONU E/C.12/GUY/CO/2-4 (2015).</w:t>
      </w:r>
    </w:p>
  </w:endnote>
  <w:endnote w:id="342">
    <w:p w14:paraId="2891B2AD" w14:textId="632E0D4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Filipinas</w:t>
      </w:r>
      <w:r w:rsidRPr="00AC72B5">
        <w:rPr>
          <w:w w:val="98"/>
        </w:rPr>
        <w:t xml:space="preserve">, ¶ 52, Doc. ONU E/C.12/PHL/CO/5-6 (2016); </w:t>
      </w:r>
      <w:r w:rsidRPr="00AC72B5">
        <w:rPr>
          <w:i/>
          <w:w w:val="98"/>
        </w:rPr>
        <w:t>Observaciones Finales: Costa Rica</w:t>
      </w:r>
      <w:r w:rsidRPr="00AC72B5">
        <w:rPr>
          <w:w w:val="98"/>
        </w:rPr>
        <w:t xml:space="preserve">, ¶ 54, Doc. ONU E/C.12/CRI/CO/5 (2016); </w:t>
      </w:r>
      <w:r w:rsidRPr="00AC72B5">
        <w:rPr>
          <w:i/>
          <w:w w:val="98"/>
        </w:rPr>
        <w:t>Observaciones Finales: Burkina Faso</w:t>
      </w:r>
      <w:r w:rsidRPr="00AC72B5">
        <w:rPr>
          <w:w w:val="98"/>
        </w:rPr>
        <w:t xml:space="preserve">, ¶ 47, Doc. ONU E/C.12/BFA/CO/1 (2016); </w:t>
      </w:r>
      <w:r w:rsidRPr="00AC72B5">
        <w:rPr>
          <w:i/>
          <w:w w:val="98"/>
        </w:rPr>
        <w:t>Observaciones Finales: Angola</w:t>
      </w:r>
      <w:r w:rsidRPr="00AC72B5">
        <w:rPr>
          <w:w w:val="98"/>
        </w:rPr>
        <w:t xml:space="preserve">, ¶ 52, Doc. ONU E/C.12/AGO/CO/4-5 (2016); </w:t>
      </w:r>
      <w:r w:rsidRPr="00AC72B5">
        <w:rPr>
          <w:i/>
          <w:w w:val="98"/>
        </w:rPr>
        <w:t>Observaciones Finales: Burundí</w:t>
      </w:r>
      <w:r w:rsidRPr="00AC72B5">
        <w:rPr>
          <w:w w:val="98"/>
        </w:rPr>
        <w:t xml:space="preserve">, ¶ 54, Doc. ONU E/C.12/BDI/CO/1 (2015); </w:t>
      </w:r>
      <w:r w:rsidRPr="00AC72B5">
        <w:rPr>
          <w:i/>
          <w:w w:val="98"/>
        </w:rPr>
        <w:t>Chile</w:t>
      </w:r>
      <w:r w:rsidRPr="00AC72B5">
        <w:rPr>
          <w:w w:val="98"/>
        </w:rPr>
        <w:t xml:space="preserve">, ¶ 29, Doc. ONU E/C.12/CHL/CO/4 (2015); </w:t>
      </w:r>
      <w:r w:rsidRPr="00AC72B5">
        <w:rPr>
          <w:i/>
          <w:w w:val="98"/>
        </w:rPr>
        <w:t>Uganda</w:t>
      </w:r>
      <w:r w:rsidRPr="00AC72B5">
        <w:rPr>
          <w:w w:val="98"/>
        </w:rPr>
        <w:t>, ¶ 35, Doc. ONU E/C.12/UGA/CO/1 (2015).</w:t>
      </w:r>
    </w:p>
  </w:endnote>
  <w:endnote w:id="343">
    <w:p w14:paraId="106C6743" w14:textId="1DDA6C2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w:t>
      </w:r>
      <w:r w:rsidRPr="00AC72B5">
        <w:rPr>
          <w:w w:val="98"/>
        </w:rPr>
        <w:t xml:space="preserve"> </w:t>
      </w:r>
      <w:r w:rsidRPr="00AC72B5">
        <w:rPr>
          <w:i/>
          <w:w w:val="98"/>
        </w:rPr>
        <w:t>República de</w:t>
      </w:r>
      <w:r w:rsidRPr="00AC72B5" w:rsidDel="00F34D64">
        <w:rPr>
          <w:w w:val="98"/>
        </w:rPr>
        <w:t xml:space="preserve"> </w:t>
      </w:r>
      <w:r w:rsidRPr="00AC72B5">
        <w:rPr>
          <w:w w:val="98"/>
        </w:rPr>
        <w:t>Macedonia, ¶ 50, Doc. ONU E/C.12/MKD/CO/2-4 (2016).</w:t>
      </w:r>
    </w:p>
  </w:endnote>
  <w:endnote w:id="344">
    <w:p w14:paraId="75BD5CEC" w14:textId="277C6FA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Filipinas</w:t>
      </w:r>
      <w:r w:rsidRPr="00AC72B5">
        <w:rPr>
          <w:w w:val="98"/>
        </w:rPr>
        <w:t xml:space="preserve">, ¶ 52, Doc. ONU E/C.12/PHL/CO/5-6 (2016); </w:t>
      </w:r>
      <w:r w:rsidRPr="00AC72B5">
        <w:rPr>
          <w:i/>
          <w:w w:val="98"/>
        </w:rPr>
        <w:t>Observaciones Finales: Costa Rica</w:t>
      </w:r>
      <w:r w:rsidRPr="00AC72B5">
        <w:rPr>
          <w:w w:val="98"/>
        </w:rPr>
        <w:t>, ¶ 54, Doc. ONU E/C.12/CRI/CO/5 (2016);</w:t>
      </w:r>
      <w:r w:rsidRPr="00AC72B5">
        <w:rPr>
          <w:i/>
          <w:w w:val="98"/>
        </w:rPr>
        <w:t xml:space="preserve"> Observaciones Finales: República de Macedonia</w:t>
      </w:r>
      <w:r w:rsidRPr="00AC72B5">
        <w:rPr>
          <w:w w:val="98"/>
        </w:rPr>
        <w:t xml:space="preserve">, ¶ 50, Doc. ONU E/C.12/MKD/CO/2-4 (2016); </w:t>
      </w:r>
      <w:r w:rsidRPr="00AC72B5">
        <w:rPr>
          <w:i/>
          <w:w w:val="98"/>
        </w:rPr>
        <w:t>Observaciones Finales: Honduras</w:t>
      </w:r>
      <w:r w:rsidRPr="00AC72B5">
        <w:rPr>
          <w:w w:val="98"/>
        </w:rPr>
        <w:t xml:space="preserve">, ¶ 54, Doc. ONU E/C.12/HND/CO/2 (2016); </w:t>
      </w:r>
      <w:r w:rsidRPr="00AC72B5">
        <w:rPr>
          <w:i/>
          <w:w w:val="98"/>
        </w:rPr>
        <w:t>Observaciones Finales: Burkina Faso</w:t>
      </w:r>
      <w:r w:rsidRPr="00AC72B5">
        <w:rPr>
          <w:w w:val="98"/>
        </w:rPr>
        <w:t xml:space="preserve">, ¶ 47, Doc. ONU E/C.12/BFA/CO/1 (2016); </w:t>
      </w:r>
      <w:r w:rsidRPr="00AC72B5">
        <w:rPr>
          <w:i/>
          <w:w w:val="98"/>
        </w:rPr>
        <w:t>Observaciones Finales: Angola</w:t>
      </w:r>
      <w:r w:rsidRPr="00AC72B5">
        <w:rPr>
          <w:w w:val="98"/>
        </w:rPr>
        <w:t xml:space="preserve">, ¶ 52, Doc. ONU E/C.12/AGO/CO/4-5 (2016); </w:t>
      </w:r>
      <w:r w:rsidRPr="00AC72B5">
        <w:rPr>
          <w:i/>
          <w:w w:val="98"/>
        </w:rPr>
        <w:t>Observaciones Finales: Burundí</w:t>
      </w:r>
      <w:r w:rsidRPr="00AC72B5">
        <w:rPr>
          <w:w w:val="98"/>
        </w:rPr>
        <w:t xml:space="preserve">, ¶ 54, Doc. ONU E/C.12/BDI/CO/1 (2015); </w:t>
      </w:r>
      <w:r w:rsidRPr="00AC72B5">
        <w:rPr>
          <w:i/>
          <w:w w:val="98"/>
        </w:rPr>
        <w:t>Chile</w:t>
      </w:r>
      <w:r w:rsidRPr="00AC72B5">
        <w:rPr>
          <w:w w:val="98"/>
        </w:rPr>
        <w:t xml:space="preserve">, ¶ 29, Doc. ONU E/C.12/CHL/CO/4 (2015); </w:t>
      </w:r>
      <w:r w:rsidRPr="00AC72B5">
        <w:rPr>
          <w:i/>
          <w:w w:val="98"/>
        </w:rPr>
        <w:t>Guyana</w:t>
      </w:r>
      <w:r w:rsidRPr="00AC72B5">
        <w:rPr>
          <w:w w:val="98"/>
        </w:rPr>
        <w:t xml:space="preserve">, ¶ 51, Doc. ONU E/C.12/GUY/CO/2-4 (2015); </w:t>
      </w:r>
      <w:r w:rsidRPr="00AC72B5">
        <w:rPr>
          <w:i/>
          <w:w w:val="98"/>
        </w:rPr>
        <w:t>Tailandia</w:t>
      </w:r>
      <w:r w:rsidRPr="00AC72B5">
        <w:rPr>
          <w:w w:val="98"/>
        </w:rPr>
        <w:t xml:space="preserve">, ¶ 30, Doc. ONU E/C.12/THA/CO/1-2 (2015); </w:t>
      </w:r>
      <w:r w:rsidRPr="00AC72B5">
        <w:rPr>
          <w:i/>
          <w:w w:val="98"/>
        </w:rPr>
        <w:t>Uganda</w:t>
      </w:r>
      <w:r w:rsidRPr="00AC72B5">
        <w:rPr>
          <w:w w:val="98"/>
        </w:rPr>
        <w:t xml:space="preserve">, ¶ 35, Doc. ONU E/C.12/UGA/CO/1 (2015); </w:t>
      </w:r>
      <w:r w:rsidRPr="00AC72B5">
        <w:rPr>
          <w:i/>
          <w:w w:val="98"/>
        </w:rPr>
        <w:t>Armenia</w:t>
      </w:r>
      <w:r w:rsidRPr="00AC72B5">
        <w:rPr>
          <w:w w:val="98"/>
        </w:rPr>
        <w:t xml:space="preserve">, ¶ 22, Doc. ONU </w:t>
      </w:r>
      <w:r w:rsidRPr="00AC72B5">
        <w:rPr>
          <w:rFonts w:eastAsia="MS Mincho"/>
          <w:w w:val="98"/>
        </w:rPr>
        <w:t xml:space="preserve">E/C.12/ARM/CO/2-3 (2014); </w:t>
      </w:r>
      <w:r w:rsidRPr="00AC72B5">
        <w:rPr>
          <w:rFonts w:eastAsia="MS Mincho"/>
          <w:i/>
          <w:w w:val="98"/>
        </w:rPr>
        <w:t>El Salvador</w:t>
      </w:r>
      <w:r w:rsidRPr="00AC72B5">
        <w:rPr>
          <w:rFonts w:eastAsia="MS Mincho"/>
          <w:w w:val="98"/>
        </w:rPr>
        <w:t xml:space="preserve">, </w:t>
      </w:r>
      <w:r w:rsidRPr="00AC72B5">
        <w:rPr>
          <w:w w:val="98"/>
        </w:rPr>
        <w:t xml:space="preserve">¶ 23, </w:t>
      </w:r>
      <w:r w:rsidRPr="00AC72B5">
        <w:rPr>
          <w:rFonts w:eastAsia="MS Mincho"/>
          <w:w w:val="98"/>
        </w:rPr>
        <w:t xml:space="preserve">Doc. ONU </w:t>
      </w:r>
      <w:r w:rsidRPr="00AC72B5">
        <w:rPr>
          <w:w w:val="98"/>
        </w:rPr>
        <w:t xml:space="preserve">E/C.12/SLV/CO/3-5 (2014); </w:t>
      </w:r>
      <w:r w:rsidRPr="00AC72B5">
        <w:rPr>
          <w:i/>
          <w:w w:val="98"/>
        </w:rPr>
        <w:t>Guatemala</w:t>
      </w:r>
      <w:r w:rsidRPr="00AC72B5">
        <w:rPr>
          <w:w w:val="98"/>
        </w:rPr>
        <w:t xml:space="preserve">, ¶ 23, Doc. ONU E/C.12/GTM/CO/3 (2014); </w:t>
      </w:r>
      <w:r w:rsidRPr="00AC72B5">
        <w:rPr>
          <w:i/>
          <w:w w:val="98"/>
        </w:rPr>
        <w:t>Mónaco</w:t>
      </w:r>
      <w:r w:rsidRPr="00AC72B5">
        <w:rPr>
          <w:w w:val="98"/>
        </w:rPr>
        <w:t>, ¶ 21, Doc. ONU E/C.12/MCO/CO/2-3 (2014).</w:t>
      </w:r>
    </w:p>
  </w:endnote>
  <w:endnote w:id="345">
    <w:p w14:paraId="39BF2D34" w14:textId="6933610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Filipinas</w:t>
      </w:r>
      <w:r w:rsidRPr="00AC72B5">
        <w:rPr>
          <w:w w:val="98"/>
        </w:rPr>
        <w:t xml:space="preserve">, ¶ 52, Doc. ONU E/C.12/PHL/CO/5-6 (2016); </w:t>
      </w:r>
      <w:r w:rsidRPr="00AC72B5">
        <w:rPr>
          <w:i/>
          <w:w w:val="98"/>
        </w:rPr>
        <w:t>Observaciones Finales: Costa Rica</w:t>
      </w:r>
      <w:r w:rsidRPr="00AC72B5">
        <w:rPr>
          <w:w w:val="98"/>
        </w:rPr>
        <w:t xml:space="preserve">, ¶ 54, Doc. ONU E/C.12/CRI/CO/5 (2016); </w:t>
      </w:r>
      <w:r w:rsidRPr="00AC72B5">
        <w:rPr>
          <w:i/>
          <w:w w:val="98"/>
        </w:rPr>
        <w:t>Observaciones Finales: Honduras</w:t>
      </w:r>
      <w:r w:rsidRPr="00AC72B5">
        <w:rPr>
          <w:w w:val="98"/>
        </w:rPr>
        <w:t xml:space="preserve">, ¶ 54, Doc. ONU E/C.12/HND/CO/2 (2016); </w:t>
      </w:r>
      <w:r w:rsidRPr="00AC72B5">
        <w:rPr>
          <w:i/>
          <w:w w:val="98"/>
        </w:rPr>
        <w:t>Observaciones Finales: Burkina Faso</w:t>
      </w:r>
      <w:r w:rsidRPr="00AC72B5">
        <w:rPr>
          <w:w w:val="98"/>
        </w:rPr>
        <w:t xml:space="preserve">, ¶ 47, Doc. ONU E/C.12/BFA/CO/1 (2016); </w:t>
      </w:r>
      <w:r w:rsidRPr="00AC72B5">
        <w:rPr>
          <w:i/>
          <w:w w:val="98"/>
        </w:rPr>
        <w:t>Observaciones Finales: Burundí</w:t>
      </w:r>
      <w:r w:rsidRPr="00AC72B5">
        <w:rPr>
          <w:w w:val="98"/>
        </w:rPr>
        <w:t xml:space="preserve">, ¶ 54, Doc. ONU E/C.12/BDI/CO/1 (2015); </w:t>
      </w:r>
      <w:r w:rsidRPr="00AC72B5">
        <w:rPr>
          <w:i/>
          <w:w w:val="98"/>
        </w:rPr>
        <w:t>Chile</w:t>
      </w:r>
      <w:r w:rsidRPr="00AC72B5">
        <w:rPr>
          <w:w w:val="98"/>
        </w:rPr>
        <w:t xml:space="preserve">, ¶ 29, Doc. ONU E/C.12/CHL/CO/4 (2015); </w:t>
      </w:r>
      <w:r w:rsidRPr="00AC72B5">
        <w:rPr>
          <w:i/>
          <w:w w:val="98"/>
        </w:rPr>
        <w:t>Tailandia</w:t>
      </w:r>
      <w:r w:rsidRPr="00AC72B5">
        <w:rPr>
          <w:w w:val="98"/>
        </w:rPr>
        <w:t xml:space="preserve">, ¶ 30, Doc. ONU E/C.12/THA/CO/1-2 (2015); </w:t>
      </w:r>
      <w:r w:rsidRPr="00AC72B5">
        <w:rPr>
          <w:i/>
          <w:w w:val="98"/>
        </w:rPr>
        <w:t>Uganda</w:t>
      </w:r>
      <w:r w:rsidRPr="00AC72B5">
        <w:rPr>
          <w:w w:val="98"/>
        </w:rPr>
        <w:t>, ¶ 35, Doc. ONU E/C.12/UGA/CO/1 (2015).</w:t>
      </w:r>
    </w:p>
  </w:endnote>
  <w:endnote w:id="346">
    <w:p w14:paraId="2F08D2F8" w14:textId="226EDD7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Rumania</w:t>
      </w:r>
      <w:r w:rsidRPr="00AC72B5">
        <w:rPr>
          <w:w w:val="98"/>
        </w:rPr>
        <w:t xml:space="preserve">, ¶ 22, Doc. ONU </w:t>
      </w:r>
      <w:r w:rsidRPr="00AC72B5">
        <w:rPr>
          <w:rFonts w:eastAsia="MS Mincho"/>
          <w:w w:val="98"/>
        </w:rPr>
        <w:t xml:space="preserve">E/C.12/ROU/Co/3-5 (2014); </w:t>
      </w:r>
      <w:r w:rsidRPr="00AC72B5">
        <w:rPr>
          <w:i/>
          <w:w w:val="98"/>
        </w:rPr>
        <w:t>Bosnia y Herzegovina</w:t>
      </w:r>
      <w:r w:rsidRPr="00AC72B5">
        <w:rPr>
          <w:w w:val="98"/>
        </w:rPr>
        <w:t xml:space="preserve">, ¶ 32, Doc. ONU E/C.12/BIH/CO/2 (2013); </w:t>
      </w:r>
      <w:r w:rsidRPr="00AC72B5">
        <w:rPr>
          <w:i/>
          <w:w w:val="98"/>
        </w:rPr>
        <w:t>Eslovaquia</w:t>
      </w:r>
      <w:r w:rsidRPr="00AC72B5">
        <w:rPr>
          <w:w w:val="98"/>
        </w:rPr>
        <w:t xml:space="preserve">, ¶ 25, Doc. ONU E/C.12/SVK/CO/2 (2012); </w:t>
      </w:r>
      <w:r w:rsidRPr="00AC72B5">
        <w:rPr>
          <w:i/>
          <w:w w:val="98"/>
        </w:rPr>
        <w:t>Federación de Rusia</w:t>
      </w:r>
      <w:r w:rsidRPr="00AC72B5">
        <w:rPr>
          <w:w w:val="98"/>
        </w:rPr>
        <w:t xml:space="preserve">, ¶ 30, Doc. ONU E/C.12/RUS/CO/5 (2011); </w:t>
      </w:r>
      <w:r w:rsidRPr="00AC72B5">
        <w:rPr>
          <w:i/>
          <w:w w:val="98"/>
        </w:rPr>
        <w:t>Bolivia</w:t>
      </w:r>
      <w:r w:rsidRPr="00AC72B5">
        <w:rPr>
          <w:w w:val="98"/>
        </w:rPr>
        <w:t xml:space="preserve">, ¶ 27, Doc. ONU E/C.12/BOL/CO/2 (2008); </w:t>
      </w:r>
      <w:r w:rsidRPr="00AC72B5">
        <w:rPr>
          <w:i/>
          <w:w w:val="98"/>
        </w:rPr>
        <w:t>Nicaragua</w:t>
      </w:r>
      <w:r w:rsidRPr="00AC72B5">
        <w:rPr>
          <w:w w:val="98"/>
        </w:rPr>
        <w:t>, ¶ 27, Doc. ONU E/C.12/NIC/CO/4 (2008);</w:t>
      </w:r>
      <w:r w:rsidRPr="00AC72B5">
        <w:rPr>
          <w:i/>
          <w:w w:val="98"/>
        </w:rPr>
        <w:t xml:space="preserve"> Paraguay</w:t>
      </w:r>
      <w:r w:rsidRPr="00AC72B5">
        <w:rPr>
          <w:w w:val="98"/>
        </w:rPr>
        <w:t xml:space="preserve">, ¶ 32, Doc. ONU E/C.12/PRY/CO/3 (2008); </w:t>
      </w:r>
      <w:r w:rsidRPr="00AC72B5">
        <w:rPr>
          <w:i/>
          <w:w w:val="98"/>
        </w:rPr>
        <w:t>El Salvador</w:t>
      </w:r>
      <w:r w:rsidRPr="00AC72B5">
        <w:rPr>
          <w:w w:val="98"/>
        </w:rPr>
        <w:t>, ¶ 44, Doc. ONU E/C.12/SLV/CO/2 (2007).</w:t>
      </w:r>
    </w:p>
  </w:endnote>
  <w:endnote w:id="347">
    <w:p w14:paraId="5A9FD37A" w14:textId="241E8B3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Bosnia y Herzegovina</w:t>
      </w:r>
      <w:r w:rsidRPr="00AC72B5">
        <w:rPr>
          <w:w w:val="98"/>
        </w:rPr>
        <w:t xml:space="preserve">, ¶ 32, Doc. ONU E/C.12/BIH/CO/2 (2013); </w:t>
      </w:r>
      <w:r w:rsidRPr="00AC72B5">
        <w:rPr>
          <w:i/>
          <w:w w:val="98"/>
        </w:rPr>
        <w:t>Corea</w:t>
      </w:r>
      <w:r w:rsidRPr="00AC72B5">
        <w:rPr>
          <w:w w:val="98"/>
        </w:rPr>
        <w:t>, ¶ 31, Doc. ONU E/C.12/KOR/CO/3 (2009).</w:t>
      </w:r>
    </w:p>
  </w:endnote>
  <w:endnote w:id="348">
    <w:p w14:paraId="70B90655" w14:textId="383E83A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Mónaco</w:t>
      </w:r>
      <w:r w:rsidRPr="00AC72B5">
        <w:rPr>
          <w:w w:val="98"/>
        </w:rPr>
        <w:t>, ¶ 20, Doc. ONU E/C.12/MCO/CO/2-3 (2014).</w:t>
      </w:r>
    </w:p>
  </w:endnote>
  <w:endnote w:id="349">
    <w:p w14:paraId="68A3DA90" w14:textId="0F3156C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Argentina</w:t>
      </w:r>
      <w:r w:rsidRPr="00AC72B5">
        <w:rPr>
          <w:w w:val="98"/>
        </w:rPr>
        <w:t>, ¶ 22, Doc. ONU E/C.12/ARG/CO/3 (2011).</w:t>
      </w:r>
    </w:p>
  </w:endnote>
  <w:endnote w:id="350">
    <w:p w14:paraId="15A190EF" w14:textId="3A76535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Bosnia y Herzegovina</w:t>
      </w:r>
      <w:r w:rsidRPr="00AC72B5">
        <w:rPr>
          <w:w w:val="98"/>
        </w:rPr>
        <w:t>, ¶ 32, Doc. ONU E/C.12/BIH/CO/2 (2013).</w:t>
      </w:r>
    </w:p>
  </w:endnote>
  <w:endnote w:id="351">
    <w:p w14:paraId="6CB0DE7A" w14:textId="755FCC4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Países Bajos</w:t>
      </w:r>
      <w:r w:rsidRPr="00AC72B5">
        <w:rPr>
          <w:w w:val="98"/>
        </w:rPr>
        <w:t xml:space="preserve">, ¶ 27, Doc. ONU E/C.12/NDL/CO/4-5 (2010); </w:t>
      </w:r>
      <w:r w:rsidRPr="00AC72B5">
        <w:rPr>
          <w:i/>
          <w:w w:val="98"/>
        </w:rPr>
        <w:t>Corea</w:t>
      </w:r>
      <w:r w:rsidRPr="00AC72B5">
        <w:rPr>
          <w:w w:val="98"/>
        </w:rPr>
        <w:t>, ¶ 31, Doc. ONU E/C.12/KOR/CO/3 (2009).</w:t>
      </w:r>
    </w:p>
  </w:endnote>
  <w:endnote w:id="352">
    <w:p w14:paraId="092861E6" w14:textId="2792E00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Comité DESC, </w:t>
      </w:r>
      <w:r w:rsidRPr="00AC72B5">
        <w:rPr>
          <w:i/>
          <w:w w:val="98"/>
        </w:rPr>
        <w:t>Observaciones Finales: Poland</w:t>
      </w:r>
      <w:r w:rsidRPr="00AC72B5">
        <w:rPr>
          <w:w w:val="98"/>
        </w:rPr>
        <w:t xml:space="preserve">, ¶ 31, Doc. ONU </w:t>
      </w:r>
      <w:r w:rsidRPr="00AC72B5">
        <w:rPr>
          <w:rFonts w:eastAsia="MS Mincho"/>
          <w:w w:val="98"/>
        </w:rPr>
        <w:t>E/C.12/POL/CO/5 (2009).</w:t>
      </w:r>
    </w:p>
  </w:endnote>
  <w:endnote w:id="353">
    <w:p w14:paraId="13123D3E" w14:textId="335E1E2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República de Macedonia</w:t>
      </w:r>
      <w:r w:rsidRPr="00AC72B5">
        <w:rPr>
          <w:w w:val="98"/>
        </w:rPr>
        <w:t xml:space="preserve">, ¶ 50, Doc. ONU E/C.12/MKD/CO/2-4 (2016); </w:t>
      </w:r>
      <w:r w:rsidRPr="00AC72B5">
        <w:rPr>
          <w:i/>
          <w:w w:val="98"/>
        </w:rPr>
        <w:t>Angola</w:t>
      </w:r>
      <w:r w:rsidRPr="00AC72B5">
        <w:rPr>
          <w:w w:val="98"/>
        </w:rPr>
        <w:t>, ¶ 52, Doc. ONU E/C.12/AGO/CO/4-5 (2016).</w:t>
      </w:r>
    </w:p>
  </w:endnote>
  <w:endnote w:id="354">
    <w:p w14:paraId="6B1C4C5D" w14:textId="5BADDEE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Namibia</w:t>
      </w:r>
      <w:r w:rsidRPr="00AC72B5">
        <w:rPr>
          <w:w w:val="98"/>
        </w:rPr>
        <w:t xml:space="preserve">, ¶ 67, Doc. ONU E/C.12/NAM/CO/1 (2016); </w:t>
      </w:r>
      <w:r w:rsidRPr="00AC72B5">
        <w:rPr>
          <w:i/>
          <w:w w:val="98"/>
        </w:rPr>
        <w:t>Finlandia</w:t>
      </w:r>
      <w:r w:rsidRPr="00AC72B5">
        <w:rPr>
          <w:w w:val="98"/>
        </w:rPr>
        <w:t xml:space="preserve">, ¶ 26, Doc. ONU E/C.12/FIN/CO/6 (2014); </w:t>
      </w:r>
      <w:r w:rsidRPr="00AC72B5">
        <w:rPr>
          <w:i/>
          <w:w w:val="98"/>
        </w:rPr>
        <w:t>Perú</w:t>
      </w:r>
      <w:r w:rsidRPr="00AC72B5">
        <w:rPr>
          <w:w w:val="98"/>
        </w:rPr>
        <w:t xml:space="preserve">, ¶ 24, Doc. ONU E/C.12/PER/CO/2-4 (2012); </w:t>
      </w:r>
      <w:r w:rsidRPr="00AC72B5">
        <w:rPr>
          <w:i/>
          <w:w w:val="98"/>
        </w:rPr>
        <w:t>China</w:t>
      </w:r>
      <w:r w:rsidRPr="00AC72B5">
        <w:rPr>
          <w:w w:val="98"/>
        </w:rPr>
        <w:t xml:space="preserve">, ¶ 36,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bCs/>
          <w:w w:val="98"/>
          <w:lang w:val="es-PE"/>
        </w:rPr>
        <w:t>E/C.12/1/Add.107</w:t>
      </w:r>
      <w:r w:rsidRPr="00AC72B5">
        <w:rPr>
          <w:bCs/>
          <w:w w:val="98"/>
          <w:lang w:val="en-GB"/>
        </w:rPr>
        <w:fldChar w:fldCharType="end"/>
      </w:r>
      <w:r w:rsidRPr="00AC72B5">
        <w:rPr>
          <w:w w:val="98"/>
        </w:rPr>
        <w:t xml:space="preserve"> (2005); </w:t>
      </w:r>
      <w:r w:rsidRPr="00AC72B5">
        <w:rPr>
          <w:i/>
          <w:w w:val="98"/>
        </w:rPr>
        <w:t>Brasil</w:t>
      </w:r>
      <w:r w:rsidRPr="00AC72B5">
        <w:rPr>
          <w:w w:val="98"/>
        </w:rPr>
        <w:t xml:space="preserve">, ¶ 27,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bCs/>
          <w:w w:val="98"/>
          <w:lang w:val="es-PE"/>
        </w:rPr>
        <w:t>E/C.12/1/Add.87</w:t>
      </w:r>
      <w:r w:rsidRPr="00AC72B5">
        <w:rPr>
          <w:bCs/>
          <w:w w:val="98"/>
          <w:lang w:val="en-GB"/>
        </w:rPr>
        <w:fldChar w:fldCharType="end"/>
      </w:r>
      <w:r w:rsidRPr="00AC72B5">
        <w:rPr>
          <w:w w:val="98"/>
        </w:rPr>
        <w:t xml:space="preserve"> (2003).</w:t>
      </w:r>
    </w:p>
  </w:endnote>
  <w:endnote w:id="355">
    <w:p w14:paraId="22F25DE6" w14:textId="0CBE8B7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China</w:t>
      </w:r>
      <w:r w:rsidRPr="00AC72B5">
        <w:rPr>
          <w:w w:val="98"/>
        </w:rPr>
        <w:t xml:space="preserve">, ¶ 36,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bCs/>
          <w:w w:val="98"/>
          <w:lang w:val="es-PE"/>
        </w:rPr>
        <w:t>E/C.12/1/Add.107</w:t>
      </w:r>
      <w:r w:rsidRPr="00AC72B5">
        <w:rPr>
          <w:bCs/>
          <w:w w:val="98"/>
          <w:lang w:val="en-GB"/>
        </w:rPr>
        <w:fldChar w:fldCharType="end"/>
      </w:r>
      <w:r w:rsidRPr="00AC72B5">
        <w:rPr>
          <w:w w:val="98"/>
        </w:rPr>
        <w:t xml:space="preserve"> (2005).</w:t>
      </w:r>
    </w:p>
  </w:endnote>
  <w:endnote w:id="356">
    <w:p w14:paraId="1E25A151" w14:textId="39D29BC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Perú</w:t>
      </w:r>
      <w:r w:rsidRPr="00AC72B5">
        <w:rPr>
          <w:w w:val="98"/>
        </w:rPr>
        <w:t>, ¶ 24, Doc. ONU E/C.12/PER/CO/2-4 (2012);</w:t>
      </w:r>
      <w:r w:rsidRPr="00AC72B5">
        <w:rPr>
          <w:i/>
          <w:w w:val="98"/>
        </w:rPr>
        <w:t xml:space="preserve"> China</w:t>
      </w:r>
      <w:r w:rsidRPr="00AC72B5">
        <w:rPr>
          <w:w w:val="98"/>
        </w:rPr>
        <w:t xml:space="preserve">, ¶ 36,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bCs/>
          <w:w w:val="98"/>
          <w:lang w:val="es-PE"/>
        </w:rPr>
        <w:t>E/C.12/1/Add.107</w:t>
      </w:r>
      <w:r w:rsidRPr="00AC72B5">
        <w:rPr>
          <w:bCs/>
          <w:w w:val="98"/>
          <w:lang w:val="en-GB"/>
        </w:rPr>
        <w:fldChar w:fldCharType="end"/>
      </w:r>
      <w:r w:rsidRPr="00AC72B5">
        <w:rPr>
          <w:w w:val="98"/>
        </w:rPr>
        <w:t xml:space="preserve"> (2005).</w:t>
      </w:r>
    </w:p>
  </w:endnote>
  <w:endnote w:id="357">
    <w:p w14:paraId="79E7027B" w14:textId="565E026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Namibia</w:t>
      </w:r>
      <w:r w:rsidRPr="00AC72B5">
        <w:rPr>
          <w:w w:val="98"/>
        </w:rPr>
        <w:t xml:space="preserve">, ¶ 67, Doc. ONU E/C.12/NAM/CO/1 (2016). </w:t>
      </w:r>
    </w:p>
  </w:endnote>
  <w:endnote w:id="358">
    <w:p w14:paraId="08087200" w14:textId="5DCA3DA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China</w:t>
      </w:r>
      <w:r w:rsidRPr="00AC72B5">
        <w:rPr>
          <w:w w:val="98"/>
        </w:rPr>
        <w:t xml:space="preserve">, ¶ 36,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bCs/>
          <w:w w:val="98"/>
          <w:lang w:val="es-PE"/>
        </w:rPr>
        <w:t>E/C.12/1/Add.107</w:t>
      </w:r>
      <w:r w:rsidRPr="00AC72B5">
        <w:rPr>
          <w:bCs/>
          <w:w w:val="98"/>
          <w:lang w:val="en-GB"/>
        </w:rPr>
        <w:fldChar w:fldCharType="end"/>
      </w:r>
      <w:r w:rsidRPr="00AC72B5">
        <w:rPr>
          <w:w w:val="98"/>
        </w:rPr>
        <w:t xml:space="preserve"> (2005).</w:t>
      </w:r>
    </w:p>
  </w:endnote>
  <w:endnote w:id="359">
    <w:p w14:paraId="5998A353" w14:textId="0483F32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Finlandia</w:t>
      </w:r>
      <w:r w:rsidRPr="00AC72B5">
        <w:rPr>
          <w:w w:val="98"/>
        </w:rPr>
        <w:t>, ¶ 26, Doc. ONU E/C.12/FIN/CO/6 (2014).</w:t>
      </w:r>
    </w:p>
  </w:endnote>
  <w:endnote w:id="360">
    <w:p w14:paraId="15C2EAEE" w14:textId="78F162A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Finlandia</w:t>
      </w:r>
      <w:r w:rsidRPr="00AC72B5">
        <w:rPr>
          <w:w w:val="98"/>
        </w:rPr>
        <w:t>, ¶ 26, Doc. ONU E/C.12/FIN/CO/6 (2014).</w:t>
      </w:r>
    </w:p>
  </w:endnote>
  <w:endnote w:id="361">
    <w:p w14:paraId="2479F594" w14:textId="6993B0C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Finlandia</w:t>
      </w:r>
      <w:r w:rsidRPr="00AC72B5">
        <w:rPr>
          <w:w w:val="98"/>
        </w:rPr>
        <w:t>, ¶ 26, Doc. ONU E/C.12/FIN/CO/6 (2014).</w:t>
      </w:r>
    </w:p>
  </w:endnote>
  <w:endnote w:id="362">
    <w:p w14:paraId="63310119" w14:textId="1C3686C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Namibia</w:t>
      </w:r>
      <w:r w:rsidRPr="00AC72B5">
        <w:rPr>
          <w:w w:val="98"/>
        </w:rPr>
        <w:t>, ¶ 68, Doc. ONU E/C.12/NAM/CO/1 (2016).</w:t>
      </w:r>
    </w:p>
  </w:endnote>
  <w:endnote w:id="363">
    <w:p w14:paraId="4A8B938E" w14:textId="3ED25B0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China</w:t>
      </w:r>
      <w:r w:rsidRPr="00AC72B5">
        <w:rPr>
          <w:w w:val="98"/>
        </w:rPr>
        <w:t xml:space="preserve">, ¶ 65, Doc. ONU </w:t>
      </w:r>
      <w:r w:rsidRPr="00AC72B5">
        <w:rPr>
          <w:w w:val="98"/>
          <w:lang w:val="es-ES"/>
        </w:rPr>
        <w:fldChar w:fldCharType="begin"/>
      </w:r>
      <w:r w:rsidRPr="00AC72B5">
        <w:rPr>
          <w:w w:val="98"/>
        </w:rPr>
        <w:instrText xml:space="preserve"> FILLIN "Symbol" \* MERGEFORMAT </w:instrText>
      </w:r>
      <w:r w:rsidRPr="00AC72B5">
        <w:rPr>
          <w:w w:val="98"/>
          <w:lang w:val="es-ES"/>
        </w:rPr>
        <w:fldChar w:fldCharType="separate"/>
      </w:r>
      <w:r w:rsidRPr="00AC72B5">
        <w:rPr>
          <w:bCs/>
          <w:w w:val="98"/>
          <w:lang w:val="es-PE"/>
        </w:rPr>
        <w:t>E/C.12/1/Add.107</w:t>
      </w:r>
      <w:r w:rsidRPr="00AC72B5">
        <w:rPr>
          <w:bCs/>
          <w:w w:val="98"/>
          <w:lang w:val="en-GB"/>
        </w:rPr>
        <w:fldChar w:fldCharType="end"/>
      </w:r>
      <w:r w:rsidRPr="00AC72B5">
        <w:rPr>
          <w:w w:val="98"/>
        </w:rPr>
        <w:t xml:space="preserve"> (2005).</w:t>
      </w:r>
    </w:p>
  </w:endnote>
  <w:endnote w:id="364">
    <w:p w14:paraId="77325BB4" w14:textId="6F157A9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Perú</w:t>
      </w:r>
      <w:r w:rsidRPr="00AC72B5">
        <w:rPr>
          <w:w w:val="98"/>
        </w:rPr>
        <w:t>, ¶ 24, Doc. ONU E/C.12/PER/CO/2-4 (2012).</w:t>
      </w:r>
    </w:p>
  </w:endnote>
  <w:endnote w:id="365">
    <w:p w14:paraId="7B20D74D" w14:textId="4435114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DESC, </w:t>
      </w:r>
      <w:r w:rsidRPr="00AC72B5">
        <w:rPr>
          <w:i/>
          <w:w w:val="98"/>
        </w:rPr>
        <w:t>Observaciones Finales: Perú</w:t>
      </w:r>
      <w:r w:rsidRPr="00AC72B5">
        <w:rPr>
          <w:w w:val="98"/>
        </w:rPr>
        <w:t>, ¶ 24, Doc. ONU E/C.12/PER/CO/2-4 (2012).</w:t>
      </w:r>
    </w:p>
  </w:endnote>
  <w:endnote w:id="366">
    <w:p w14:paraId="15984E0A" w14:textId="463F942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Observación General Núm. 1: Artículo 12: Igual reconocimiento como persona ante la Ley</w:t>
      </w:r>
      <w:r w:rsidRPr="00AC72B5">
        <w:rPr>
          <w:w w:val="98"/>
        </w:rPr>
        <w:t>, ¶ 13, Doc. ONU CRPD/C/GC/1 (2014).</w:t>
      </w:r>
    </w:p>
  </w:endnote>
  <w:endnote w:id="367">
    <w:p w14:paraId="17309371" w14:textId="4EC9673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 xml:space="preserve">Observación General </w:t>
      </w:r>
      <w:r w:rsidRPr="00AC72B5">
        <w:rPr>
          <w:i/>
          <w:w w:val="98"/>
          <w:lang w:val="es-CO"/>
        </w:rPr>
        <w:t>Núm.</w:t>
      </w:r>
      <w:r w:rsidRPr="00AC72B5">
        <w:rPr>
          <w:i/>
          <w:w w:val="98"/>
        </w:rPr>
        <w:t xml:space="preserve"> 1: Artículo 12: Igual reconocimiento como persona ante la Ley</w:t>
      </w:r>
      <w:r w:rsidRPr="00AC72B5">
        <w:rPr>
          <w:w w:val="98"/>
        </w:rPr>
        <w:t>, ¶ 8, Doc. ONU CRPD/C/GC/1 (2014).</w:t>
      </w:r>
    </w:p>
  </w:endnote>
  <w:endnote w:id="368">
    <w:p w14:paraId="199B7B49" w14:textId="1432774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 xml:space="preserve">Observación General </w:t>
      </w:r>
      <w:r w:rsidRPr="00AC72B5">
        <w:rPr>
          <w:i/>
          <w:w w:val="98"/>
          <w:lang w:val="es-CO"/>
        </w:rPr>
        <w:t>Núm.</w:t>
      </w:r>
      <w:r w:rsidRPr="00AC72B5">
        <w:rPr>
          <w:i/>
          <w:w w:val="98"/>
        </w:rPr>
        <w:t xml:space="preserve"> 1: Artículo 12: Igual reconocimiento como persona ante la Ley</w:t>
      </w:r>
      <w:r w:rsidRPr="00AC72B5">
        <w:rPr>
          <w:w w:val="98"/>
        </w:rPr>
        <w:t>, ¶ 41, Doc. ONU CRPD/C/GC/1 (2014).</w:t>
      </w:r>
    </w:p>
  </w:endnote>
  <w:endnote w:id="369">
    <w:p w14:paraId="58ED7F2C" w14:textId="7DCBBE7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 xml:space="preserve">Observación General </w:t>
      </w:r>
      <w:r w:rsidRPr="00AC72B5">
        <w:rPr>
          <w:i/>
          <w:w w:val="98"/>
          <w:lang w:val="es-CO"/>
        </w:rPr>
        <w:t>Núm.</w:t>
      </w:r>
      <w:r w:rsidRPr="00AC72B5">
        <w:rPr>
          <w:i/>
          <w:w w:val="98"/>
        </w:rPr>
        <w:t xml:space="preserve"> 1: Artículo 12: Igual reconocimiento como persona ante la Ley</w:t>
      </w:r>
      <w:r w:rsidRPr="00AC72B5">
        <w:rPr>
          <w:w w:val="98"/>
        </w:rPr>
        <w:t>, ¶ 41, Doc. ONU CRPD/C/GC/1 (2014).</w:t>
      </w:r>
    </w:p>
  </w:endnote>
  <w:endnote w:id="370">
    <w:p w14:paraId="0B05DC18" w14:textId="1C71B82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 xml:space="preserve">Observación General </w:t>
      </w:r>
      <w:r w:rsidRPr="00AC72B5">
        <w:rPr>
          <w:i/>
          <w:w w:val="98"/>
          <w:lang w:val="es-CO"/>
        </w:rPr>
        <w:t>Núm.</w:t>
      </w:r>
      <w:r w:rsidRPr="00AC72B5">
        <w:rPr>
          <w:i/>
          <w:w w:val="98"/>
        </w:rPr>
        <w:t xml:space="preserve"> 1: Artículo 12: Igual reconocimiento como persona ante la Ley</w:t>
      </w:r>
      <w:r w:rsidRPr="00AC72B5">
        <w:rPr>
          <w:w w:val="98"/>
        </w:rPr>
        <w:t>, ¶ 7, Doc. ONU CRPD/C/GC/1 (2014).</w:t>
      </w:r>
    </w:p>
  </w:endnote>
  <w:endnote w:id="371">
    <w:p w14:paraId="2A34A084" w14:textId="1BDF074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 xml:space="preserve">Observación General </w:t>
      </w:r>
      <w:r w:rsidRPr="00AC72B5">
        <w:rPr>
          <w:i/>
          <w:w w:val="98"/>
          <w:lang w:val="es-CO"/>
        </w:rPr>
        <w:t>Núm.</w:t>
      </w:r>
      <w:r w:rsidRPr="00AC72B5">
        <w:rPr>
          <w:i/>
          <w:w w:val="98"/>
        </w:rPr>
        <w:t xml:space="preserve"> 1: Artículo 12: Igual reconocimiento como persona ante la Ley</w:t>
      </w:r>
      <w:r w:rsidRPr="00AC72B5">
        <w:rPr>
          <w:w w:val="98"/>
        </w:rPr>
        <w:t>, ¶ 42, Doc. ONU CRPD/C/GC/1 (2014).</w:t>
      </w:r>
    </w:p>
  </w:endnote>
  <w:endnote w:id="372">
    <w:p w14:paraId="50B45CA4" w14:textId="77DA060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 xml:space="preserve">Observación General </w:t>
      </w:r>
      <w:r w:rsidRPr="00AC72B5">
        <w:rPr>
          <w:i/>
          <w:w w:val="98"/>
          <w:lang w:val="es-CO"/>
        </w:rPr>
        <w:t>Núm.</w:t>
      </w:r>
      <w:r w:rsidRPr="00AC72B5">
        <w:rPr>
          <w:i/>
          <w:w w:val="98"/>
        </w:rPr>
        <w:t xml:space="preserve"> 1: Artículo 12: Igual reconocimiento como persona ante la Ley</w:t>
      </w:r>
      <w:r w:rsidRPr="00AC72B5">
        <w:rPr>
          <w:w w:val="98"/>
        </w:rPr>
        <w:t>, ¶ 16, Doc. ONU CRPD/C/GC/1 (2014).</w:t>
      </w:r>
    </w:p>
  </w:endnote>
  <w:endnote w:id="373">
    <w:p w14:paraId="61B6EA4D" w14:textId="1228232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 xml:space="preserve">Observación General </w:t>
      </w:r>
      <w:r w:rsidRPr="00AC72B5">
        <w:rPr>
          <w:i/>
          <w:w w:val="98"/>
          <w:lang w:val="es-CO"/>
        </w:rPr>
        <w:t>Núm.</w:t>
      </w:r>
      <w:r w:rsidRPr="00AC72B5">
        <w:rPr>
          <w:i/>
          <w:w w:val="98"/>
        </w:rPr>
        <w:t xml:space="preserve"> 1: Artículo 12: Igual reconocimiento como persona ante la Ley</w:t>
      </w:r>
      <w:r w:rsidRPr="00AC72B5">
        <w:rPr>
          <w:w w:val="98"/>
        </w:rPr>
        <w:t>, ¶ 17, Doc. ONU CRPD/C/GC/1 (2014).</w:t>
      </w:r>
    </w:p>
  </w:endnote>
  <w:endnote w:id="374">
    <w:p w14:paraId="321ECAA0" w14:textId="6B08D9E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 xml:space="preserve">Observación General </w:t>
      </w:r>
      <w:r w:rsidRPr="00AC72B5">
        <w:rPr>
          <w:i/>
          <w:w w:val="98"/>
          <w:lang w:val="es-CO"/>
        </w:rPr>
        <w:t>Núm.</w:t>
      </w:r>
      <w:r w:rsidRPr="00AC72B5">
        <w:rPr>
          <w:i/>
          <w:w w:val="98"/>
        </w:rPr>
        <w:t xml:space="preserve"> 2: Artículo 9: Accesibilidad</w:t>
      </w:r>
      <w:r w:rsidRPr="00AC72B5">
        <w:rPr>
          <w:w w:val="98"/>
        </w:rPr>
        <w:t>, ¶ 13, Doc. ONU CRPD/C/GC/2 (2014).</w:t>
      </w:r>
    </w:p>
  </w:endnote>
  <w:endnote w:id="375">
    <w:p w14:paraId="62502FAB" w14:textId="7A061C2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 xml:space="preserve">Observación General </w:t>
      </w:r>
      <w:r w:rsidRPr="00AC72B5">
        <w:rPr>
          <w:i/>
          <w:w w:val="98"/>
          <w:lang w:val="es-CO"/>
        </w:rPr>
        <w:t>Núm.</w:t>
      </w:r>
      <w:r w:rsidRPr="00AC72B5">
        <w:rPr>
          <w:i/>
          <w:w w:val="98"/>
        </w:rPr>
        <w:t>2: Artículo 9: Accesibilidad</w:t>
      </w:r>
      <w:r w:rsidRPr="00AC72B5">
        <w:rPr>
          <w:w w:val="98"/>
        </w:rPr>
        <w:t>, ¶ 40, Doc. ONU CRPD/C/GC/2 (2014).</w:t>
      </w:r>
    </w:p>
  </w:endnote>
  <w:endnote w:id="376">
    <w:p w14:paraId="3941A144" w14:textId="46EA7C0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 xml:space="preserve">Observación General </w:t>
      </w:r>
      <w:r w:rsidRPr="00AC72B5">
        <w:rPr>
          <w:i/>
          <w:w w:val="98"/>
          <w:lang w:val="es-CO"/>
        </w:rPr>
        <w:t>Núm.</w:t>
      </w:r>
      <w:r w:rsidRPr="00AC72B5">
        <w:rPr>
          <w:i/>
          <w:w w:val="98"/>
        </w:rPr>
        <w:t xml:space="preserve"> 2: Artículo 9: Accesibilidad</w:t>
      </w:r>
      <w:r w:rsidRPr="00AC72B5">
        <w:rPr>
          <w:w w:val="98"/>
        </w:rPr>
        <w:t>, ¶ 40, Doc. ONU CRPD/C/GC/2 (2014).</w:t>
      </w:r>
    </w:p>
  </w:endnote>
  <w:endnote w:id="377">
    <w:p w14:paraId="761254E3" w14:textId="56821F8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 xml:space="preserve">Observación General </w:t>
      </w:r>
      <w:r w:rsidRPr="00AC72B5">
        <w:rPr>
          <w:i/>
          <w:w w:val="98"/>
          <w:lang w:val="es-CO"/>
        </w:rPr>
        <w:t>Núm.</w:t>
      </w:r>
      <w:r w:rsidRPr="00AC72B5">
        <w:rPr>
          <w:i/>
          <w:w w:val="98"/>
        </w:rPr>
        <w:t xml:space="preserve"> 3: Artículo 6: sobre las Mujeres y Niñas con Discapacidad</w:t>
      </w:r>
      <w:r w:rsidRPr="00AC72B5">
        <w:rPr>
          <w:w w:val="98"/>
        </w:rPr>
        <w:t>, ¶¶ 38-54, Doc. ONU CRPD/C/GC/3 (2016).</w:t>
      </w:r>
    </w:p>
  </w:endnote>
  <w:endnote w:id="378">
    <w:p w14:paraId="2A8E606C" w14:textId="7A71A0F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 xml:space="preserve">Observación General </w:t>
      </w:r>
      <w:r w:rsidRPr="00AC72B5">
        <w:rPr>
          <w:i/>
          <w:w w:val="98"/>
          <w:lang w:val="es-CO"/>
        </w:rPr>
        <w:t>Núm.</w:t>
      </w:r>
      <w:r w:rsidRPr="00AC72B5">
        <w:rPr>
          <w:i/>
          <w:w w:val="98"/>
        </w:rPr>
        <w:t xml:space="preserve"> 3: Artículo 6: Mujeres y Niñas con Discapacidad</w:t>
      </w:r>
      <w:r w:rsidRPr="00AC72B5">
        <w:rPr>
          <w:w w:val="98"/>
        </w:rPr>
        <w:t>, ¶¶ 38-39, Doc. ONU CRPD/C/GC/3 (2016).</w:t>
      </w:r>
    </w:p>
  </w:endnote>
  <w:endnote w:id="379">
    <w:p w14:paraId="71704AAC" w14:textId="1057E2C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 xml:space="preserve">Observación General </w:t>
      </w:r>
      <w:r w:rsidRPr="00AC72B5">
        <w:rPr>
          <w:i/>
          <w:w w:val="98"/>
          <w:lang w:val="es-CO"/>
        </w:rPr>
        <w:t>Núm.</w:t>
      </w:r>
      <w:r w:rsidRPr="00AC72B5">
        <w:rPr>
          <w:i/>
          <w:w w:val="98"/>
        </w:rPr>
        <w:t xml:space="preserve"> 3: Artículo 6: Mujeres y Niñas con Discapacidad</w:t>
      </w:r>
      <w:r w:rsidRPr="00AC72B5">
        <w:rPr>
          <w:w w:val="98"/>
        </w:rPr>
        <w:t>, ¶ 40, Doc. ONU CRPD/C/GC/3 (2016).</w:t>
      </w:r>
    </w:p>
  </w:endnote>
  <w:endnote w:id="380">
    <w:p w14:paraId="7EC53FF0" w14:textId="2A113CA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 xml:space="preserve">Observación General </w:t>
      </w:r>
      <w:r w:rsidRPr="00AC72B5">
        <w:rPr>
          <w:i/>
          <w:w w:val="98"/>
          <w:lang w:val="es-CO"/>
        </w:rPr>
        <w:t>Núm.</w:t>
      </w:r>
      <w:r w:rsidRPr="00AC72B5">
        <w:rPr>
          <w:i/>
          <w:w w:val="98"/>
        </w:rPr>
        <w:t xml:space="preserve"> 3: Artículo 6: Mujeres y Niñas con Discapacidad</w:t>
      </w:r>
      <w:r w:rsidRPr="00AC72B5">
        <w:rPr>
          <w:w w:val="98"/>
        </w:rPr>
        <w:t>, ¶ 41, Doc. ONU CRPD/C/GC/3 (2016).</w:t>
      </w:r>
    </w:p>
  </w:endnote>
  <w:endnote w:id="381">
    <w:p w14:paraId="002F3B31" w14:textId="3F912D5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 xml:space="preserve">Observación General </w:t>
      </w:r>
      <w:r w:rsidRPr="00AC72B5">
        <w:rPr>
          <w:i/>
          <w:w w:val="98"/>
          <w:lang w:val="es-CO"/>
        </w:rPr>
        <w:t>Núm.</w:t>
      </w:r>
      <w:r w:rsidRPr="00AC72B5">
        <w:rPr>
          <w:i/>
          <w:w w:val="98"/>
        </w:rPr>
        <w:t xml:space="preserve"> 3: Artículo 6: Mujeres y Niñas con Discapacidad</w:t>
      </w:r>
      <w:r w:rsidRPr="00AC72B5">
        <w:rPr>
          <w:w w:val="98"/>
        </w:rPr>
        <w:t>, ¶ 43, Doc. ONU CRPD/C/GC/3 (2016).</w:t>
      </w:r>
    </w:p>
  </w:endnote>
  <w:endnote w:id="382">
    <w:p w14:paraId="38CF1812" w14:textId="44A888E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 xml:space="preserve">Observación General </w:t>
      </w:r>
      <w:r w:rsidRPr="00AC72B5">
        <w:rPr>
          <w:i/>
          <w:w w:val="98"/>
          <w:lang w:val="es-CO"/>
        </w:rPr>
        <w:t>Núm.</w:t>
      </w:r>
      <w:r w:rsidRPr="00AC72B5">
        <w:rPr>
          <w:i/>
          <w:w w:val="98"/>
        </w:rPr>
        <w:t xml:space="preserve"> 3: Artículo 6: Mujeres y Niñas con Discapacidad</w:t>
      </w:r>
      <w:r w:rsidRPr="00AC72B5">
        <w:rPr>
          <w:w w:val="98"/>
        </w:rPr>
        <w:t>, ¶¶ 44 y 51, Doc. ONU CRPD/C/GC/3 (2016).</w:t>
      </w:r>
    </w:p>
  </w:endnote>
  <w:endnote w:id="383">
    <w:p w14:paraId="7BDB3BFC" w14:textId="3B0079C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 xml:space="preserve">Observación General </w:t>
      </w:r>
      <w:r w:rsidRPr="00AC72B5">
        <w:rPr>
          <w:i/>
          <w:w w:val="98"/>
          <w:lang w:val="es-CO"/>
        </w:rPr>
        <w:t>Núm.</w:t>
      </w:r>
      <w:r w:rsidRPr="00AC72B5">
        <w:rPr>
          <w:i/>
          <w:w w:val="98"/>
        </w:rPr>
        <w:t xml:space="preserve"> 3: Artículo 6: Mujeres y Niñas con Discapacidad</w:t>
      </w:r>
      <w:r w:rsidRPr="00AC72B5">
        <w:rPr>
          <w:w w:val="98"/>
        </w:rPr>
        <w:t>, ¶ 62(a)(i),</w:t>
      </w:r>
      <w:r>
        <w:rPr>
          <w:w w:val="98"/>
        </w:rPr>
        <w:t xml:space="preserve"> </w:t>
      </w:r>
      <w:r w:rsidRPr="00AC72B5">
        <w:rPr>
          <w:w w:val="98"/>
        </w:rPr>
        <w:t>Doc. ONU CRPD/C/GC/3 (2016).</w:t>
      </w:r>
    </w:p>
  </w:endnote>
  <w:endnote w:id="384">
    <w:p w14:paraId="1099E08A" w14:textId="6E48724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w:t>
      </w:r>
      <w:r>
        <w:rPr>
          <w:w w:val="98"/>
        </w:rPr>
        <w:t xml:space="preserve"> </w:t>
      </w:r>
      <w:r w:rsidRPr="00AC72B5">
        <w:rPr>
          <w:w w:val="98"/>
        </w:rPr>
        <w:t xml:space="preserve">CDPD, </w:t>
      </w:r>
      <w:r w:rsidRPr="00AC72B5">
        <w:rPr>
          <w:i/>
          <w:w w:val="98"/>
        </w:rPr>
        <w:t>Observación General Núm. 4: Artículo 24: Derecho a la Educación Inclusiva</w:t>
      </w:r>
      <w:r w:rsidRPr="00AC72B5">
        <w:rPr>
          <w:w w:val="98"/>
        </w:rPr>
        <w:t>, ¶ 17, Doc. ONU CRPD/C/GC/4 (2016).</w:t>
      </w:r>
    </w:p>
  </w:endnote>
  <w:endnote w:id="385">
    <w:p w14:paraId="7A47BB89" w14:textId="075A2BA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Observación General Núm. 4: Artículo 24: Derecho a la Educación Inclusiva</w:t>
      </w:r>
      <w:r w:rsidRPr="00AC72B5">
        <w:rPr>
          <w:w w:val="98"/>
        </w:rPr>
        <w:t>, ¶ 48, Doc. ONU CRPD/C/GC/4 (2016).</w:t>
      </w:r>
    </w:p>
  </w:endnote>
  <w:endnote w:id="386">
    <w:p w14:paraId="2CF279D2" w14:textId="2DEEA40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Observación General Núm. 4: Artículo 24: Derecho a la Educación Inclusiva</w:t>
      </w:r>
      <w:r w:rsidRPr="00AC72B5">
        <w:rPr>
          <w:w w:val="98"/>
        </w:rPr>
        <w:t>, ¶ 52, Doc. ONU CRPD/C/GC/4 (2016).</w:t>
      </w:r>
    </w:p>
  </w:endnote>
  <w:endnote w:id="387">
    <w:p w14:paraId="6D383B49" w14:textId="7B3A983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Observación General Núm. 4: Artículo 24: Derecho a la Educación Inclusiva</w:t>
      </w:r>
      <w:r w:rsidRPr="00AC72B5">
        <w:rPr>
          <w:w w:val="98"/>
        </w:rPr>
        <w:t>, ¶ 52, Doc. ONU CRPD/C/GC/4 (2016).</w:t>
      </w:r>
    </w:p>
  </w:endnote>
  <w:endnote w:id="388">
    <w:p w14:paraId="333E41CE" w14:textId="2BF7811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Observación General Núm. 5: Artículo 19:</w:t>
      </w:r>
      <w:r>
        <w:rPr>
          <w:i/>
          <w:w w:val="98"/>
        </w:rPr>
        <w:t xml:space="preserve"> </w:t>
      </w:r>
      <w:r w:rsidRPr="00AC72B5">
        <w:rPr>
          <w:i/>
          <w:w w:val="98"/>
        </w:rPr>
        <w:t>Independencia e Inclusión en la Comunidad</w:t>
      </w:r>
      <w:r w:rsidRPr="00AC72B5">
        <w:rPr>
          <w:w w:val="98"/>
        </w:rPr>
        <w:t>, ¶</w:t>
      </w:r>
      <w:r>
        <w:rPr>
          <w:w w:val="98"/>
        </w:rPr>
        <w:t xml:space="preserve"> </w:t>
      </w:r>
      <w:r w:rsidRPr="00AC72B5">
        <w:rPr>
          <w:w w:val="98"/>
        </w:rPr>
        <w:t>16, (a),</w:t>
      </w:r>
      <w:r>
        <w:rPr>
          <w:w w:val="98"/>
        </w:rPr>
        <w:t xml:space="preserve"> </w:t>
      </w:r>
      <w:r w:rsidRPr="00AC72B5">
        <w:rPr>
          <w:w w:val="98"/>
        </w:rPr>
        <w:t>Doc. ONU CRPD/C/GC/5 (2017) (versión preliminar sin editar).</w:t>
      </w:r>
    </w:p>
  </w:endnote>
  <w:endnote w:id="389">
    <w:p w14:paraId="766F40C4" w14:textId="6561500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Observación General Núm.</w:t>
      </w:r>
      <w:r>
        <w:rPr>
          <w:i/>
          <w:w w:val="98"/>
        </w:rPr>
        <w:t xml:space="preserve"> </w:t>
      </w:r>
      <w:r w:rsidRPr="00AC72B5">
        <w:rPr>
          <w:i/>
          <w:w w:val="98"/>
        </w:rPr>
        <w:t>5 Artículo 19: Independencia e Inclusión en la Comunidad</w:t>
      </w:r>
      <w:r w:rsidRPr="00AC72B5">
        <w:rPr>
          <w:w w:val="98"/>
        </w:rPr>
        <w:t>, ¶ 84, Doc. ONU CRPD/C/GC/5 (2017) (versión preliminar sin editar).</w:t>
      </w:r>
    </w:p>
  </w:endnote>
  <w:endnote w:id="390">
    <w:p w14:paraId="2514A39A" w14:textId="1358D9D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Observación General Núm.</w:t>
      </w:r>
      <w:r>
        <w:rPr>
          <w:i/>
          <w:w w:val="98"/>
        </w:rPr>
        <w:t xml:space="preserve"> </w:t>
      </w:r>
      <w:r w:rsidRPr="00AC72B5">
        <w:rPr>
          <w:i/>
          <w:w w:val="98"/>
        </w:rPr>
        <w:t>5 Artículo 19: Independencia e Inclusión en la Comunidad</w:t>
      </w:r>
      <w:r w:rsidRPr="00AC72B5">
        <w:rPr>
          <w:w w:val="98"/>
        </w:rPr>
        <w:t>, ¶ 84, Doc. ONU CRPD/C/GC/5 (2017) (versión preliminar sin editar).</w:t>
      </w:r>
    </w:p>
  </w:endnote>
  <w:endnote w:id="391">
    <w:p w14:paraId="00A51499" w14:textId="2F8ABFB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Emiratos Árabes Unidos</w:t>
      </w:r>
      <w:r w:rsidRPr="00AC72B5">
        <w:rPr>
          <w:w w:val="98"/>
        </w:rPr>
        <w:t xml:space="preserve">, ¶ 45, Doc. ONU CRPD/C/ARE/CO/1 (2016); </w:t>
      </w:r>
      <w:r w:rsidRPr="00AC72B5">
        <w:rPr>
          <w:i/>
          <w:w w:val="98"/>
        </w:rPr>
        <w:t>Colombia</w:t>
      </w:r>
      <w:r w:rsidRPr="00AC72B5">
        <w:rPr>
          <w:w w:val="98"/>
        </w:rPr>
        <w:t xml:space="preserve">, ¶ 56, Doc. ONU CRPD/C/COL/CO/1 (2016); </w:t>
      </w:r>
      <w:r w:rsidRPr="00AC72B5">
        <w:rPr>
          <w:i/>
          <w:w w:val="98"/>
        </w:rPr>
        <w:t>Uganda</w:t>
      </w:r>
      <w:r w:rsidRPr="00AC72B5">
        <w:rPr>
          <w:w w:val="98"/>
        </w:rPr>
        <w:t xml:space="preserve">, ¶ 50, Doc. ONU CRPD/C/UGA/CO/1 (2016); </w:t>
      </w:r>
      <w:r w:rsidRPr="00AC72B5">
        <w:rPr>
          <w:i/>
          <w:w w:val="98"/>
        </w:rPr>
        <w:t>Serbia</w:t>
      </w:r>
      <w:r w:rsidRPr="00AC72B5">
        <w:rPr>
          <w:w w:val="98"/>
        </w:rPr>
        <w:t xml:space="preserve">, ¶ 51, Doc. ONU CRPD/C/SRB/CO/1 (2016); </w:t>
      </w:r>
      <w:r w:rsidRPr="00AC72B5">
        <w:rPr>
          <w:i/>
          <w:w w:val="98"/>
        </w:rPr>
        <w:t>Qatar</w:t>
      </w:r>
      <w:r w:rsidRPr="00AC72B5">
        <w:rPr>
          <w:w w:val="98"/>
        </w:rPr>
        <w:t xml:space="preserve">, ¶ 45, Doc. ONU CRPD/C/QAT/CO/1 (2015); </w:t>
      </w:r>
      <w:r w:rsidRPr="00AC72B5">
        <w:rPr>
          <w:i/>
          <w:w w:val="98"/>
        </w:rPr>
        <w:t>Ucrania</w:t>
      </w:r>
      <w:r w:rsidRPr="00AC72B5">
        <w:rPr>
          <w:w w:val="98"/>
        </w:rPr>
        <w:t xml:space="preserve">, ¶ 46, Doc. ONU CRPD/C/UKR/CO/1 (2015); </w:t>
      </w:r>
      <w:r w:rsidRPr="00AC72B5">
        <w:rPr>
          <w:i/>
          <w:w w:val="98"/>
        </w:rPr>
        <w:t>Nueva Zelanda</w:t>
      </w:r>
      <w:r w:rsidRPr="00AC72B5">
        <w:rPr>
          <w:w w:val="98"/>
        </w:rPr>
        <w:t xml:space="preserve">, ¶ 51, Doc. ONU CRPD/C/NZL/CO/1 (2014); </w:t>
      </w:r>
      <w:r w:rsidRPr="00AC72B5">
        <w:rPr>
          <w:i/>
          <w:w w:val="98"/>
        </w:rPr>
        <w:t>México</w:t>
      </w:r>
      <w:r w:rsidRPr="00AC72B5">
        <w:rPr>
          <w:w w:val="98"/>
        </w:rPr>
        <w:t>, ¶ 49, Doc. ONU CRPD/C/MEX/CO/1 (2014).</w:t>
      </w:r>
    </w:p>
  </w:endnote>
  <w:endnote w:id="392">
    <w:p w14:paraId="3629688E" w14:textId="5A4ACAC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Italia</w:t>
      </w:r>
      <w:r w:rsidRPr="00AC72B5">
        <w:rPr>
          <w:w w:val="98"/>
        </w:rPr>
        <w:t>, ¶ 61, Doc. ONU CRPD/C/ITA/CO/1 (2016).</w:t>
      </w:r>
    </w:p>
  </w:endnote>
  <w:endnote w:id="393">
    <w:p w14:paraId="41D23420" w14:textId="0FC1462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Etiopía</w:t>
      </w:r>
      <w:r w:rsidRPr="00AC72B5">
        <w:rPr>
          <w:w w:val="98"/>
        </w:rPr>
        <w:t xml:space="preserve">, ¶ 55, Doc. ONU CRPD/C/ETH/CO/1 (2016); </w:t>
      </w:r>
      <w:r w:rsidRPr="00AC72B5">
        <w:rPr>
          <w:i/>
          <w:w w:val="98"/>
        </w:rPr>
        <w:t>Colombia</w:t>
      </w:r>
      <w:r w:rsidRPr="00AC72B5">
        <w:rPr>
          <w:w w:val="98"/>
        </w:rPr>
        <w:t xml:space="preserve">, ¶ 56, Doc. ONU CRPD/C/COL/CO/1 (2016); </w:t>
      </w:r>
      <w:r w:rsidRPr="00AC72B5">
        <w:rPr>
          <w:i/>
          <w:w w:val="98"/>
        </w:rPr>
        <w:t>Mongolia</w:t>
      </w:r>
      <w:r w:rsidRPr="00AC72B5">
        <w:rPr>
          <w:w w:val="98"/>
        </w:rPr>
        <w:t xml:space="preserve">, ¶ 38, Doc. ONU CRPD/C/MNG/CO/1 (2015); </w:t>
      </w:r>
      <w:r w:rsidRPr="00AC72B5">
        <w:rPr>
          <w:i/>
          <w:w w:val="98"/>
        </w:rPr>
        <w:t>Kenia</w:t>
      </w:r>
      <w:r w:rsidRPr="00AC72B5">
        <w:rPr>
          <w:w w:val="98"/>
        </w:rPr>
        <w:t>, ¶ 45, Doc. ONU CRPD/C/KEN/CO/1 (2015).</w:t>
      </w:r>
    </w:p>
  </w:endnote>
  <w:endnote w:id="394">
    <w:p w14:paraId="60240CFD" w14:textId="7E2832A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Portugal</w:t>
      </w:r>
      <w:r w:rsidRPr="00AC72B5">
        <w:rPr>
          <w:w w:val="98"/>
        </w:rPr>
        <w:t>, ¶ 49, Doc. ONU CRPD/C/PRT/CO/1 (2016).</w:t>
      </w:r>
    </w:p>
  </w:endnote>
  <w:endnote w:id="395">
    <w:p w14:paraId="3BA19ED2" w14:textId="7D489A6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Portugal</w:t>
      </w:r>
      <w:r w:rsidRPr="00AC72B5">
        <w:rPr>
          <w:w w:val="98"/>
        </w:rPr>
        <w:t xml:space="preserve">, ¶ 49, Doc. ONU CRPD/C/PRT/CO/1 (2016); </w:t>
      </w:r>
      <w:r w:rsidRPr="00AC72B5">
        <w:rPr>
          <w:i/>
          <w:w w:val="98"/>
        </w:rPr>
        <w:t>Costa Rica</w:t>
      </w:r>
      <w:r w:rsidRPr="00AC72B5">
        <w:rPr>
          <w:w w:val="98"/>
        </w:rPr>
        <w:t xml:space="preserve">, ¶ 49, Doc. ONU CRPD/C/CRI/CO/1 (2014); </w:t>
      </w:r>
      <w:r w:rsidRPr="00AC72B5">
        <w:rPr>
          <w:i/>
          <w:w w:val="98"/>
        </w:rPr>
        <w:t>Argentina</w:t>
      </w:r>
      <w:r w:rsidRPr="00AC72B5">
        <w:rPr>
          <w:w w:val="98"/>
        </w:rPr>
        <w:t>, ¶ 13, Doc. ONU CRPD/C/ARG/CO/1 (2012).</w:t>
      </w:r>
    </w:p>
  </w:endnote>
  <w:endnote w:id="396">
    <w:p w14:paraId="77500A91" w14:textId="34B5C1F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Islas Cook</w:t>
      </w:r>
      <w:r w:rsidRPr="00AC72B5">
        <w:rPr>
          <w:w w:val="98"/>
        </w:rPr>
        <w:t xml:space="preserve">, ¶ 45, Doc. ONU CRPD/C/COK/CO/1 (2015); </w:t>
      </w:r>
      <w:r w:rsidRPr="00AC72B5">
        <w:rPr>
          <w:i/>
          <w:w w:val="98"/>
        </w:rPr>
        <w:t>Brasil</w:t>
      </w:r>
      <w:r w:rsidRPr="00AC72B5">
        <w:rPr>
          <w:w w:val="98"/>
        </w:rPr>
        <w:t>, ¶ 46, Doc. ONU CRPD/C/BRA/CO/1 (2015).</w:t>
      </w:r>
    </w:p>
  </w:endnote>
  <w:endnote w:id="397">
    <w:p w14:paraId="6B3B7916" w14:textId="3A9D393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w:t>
      </w:r>
      <w:r>
        <w:rPr>
          <w:w w:val="98"/>
        </w:rPr>
        <w:t xml:space="preserve"> </w:t>
      </w:r>
      <w:r w:rsidRPr="00AC72B5">
        <w:rPr>
          <w:i/>
          <w:w w:val="98"/>
        </w:rPr>
        <w:t>Observaciones Finales: Italia</w:t>
      </w:r>
      <w:r w:rsidRPr="00AC72B5">
        <w:rPr>
          <w:w w:val="98"/>
        </w:rPr>
        <w:t xml:space="preserve">, ¶ 62, Doc. ONU CRPD/C/ITA/CO/1 (2016); </w:t>
      </w:r>
      <w:r w:rsidRPr="00AC72B5">
        <w:rPr>
          <w:i/>
          <w:w w:val="98"/>
        </w:rPr>
        <w:t>Colombia</w:t>
      </w:r>
      <w:r w:rsidRPr="00AC72B5">
        <w:rPr>
          <w:w w:val="98"/>
        </w:rPr>
        <w:t xml:space="preserve">, ¶ 57, Doc. ONU CRPD/C/COL/CO/1 (2016); </w:t>
      </w:r>
      <w:r w:rsidRPr="00AC72B5">
        <w:rPr>
          <w:i/>
          <w:w w:val="98"/>
        </w:rPr>
        <w:t>Uganda</w:t>
      </w:r>
      <w:r w:rsidRPr="00AC72B5">
        <w:rPr>
          <w:w w:val="98"/>
        </w:rPr>
        <w:t xml:space="preserve">, ¶ 51, Doc. ONU CRPD/C/UGA/CO/1 (2016); </w:t>
      </w:r>
      <w:r w:rsidRPr="00AC72B5">
        <w:rPr>
          <w:i/>
          <w:w w:val="98"/>
        </w:rPr>
        <w:t>Eslovaquia</w:t>
      </w:r>
      <w:r w:rsidRPr="00AC72B5">
        <w:rPr>
          <w:w w:val="98"/>
        </w:rPr>
        <w:t xml:space="preserve">, ¶ 70, Doc. ONU CRPD/C/SVK/CO/1 (2016); </w:t>
      </w:r>
      <w:r w:rsidRPr="00AC72B5">
        <w:rPr>
          <w:i/>
          <w:w w:val="98"/>
        </w:rPr>
        <w:t>Chile</w:t>
      </w:r>
      <w:r w:rsidRPr="00AC72B5">
        <w:rPr>
          <w:w w:val="98"/>
        </w:rPr>
        <w:t xml:space="preserve">, ¶ 52, Doc. ONU CRPD/C/CHL/CO/1 (2016); </w:t>
      </w:r>
      <w:r w:rsidRPr="00AC72B5">
        <w:rPr>
          <w:i/>
          <w:w w:val="98"/>
        </w:rPr>
        <w:t>El Salvador</w:t>
      </w:r>
      <w:r w:rsidRPr="00AC72B5">
        <w:rPr>
          <w:w w:val="98"/>
        </w:rPr>
        <w:t>, ¶ 52, Doc. ONU CRPD/C/SLV/CO/1 (2013).</w:t>
      </w:r>
    </w:p>
  </w:endnote>
  <w:endnote w:id="398">
    <w:p w14:paraId="0635E5C2" w14:textId="1EFD744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Kenia</w:t>
      </w:r>
      <w:r w:rsidRPr="00AC72B5">
        <w:rPr>
          <w:w w:val="98"/>
        </w:rPr>
        <w:t xml:space="preserve">, ¶ 46, Doc. ONU CRPD/C/KEN/CO/1 (2015); </w:t>
      </w:r>
      <w:r w:rsidRPr="00AC72B5">
        <w:rPr>
          <w:i/>
          <w:w w:val="98"/>
        </w:rPr>
        <w:t>Costa Rica</w:t>
      </w:r>
      <w:r w:rsidRPr="00AC72B5">
        <w:rPr>
          <w:w w:val="98"/>
        </w:rPr>
        <w:t xml:space="preserve">, ¶ 50, Doc. ONU CRPD/C/CRI/CO/1 (2014); </w:t>
      </w:r>
      <w:r w:rsidRPr="00AC72B5">
        <w:rPr>
          <w:i/>
          <w:w w:val="98"/>
        </w:rPr>
        <w:t>Paraguay</w:t>
      </w:r>
      <w:r w:rsidRPr="00AC72B5">
        <w:rPr>
          <w:w w:val="98"/>
        </w:rPr>
        <w:t>, ¶ 60, Doc. ONU CRPD/C/PRY/CO/1 (2013).</w:t>
      </w:r>
    </w:p>
  </w:endnote>
  <w:endnote w:id="399">
    <w:p w14:paraId="3D2F5FCA" w14:textId="79DFDC5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Italia</w:t>
      </w:r>
      <w:r w:rsidRPr="00AC72B5">
        <w:rPr>
          <w:w w:val="98"/>
        </w:rPr>
        <w:t>, ¶ 62, Doc. ONU CRPD/C/ITA/CO/1 (2016).</w:t>
      </w:r>
    </w:p>
  </w:endnote>
  <w:endnote w:id="400">
    <w:p w14:paraId="07245B54" w14:textId="7031CD9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El Salvador</w:t>
      </w:r>
      <w:r w:rsidRPr="00AC72B5">
        <w:rPr>
          <w:w w:val="98"/>
        </w:rPr>
        <w:t>, ¶ 51, Doc. ONU CRPD/C/SLV/CO/1 (2013).</w:t>
      </w:r>
    </w:p>
  </w:endnote>
  <w:endnote w:id="401">
    <w:p w14:paraId="2E6C419C" w14:textId="645DF24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Emiratos Árabes Unidos</w:t>
      </w:r>
      <w:r w:rsidRPr="00AC72B5">
        <w:rPr>
          <w:w w:val="98"/>
        </w:rPr>
        <w:t>, ¶ 46, Doc. ONU CRPD/C/ARE/CO/1 (2016).</w:t>
      </w:r>
    </w:p>
  </w:endnote>
  <w:endnote w:id="402">
    <w:p w14:paraId="2B964DEB" w14:textId="292CB48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w:t>
      </w:r>
      <w:r>
        <w:rPr>
          <w:w w:val="98"/>
        </w:rPr>
        <w:t xml:space="preserve"> </w:t>
      </w:r>
      <w:r w:rsidRPr="00AC72B5">
        <w:rPr>
          <w:i/>
          <w:w w:val="98"/>
        </w:rPr>
        <w:t>Observaciones Finales: Italia</w:t>
      </w:r>
      <w:r w:rsidRPr="00AC72B5">
        <w:rPr>
          <w:w w:val="98"/>
        </w:rPr>
        <w:t xml:space="preserve">, ¶ 62, Doc. ONU CRPD/C/ITA/CO/1 (2016); </w:t>
      </w:r>
      <w:r w:rsidRPr="00AC72B5">
        <w:rPr>
          <w:i/>
          <w:w w:val="98"/>
        </w:rPr>
        <w:t>Uganda</w:t>
      </w:r>
      <w:r w:rsidRPr="00AC72B5">
        <w:rPr>
          <w:w w:val="98"/>
        </w:rPr>
        <w:t xml:space="preserve">, ¶ 51, Doc. ONU CRPD/C/UGA/CO/1 (2016); </w:t>
      </w:r>
      <w:r w:rsidRPr="00AC72B5">
        <w:rPr>
          <w:i/>
          <w:w w:val="98"/>
        </w:rPr>
        <w:t>Eslovaquia</w:t>
      </w:r>
      <w:r w:rsidRPr="00AC72B5">
        <w:rPr>
          <w:w w:val="98"/>
        </w:rPr>
        <w:t xml:space="preserve">, ¶ 70, Doc. ONU CRPD/C/SVK/CO/1 (2016); </w:t>
      </w:r>
      <w:r w:rsidRPr="00AC72B5">
        <w:rPr>
          <w:i/>
          <w:w w:val="98"/>
        </w:rPr>
        <w:t>Portugal</w:t>
      </w:r>
      <w:r w:rsidRPr="00AC72B5">
        <w:rPr>
          <w:w w:val="98"/>
        </w:rPr>
        <w:t xml:space="preserve">, ¶ 50, Doc. ONU CRPD/C/PRT/CO/1 (2016); </w:t>
      </w:r>
      <w:r w:rsidRPr="00AC72B5">
        <w:rPr>
          <w:i/>
          <w:w w:val="98"/>
        </w:rPr>
        <w:t>República Dominicana</w:t>
      </w:r>
      <w:r w:rsidRPr="00AC72B5">
        <w:rPr>
          <w:w w:val="98"/>
        </w:rPr>
        <w:t xml:space="preserve">, ¶ 47, Doc. ONU CRPD/C/DOM/CO/1 (2015); </w:t>
      </w:r>
      <w:r w:rsidRPr="00AC72B5">
        <w:rPr>
          <w:i/>
          <w:w w:val="98"/>
        </w:rPr>
        <w:t>Brasil</w:t>
      </w:r>
      <w:r w:rsidRPr="00AC72B5">
        <w:rPr>
          <w:w w:val="98"/>
        </w:rPr>
        <w:t>, ¶ 47, Doc. ONU CRPD/C/BRA/CO/1 (2015).</w:t>
      </w:r>
    </w:p>
  </w:endnote>
  <w:endnote w:id="403">
    <w:p w14:paraId="52484991" w14:textId="48BE916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Islas Cook</w:t>
      </w:r>
      <w:r w:rsidRPr="00AC72B5">
        <w:rPr>
          <w:w w:val="98"/>
        </w:rPr>
        <w:t>, ¶ 46, Doc. ONU CRPD/C/COK/CO/1 (2015).</w:t>
      </w:r>
    </w:p>
  </w:endnote>
  <w:endnote w:id="404">
    <w:p w14:paraId="5A7B42E7" w14:textId="1FB00F6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Uganda</w:t>
      </w:r>
      <w:r w:rsidRPr="00AC72B5">
        <w:rPr>
          <w:w w:val="98"/>
        </w:rPr>
        <w:t>, ¶ 51, Doc. ONU CRPD/C/UGA/CO/1 (2016).</w:t>
      </w:r>
    </w:p>
  </w:endnote>
  <w:endnote w:id="405">
    <w:p w14:paraId="1D3B41D3" w14:textId="2C8EDD3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Mongolia</w:t>
      </w:r>
      <w:r w:rsidRPr="00AC72B5">
        <w:rPr>
          <w:w w:val="98"/>
        </w:rPr>
        <w:t>, ¶ 39, Doc. ONU CRPD/C/MNG/CO/1 (2015).</w:t>
      </w:r>
    </w:p>
  </w:endnote>
  <w:endnote w:id="406">
    <w:p w14:paraId="4DC04218" w14:textId="0AB36E5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w:t>
      </w:r>
      <w:r>
        <w:rPr>
          <w:w w:val="98"/>
        </w:rPr>
        <w:t xml:space="preserve"> </w:t>
      </w:r>
      <w:r w:rsidRPr="00AC72B5">
        <w:rPr>
          <w:i/>
          <w:w w:val="98"/>
        </w:rPr>
        <w:t>Observaciones Finales: Italia</w:t>
      </w:r>
      <w:r w:rsidRPr="00AC72B5">
        <w:rPr>
          <w:w w:val="98"/>
        </w:rPr>
        <w:t xml:space="preserve">, ¶ 61, Doc. ONU CRPD/C/ITA/CO/1 (2016); </w:t>
      </w:r>
      <w:r w:rsidRPr="00AC72B5">
        <w:rPr>
          <w:i/>
          <w:w w:val="98"/>
        </w:rPr>
        <w:t>Uganda</w:t>
      </w:r>
      <w:r w:rsidRPr="00AC72B5">
        <w:rPr>
          <w:w w:val="98"/>
        </w:rPr>
        <w:t xml:space="preserve">, ¶ 46, Doc. ONU CRPD/C/UGA/CO/1 (2016); </w:t>
      </w:r>
      <w:r w:rsidRPr="00AC72B5">
        <w:rPr>
          <w:i/>
          <w:w w:val="98"/>
        </w:rPr>
        <w:t>Eslovaquia</w:t>
      </w:r>
      <w:r w:rsidRPr="00AC72B5">
        <w:rPr>
          <w:w w:val="98"/>
        </w:rPr>
        <w:t xml:space="preserve">, ¶ 69, Doc. ONU CRPD/C/SVK/CO/1 (2016); </w:t>
      </w:r>
      <w:r w:rsidRPr="00AC72B5">
        <w:rPr>
          <w:i/>
          <w:w w:val="98"/>
        </w:rPr>
        <w:t>Chile</w:t>
      </w:r>
      <w:r w:rsidRPr="00AC72B5">
        <w:rPr>
          <w:w w:val="98"/>
        </w:rPr>
        <w:t xml:space="preserve">, ¶ 47, Doc. ONU CRPD/C/CHL/CO/1 (2016); </w:t>
      </w:r>
      <w:r w:rsidRPr="00AC72B5">
        <w:rPr>
          <w:i/>
          <w:w w:val="98"/>
        </w:rPr>
        <w:t>Paraguay</w:t>
      </w:r>
      <w:r w:rsidRPr="00AC72B5">
        <w:rPr>
          <w:w w:val="98"/>
        </w:rPr>
        <w:t xml:space="preserve">, ¶ 59, Doc. ONU CRPD/C/PRY/CO/1 (2013); </w:t>
      </w:r>
      <w:r w:rsidRPr="00AC72B5">
        <w:rPr>
          <w:i/>
          <w:w w:val="98"/>
        </w:rPr>
        <w:t>El Salvador</w:t>
      </w:r>
      <w:r w:rsidRPr="00AC72B5">
        <w:rPr>
          <w:w w:val="98"/>
        </w:rPr>
        <w:t>, ¶ 51, Doc. ONU CRPD/C/SLV/CO/1 (2013).</w:t>
      </w:r>
    </w:p>
  </w:endnote>
  <w:endnote w:id="407">
    <w:p w14:paraId="05165F97" w14:textId="7DC4AC5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Uganda</w:t>
      </w:r>
      <w:r w:rsidRPr="00AC72B5">
        <w:rPr>
          <w:w w:val="98"/>
        </w:rPr>
        <w:t>, ¶ 32, Doc. ONU CRPD/C/UGA/CO/1 (2016).</w:t>
      </w:r>
    </w:p>
  </w:endnote>
  <w:endnote w:id="408">
    <w:p w14:paraId="21F69DF7" w14:textId="548D310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Italia</w:t>
      </w:r>
      <w:r w:rsidRPr="00AC72B5">
        <w:rPr>
          <w:w w:val="98"/>
        </w:rPr>
        <w:t xml:space="preserve">, ¶ 61, Doc. ONU CRPD/C/ITA/CO/1 (2016); </w:t>
      </w:r>
      <w:r w:rsidRPr="00AC72B5">
        <w:rPr>
          <w:i/>
          <w:w w:val="98"/>
        </w:rPr>
        <w:t>Uganda</w:t>
      </w:r>
      <w:r w:rsidRPr="00AC72B5">
        <w:rPr>
          <w:w w:val="98"/>
        </w:rPr>
        <w:t>, ¶ 46, Doc. ONU CRPD/C/UGA/CO/1 (2016).</w:t>
      </w:r>
    </w:p>
  </w:endnote>
  <w:endnote w:id="409">
    <w:p w14:paraId="1D9D9ED3" w14:textId="1C26B9A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Colombia</w:t>
      </w:r>
      <w:r w:rsidRPr="00AC72B5">
        <w:rPr>
          <w:w w:val="98"/>
        </w:rPr>
        <w:t xml:space="preserve">, ¶ 56, Doc. ONU CRPD/C/COL/CO/1 (2016); </w:t>
      </w:r>
      <w:r w:rsidRPr="00AC72B5">
        <w:rPr>
          <w:i/>
          <w:w w:val="98"/>
        </w:rPr>
        <w:t>República Dominicana</w:t>
      </w:r>
      <w:r w:rsidRPr="00AC72B5">
        <w:rPr>
          <w:w w:val="98"/>
        </w:rPr>
        <w:t>, ¶ 46, Doc. ONU CRPD/C/DOM/CO/1 (2015).</w:t>
      </w:r>
    </w:p>
  </w:endnote>
  <w:endnote w:id="410">
    <w:p w14:paraId="01A5A388" w14:textId="4E92143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Italia</w:t>
      </w:r>
      <w:r w:rsidRPr="00AC72B5">
        <w:rPr>
          <w:w w:val="98"/>
        </w:rPr>
        <w:t>, ¶ 62, Doc. ONU CRPD/C/ITA/CO/1 (2016).</w:t>
      </w:r>
    </w:p>
  </w:endnote>
  <w:endnote w:id="411">
    <w:p w14:paraId="484607F5" w14:textId="26E6DD3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Portugal</w:t>
      </w:r>
      <w:r w:rsidRPr="00AC72B5">
        <w:rPr>
          <w:w w:val="98"/>
        </w:rPr>
        <w:t xml:space="preserve">, ¶ 50, Doc. ONU CRPD/C/PRT/CO/1 (2016); </w:t>
      </w:r>
      <w:r w:rsidRPr="00AC72B5">
        <w:rPr>
          <w:i/>
          <w:w w:val="98"/>
        </w:rPr>
        <w:t>véase también</w:t>
      </w:r>
      <w:r w:rsidRPr="00AC72B5">
        <w:rPr>
          <w:w w:val="98"/>
        </w:rPr>
        <w:t xml:space="preserve"> </w:t>
      </w:r>
      <w:r w:rsidRPr="00AC72B5">
        <w:rPr>
          <w:i/>
          <w:w w:val="98"/>
        </w:rPr>
        <w:t>Observaciones Finales: El Salvador</w:t>
      </w:r>
      <w:r w:rsidRPr="00AC72B5">
        <w:rPr>
          <w:w w:val="98"/>
        </w:rPr>
        <w:t>, ¶ 53, Doc. ONU CRPD/C/SLV/CO/1 (2013).</w:t>
      </w:r>
    </w:p>
  </w:endnote>
  <w:endnote w:id="412">
    <w:p w14:paraId="4A825520" w14:textId="622D87F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República Dominicana</w:t>
      </w:r>
      <w:r w:rsidRPr="00AC72B5">
        <w:rPr>
          <w:w w:val="98"/>
        </w:rPr>
        <w:t>,</w:t>
      </w:r>
      <w:r w:rsidRPr="00AC72B5">
        <w:rPr>
          <w:i/>
          <w:w w:val="98"/>
        </w:rPr>
        <w:t xml:space="preserve"> </w:t>
      </w:r>
      <w:r w:rsidRPr="00AC72B5">
        <w:rPr>
          <w:w w:val="98"/>
        </w:rPr>
        <w:t>¶ 43, Doc. ONU CRPD/C/DOM/CO/1 (2015).</w:t>
      </w:r>
    </w:p>
  </w:endnote>
  <w:endnote w:id="413">
    <w:p w14:paraId="30036E8B" w14:textId="0AE7776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Emiratos Árabes Unidos</w:t>
      </w:r>
      <w:r w:rsidRPr="00AC72B5">
        <w:rPr>
          <w:w w:val="98"/>
        </w:rPr>
        <w:t xml:space="preserve">, ¶ 45, Doc. ONU CRPD/C/ARE/CO/1 (2016); </w:t>
      </w:r>
      <w:r w:rsidRPr="00AC72B5">
        <w:rPr>
          <w:i/>
          <w:w w:val="98"/>
        </w:rPr>
        <w:t>Eslovaquia</w:t>
      </w:r>
      <w:r w:rsidRPr="00AC72B5">
        <w:rPr>
          <w:w w:val="98"/>
        </w:rPr>
        <w:t xml:space="preserve">, ¶ 69, Doc. ONU CRPD/C/SVK/CO/1 (2016); </w:t>
      </w:r>
      <w:r w:rsidRPr="00AC72B5">
        <w:rPr>
          <w:i/>
          <w:w w:val="98"/>
        </w:rPr>
        <w:t>Gabón</w:t>
      </w:r>
      <w:r w:rsidRPr="00AC72B5">
        <w:rPr>
          <w:w w:val="98"/>
        </w:rPr>
        <w:t>, ¶ 46, Doc. ONU CRPD/C/GAB/CO/1 (2015).</w:t>
      </w:r>
    </w:p>
  </w:endnote>
  <w:endnote w:id="414">
    <w:p w14:paraId="42600573" w14:textId="709CEAF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Emiratos Árabes Unidos</w:t>
      </w:r>
      <w:r w:rsidRPr="00AC72B5">
        <w:rPr>
          <w:w w:val="98"/>
        </w:rPr>
        <w:t xml:space="preserve">, ¶ 45, Doc. ONU CRPD/C/ARE/CO/1 (2016); </w:t>
      </w:r>
      <w:r w:rsidRPr="00AC72B5">
        <w:rPr>
          <w:i/>
          <w:w w:val="98"/>
        </w:rPr>
        <w:t>Italia</w:t>
      </w:r>
      <w:r w:rsidRPr="00AC72B5">
        <w:rPr>
          <w:w w:val="98"/>
        </w:rPr>
        <w:t xml:space="preserve">, ¶ 63, Doc. ONU CRPD/C/ITA/CO/1 (2016); </w:t>
      </w:r>
      <w:r w:rsidRPr="00AC72B5">
        <w:rPr>
          <w:i/>
          <w:w w:val="98"/>
        </w:rPr>
        <w:t>Etiopía</w:t>
      </w:r>
      <w:r w:rsidRPr="00AC72B5">
        <w:rPr>
          <w:w w:val="98"/>
        </w:rPr>
        <w:t xml:space="preserve">, ¶ 37, Doc. ONU CRPD/C/ETH/CO/1 (2016); </w:t>
      </w:r>
      <w:r w:rsidRPr="00AC72B5">
        <w:rPr>
          <w:i/>
          <w:w w:val="98"/>
        </w:rPr>
        <w:t>Costa Rica</w:t>
      </w:r>
      <w:r w:rsidRPr="00AC72B5">
        <w:rPr>
          <w:w w:val="98"/>
        </w:rPr>
        <w:t xml:space="preserve">, ¶ 49, Doc. ONU CRPD/C/CRI/CO/1 (2014); </w:t>
      </w:r>
      <w:r w:rsidRPr="00AC72B5">
        <w:rPr>
          <w:i/>
          <w:w w:val="98"/>
        </w:rPr>
        <w:t>El Salvador</w:t>
      </w:r>
      <w:r w:rsidRPr="00AC72B5">
        <w:rPr>
          <w:w w:val="98"/>
        </w:rPr>
        <w:t>, ¶ 51, Doc. ONU CRPD/C/SLV/CO/1 (2013).</w:t>
      </w:r>
    </w:p>
  </w:endnote>
  <w:endnote w:id="415">
    <w:p w14:paraId="50D9F575" w14:textId="0887093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Eslovaquia</w:t>
      </w:r>
      <w:r w:rsidRPr="00AC72B5">
        <w:rPr>
          <w:w w:val="98"/>
        </w:rPr>
        <w:t xml:space="preserve">, ¶ 69, Doc. ONU CRPD/C/SVK/CO/1 (2016); </w:t>
      </w:r>
      <w:r w:rsidRPr="00AC72B5">
        <w:rPr>
          <w:i/>
          <w:w w:val="98"/>
        </w:rPr>
        <w:t>Mongolia</w:t>
      </w:r>
      <w:r w:rsidRPr="00AC72B5">
        <w:rPr>
          <w:w w:val="98"/>
        </w:rPr>
        <w:t>, ¶ 38, Doc. ONU CRPD/C/MNG/CO/1 (2015).</w:t>
      </w:r>
    </w:p>
  </w:endnote>
  <w:endnote w:id="416">
    <w:p w14:paraId="5E24518C" w14:textId="6680CD6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Etiopía</w:t>
      </w:r>
      <w:r w:rsidRPr="00AC72B5">
        <w:rPr>
          <w:w w:val="98"/>
        </w:rPr>
        <w:t>, ¶¶ 37 y 55, Doc. ONU CRPD/C/ETH/CO/1 (2016).</w:t>
      </w:r>
    </w:p>
  </w:endnote>
  <w:endnote w:id="417">
    <w:p w14:paraId="6049C093" w14:textId="1341547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Emiratos Árabes Unidos</w:t>
      </w:r>
      <w:r w:rsidRPr="00AC72B5">
        <w:rPr>
          <w:w w:val="98"/>
        </w:rPr>
        <w:t xml:space="preserve">, ¶ 46, Doc. ONU CRPD/C/ARE/CO/1 (2016); </w:t>
      </w:r>
      <w:r w:rsidRPr="00AC72B5">
        <w:rPr>
          <w:i/>
          <w:w w:val="98"/>
        </w:rPr>
        <w:t>Italia</w:t>
      </w:r>
      <w:r w:rsidRPr="00AC72B5">
        <w:rPr>
          <w:w w:val="98"/>
        </w:rPr>
        <w:t xml:space="preserve">, ¶ 64, Doc. ONU CRPD/C/ITA/CO/1 (2016); </w:t>
      </w:r>
      <w:r w:rsidRPr="00AC72B5">
        <w:rPr>
          <w:i/>
          <w:w w:val="98"/>
        </w:rPr>
        <w:t>Etiopía</w:t>
      </w:r>
      <w:r w:rsidRPr="00AC72B5">
        <w:rPr>
          <w:w w:val="98"/>
        </w:rPr>
        <w:t xml:space="preserve">, ¶ 38, Doc. ONU CRPD/C/ETH/CO/1 (2016); </w:t>
      </w:r>
      <w:r w:rsidRPr="00AC72B5">
        <w:rPr>
          <w:i/>
          <w:w w:val="98"/>
        </w:rPr>
        <w:t>Gabón</w:t>
      </w:r>
      <w:r w:rsidRPr="00AC72B5">
        <w:rPr>
          <w:w w:val="98"/>
        </w:rPr>
        <w:t xml:space="preserve">, ¶ 47, Doc. ONU CRPD/C/GAB/CO/1 (2015); </w:t>
      </w:r>
      <w:r w:rsidRPr="00AC72B5">
        <w:rPr>
          <w:i/>
          <w:w w:val="98"/>
        </w:rPr>
        <w:t>Qatar</w:t>
      </w:r>
      <w:r w:rsidRPr="00AC72B5">
        <w:rPr>
          <w:w w:val="98"/>
        </w:rPr>
        <w:t xml:space="preserve">, ¶ 46, Doc. ONU CRPD/C/QAT/CO/1 (2015); </w:t>
      </w:r>
      <w:r w:rsidRPr="00AC72B5">
        <w:rPr>
          <w:i/>
          <w:w w:val="98"/>
        </w:rPr>
        <w:t>Corea</w:t>
      </w:r>
      <w:r w:rsidRPr="00AC72B5">
        <w:rPr>
          <w:w w:val="98"/>
        </w:rPr>
        <w:t>, ¶ 22, Doc. ONU CRPD/C/KOR/CO/1 (2014).</w:t>
      </w:r>
    </w:p>
  </w:endnote>
  <w:endnote w:id="418">
    <w:p w14:paraId="4106E5CA" w14:textId="671F0B9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Islas Cook</w:t>
      </w:r>
      <w:r w:rsidRPr="00AC72B5">
        <w:rPr>
          <w:w w:val="98"/>
        </w:rPr>
        <w:t>, ¶ 46, Doc. ONU CRPD/C/COK/CO/1 (2015).</w:t>
      </w:r>
    </w:p>
  </w:endnote>
  <w:endnote w:id="419">
    <w:p w14:paraId="6DC65FD1" w14:textId="373E566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w:t>
      </w:r>
      <w:r>
        <w:rPr>
          <w:w w:val="98"/>
        </w:rPr>
        <w:t xml:space="preserve"> </w:t>
      </w:r>
      <w:r w:rsidRPr="00AC72B5">
        <w:rPr>
          <w:i/>
          <w:w w:val="98"/>
        </w:rPr>
        <w:t>Observaciones Finales: Italia</w:t>
      </w:r>
      <w:r w:rsidRPr="00AC72B5">
        <w:rPr>
          <w:w w:val="98"/>
        </w:rPr>
        <w:t xml:space="preserve">, ¶ 64, Doc. ONU CRPD/C/ITA/CO/1 (2016); </w:t>
      </w:r>
      <w:r w:rsidRPr="00AC72B5">
        <w:rPr>
          <w:i/>
          <w:w w:val="98"/>
        </w:rPr>
        <w:t>Etiopía</w:t>
      </w:r>
      <w:r w:rsidRPr="00AC72B5">
        <w:rPr>
          <w:w w:val="98"/>
        </w:rPr>
        <w:t xml:space="preserve">, ¶ 38, Doc. ONU CRPD/C/ETH/CO/1 (2016); </w:t>
      </w:r>
      <w:r w:rsidRPr="00AC72B5">
        <w:rPr>
          <w:i/>
          <w:w w:val="98"/>
        </w:rPr>
        <w:t>Colombia</w:t>
      </w:r>
      <w:r w:rsidRPr="00AC72B5">
        <w:rPr>
          <w:w w:val="98"/>
        </w:rPr>
        <w:t xml:space="preserve">, ¶ 57, Doc. ONU CRPD/C/COL/CO/1 (2016); </w:t>
      </w:r>
      <w:r w:rsidRPr="00AC72B5">
        <w:rPr>
          <w:i/>
          <w:w w:val="98"/>
        </w:rPr>
        <w:t>Gabón</w:t>
      </w:r>
      <w:r w:rsidRPr="00AC72B5">
        <w:rPr>
          <w:w w:val="98"/>
        </w:rPr>
        <w:t xml:space="preserve">, ¶ 46, Doc. ONU CRPD/C/GAB/CO/1 (2015); </w:t>
      </w:r>
      <w:r w:rsidRPr="00AC72B5">
        <w:rPr>
          <w:i/>
          <w:w w:val="98"/>
        </w:rPr>
        <w:t>Qatar</w:t>
      </w:r>
      <w:r w:rsidRPr="00AC72B5">
        <w:rPr>
          <w:w w:val="98"/>
        </w:rPr>
        <w:t>, ¶ 46, Doc. ONU CRPD/C/QAT/CO/1 (2015).</w:t>
      </w:r>
    </w:p>
  </w:endnote>
  <w:endnote w:id="420">
    <w:p w14:paraId="0B336123" w14:textId="2801B6B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Hungría</w:t>
      </w:r>
      <w:r w:rsidRPr="00AC72B5">
        <w:rPr>
          <w:w w:val="98"/>
        </w:rPr>
        <w:t xml:space="preserve">, ¶ 17, Doc. ONU CRPD/C/HUN/CO/1 (2012); </w:t>
      </w:r>
      <w:r w:rsidRPr="00AC72B5">
        <w:rPr>
          <w:i/>
          <w:w w:val="98"/>
        </w:rPr>
        <w:t>Austria</w:t>
      </w:r>
      <w:r w:rsidRPr="00AC72B5">
        <w:rPr>
          <w:w w:val="98"/>
        </w:rPr>
        <w:t xml:space="preserve">, ¶ 14, Doc. ONU CRPD/C/AUT/CO/1 (2011); </w:t>
      </w:r>
      <w:r w:rsidRPr="00AC72B5">
        <w:rPr>
          <w:i/>
          <w:w w:val="98"/>
        </w:rPr>
        <w:t>España</w:t>
      </w:r>
      <w:r w:rsidRPr="00AC72B5">
        <w:rPr>
          <w:w w:val="98"/>
        </w:rPr>
        <w:t>, ¶ 17, Doc. ONU CRPD/C/ESP/CO/1 (2011).</w:t>
      </w:r>
    </w:p>
  </w:endnote>
  <w:endnote w:id="421">
    <w:p w14:paraId="4D222C6B" w14:textId="7B75646A" w:rsidR="005E3DDD" w:rsidRPr="00AC72B5" w:rsidRDefault="005E3DDD" w:rsidP="00AC72B5">
      <w:pPr>
        <w:pStyle w:val="EndnoteText"/>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Austria</w:t>
      </w:r>
      <w:r w:rsidRPr="00AC72B5">
        <w:rPr>
          <w:w w:val="98"/>
        </w:rPr>
        <w:t xml:space="preserve">, ¶ 14, Doc. </w:t>
      </w:r>
      <w:r w:rsidRPr="00AC72B5">
        <w:rPr>
          <w:w w:val="98"/>
          <w:lang w:val="es-CO"/>
        </w:rPr>
        <w:t>ONU CRPD/C/AUT/CO/1 (2011).</w:t>
      </w:r>
    </w:p>
  </w:endnote>
  <w:endnote w:id="422">
    <w:p w14:paraId="330EE142" w14:textId="76201F9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Hungría</w:t>
      </w:r>
      <w:r w:rsidRPr="00AC72B5">
        <w:rPr>
          <w:w w:val="98"/>
        </w:rPr>
        <w:t xml:space="preserve">, ¶ 18, Doc. ONU CRPD/C/HUN/CO/1 (2012); </w:t>
      </w:r>
      <w:r w:rsidRPr="00AC72B5">
        <w:rPr>
          <w:i/>
          <w:w w:val="98"/>
        </w:rPr>
        <w:t>Austria</w:t>
      </w:r>
      <w:r w:rsidRPr="00AC72B5">
        <w:rPr>
          <w:w w:val="98"/>
        </w:rPr>
        <w:t xml:space="preserve">, ¶ 14, Doc. ONU CRPD/C/AUT/CO/1 (2011); </w:t>
      </w:r>
      <w:r w:rsidRPr="00AC72B5">
        <w:rPr>
          <w:i/>
          <w:w w:val="98"/>
        </w:rPr>
        <w:t>España</w:t>
      </w:r>
      <w:r w:rsidRPr="00AC72B5">
        <w:rPr>
          <w:w w:val="98"/>
        </w:rPr>
        <w:t>, ¶ 18, Doc. ONU CRPD/C/ESP/CO/1 (2011).</w:t>
      </w:r>
    </w:p>
  </w:endnote>
  <w:endnote w:id="423">
    <w:p w14:paraId="52993BC5" w14:textId="44A33F61" w:rsidR="005E3DDD" w:rsidRPr="00AC72B5" w:rsidRDefault="005E3DDD" w:rsidP="00AC72B5">
      <w:pPr>
        <w:pStyle w:val="EndnoteText"/>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w:t>
      </w:r>
      <w:r>
        <w:rPr>
          <w:w w:val="98"/>
        </w:rPr>
        <w:t xml:space="preserve"> </w:t>
      </w:r>
      <w:r w:rsidRPr="00AC72B5">
        <w:rPr>
          <w:w w:val="98"/>
        </w:rPr>
        <w:t xml:space="preserve">CDPD, </w:t>
      </w:r>
      <w:r w:rsidRPr="00AC72B5">
        <w:rPr>
          <w:i/>
          <w:w w:val="98"/>
        </w:rPr>
        <w:t>Observaciones Finales: Ecuador</w:t>
      </w:r>
      <w:r w:rsidRPr="00AC72B5">
        <w:rPr>
          <w:w w:val="98"/>
        </w:rPr>
        <w:t xml:space="preserve">, ¶ 30, Doc. </w:t>
      </w:r>
      <w:r w:rsidRPr="00AC72B5">
        <w:rPr>
          <w:w w:val="98"/>
          <w:lang w:val="es-CO"/>
        </w:rPr>
        <w:t>ONU CRPD/C/ECU/CO/1 (2014).</w:t>
      </w:r>
    </w:p>
  </w:endnote>
  <w:endnote w:id="424">
    <w:p w14:paraId="6ACE308B" w14:textId="66E4E2B4" w:rsidR="005E3DDD" w:rsidRPr="00AC72B5" w:rsidRDefault="005E3DDD" w:rsidP="00AC72B5">
      <w:pPr>
        <w:pStyle w:val="EndnoteText"/>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Ecuador</w:t>
      </w:r>
      <w:r w:rsidRPr="00AC72B5">
        <w:rPr>
          <w:w w:val="98"/>
        </w:rPr>
        <w:t xml:space="preserve">, ¶ 31, Doc. </w:t>
      </w:r>
      <w:r w:rsidRPr="00AC72B5">
        <w:rPr>
          <w:w w:val="98"/>
          <w:lang w:val="es-CO"/>
        </w:rPr>
        <w:t>ONU CRPD/C/ECU/CO/1 (2014).</w:t>
      </w:r>
    </w:p>
  </w:endnote>
  <w:endnote w:id="425">
    <w:p w14:paraId="2439B509" w14:textId="46E445C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Etiopía</w:t>
      </w:r>
      <w:r w:rsidRPr="00AC72B5">
        <w:rPr>
          <w:w w:val="98"/>
        </w:rPr>
        <w:t xml:space="preserve">, ¶ 55, Doc. ONU CRPD/C/ETH/CO/1 (2016); </w:t>
      </w:r>
      <w:r w:rsidRPr="00AC72B5">
        <w:rPr>
          <w:i/>
          <w:w w:val="98"/>
        </w:rPr>
        <w:t>Islas Cook</w:t>
      </w:r>
      <w:r w:rsidRPr="00AC72B5">
        <w:rPr>
          <w:w w:val="98"/>
        </w:rPr>
        <w:t xml:space="preserve">, ¶ 35, Doc. ONU CRPD/C/COK/CO/1 (2015); </w:t>
      </w:r>
      <w:r w:rsidRPr="00AC72B5">
        <w:rPr>
          <w:i/>
          <w:w w:val="98"/>
        </w:rPr>
        <w:t>Gabón</w:t>
      </w:r>
      <w:r w:rsidRPr="00AC72B5">
        <w:rPr>
          <w:w w:val="98"/>
        </w:rPr>
        <w:t xml:space="preserve">, ¶ 54, Doc. ONU CRPD/C/GAB/CO/1 (2015); </w:t>
      </w:r>
      <w:r w:rsidRPr="00AC72B5">
        <w:rPr>
          <w:i/>
          <w:w w:val="98"/>
        </w:rPr>
        <w:t>Bélgica</w:t>
      </w:r>
      <w:r w:rsidRPr="00AC72B5">
        <w:rPr>
          <w:w w:val="98"/>
        </w:rPr>
        <w:t xml:space="preserve">, ¶ 34, Doc. ONU CRPD/C/BEL/CO/1 (2014). </w:t>
      </w:r>
    </w:p>
  </w:endnote>
  <w:endnote w:id="426">
    <w:p w14:paraId="1E25BB01" w14:textId="02B1720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Uganda</w:t>
      </w:r>
      <w:r w:rsidRPr="00AC72B5">
        <w:rPr>
          <w:w w:val="98"/>
        </w:rPr>
        <w:t xml:space="preserve">, ¶ 51, Doc. ONU CRPD/C/UGA/CO/1 (2016); </w:t>
      </w:r>
      <w:r w:rsidRPr="00AC72B5">
        <w:rPr>
          <w:i/>
          <w:w w:val="98"/>
        </w:rPr>
        <w:t>Islas Cook</w:t>
      </w:r>
      <w:r w:rsidRPr="00AC72B5">
        <w:rPr>
          <w:w w:val="98"/>
        </w:rPr>
        <w:t xml:space="preserve">, ¶ 36, Doc. ONU CRPD/C/COK/CO/1 (2015); </w:t>
      </w:r>
      <w:r w:rsidRPr="00AC72B5">
        <w:rPr>
          <w:i/>
          <w:w w:val="98"/>
        </w:rPr>
        <w:t>Gabón</w:t>
      </w:r>
      <w:r w:rsidRPr="00AC72B5">
        <w:rPr>
          <w:w w:val="98"/>
        </w:rPr>
        <w:t xml:space="preserve">, ¶ 55, Doc. ONU CRPD/C/GAB/CO/1 (2015); </w:t>
      </w:r>
      <w:r w:rsidRPr="00AC72B5">
        <w:rPr>
          <w:i/>
          <w:w w:val="98"/>
        </w:rPr>
        <w:t>Bélgica</w:t>
      </w:r>
      <w:r w:rsidRPr="00AC72B5">
        <w:rPr>
          <w:w w:val="98"/>
        </w:rPr>
        <w:t xml:space="preserve">, ¶ 35, Doc. ONU CRPD/C/BEL/CO/1 (2014); </w:t>
      </w:r>
      <w:r w:rsidRPr="00AC72B5">
        <w:rPr>
          <w:i/>
          <w:w w:val="98"/>
        </w:rPr>
        <w:t>China</w:t>
      </w:r>
      <w:r w:rsidRPr="00AC72B5">
        <w:rPr>
          <w:w w:val="98"/>
        </w:rPr>
        <w:t>, ¶ 66, Doc. ONU CRPD/C/CHN/CO/1 (2012).</w:t>
      </w:r>
    </w:p>
  </w:endnote>
  <w:endnote w:id="427">
    <w:p w14:paraId="53B72043" w14:textId="2E35755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El Salvador</w:t>
      </w:r>
      <w:r w:rsidRPr="00AC72B5">
        <w:rPr>
          <w:w w:val="98"/>
        </w:rPr>
        <w:t xml:space="preserve">, ¶ 52, Doc. ONU CRPD/C/SLV/CO/1 (2013). </w:t>
      </w:r>
    </w:p>
  </w:endnote>
  <w:endnote w:id="428">
    <w:p w14:paraId="313BCCCE" w14:textId="57CA617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Uganda</w:t>
      </w:r>
      <w:r w:rsidRPr="00AC72B5">
        <w:rPr>
          <w:w w:val="98"/>
        </w:rPr>
        <w:t xml:space="preserve">, ¶ 33, Doc. ONU CRPD/C/UGA/CO/1 (2016); </w:t>
      </w:r>
      <w:r w:rsidRPr="00AC72B5">
        <w:rPr>
          <w:i/>
          <w:w w:val="98"/>
        </w:rPr>
        <w:t>Brasil</w:t>
      </w:r>
      <w:r w:rsidRPr="00AC72B5">
        <w:rPr>
          <w:w w:val="98"/>
        </w:rPr>
        <w:t xml:space="preserve">, ¶ 35, Doc. ONU CRPD/C/BRA/CO/1 (2015); </w:t>
      </w:r>
      <w:r w:rsidRPr="00AC72B5">
        <w:rPr>
          <w:i/>
          <w:w w:val="98"/>
        </w:rPr>
        <w:t>Costa Rica</w:t>
      </w:r>
      <w:r w:rsidRPr="00AC72B5">
        <w:rPr>
          <w:w w:val="98"/>
        </w:rPr>
        <w:t>, ¶ 34, Doc. ONU CRPD/C/CRI/CO/1 (2014).</w:t>
      </w:r>
    </w:p>
  </w:endnote>
  <w:endnote w:id="429">
    <w:p w14:paraId="78D003A2" w14:textId="4F1349F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Emiratos Árabes Unidos</w:t>
      </w:r>
      <w:r w:rsidRPr="00AC72B5">
        <w:rPr>
          <w:w w:val="98"/>
        </w:rPr>
        <w:t xml:space="preserve">, ¶ 46, Doc. ONU CRPD/C/ARE/CO/1 (2016); </w:t>
      </w:r>
      <w:r w:rsidRPr="00AC72B5">
        <w:rPr>
          <w:i/>
          <w:w w:val="98"/>
        </w:rPr>
        <w:t>Gabón</w:t>
      </w:r>
      <w:r w:rsidRPr="00AC72B5">
        <w:rPr>
          <w:w w:val="98"/>
        </w:rPr>
        <w:t xml:space="preserve">, ¶ 55, Doc. ONU CRPD/C/GAB/CO/1 (2015); </w:t>
      </w:r>
      <w:r w:rsidRPr="00AC72B5">
        <w:rPr>
          <w:i/>
          <w:w w:val="98"/>
        </w:rPr>
        <w:t>Qatar</w:t>
      </w:r>
      <w:r w:rsidRPr="00AC72B5">
        <w:rPr>
          <w:w w:val="98"/>
        </w:rPr>
        <w:t>, ¶ 56, Doc. ONU CRPD/C/QAT/CO/1 (2015).</w:t>
      </w:r>
    </w:p>
  </w:endnote>
  <w:endnote w:id="430">
    <w:p w14:paraId="59B93C42" w14:textId="06F9448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Emiratos Árabes Unidos</w:t>
      </w:r>
      <w:r w:rsidRPr="00AC72B5">
        <w:rPr>
          <w:w w:val="98"/>
        </w:rPr>
        <w:t xml:space="preserve">, ¶ 46, Doc. ONU CRPD/C/ARE/CO/1 (2016); </w:t>
      </w:r>
      <w:r w:rsidRPr="00AC72B5">
        <w:rPr>
          <w:i/>
          <w:w w:val="98"/>
        </w:rPr>
        <w:t>Qatar</w:t>
      </w:r>
      <w:r w:rsidRPr="00AC72B5">
        <w:rPr>
          <w:w w:val="98"/>
        </w:rPr>
        <w:t>, ¶ 56, Doc. ONU CRPD/C/QAT/CO/1 (2015).</w:t>
      </w:r>
    </w:p>
  </w:endnote>
  <w:endnote w:id="431">
    <w:p w14:paraId="70F99386" w14:textId="7047F04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Turkmenistán</w:t>
      </w:r>
      <w:r w:rsidRPr="00AC72B5">
        <w:rPr>
          <w:w w:val="98"/>
        </w:rPr>
        <w:t xml:space="preserve">, ¶ 31, Doc. ONU CRPD/C/TKM/CO/1 (2015); </w:t>
      </w:r>
      <w:r w:rsidRPr="00AC72B5">
        <w:rPr>
          <w:i/>
          <w:w w:val="98"/>
        </w:rPr>
        <w:t>Perú</w:t>
      </w:r>
      <w:r w:rsidRPr="00AC72B5">
        <w:rPr>
          <w:w w:val="98"/>
        </w:rPr>
        <w:t>, ¶ 34, Doc. ONU CRPD/C/PER/CO/1 (2012).</w:t>
      </w:r>
    </w:p>
  </w:endnote>
  <w:endnote w:id="432">
    <w:p w14:paraId="079F72A5" w14:textId="3E63910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Corea</w:t>
      </w:r>
      <w:r w:rsidRPr="00AC72B5">
        <w:rPr>
          <w:w w:val="98"/>
        </w:rPr>
        <w:t>, ¶ 33, Doc. ONU CRPD/C/KOR/CO/1 (2014).</w:t>
      </w:r>
    </w:p>
  </w:endnote>
  <w:endnote w:id="433">
    <w:p w14:paraId="0AFDCB5B" w14:textId="17AA2BC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Turkmenistán</w:t>
      </w:r>
      <w:r w:rsidRPr="00AC72B5">
        <w:rPr>
          <w:w w:val="98"/>
        </w:rPr>
        <w:t>, ¶ 31, Doc. ONU CRPD/C/TKM/CO/1 (2015).</w:t>
      </w:r>
    </w:p>
  </w:endnote>
  <w:endnote w:id="434">
    <w:p w14:paraId="08B935F6" w14:textId="5E4FC099" w:rsidR="005E3DDD" w:rsidRPr="00AC72B5" w:rsidRDefault="005E3DDD" w:rsidP="00AC72B5">
      <w:pPr>
        <w:pStyle w:val="EndnoteText"/>
        <w:rPr>
          <w:i/>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Emiratos Árabes Unidos</w:t>
      </w:r>
      <w:r w:rsidRPr="00AC72B5">
        <w:rPr>
          <w:w w:val="98"/>
        </w:rPr>
        <w:t xml:space="preserve">, ¶ 33, Doc. ONU CRPD/C/SON/CO/1 (2016); </w:t>
      </w:r>
      <w:r w:rsidRPr="00AC72B5">
        <w:rPr>
          <w:i/>
          <w:w w:val="98"/>
        </w:rPr>
        <w:t>Italia</w:t>
      </w:r>
      <w:r w:rsidRPr="00AC72B5">
        <w:rPr>
          <w:w w:val="98"/>
        </w:rPr>
        <w:t xml:space="preserve">, ¶ 63, Doc. ONU CRPD/C/ITA/CO/1 (2016); </w:t>
      </w:r>
      <w:r w:rsidRPr="00AC72B5">
        <w:rPr>
          <w:i/>
          <w:w w:val="98"/>
        </w:rPr>
        <w:t>Colombia</w:t>
      </w:r>
      <w:r w:rsidRPr="00AC72B5">
        <w:rPr>
          <w:w w:val="98"/>
        </w:rPr>
        <w:t xml:space="preserve">, ¶ 6 y 46, Doc. ONU CRPD/C/COL/CO/1 (2016); </w:t>
      </w:r>
      <w:r w:rsidRPr="00AC72B5">
        <w:rPr>
          <w:i/>
          <w:w w:val="98"/>
        </w:rPr>
        <w:t>Tailandia</w:t>
      </w:r>
      <w:r w:rsidRPr="00AC72B5">
        <w:rPr>
          <w:w w:val="98"/>
        </w:rPr>
        <w:t xml:space="preserve">, ¶ 35, Doc. ONU CRPD/C/THA/CO/1 (2016); </w:t>
      </w:r>
      <w:r w:rsidRPr="00AC72B5">
        <w:rPr>
          <w:i/>
          <w:w w:val="98"/>
        </w:rPr>
        <w:t>Eslovaquia</w:t>
      </w:r>
      <w:r w:rsidRPr="00AC72B5">
        <w:rPr>
          <w:w w:val="98"/>
        </w:rPr>
        <w:t xml:space="preserve">, ¶ 51, Doc. ONU CRPD/C/SVK/CO/1 (2016); </w:t>
      </w:r>
      <w:r w:rsidRPr="00AC72B5">
        <w:rPr>
          <w:i/>
          <w:w w:val="98"/>
        </w:rPr>
        <w:t>Serbia</w:t>
      </w:r>
      <w:r w:rsidRPr="00AC72B5">
        <w:rPr>
          <w:w w:val="98"/>
        </w:rPr>
        <w:t xml:space="preserve">, ¶ 33, Doc. ONU CRPD/C/SRB/CO/1 (2016); </w:t>
      </w:r>
      <w:r w:rsidRPr="00AC72B5">
        <w:rPr>
          <w:i/>
          <w:w w:val="98"/>
        </w:rPr>
        <w:t>Portugal</w:t>
      </w:r>
      <w:r w:rsidRPr="00AC72B5">
        <w:rPr>
          <w:w w:val="98"/>
        </w:rPr>
        <w:t xml:space="preserve">, ¶ 36, Doc. ONU CRPD/C/PRT/CO/1 (2016); </w:t>
      </w:r>
      <w:r w:rsidRPr="00AC72B5">
        <w:rPr>
          <w:i/>
          <w:w w:val="98"/>
        </w:rPr>
        <w:t>Costa Rica</w:t>
      </w:r>
      <w:r w:rsidRPr="00AC72B5">
        <w:rPr>
          <w:w w:val="98"/>
        </w:rPr>
        <w:t>, ¶ 31, Doc. ONU CRPD/C/TKM/CO/1 (2015);</w:t>
      </w:r>
      <w:r w:rsidRPr="00AC72B5">
        <w:rPr>
          <w:i/>
          <w:w w:val="98"/>
        </w:rPr>
        <w:t xml:space="preserve"> Observaciones Finales: Mongolia</w:t>
      </w:r>
      <w:r w:rsidRPr="00AC72B5">
        <w:rPr>
          <w:w w:val="98"/>
        </w:rPr>
        <w:t xml:space="preserve">, ¶ 28, Doc. ONU CRPD/C/MNG/CO/1 (2015); </w:t>
      </w:r>
      <w:r w:rsidRPr="00AC72B5">
        <w:rPr>
          <w:i/>
          <w:w w:val="98"/>
        </w:rPr>
        <w:t>Chile</w:t>
      </w:r>
      <w:r w:rsidRPr="00AC72B5">
        <w:rPr>
          <w:w w:val="98"/>
        </w:rPr>
        <w:t xml:space="preserve">, ¶ 41, Doc. ONU CRPD/C/CHL/CO/1 (2016); </w:t>
      </w:r>
      <w:r w:rsidRPr="00AC72B5">
        <w:rPr>
          <w:i/>
          <w:w w:val="98"/>
        </w:rPr>
        <w:t>Costa Rica</w:t>
      </w:r>
      <w:r w:rsidRPr="00AC72B5">
        <w:rPr>
          <w:w w:val="98"/>
        </w:rPr>
        <w:t xml:space="preserve">, ¶ 37, Doc. ONU CRPD/C/CRI/CO/1 (2014); </w:t>
      </w:r>
      <w:r w:rsidRPr="00AC72B5">
        <w:rPr>
          <w:i/>
          <w:w w:val="98"/>
        </w:rPr>
        <w:t>El Salvador</w:t>
      </w:r>
      <w:r w:rsidRPr="00AC72B5">
        <w:rPr>
          <w:w w:val="98"/>
        </w:rPr>
        <w:t xml:space="preserve">, ¶ 37, Doc. ONU CRPD/C/SLV/CO/1 (2013); </w:t>
      </w:r>
      <w:r w:rsidRPr="00AC72B5">
        <w:rPr>
          <w:i/>
          <w:w w:val="98"/>
        </w:rPr>
        <w:t>China</w:t>
      </w:r>
      <w:r w:rsidRPr="00AC72B5">
        <w:rPr>
          <w:w w:val="98"/>
        </w:rPr>
        <w:t>, ¶ 33, Doc. ONU CRPD/C/CHN/CO/1 (2012).</w:t>
      </w:r>
    </w:p>
  </w:endnote>
  <w:endnote w:id="435">
    <w:p w14:paraId="3909E10A" w14:textId="78F1F32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Emiratos Árabes Unidos</w:t>
      </w:r>
      <w:r w:rsidRPr="00AC72B5">
        <w:rPr>
          <w:w w:val="98"/>
        </w:rPr>
        <w:t xml:space="preserve">, ¶ 33, Doc. ONU CRPD/C/ARE/CO/1 (2016); </w:t>
      </w:r>
      <w:r w:rsidRPr="00AC72B5">
        <w:rPr>
          <w:i/>
          <w:w w:val="98"/>
        </w:rPr>
        <w:t>Colombia</w:t>
      </w:r>
      <w:r w:rsidRPr="00AC72B5">
        <w:rPr>
          <w:w w:val="98"/>
        </w:rPr>
        <w:t xml:space="preserve">, ¶ 46, Doc. ONU CRPD/C/COL/CO/1 (2016); </w:t>
      </w:r>
      <w:r w:rsidRPr="00AC72B5">
        <w:rPr>
          <w:i/>
          <w:w w:val="98"/>
        </w:rPr>
        <w:t>Eslovaquia</w:t>
      </w:r>
      <w:r w:rsidRPr="00AC72B5">
        <w:rPr>
          <w:w w:val="98"/>
        </w:rPr>
        <w:t xml:space="preserve">, ¶ 51, Doc. ONU CRPD/C/SVK/CO/1 (2016); </w:t>
      </w:r>
      <w:r w:rsidRPr="00AC72B5">
        <w:rPr>
          <w:i/>
          <w:w w:val="98"/>
        </w:rPr>
        <w:t>Serbia</w:t>
      </w:r>
      <w:r w:rsidRPr="00AC72B5">
        <w:rPr>
          <w:w w:val="98"/>
        </w:rPr>
        <w:t xml:space="preserve">, ¶ 33, Doc. ONU CRPD/C/SRB/CO/1 (2016); </w:t>
      </w:r>
      <w:r w:rsidRPr="00AC72B5">
        <w:rPr>
          <w:i/>
          <w:w w:val="98"/>
        </w:rPr>
        <w:t>Alemania</w:t>
      </w:r>
      <w:r w:rsidRPr="00AC72B5">
        <w:rPr>
          <w:w w:val="98"/>
        </w:rPr>
        <w:t xml:space="preserve">, ¶ 37, Doc. ONU CAT/C/DEU/CO/1 (2015); </w:t>
      </w:r>
      <w:r w:rsidRPr="00AC72B5">
        <w:rPr>
          <w:i/>
          <w:w w:val="98"/>
        </w:rPr>
        <w:t>República Checa</w:t>
      </w:r>
      <w:r w:rsidRPr="00AC72B5">
        <w:rPr>
          <w:w w:val="98"/>
        </w:rPr>
        <w:t xml:space="preserve">, ¶ 36, Doc. ONU CRPD/C/CZE/CO/1 (2015); </w:t>
      </w:r>
      <w:r w:rsidRPr="00AC72B5">
        <w:rPr>
          <w:i/>
          <w:w w:val="98"/>
        </w:rPr>
        <w:t>Croacia</w:t>
      </w:r>
      <w:r w:rsidRPr="00AC72B5">
        <w:rPr>
          <w:w w:val="98"/>
        </w:rPr>
        <w:t xml:space="preserve">, ¶ 27, Doc. ONU CRPD/C/HRV/CO/1 (2015); </w:t>
      </w:r>
      <w:r w:rsidRPr="00AC72B5">
        <w:rPr>
          <w:i/>
          <w:w w:val="98"/>
        </w:rPr>
        <w:t>Ucrania</w:t>
      </w:r>
      <w:r w:rsidRPr="00AC72B5">
        <w:rPr>
          <w:w w:val="98"/>
        </w:rPr>
        <w:t xml:space="preserve">, ¶ 34, Doc. ONU CRPD/C/UKR/CO/1 (2015); </w:t>
      </w:r>
      <w:r w:rsidRPr="00AC72B5">
        <w:rPr>
          <w:i/>
          <w:w w:val="98"/>
        </w:rPr>
        <w:t>Chile</w:t>
      </w:r>
      <w:r w:rsidRPr="00AC72B5">
        <w:rPr>
          <w:w w:val="98"/>
        </w:rPr>
        <w:t xml:space="preserve">, ¶ 41, Doc. ONU CRPD/C/CHL/CO/1 (2016); </w:t>
      </w:r>
      <w:r w:rsidRPr="00AC72B5">
        <w:rPr>
          <w:i/>
          <w:w w:val="98"/>
        </w:rPr>
        <w:t>Nueva Zelanda</w:t>
      </w:r>
      <w:r w:rsidRPr="00AC72B5">
        <w:rPr>
          <w:w w:val="98"/>
        </w:rPr>
        <w:t>, ¶ 37, Doc. ONU CRPD/C/NZL/CO/1 (2014).</w:t>
      </w:r>
    </w:p>
  </w:endnote>
  <w:endnote w:id="436">
    <w:p w14:paraId="067A1E77" w14:textId="7CE9C9B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Islas Cook</w:t>
      </w:r>
      <w:r w:rsidRPr="00AC72B5">
        <w:rPr>
          <w:w w:val="98"/>
        </w:rPr>
        <w:t xml:space="preserve">, ¶ 35, Doc. ONU CRPD/C/COK/CO/1 (2015); </w:t>
      </w:r>
      <w:r w:rsidRPr="00AC72B5">
        <w:rPr>
          <w:i/>
          <w:w w:val="98"/>
        </w:rPr>
        <w:t>Islas Mauricio</w:t>
      </w:r>
      <w:r w:rsidRPr="00AC72B5">
        <w:rPr>
          <w:w w:val="98"/>
        </w:rPr>
        <w:t>, ¶ 29, Doc. ONU CRPD/C/MUS/CO/1 (2015).</w:t>
      </w:r>
    </w:p>
  </w:endnote>
  <w:endnote w:id="437">
    <w:p w14:paraId="76052B96" w14:textId="24803FD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Colombia</w:t>
      </w:r>
      <w:r w:rsidRPr="00AC72B5">
        <w:rPr>
          <w:w w:val="98"/>
        </w:rPr>
        <w:t xml:space="preserve">, ¶ 30, Doc. ONU CRPD/C/COL/CO/1 (2016); </w:t>
      </w:r>
      <w:r w:rsidRPr="00AC72B5">
        <w:rPr>
          <w:i/>
          <w:w w:val="98"/>
        </w:rPr>
        <w:t>Serbia</w:t>
      </w:r>
      <w:r w:rsidRPr="00AC72B5">
        <w:rPr>
          <w:w w:val="98"/>
        </w:rPr>
        <w:t xml:space="preserve">, ¶ 37, Doc. ONU CRPD/C/SRB/CO/1 (2016); </w:t>
      </w:r>
      <w:r w:rsidRPr="00AC72B5">
        <w:rPr>
          <w:i/>
          <w:w w:val="98"/>
        </w:rPr>
        <w:t>Portugal</w:t>
      </w:r>
      <w:r w:rsidRPr="00AC72B5">
        <w:rPr>
          <w:w w:val="98"/>
        </w:rPr>
        <w:t xml:space="preserve">, ¶ 36, Doc. ONU CRPD/C/PRT/CO/1 (2016); </w:t>
      </w:r>
      <w:r w:rsidRPr="00AC72B5">
        <w:rPr>
          <w:i/>
          <w:w w:val="98"/>
        </w:rPr>
        <w:t>República Dominicana</w:t>
      </w:r>
      <w:r w:rsidRPr="00AC72B5">
        <w:rPr>
          <w:w w:val="98"/>
        </w:rPr>
        <w:t xml:space="preserve">, ¶ 34, Doc. ONU CRPD/C/DOM/CO/1 (2015); </w:t>
      </w:r>
      <w:r w:rsidRPr="00AC72B5">
        <w:rPr>
          <w:i/>
          <w:w w:val="98"/>
        </w:rPr>
        <w:t>Perú</w:t>
      </w:r>
      <w:r w:rsidRPr="00AC72B5">
        <w:rPr>
          <w:w w:val="98"/>
        </w:rPr>
        <w:t xml:space="preserve">, ¶ 34, Doc. ONU CRPD/C/PER/CO/1 (2012); </w:t>
      </w:r>
      <w:r w:rsidRPr="00AC72B5">
        <w:rPr>
          <w:i/>
          <w:w w:val="98"/>
        </w:rPr>
        <w:t>España</w:t>
      </w:r>
      <w:r w:rsidRPr="00AC72B5">
        <w:rPr>
          <w:w w:val="98"/>
        </w:rPr>
        <w:t>, ¶ 37, Doc. ONU CRPD/C/ESP/CO/1 (2011).</w:t>
      </w:r>
    </w:p>
  </w:endnote>
  <w:endnote w:id="438">
    <w:p w14:paraId="1D24BB1E" w14:textId="1086482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Colombia</w:t>
      </w:r>
      <w:r w:rsidRPr="00AC72B5">
        <w:rPr>
          <w:w w:val="98"/>
        </w:rPr>
        <w:t xml:space="preserve">, ¶ 46, Doc. ONU CRPD/C/CHL/CO/1 (2016); </w:t>
      </w:r>
      <w:r w:rsidRPr="00AC72B5">
        <w:rPr>
          <w:i/>
          <w:w w:val="98"/>
        </w:rPr>
        <w:t>Nueva Zelanda</w:t>
      </w:r>
      <w:r w:rsidRPr="00AC72B5">
        <w:rPr>
          <w:w w:val="98"/>
        </w:rPr>
        <w:t>, ¶ 37, Doc. ONU CRPD/C/NZL/CO/1 (2014).</w:t>
      </w:r>
    </w:p>
  </w:endnote>
  <w:endnote w:id="439">
    <w:p w14:paraId="57864D2A" w14:textId="1E0AFEE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Chile</w:t>
      </w:r>
      <w:r w:rsidRPr="00AC72B5">
        <w:rPr>
          <w:w w:val="98"/>
        </w:rPr>
        <w:t xml:space="preserve">, ¶ 41, Doc. ONU CRPD/C/CHL/CO/1 (2016); </w:t>
      </w:r>
      <w:r w:rsidRPr="00AC72B5">
        <w:rPr>
          <w:i/>
          <w:w w:val="98"/>
        </w:rPr>
        <w:t>México</w:t>
      </w:r>
      <w:r w:rsidRPr="00AC72B5">
        <w:rPr>
          <w:w w:val="98"/>
        </w:rPr>
        <w:t>, ¶ 37, Doc. ONU CRPD/C/MEX/CO/1 (2014).</w:t>
      </w:r>
    </w:p>
  </w:endnote>
  <w:endnote w:id="440">
    <w:p w14:paraId="556E23E5" w14:textId="4D4B33F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Tailandia</w:t>
      </w:r>
      <w:r w:rsidRPr="00AC72B5">
        <w:rPr>
          <w:w w:val="98"/>
        </w:rPr>
        <w:t xml:space="preserve">, ¶ 35, Doc. ONU CRPD/C/THA/CO/1 (2016); </w:t>
      </w:r>
      <w:r w:rsidRPr="00AC72B5">
        <w:rPr>
          <w:i/>
          <w:w w:val="98"/>
        </w:rPr>
        <w:t>Portugal</w:t>
      </w:r>
      <w:r w:rsidRPr="00AC72B5">
        <w:rPr>
          <w:w w:val="98"/>
        </w:rPr>
        <w:t xml:space="preserve">, ¶ 36, Doc. ONU CRPD/C/PRT/CO/1 (2016); </w:t>
      </w:r>
      <w:r w:rsidRPr="00AC72B5">
        <w:rPr>
          <w:i/>
          <w:w w:val="98"/>
        </w:rPr>
        <w:t>Turkmenistán</w:t>
      </w:r>
      <w:r w:rsidRPr="00AC72B5">
        <w:rPr>
          <w:w w:val="98"/>
        </w:rPr>
        <w:t xml:space="preserve">, ¶ 31, Doc. ONU CRPD/C/TKM/CO/1 (2015); </w:t>
      </w:r>
      <w:r w:rsidRPr="00AC72B5">
        <w:rPr>
          <w:i/>
          <w:w w:val="98"/>
        </w:rPr>
        <w:t>El Salvador</w:t>
      </w:r>
      <w:r w:rsidRPr="00AC72B5">
        <w:rPr>
          <w:w w:val="98"/>
        </w:rPr>
        <w:t xml:space="preserve">, ¶ 37, Doc. ONU CRPD/C/SLV/CO/1 (2013); </w:t>
      </w:r>
      <w:r w:rsidRPr="00AC72B5">
        <w:rPr>
          <w:i/>
          <w:w w:val="98"/>
        </w:rPr>
        <w:t>China</w:t>
      </w:r>
      <w:r w:rsidRPr="00AC72B5">
        <w:rPr>
          <w:w w:val="98"/>
        </w:rPr>
        <w:t>, ¶ 33, Doc. ONU CRPD/C/CHN/CO/1 (2012).</w:t>
      </w:r>
    </w:p>
  </w:endnote>
  <w:endnote w:id="441">
    <w:p w14:paraId="7C2B2ED5" w14:textId="5914C23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Serbia</w:t>
      </w:r>
      <w:r w:rsidRPr="00AC72B5">
        <w:rPr>
          <w:w w:val="98"/>
        </w:rPr>
        <w:t xml:space="preserve">, ¶ 33, Doc. ONU CRPD/C/SRB/CO/1 (2016); </w:t>
      </w:r>
      <w:r w:rsidRPr="00AC72B5">
        <w:rPr>
          <w:i/>
          <w:w w:val="98"/>
        </w:rPr>
        <w:t>Alemania</w:t>
      </w:r>
      <w:r w:rsidRPr="00AC72B5">
        <w:rPr>
          <w:w w:val="98"/>
        </w:rPr>
        <w:t xml:space="preserve">, ¶ 37, Doc. ONU CRPD/C/DEU/CO/1 (2015); </w:t>
      </w:r>
      <w:r w:rsidRPr="00AC72B5">
        <w:rPr>
          <w:i/>
          <w:w w:val="98"/>
        </w:rPr>
        <w:t>Ecuador</w:t>
      </w:r>
      <w:r w:rsidRPr="00AC72B5">
        <w:rPr>
          <w:w w:val="98"/>
        </w:rPr>
        <w:t>, ¶ 40, Doc. ONU CRPD/C/ECU/CO/1 (2014).</w:t>
      </w:r>
    </w:p>
  </w:endnote>
  <w:endnote w:id="442">
    <w:p w14:paraId="17FE3AF3" w14:textId="7FC3F47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México</w:t>
      </w:r>
      <w:r w:rsidRPr="00AC72B5">
        <w:rPr>
          <w:w w:val="98"/>
        </w:rPr>
        <w:t>, ¶ 49, Doc. ONU CRPD/C/MEX/CO/1 (2014).</w:t>
      </w:r>
    </w:p>
  </w:endnote>
  <w:endnote w:id="443">
    <w:p w14:paraId="46E198C1" w14:textId="6603175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Serbia</w:t>
      </w:r>
      <w:r w:rsidRPr="00AC72B5">
        <w:rPr>
          <w:w w:val="98"/>
        </w:rPr>
        <w:t xml:space="preserve">, ¶ 37, Doc. ONU CRPD/C/SRB/CO/1 (2016); </w:t>
      </w:r>
      <w:r w:rsidRPr="00AC72B5">
        <w:rPr>
          <w:i/>
          <w:w w:val="98"/>
        </w:rPr>
        <w:t>Eslovaquia</w:t>
      </w:r>
      <w:r w:rsidRPr="00AC72B5">
        <w:rPr>
          <w:w w:val="98"/>
        </w:rPr>
        <w:t xml:space="preserve">, ¶ 51, Doc. ONU CRPD/C/SVK/CO/1 (2016); </w:t>
      </w:r>
      <w:r w:rsidRPr="00AC72B5">
        <w:rPr>
          <w:i/>
          <w:w w:val="98"/>
        </w:rPr>
        <w:t>Islas Cook</w:t>
      </w:r>
      <w:r w:rsidRPr="00AC72B5">
        <w:rPr>
          <w:w w:val="98"/>
        </w:rPr>
        <w:t>, ¶ 36, Doc. ONU CRPD/C/COK/CO/1 (2015).</w:t>
      </w:r>
    </w:p>
  </w:endnote>
  <w:endnote w:id="444">
    <w:p w14:paraId="3A3863FD" w14:textId="0F56073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Emiratos Árabes Unidos</w:t>
      </w:r>
      <w:r w:rsidRPr="00AC72B5">
        <w:rPr>
          <w:w w:val="98"/>
        </w:rPr>
        <w:t xml:space="preserve">, ¶ 33, Doc. ONU CRPD/C/ARE/CO/1 (2016); </w:t>
      </w:r>
      <w:r w:rsidRPr="00AC72B5">
        <w:rPr>
          <w:i/>
          <w:w w:val="98"/>
        </w:rPr>
        <w:t>Italia</w:t>
      </w:r>
      <w:r w:rsidRPr="00AC72B5">
        <w:rPr>
          <w:w w:val="98"/>
        </w:rPr>
        <w:t xml:space="preserve">, ¶ 64, Doc. ONU CRPD/C/ITA/CO/1 (2016); </w:t>
      </w:r>
      <w:r w:rsidRPr="00AC72B5">
        <w:rPr>
          <w:i/>
          <w:w w:val="98"/>
        </w:rPr>
        <w:t>Colombia</w:t>
      </w:r>
      <w:r w:rsidRPr="00AC72B5">
        <w:rPr>
          <w:w w:val="98"/>
        </w:rPr>
        <w:t xml:space="preserve">, ¶ 47, Doc. ONU CRPD/C/COL/CO/1 (2016); </w:t>
      </w:r>
      <w:r w:rsidRPr="00AC72B5">
        <w:rPr>
          <w:i/>
          <w:w w:val="98"/>
        </w:rPr>
        <w:t>Turkmenistán</w:t>
      </w:r>
      <w:r w:rsidRPr="00AC72B5">
        <w:rPr>
          <w:w w:val="98"/>
        </w:rPr>
        <w:t>, ¶ 32, Doc. ONU CRPD/C/TKM/CO/1 (2015);</w:t>
      </w:r>
      <w:r w:rsidRPr="00AC72B5">
        <w:rPr>
          <w:i/>
          <w:w w:val="98"/>
        </w:rPr>
        <w:t xml:space="preserve"> Observaciones Finales: Mongolia</w:t>
      </w:r>
      <w:r w:rsidRPr="00AC72B5">
        <w:rPr>
          <w:w w:val="98"/>
        </w:rPr>
        <w:t xml:space="preserve">, ¶ 28, Doc. ONU CRPD/C/MNG/CO/1 (2015); </w:t>
      </w:r>
      <w:r w:rsidRPr="00AC72B5">
        <w:rPr>
          <w:i/>
          <w:w w:val="98"/>
        </w:rPr>
        <w:t>Alemania</w:t>
      </w:r>
      <w:r w:rsidRPr="00AC72B5">
        <w:rPr>
          <w:w w:val="98"/>
        </w:rPr>
        <w:t xml:space="preserve">, ¶ 38, Doc. ONU CAT/C/DEU/CO/1 (2015); </w:t>
      </w:r>
      <w:r w:rsidRPr="00AC72B5">
        <w:rPr>
          <w:i/>
          <w:w w:val="98"/>
        </w:rPr>
        <w:t>República Checa</w:t>
      </w:r>
      <w:r w:rsidRPr="00AC72B5">
        <w:rPr>
          <w:w w:val="98"/>
        </w:rPr>
        <w:t xml:space="preserve">, ¶ 36, Doc. ONU CRPD/C/CZE/CO/1 (2015); </w:t>
      </w:r>
      <w:r w:rsidRPr="00AC72B5">
        <w:rPr>
          <w:i/>
          <w:w w:val="98"/>
        </w:rPr>
        <w:t>Croacia</w:t>
      </w:r>
      <w:r w:rsidRPr="00AC72B5">
        <w:rPr>
          <w:w w:val="98"/>
        </w:rPr>
        <w:t xml:space="preserve">, ¶ 27, Doc. ONU CRPD/C/HRV/CO/1 (2015); </w:t>
      </w:r>
      <w:r w:rsidRPr="00AC72B5">
        <w:rPr>
          <w:i/>
          <w:w w:val="98"/>
        </w:rPr>
        <w:t>Islas Cook</w:t>
      </w:r>
      <w:r w:rsidRPr="00AC72B5">
        <w:rPr>
          <w:w w:val="98"/>
        </w:rPr>
        <w:t xml:space="preserve">, ¶ 36, Doc. ONU CRPD/C/COK/CO/1 (2015); </w:t>
      </w:r>
      <w:r w:rsidRPr="00AC72B5">
        <w:rPr>
          <w:i/>
          <w:w w:val="98"/>
        </w:rPr>
        <w:t>Kenia</w:t>
      </w:r>
      <w:r w:rsidRPr="00AC72B5">
        <w:rPr>
          <w:w w:val="98"/>
        </w:rPr>
        <w:t xml:space="preserve">, ¶ 34, Doc. ONU CRPD/C/KEN/CO/1 (2015); </w:t>
      </w:r>
      <w:r w:rsidRPr="00AC72B5">
        <w:rPr>
          <w:i/>
          <w:w w:val="98"/>
        </w:rPr>
        <w:t>Nueva Zelanda</w:t>
      </w:r>
      <w:r w:rsidRPr="00AC72B5">
        <w:rPr>
          <w:w w:val="98"/>
        </w:rPr>
        <w:t xml:space="preserve">, ¶ 38, Doc. ONU CRPD/C/NZL/CO/1 (2014); </w:t>
      </w:r>
      <w:r w:rsidRPr="00AC72B5">
        <w:rPr>
          <w:i/>
          <w:w w:val="98"/>
        </w:rPr>
        <w:t>Ecuador</w:t>
      </w:r>
      <w:r w:rsidRPr="00AC72B5">
        <w:rPr>
          <w:w w:val="98"/>
        </w:rPr>
        <w:t xml:space="preserve">, ¶ 41, Doc. ONU CRPD/C/ECU/CO/1 (2014); </w:t>
      </w:r>
      <w:r w:rsidRPr="00AC72B5">
        <w:rPr>
          <w:i/>
          <w:w w:val="98"/>
        </w:rPr>
        <w:t>Australia</w:t>
      </w:r>
      <w:r w:rsidRPr="00AC72B5">
        <w:rPr>
          <w:w w:val="98"/>
        </w:rPr>
        <w:t xml:space="preserve">, ¶ 40, Doc. ONU CRPD/C/AUS/CO/1 (2012); </w:t>
      </w:r>
      <w:r w:rsidRPr="00AC72B5">
        <w:rPr>
          <w:i/>
          <w:w w:val="98"/>
        </w:rPr>
        <w:t>Perú</w:t>
      </w:r>
      <w:r w:rsidRPr="00AC72B5">
        <w:rPr>
          <w:w w:val="98"/>
        </w:rPr>
        <w:t xml:space="preserve">, ¶ 34, Doc. ONU CRPD/C/PER/CO/1 (2012); </w:t>
      </w:r>
      <w:r w:rsidRPr="00AC72B5">
        <w:rPr>
          <w:i/>
          <w:w w:val="98"/>
        </w:rPr>
        <w:t>España</w:t>
      </w:r>
      <w:r w:rsidRPr="00AC72B5">
        <w:rPr>
          <w:w w:val="98"/>
        </w:rPr>
        <w:t>, ¶ 38, Doc. ONU CRPD/C/ESP/CO/1 (2011).</w:t>
      </w:r>
    </w:p>
  </w:endnote>
  <w:endnote w:id="445">
    <w:p w14:paraId="5A25C5AD" w14:textId="61E388A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Colombia</w:t>
      </w:r>
      <w:r w:rsidRPr="00AC72B5">
        <w:rPr>
          <w:w w:val="98"/>
        </w:rPr>
        <w:t xml:space="preserve">, ¶ 31, Doc. ONU CRPD/C/COL/CO/1 (2016); </w:t>
      </w:r>
      <w:r w:rsidRPr="00AC72B5">
        <w:rPr>
          <w:i/>
          <w:w w:val="98"/>
        </w:rPr>
        <w:t>Eslovaquia</w:t>
      </w:r>
      <w:r w:rsidRPr="00AC72B5">
        <w:rPr>
          <w:w w:val="98"/>
        </w:rPr>
        <w:t>, ¶ 52, Doc. ONU CRPD/C/SVK/CO/1 (2016).</w:t>
      </w:r>
    </w:p>
  </w:endnote>
  <w:endnote w:id="446">
    <w:p w14:paraId="7DD007F3" w14:textId="6CCAA8D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Colombia</w:t>
      </w:r>
      <w:r w:rsidRPr="00AC72B5">
        <w:rPr>
          <w:w w:val="98"/>
        </w:rPr>
        <w:t xml:space="preserve">, ¶ 31, Doc. ONU CRPD/C/COL/CO/1 (2016); </w:t>
      </w:r>
      <w:r w:rsidRPr="00AC72B5">
        <w:rPr>
          <w:i/>
          <w:w w:val="98"/>
        </w:rPr>
        <w:t>Eslovaquia</w:t>
      </w:r>
      <w:r w:rsidRPr="00AC72B5">
        <w:rPr>
          <w:w w:val="98"/>
        </w:rPr>
        <w:t xml:space="preserve">, ¶ 52, Doc. ONU CRPD/C/SVK/CO/1 (2016); </w:t>
      </w:r>
      <w:r w:rsidRPr="00AC72B5">
        <w:rPr>
          <w:i/>
          <w:w w:val="98"/>
        </w:rPr>
        <w:t>Serbia</w:t>
      </w:r>
      <w:r w:rsidRPr="00AC72B5">
        <w:rPr>
          <w:w w:val="98"/>
        </w:rPr>
        <w:t xml:space="preserve">, ¶ 38, Doc. ONU CRPD/C/SRB/CO/1 (2016); </w:t>
      </w:r>
      <w:r w:rsidRPr="00AC72B5">
        <w:rPr>
          <w:i/>
          <w:w w:val="98"/>
        </w:rPr>
        <w:t>Portugal</w:t>
      </w:r>
      <w:r w:rsidRPr="00AC72B5">
        <w:rPr>
          <w:w w:val="98"/>
        </w:rPr>
        <w:t>, ¶ 37, Doc. ONU CRPD/C/PRT/CO/1 (2016).</w:t>
      </w:r>
    </w:p>
  </w:endnote>
  <w:endnote w:id="447">
    <w:p w14:paraId="4FE93D53" w14:textId="223E2D2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Tailandia</w:t>
      </w:r>
      <w:r w:rsidRPr="00AC72B5">
        <w:rPr>
          <w:w w:val="98"/>
        </w:rPr>
        <w:t xml:space="preserve">, ¶ 36, Doc. ONU CRPD/C/THA/CO/1 (2016); </w:t>
      </w:r>
      <w:r w:rsidRPr="00AC72B5">
        <w:rPr>
          <w:i/>
          <w:w w:val="98"/>
        </w:rPr>
        <w:t>Portugal</w:t>
      </w:r>
      <w:r w:rsidRPr="00AC72B5">
        <w:rPr>
          <w:w w:val="98"/>
        </w:rPr>
        <w:t xml:space="preserve">, ¶ 37, Doc. ONU CRPD/C/PRT/CO/1 (2016); </w:t>
      </w:r>
      <w:r w:rsidRPr="00AC72B5">
        <w:rPr>
          <w:i/>
          <w:w w:val="98"/>
        </w:rPr>
        <w:t>Chile</w:t>
      </w:r>
      <w:r w:rsidRPr="00AC72B5">
        <w:rPr>
          <w:w w:val="98"/>
        </w:rPr>
        <w:t>, ¶ 42, Doc. ONU CRPD/C/CHL/CO/1 (2016).</w:t>
      </w:r>
    </w:p>
  </w:endnote>
  <w:endnote w:id="448">
    <w:p w14:paraId="635066BB" w14:textId="402144A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Kenia</w:t>
      </w:r>
      <w:r w:rsidRPr="00AC72B5">
        <w:rPr>
          <w:w w:val="98"/>
        </w:rPr>
        <w:t>, ¶ 34, Doc. ONU CRPD/C/KEN/CO/1 (2015).</w:t>
      </w:r>
    </w:p>
  </w:endnote>
  <w:endnote w:id="449">
    <w:p w14:paraId="6D7092F6" w14:textId="299ACA0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Chile</w:t>
      </w:r>
      <w:r w:rsidRPr="00AC72B5">
        <w:rPr>
          <w:w w:val="98"/>
        </w:rPr>
        <w:t>, ¶ 42, Doc. ONU CRPD/C/CHL/CO/1 (2016).</w:t>
      </w:r>
    </w:p>
  </w:endnote>
  <w:endnote w:id="450">
    <w:p w14:paraId="0A729984" w14:textId="14AC564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Croacia</w:t>
      </w:r>
      <w:r w:rsidRPr="00AC72B5">
        <w:rPr>
          <w:w w:val="98"/>
        </w:rPr>
        <w:t>, ¶ 28, Doc. ONU CRPD/C/HRV/CO/1 (2015).</w:t>
      </w:r>
    </w:p>
  </w:endnote>
  <w:endnote w:id="451">
    <w:p w14:paraId="4382E22A" w14:textId="1E17E59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Eslovaquia</w:t>
      </w:r>
      <w:r w:rsidRPr="00AC72B5">
        <w:rPr>
          <w:w w:val="98"/>
        </w:rPr>
        <w:t xml:space="preserve">, ¶¶ 51-52, Doc. ONU CRPD/C/SVK/CO/1 (2016); </w:t>
      </w:r>
      <w:r w:rsidRPr="00AC72B5">
        <w:rPr>
          <w:i/>
          <w:w w:val="98"/>
        </w:rPr>
        <w:t>Corea</w:t>
      </w:r>
      <w:r w:rsidRPr="00AC72B5">
        <w:rPr>
          <w:w w:val="98"/>
        </w:rPr>
        <w:t>, ¶ 33, Doc. ONU CRPD/C/KOR/CO/1 (2014).</w:t>
      </w:r>
    </w:p>
  </w:endnote>
  <w:endnote w:id="452">
    <w:p w14:paraId="235D269C" w14:textId="74D3B3A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Corea</w:t>
      </w:r>
      <w:r w:rsidRPr="00AC72B5">
        <w:rPr>
          <w:w w:val="98"/>
        </w:rPr>
        <w:t>, ¶ 34, Doc. ONU CRPD/C/KOR/CO/1 (2014).</w:t>
      </w:r>
    </w:p>
  </w:endnote>
  <w:endnote w:id="453">
    <w:p w14:paraId="73CBDDD3" w14:textId="054DD8E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México</w:t>
      </w:r>
      <w:r w:rsidRPr="00AC72B5">
        <w:rPr>
          <w:w w:val="98"/>
        </w:rPr>
        <w:t>, ¶ 38, Doc. ONU CRPD/C/MEX/CO/1 (2014).</w:t>
      </w:r>
    </w:p>
  </w:endnote>
  <w:endnote w:id="454">
    <w:p w14:paraId="02FCC057" w14:textId="6B878D2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República Dominicana</w:t>
      </w:r>
      <w:r w:rsidRPr="00AC72B5">
        <w:rPr>
          <w:w w:val="98"/>
        </w:rPr>
        <w:t>,</w:t>
      </w:r>
      <w:r w:rsidRPr="00AC72B5">
        <w:rPr>
          <w:i/>
          <w:w w:val="98"/>
        </w:rPr>
        <w:t xml:space="preserve"> </w:t>
      </w:r>
      <w:r w:rsidRPr="00AC72B5">
        <w:rPr>
          <w:w w:val="98"/>
        </w:rPr>
        <w:t>¶ 35, Doc. ONU CRPD/C/DOM/CO/1 (2015).</w:t>
      </w:r>
    </w:p>
  </w:endnote>
  <w:endnote w:id="455">
    <w:p w14:paraId="31BC32B4" w14:textId="2FD969F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Costa Rica</w:t>
      </w:r>
      <w:r w:rsidRPr="00AC72B5">
        <w:rPr>
          <w:w w:val="98"/>
        </w:rPr>
        <w:t xml:space="preserve">, ¶ 53, Doc. ONU CRPD/C/CRI/CO/1 (2014); </w:t>
      </w:r>
      <w:r w:rsidRPr="00AC72B5">
        <w:rPr>
          <w:i/>
          <w:w w:val="98"/>
        </w:rPr>
        <w:t>Corea</w:t>
      </w:r>
      <w:r w:rsidRPr="00AC72B5">
        <w:rPr>
          <w:w w:val="98"/>
        </w:rPr>
        <w:t>, ¶ 34, Doc. ONU CRPD/C/KOR/CO/1 (2014).</w:t>
      </w:r>
    </w:p>
  </w:endnote>
  <w:endnote w:id="456">
    <w:p w14:paraId="24BDC0A5" w14:textId="57EE7D7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República Dominicana</w:t>
      </w:r>
      <w:r w:rsidRPr="00AC72B5">
        <w:rPr>
          <w:w w:val="98"/>
        </w:rPr>
        <w:t>,</w:t>
      </w:r>
      <w:r w:rsidRPr="00AC72B5">
        <w:rPr>
          <w:i/>
          <w:w w:val="98"/>
        </w:rPr>
        <w:t xml:space="preserve"> </w:t>
      </w:r>
      <w:r w:rsidRPr="00AC72B5">
        <w:rPr>
          <w:w w:val="98"/>
        </w:rPr>
        <w:t>¶ 35, Doc. ONU CRPD/C/DOM/CO/1 (2015).</w:t>
      </w:r>
    </w:p>
  </w:endnote>
  <w:endnote w:id="457">
    <w:p w14:paraId="6F4D8C79" w14:textId="2725A73B" w:rsidR="005E3DDD" w:rsidRPr="00AC72B5" w:rsidRDefault="005E3DDD" w:rsidP="00AC72B5">
      <w:pPr>
        <w:pStyle w:val="EndnoteText"/>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Kenia</w:t>
      </w:r>
      <w:r w:rsidRPr="00AC72B5">
        <w:rPr>
          <w:w w:val="98"/>
        </w:rPr>
        <w:t xml:space="preserve">, ¶ 34, Doc. </w:t>
      </w:r>
      <w:r w:rsidRPr="00AC72B5">
        <w:rPr>
          <w:w w:val="98"/>
          <w:lang w:val="es-CO"/>
        </w:rPr>
        <w:t>ONU CRPD/C/KEN/CO/1 (2015).</w:t>
      </w:r>
    </w:p>
  </w:endnote>
  <w:endnote w:id="458">
    <w:p w14:paraId="46DE6A5D" w14:textId="4A846D5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México</w:t>
      </w:r>
      <w:r w:rsidRPr="00AC72B5">
        <w:rPr>
          <w:w w:val="98"/>
        </w:rPr>
        <w:t>, ¶ 50, Doc. ONU CRPD/C/MEX/CO/1 (2014).</w:t>
      </w:r>
    </w:p>
  </w:endnote>
  <w:endnote w:id="459">
    <w:p w14:paraId="2EADCC27" w14:textId="5FB08C6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El Salvador</w:t>
      </w:r>
      <w:r w:rsidRPr="00AC72B5">
        <w:rPr>
          <w:w w:val="98"/>
        </w:rPr>
        <w:t>, ¶ 38, Doc. ONU CRPD/C/SLV/CO/1 (2013).</w:t>
      </w:r>
    </w:p>
  </w:endnote>
  <w:endnote w:id="460">
    <w:p w14:paraId="6124D4FC" w14:textId="5C8A154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Italia</w:t>
      </w:r>
      <w:r w:rsidRPr="00AC72B5">
        <w:rPr>
          <w:w w:val="98"/>
        </w:rPr>
        <w:t>, ¶ 64, Doc. ONU CRPD/C/ITA/CO/1 (2016).</w:t>
      </w:r>
    </w:p>
  </w:endnote>
  <w:endnote w:id="461">
    <w:p w14:paraId="23683E91" w14:textId="256053D3" w:rsidR="005E3DDD" w:rsidRPr="00AC72B5" w:rsidRDefault="005E3DDD" w:rsidP="00AC72B5">
      <w:pPr>
        <w:pStyle w:val="EndnoteText"/>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Colombia</w:t>
      </w:r>
      <w:r w:rsidRPr="00AC72B5">
        <w:rPr>
          <w:w w:val="98"/>
        </w:rPr>
        <w:t xml:space="preserve">, ¶ 47, Doc. </w:t>
      </w:r>
      <w:r w:rsidRPr="00AC72B5">
        <w:rPr>
          <w:w w:val="98"/>
          <w:lang w:val="es-CO"/>
        </w:rPr>
        <w:t>ONU CRPD/C/COL/CO/1 (2016).</w:t>
      </w:r>
    </w:p>
  </w:endnote>
  <w:endnote w:id="462">
    <w:p w14:paraId="268AFA17" w14:textId="74A0F1B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Corea</w:t>
      </w:r>
      <w:r w:rsidRPr="00AC72B5">
        <w:rPr>
          <w:w w:val="98"/>
        </w:rPr>
        <w:t>, ¶ 34, Doc. ONU CRPD/C/KOR/CO/1 (2014).</w:t>
      </w:r>
    </w:p>
  </w:endnote>
  <w:endnote w:id="463">
    <w:p w14:paraId="7147C593" w14:textId="412D8E39" w:rsidR="005E3DDD" w:rsidRPr="00AC72B5" w:rsidRDefault="005E3DDD" w:rsidP="00AC72B5">
      <w:pPr>
        <w:pStyle w:val="EndnoteText"/>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Croacia</w:t>
      </w:r>
      <w:r w:rsidRPr="00AC72B5">
        <w:rPr>
          <w:w w:val="98"/>
        </w:rPr>
        <w:t xml:space="preserve">, ¶ 28, Doc. </w:t>
      </w:r>
      <w:r w:rsidRPr="00AC72B5">
        <w:rPr>
          <w:w w:val="98"/>
          <w:lang w:val="es-CO"/>
        </w:rPr>
        <w:t>ONU CRPD/C/HRV/CO/1 (2015).</w:t>
      </w:r>
    </w:p>
  </w:endnote>
  <w:endnote w:id="464">
    <w:p w14:paraId="4E6D722E" w14:textId="5FC9B97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Eslovaquia</w:t>
      </w:r>
      <w:r w:rsidRPr="00AC72B5">
        <w:rPr>
          <w:w w:val="98"/>
        </w:rPr>
        <w:t>, ¶¶ 51-52, Doc. ONU CRPD/C/SVK/CO/1 (2016).</w:t>
      </w:r>
    </w:p>
  </w:endnote>
  <w:endnote w:id="465">
    <w:p w14:paraId="7A77275F" w14:textId="58DDC28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CDPD, </w:t>
      </w:r>
      <w:r w:rsidRPr="00AC72B5">
        <w:rPr>
          <w:i/>
          <w:w w:val="98"/>
        </w:rPr>
        <w:t>Observaciones Finales: Serbia</w:t>
      </w:r>
      <w:r w:rsidRPr="00AC72B5">
        <w:rPr>
          <w:w w:val="98"/>
        </w:rPr>
        <w:t xml:space="preserve">, ¶ 34, Doc. ONU CRPD/C/SRB/CO/1 (2016); </w:t>
      </w:r>
      <w:r w:rsidRPr="00AC72B5">
        <w:rPr>
          <w:i/>
          <w:w w:val="98"/>
        </w:rPr>
        <w:t>República Dominicana</w:t>
      </w:r>
      <w:r w:rsidRPr="00AC72B5">
        <w:rPr>
          <w:w w:val="98"/>
        </w:rPr>
        <w:t xml:space="preserve">, ¶ 35, Doc. ONU CAT/C/DOM/CO/1 (2015); </w:t>
      </w:r>
      <w:r w:rsidRPr="00AC72B5">
        <w:rPr>
          <w:i/>
          <w:w w:val="98"/>
        </w:rPr>
        <w:t>República Checa</w:t>
      </w:r>
      <w:r w:rsidRPr="00AC72B5">
        <w:rPr>
          <w:w w:val="98"/>
        </w:rPr>
        <w:t xml:space="preserve">, ¶ 36, Doc. ONU CRPD/C/CZE/CO/1 (2015); </w:t>
      </w:r>
      <w:r w:rsidRPr="00AC72B5">
        <w:rPr>
          <w:i/>
          <w:w w:val="98"/>
        </w:rPr>
        <w:t>Ucrania</w:t>
      </w:r>
      <w:r w:rsidRPr="00AC72B5">
        <w:rPr>
          <w:w w:val="98"/>
        </w:rPr>
        <w:t xml:space="preserve">, ¶ 35, Doc. ONU CRPD/C/UKR/CO/1 (2015); </w:t>
      </w:r>
      <w:r w:rsidRPr="00AC72B5">
        <w:rPr>
          <w:i/>
          <w:w w:val="98"/>
        </w:rPr>
        <w:t>México</w:t>
      </w:r>
      <w:r w:rsidRPr="00AC72B5">
        <w:rPr>
          <w:w w:val="98"/>
        </w:rPr>
        <w:t xml:space="preserve">, ¶ 38, Doc. ONU CRPD/C/MEX/CO/1 (2014). </w:t>
      </w:r>
    </w:p>
  </w:endnote>
  <w:endnote w:id="466">
    <w:p w14:paraId="4DEEDA4C" w14:textId="6F97FC9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para la Eliminación de la Discriminación contra la Mujer (Comité CEDAW, por sus siglas en inglés), </w:t>
      </w:r>
      <w:r w:rsidRPr="00AC72B5">
        <w:rPr>
          <w:i/>
          <w:w w:val="98"/>
        </w:rPr>
        <w:t>Recomendación General Núm. 15:</w:t>
      </w:r>
      <w:r>
        <w:rPr>
          <w:i/>
          <w:w w:val="98"/>
        </w:rPr>
        <w:t xml:space="preserve"> </w:t>
      </w:r>
      <w:r w:rsidRPr="00AC72B5">
        <w:rPr>
          <w:i/>
          <w:w w:val="98"/>
        </w:rPr>
        <w:t>Necesidad de evitar la discriminación contra la mujer en las estrategias nacionales de acción preventiva y lucha contra el síndrome de inmunodeficiencia adquirida (SIDA)</w:t>
      </w:r>
      <w:r w:rsidRPr="00AC72B5">
        <w:rPr>
          <w:w w:val="98"/>
        </w:rPr>
        <w:t>, ¶ 5, Doc. ONU CEDAW/C/GC/15 (1990).</w:t>
      </w:r>
    </w:p>
  </w:endnote>
  <w:endnote w:id="467">
    <w:p w14:paraId="41513BBB" w14:textId="6EA33CD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Recomendación General Núm. 18: Mujeres con discapacidad</w:t>
      </w:r>
      <w:r w:rsidRPr="00AC72B5">
        <w:rPr>
          <w:w w:val="98"/>
        </w:rPr>
        <w:t>, ONU Doc CEDAW/C/GC/18 (1991).</w:t>
      </w:r>
    </w:p>
  </w:endnote>
  <w:endnote w:id="468">
    <w:p w14:paraId="31F53018" w14:textId="04BA287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Recomendación General Núm. 19: La violencia contra la mujer</w:t>
      </w:r>
      <w:r w:rsidRPr="00AC72B5">
        <w:rPr>
          <w:w w:val="98"/>
        </w:rPr>
        <w:t>, ¶ 22, Doc. ONU CEDAW/C/GC/19 (1992).</w:t>
      </w:r>
    </w:p>
  </w:endnote>
  <w:endnote w:id="469">
    <w:p w14:paraId="021E75A4" w14:textId="7C6C6D7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Recomendación General Núm. 19: La violencia contra la mujer</w:t>
      </w:r>
      <w:r w:rsidRPr="00AC72B5">
        <w:rPr>
          <w:w w:val="98"/>
        </w:rPr>
        <w:t>, ¶ 24(m), Doc. ONU CEDAW/C/GC/19 (1992).</w:t>
      </w:r>
    </w:p>
  </w:endnote>
  <w:endnote w:id="470">
    <w:p w14:paraId="7610A3E5" w14:textId="5B8AD2B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Recomendación General Núm. 19: La violencia contra la mujer</w:t>
      </w:r>
      <w:r w:rsidRPr="00AC72B5">
        <w:rPr>
          <w:w w:val="98"/>
        </w:rPr>
        <w:t>, ¶ 24(m), Doc. ONU CEDAW/C/GC/19 (1992).</w:t>
      </w:r>
    </w:p>
  </w:endnote>
  <w:endnote w:id="471">
    <w:p w14:paraId="0DFC89B2" w14:textId="3D96A54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Recomendación General Núm. 21: La igualdad en el matrimonio y en las relaciones familiares</w:t>
      </w:r>
      <w:r w:rsidRPr="00AC72B5">
        <w:rPr>
          <w:w w:val="98"/>
        </w:rPr>
        <w:t>, ¶ 21, Doc. ONU CEDAW/C/GC/21 (1994).</w:t>
      </w:r>
    </w:p>
  </w:endnote>
  <w:endnote w:id="472">
    <w:p w14:paraId="7AF38E56" w14:textId="3B91CEA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Recomendación General Núm. 21: La igualdad en el matrimonio y en las relaciones familiares</w:t>
      </w:r>
      <w:r w:rsidRPr="00AC72B5">
        <w:rPr>
          <w:w w:val="98"/>
        </w:rPr>
        <w:t>, ¶ 21, Doc. ONU CEDAW/C/GC/21 (1994).</w:t>
      </w:r>
    </w:p>
  </w:endnote>
  <w:endnote w:id="473">
    <w:p w14:paraId="343A5931" w14:textId="611502D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Recomendación General Núm. 21: La igualdad en el matrimonio y en las relaciones familiares</w:t>
      </w:r>
      <w:r w:rsidRPr="00AC72B5">
        <w:rPr>
          <w:w w:val="98"/>
        </w:rPr>
        <w:t>, ¶ 22, Doc. ONU CEDAW/C/GC/21 (1994).</w:t>
      </w:r>
    </w:p>
  </w:endnote>
  <w:endnote w:id="474">
    <w:p w14:paraId="43698E6B" w14:textId="6613A29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Recomendación General Núm. 23: Vida política y pública</w:t>
      </w:r>
      <w:r w:rsidRPr="00AC72B5">
        <w:rPr>
          <w:w w:val="98"/>
        </w:rPr>
        <w:t>, ¶ 8, Doc. ONU CEDAW/C/GC/23 (1997).</w:t>
      </w:r>
    </w:p>
  </w:endnote>
  <w:endnote w:id="475">
    <w:p w14:paraId="18A6A9A6" w14:textId="02CA860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Recomendación General Núm. 23: Vida política y pública</w:t>
      </w:r>
      <w:r w:rsidRPr="00AC72B5">
        <w:rPr>
          <w:w w:val="98"/>
        </w:rPr>
        <w:t>, ¶ 8, Doc. ONU CEDAW/C/GC/23 (1997).</w:t>
      </w:r>
    </w:p>
  </w:endnote>
  <w:endnote w:id="476">
    <w:p w14:paraId="25815BDB" w14:textId="1B7305C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Recomendación General Núm. 24: Artículo 12 de la Convención (La mujer y la salud)</w:t>
      </w:r>
      <w:r w:rsidRPr="00AC72B5">
        <w:rPr>
          <w:w w:val="98"/>
        </w:rPr>
        <w:t>, ¶ 11, Doc. ONU CEDAW/C/GC/24 (1999).</w:t>
      </w:r>
    </w:p>
  </w:endnote>
  <w:endnote w:id="477">
    <w:p w14:paraId="4A76FBA5" w14:textId="3D11C6C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Recomendación General Núm. 24: Artículo 12 de la Convención (La mujer y la salud)</w:t>
      </w:r>
      <w:r w:rsidRPr="00AC72B5">
        <w:rPr>
          <w:w w:val="98"/>
        </w:rPr>
        <w:t>, ¶ 12, Doc. ONU CEDAW/C/GC/24 (1999).</w:t>
      </w:r>
    </w:p>
  </w:endnote>
  <w:endnote w:id="478">
    <w:p w14:paraId="4E9C1DC0" w14:textId="6D2F081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Recomendación General Núm. 24: Artículo 12 de la Convención (La mujer y la salud)</w:t>
      </w:r>
      <w:r w:rsidRPr="00AC72B5">
        <w:rPr>
          <w:w w:val="98"/>
        </w:rPr>
        <w:t>, ¶ 22, Doc. ONU CEDAW/C/GC/24 (1999).</w:t>
      </w:r>
    </w:p>
  </w:endnote>
  <w:endnote w:id="479">
    <w:p w14:paraId="10B5D0A8" w14:textId="11096B3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Recomendación General Núm. 24: Artículo 12 de la Convención (La mujer y la salud)</w:t>
      </w:r>
      <w:r w:rsidRPr="00AC72B5">
        <w:rPr>
          <w:w w:val="98"/>
        </w:rPr>
        <w:t>, ¶ 24(m), Doc. ONU CEDAW/C/GC/24 (1999).</w:t>
      </w:r>
    </w:p>
  </w:endnote>
  <w:endnote w:id="480">
    <w:p w14:paraId="5397FDA5" w14:textId="4CFCCB6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Recomendación General Núm. 26 sobre las trabajadoras migratorias</w:t>
      </w:r>
      <w:r w:rsidRPr="00AC72B5">
        <w:rPr>
          <w:w w:val="98"/>
        </w:rPr>
        <w:t>, ¶ 17, Doc. ONU CEDAW/C/2009/WP.1/R (2008).</w:t>
      </w:r>
    </w:p>
  </w:endnote>
  <w:endnote w:id="481">
    <w:p w14:paraId="0174BE47" w14:textId="1DFB0E8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Recomendación General Núm. 26 sobre las trabajadoras migratorias</w:t>
      </w:r>
      <w:r w:rsidRPr="00AC72B5">
        <w:rPr>
          <w:w w:val="98"/>
        </w:rPr>
        <w:t>, ¶ 24, Doc. ONU CEDAW/C/2009/WP.1/R (2008).</w:t>
      </w:r>
    </w:p>
  </w:endnote>
  <w:endnote w:id="482">
    <w:p w14:paraId="060E48B1" w14:textId="2840E88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Recomendación General Núm. 27 sobre las mujeres de edad y la protección de sus derechos humanos</w:t>
      </w:r>
      <w:r w:rsidRPr="00AC72B5">
        <w:rPr>
          <w:w w:val="98"/>
        </w:rPr>
        <w:t>, ¶ 14, Doc. ONU CEDAW/C/GC/27 (2010).</w:t>
      </w:r>
    </w:p>
  </w:endnote>
  <w:endnote w:id="483">
    <w:p w14:paraId="21645179" w14:textId="2F96DDB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Recomendación General Núm. 27 sobre las mujeres de edad</w:t>
      </w:r>
      <w:r>
        <w:rPr>
          <w:i/>
          <w:w w:val="98"/>
        </w:rPr>
        <w:t xml:space="preserve"> </w:t>
      </w:r>
      <w:r w:rsidRPr="00AC72B5">
        <w:rPr>
          <w:i/>
          <w:w w:val="98"/>
        </w:rPr>
        <w:t>y la protección de sus derechos humanos</w:t>
      </w:r>
      <w:r w:rsidRPr="00AC72B5">
        <w:rPr>
          <w:w w:val="98"/>
        </w:rPr>
        <w:t>, ¶ 21 Doc. ONU CEDAW/C/GC/27 (2010).</w:t>
      </w:r>
    </w:p>
  </w:endnote>
  <w:endnote w:id="484">
    <w:p w14:paraId="6CF99188" w14:textId="15A9A3B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Recomendación General Núm. 27 sobre las mujeres de edad</w:t>
      </w:r>
      <w:r>
        <w:rPr>
          <w:i/>
          <w:w w:val="98"/>
        </w:rPr>
        <w:t xml:space="preserve"> </w:t>
      </w:r>
      <w:r w:rsidRPr="00AC72B5">
        <w:rPr>
          <w:i/>
          <w:w w:val="98"/>
        </w:rPr>
        <w:t>y la protección de sus derechos humanos</w:t>
      </w:r>
      <w:r w:rsidRPr="00AC72B5">
        <w:rPr>
          <w:w w:val="98"/>
        </w:rPr>
        <w:t>, ¶ 45, Doc. ONU CEDAW/C/GC/27 (2010).</w:t>
      </w:r>
    </w:p>
  </w:endnote>
  <w:endnote w:id="485">
    <w:p w14:paraId="1979808B" w14:textId="2DDA23F5" w:rsidR="005E3DDD" w:rsidRPr="00AC72B5" w:rsidRDefault="005E3DDD" w:rsidP="00AC72B5">
      <w:pPr>
        <w:pStyle w:val="EndnoteText"/>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 xml:space="preserve">Recomendación General Núm. 30 sobre las mujeres en la prevención de conflictos y en situaciones de conflicto y posteriores a conflictos, </w:t>
      </w:r>
      <w:r w:rsidRPr="00AC72B5">
        <w:rPr>
          <w:w w:val="98"/>
        </w:rPr>
        <w:t xml:space="preserve">¶ 50, Doc. </w:t>
      </w:r>
      <w:r w:rsidRPr="00AC72B5">
        <w:rPr>
          <w:w w:val="98"/>
          <w:lang w:val="es-CO"/>
        </w:rPr>
        <w:t>ONU CEDAW/C/GC/30 (2013).</w:t>
      </w:r>
    </w:p>
  </w:endnote>
  <w:endnote w:id="486">
    <w:p w14:paraId="32CA0C6C" w14:textId="02D582CD" w:rsidR="005E3DDD" w:rsidRPr="00AC72B5" w:rsidRDefault="005E3DDD" w:rsidP="00AC72B5">
      <w:pPr>
        <w:pStyle w:val="EndnoteText"/>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lang w:val="es-CO"/>
        </w:rPr>
        <w:t xml:space="preserve"> Comité CEDAW, </w:t>
      </w:r>
      <w:r w:rsidRPr="00AC72B5">
        <w:rPr>
          <w:i/>
          <w:w w:val="98"/>
          <w:lang w:val="es-CO"/>
        </w:rPr>
        <w:t xml:space="preserve">Recomendación General Núm. 30 </w:t>
      </w:r>
      <w:r w:rsidRPr="00AC72B5">
        <w:rPr>
          <w:i/>
          <w:w w:val="98"/>
        </w:rPr>
        <w:t>sobre las mujeres en la prevención de conflictos y en situaciones de conflicto y posteriores a conflictos,</w:t>
      </w:r>
      <w:r w:rsidRPr="00AC72B5">
        <w:rPr>
          <w:w w:val="98"/>
          <w:lang w:val="es-CO"/>
        </w:rPr>
        <w:t xml:space="preserve"> ¶ 50, Doc. ONU CEDAW/C/GC/30 (2013).</w:t>
      </w:r>
    </w:p>
  </w:endnote>
  <w:endnote w:id="487">
    <w:p w14:paraId="48B9F546" w14:textId="208B11A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lang w:val="es-CO"/>
        </w:rPr>
        <w:t xml:space="preserve"> Comité CEDAW, </w:t>
      </w:r>
      <w:r w:rsidRPr="00AC72B5">
        <w:rPr>
          <w:i/>
          <w:w w:val="98"/>
          <w:lang w:val="es-CO"/>
        </w:rPr>
        <w:t xml:space="preserve">Recomendación General Núm. 30 </w:t>
      </w:r>
      <w:r w:rsidRPr="00AC72B5">
        <w:rPr>
          <w:i/>
          <w:w w:val="98"/>
        </w:rPr>
        <w:t>sobre las mujeres en la prevención de conflictos y en situaciones de conflicto y posteriores a conflictos</w:t>
      </w:r>
      <w:r w:rsidRPr="00AC72B5">
        <w:rPr>
          <w:w w:val="98"/>
          <w:lang w:val="es-CO"/>
        </w:rPr>
        <w:t xml:space="preserve">, ¶ 52(c), Doc. </w:t>
      </w:r>
      <w:r w:rsidRPr="00AC72B5">
        <w:rPr>
          <w:w w:val="98"/>
        </w:rPr>
        <w:t>ONU CEDAW/C/GC/30 (2013).</w:t>
      </w:r>
    </w:p>
  </w:endnote>
  <w:endnote w:id="488">
    <w:p w14:paraId="03F43898" w14:textId="624BEF2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y Comité de los Derechos del Niño (Comité CDN), </w:t>
      </w:r>
      <w:r w:rsidRPr="00AC72B5">
        <w:rPr>
          <w:i/>
          <w:w w:val="98"/>
        </w:rPr>
        <w:t>Recomendación General</w:t>
      </w:r>
      <w:r w:rsidRPr="00AC72B5">
        <w:rPr>
          <w:w w:val="98"/>
        </w:rPr>
        <w:t xml:space="preserve"> </w:t>
      </w:r>
      <w:r w:rsidRPr="00AC72B5">
        <w:rPr>
          <w:i/>
          <w:w w:val="98"/>
        </w:rPr>
        <w:t>Núm. 31 del Comité para la Eliminación de la Discriminación contra la Mujer y Observación General Núm. 18 del Comité de los Derechos del</w:t>
      </w:r>
      <w:r w:rsidRPr="00AC72B5">
        <w:rPr>
          <w:w w:val="98"/>
        </w:rPr>
        <w:t xml:space="preserve"> </w:t>
      </w:r>
      <w:r w:rsidRPr="00AC72B5">
        <w:rPr>
          <w:i/>
          <w:w w:val="98"/>
        </w:rPr>
        <w:t>Niño sobre prácticas nocivas</w:t>
      </w:r>
      <w:r w:rsidRPr="00AC72B5">
        <w:rPr>
          <w:w w:val="98"/>
        </w:rPr>
        <w:t>, Doc. ONU CEDAW/C/GC/31-CRC/C/GC/18 (2014).</w:t>
      </w:r>
    </w:p>
  </w:endnote>
  <w:endnote w:id="489">
    <w:p w14:paraId="6051C9E5" w14:textId="72FF54F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y Comité CDN, </w:t>
      </w:r>
      <w:r w:rsidRPr="00AC72B5">
        <w:rPr>
          <w:i/>
          <w:w w:val="98"/>
        </w:rPr>
        <w:t>Recomendación General</w:t>
      </w:r>
      <w:r w:rsidRPr="00AC72B5">
        <w:rPr>
          <w:w w:val="98"/>
        </w:rPr>
        <w:t xml:space="preserve"> </w:t>
      </w:r>
      <w:r w:rsidRPr="00AC72B5">
        <w:rPr>
          <w:i/>
          <w:w w:val="98"/>
        </w:rPr>
        <w:t>Núm. 31 del Comité para la Eliminación de la Discriminación contra la Mujer y Observación General Núm. 18 del Comité de los Derechos del</w:t>
      </w:r>
      <w:r w:rsidRPr="00AC72B5">
        <w:rPr>
          <w:w w:val="98"/>
        </w:rPr>
        <w:t xml:space="preserve"> </w:t>
      </w:r>
      <w:r w:rsidRPr="00AC72B5">
        <w:rPr>
          <w:i/>
          <w:w w:val="98"/>
        </w:rPr>
        <w:t>Niño sobre prácticas nocivas</w:t>
      </w:r>
      <w:r w:rsidRPr="00AC72B5">
        <w:rPr>
          <w:w w:val="98"/>
        </w:rPr>
        <w:t>, ¶ 9, Doc. ONU CEDAW/C/GC/31-CRC/C/GC/18 (2014).</w:t>
      </w:r>
    </w:p>
  </w:endnote>
  <w:endnote w:id="490">
    <w:p w14:paraId="71030E99" w14:textId="75E6C01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y Comité CDN, </w:t>
      </w:r>
      <w:r w:rsidRPr="00AC72B5">
        <w:rPr>
          <w:i/>
          <w:w w:val="98"/>
        </w:rPr>
        <w:t>Recomendación General</w:t>
      </w:r>
      <w:r w:rsidRPr="00AC72B5">
        <w:rPr>
          <w:w w:val="98"/>
        </w:rPr>
        <w:t xml:space="preserve"> </w:t>
      </w:r>
      <w:r w:rsidRPr="00AC72B5">
        <w:rPr>
          <w:i/>
          <w:w w:val="98"/>
        </w:rPr>
        <w:t>Núm. 31 del Comité para la Eliminación de la Discriminación contra la Mujer y Observación General Núm. 18 del Comité de los Derechos del</w:t>
      </w:r>
      <w:r w:rsidRPr="00AC72B5">
        <w:rPr>
          <w:w w:val="98"/>
        </w:rPr>
        <w:t xml:space="preserve"> </w:t>
      </w:r>
      <w:r w:rsidRPr="00AC72B5">
        <w:rPr>
          <w:i/>
          <w:w w:val="98"/>
        </w:rPr>
        <w:t>Niño sobre prácticas nocivas</w:t>
      </w:r>
      <w:r w:rsidRPr="00AC72B5">
        <w:rPr>
          <w:w w:val="98"/>
        </w:rPr>
        <w:t>, ¶ 68, Doc. ONU CEDAW/C/GC/31-CRC/C/GC/18 (2014).</w:t>
      </w:r>
    </w:p>
  </w:endnote>
  <w:endnote w:id="491">
    <w:p w14:paraId="60B9A802" w14:textId="3D049B6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y Comité CDN, </w:t>
      </w:r>
      <w:r w:rsidRPr="00AC72B5">
        <w:rPr>
          <w:i/>
          <w:w w:val="98"/>
        </w:rPr>
        <w:t>Recomendación General</w:t>
      </w:r>
      <w:r w:rsidRPr="00AC72B5">
        <w:rPr>
          <w:w w:val="98"/>
        </w:rPr>
        <w:t xml:space="preserve"> </w:t>
      </w:r>
      <w:r w:rsidRPr="00AC72B5">
        <w:rPr>
          <w:i/>
          <w:w w:val="98"/>
        </w:rPr>
        <w:t>Núm. 31 del Comité para la Eliminación de la Discriminación contra la Mujer y Observación General Núm. 18 del Comité de los Derechos del</w:t>
      </w:r>
      <w:r w:rsidRPr="00AC72B5">
        <w:rPr>
          <w:w w:val="98"/>
        </w:rPr>
        <w:t xml:space="preserve"> </w:t>
      </w:r>
      <w:r w:rsidRPr="00AC72B5">
        <w:rPr>
          <w:i/>
          <w:w w:val="98"/>
        </w:rPr>
        <w:t>Niño sobre prácticas nocivas</w:t>
      </w:r>
      <w:r w:rsidRPr="00AC72B5">
        <w:rPr>
          <w:w w:val="98"/>
        </w:rPr>
        <w:t>, ¶ 63, Doc. ONU CEDAW/C/GC/31-CRC/C/GC/18 (2014).</w:t>
      </w:r>
    </w:p>
  </w:endnote>
  <w:endnote w:id="492">
    <w:p w14:paraId="2EB57DDB" w14:textId="7432D17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y Comité CDN, </w:t>
      </w:r>
      <w:r w:rsidRPr="00AC72B5">
        <w:rPr>
          <w:i/>
          <w:w w:val="98"/>
        </w:rPr>
        <w:t>Recomendación General</w:t>
      </w:r>
      <w:r w:rsidRPr="00AC72B5">
        <w:rPr>
          <w:w w:val="98"/>
        </w:rPr>
        <w:t xml:space="preserve"> </w:t>
      </w:r>
      <w:r w:rsidRPr="00AC72B5">
        <w:rPr>
          <w:i/>
          <w:w w:val="98"/>
        </w:rPr>
        <w:t>Núm. 31 del Comité para la Eliminación de la Discriminación contra la Mujer y Observación General Núm. 18 del Comité de los Derechos del</w:t>
      </w:r>
      <w:r w:rsidRPr="00AC72B5">
        <w:rPr>
          <w:w w:val="98"/>
        </w:rPr>
        <w:t xml:space="preserve"> </w:t>
      </w:r>
      <w:r w:rsidRPr="00AC72B5">
        <w:rPr>
          <w:i/>
          <w:w w:val="98"/>
        </w:rPr>
        <w:t>Niño sobre prácticas nocivas</w:t>
      </w:r>
      <w:r w:rsidRPr="00AC72B5">
        <w:rPr>
          <w:w w:val="98"/>
        </w:rPr>
        <w:t>, ¶ 68, Doc. ONU CEDAW/C/GC/31-CRC/C/GC/18 (2014).</w:t>
      </w:r>
    </w:p>
  </w:endnote>
  <w:endnote w:id="493">
    <w:p w14:paraId="53465005" w14:textId="3EF6522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Recomendación General Núm. 33 sobre el acceso de las mujeres a la justicia</w:t>
      </w:r>
      <w:r w:rsidRPr="00AC72B5">
        <w:rPr>
          <w:w w:val="98"/>
        </w:rPr>
        <w:t>, ¶¶ 25(c) y 51(l), Doc. ONU CEDAW/C/GC/33 (2015).</w:t>
      </w:r>
    </w:p>
  </w:endnote>
  <w:endnote w:id="494">
    <w:p w14:paraId="4EAC28F9" w14:textId="4FB5DD0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Recomendación General Núm. 33 sobre el acceso de las mujeres a la justicia</w:t>
      </w:r>
      <w:r w:rsidRPr="00AC72B5">
        <w:rPr>
          <w:w w:val="98"/>
        </w:rPr>
        <w:t>, ¶¶ 25(c) y 51(l), Doc. ONU CEDAW/C/GC/33 (2015).</w:t>
      </w:r>
    </w:p>
  </w:endnote>
  <w:endnote w:id="495">
    <w:p w14:paraId="70255104" w14:textId="45076F2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Recomendación General Núm. 34 sobre los derechos de las mujeres rurales</w:t>
      </w:r>
      <w:r w:rsidRPr="00AC72B5">
        <w:rPr>
          <w:w w:val="98"/>
        </w:rPr>
        <w:t>, ¶ 37, Doc. ONU CEDAW/C/GC/34 (2016).</w:t>
      </w:r>
    </w:p>
  </w:endnote>
  <w:endnote w:id="496">
    <w:p w14:paraId="4DBD20ED" w14:textId="26B6B71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Recomendación General Núm. 34 sobre los derechos de las mujeres rurales</w:t>
      </w:r>
      <w:r w:rsidRPr="00AC72B5">
        <w:rPr>
          <w:w w:val="98"/>
        </w:rPr>
        <w:t>, ¶ 39(a), Doc. ONU CEDAW/C/GC/34 (2016).</w:t>
      </w:r>
    </w:p>
  </w:endnote>
  <w:endnote w:id="497">
    <w:p w14:paraId="643A9C4B" w14:textId="1CB92B9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Recomendación General Núm. 34 sobre los derechos de las mujeres rurales</w:t>
      </w:r>
      <w:r w:rsidRPr="00AC72B5">
        <w:rPr>
          <w:w w:val="98"/>
        </w:rPr>
        <w:t>, ¶ 39, Doc. ONU CEDAW/C/GC/34 (2016).</w:t>
      </w:r>
    </w:p>
  </w:endnote>
  <w:endnote w:id="498">
    <w:p w14:paraId="109439BD" w14:textId="0EF282B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Recomendación General Núm. 35 sobre la violencia por razón de género contra la mujer, por la que se actualiza la Recomendación General Núm. 19</w:t>
      </w:r>
      <w:r w:rsidRPr="00AC72B5">
        <w:rPr>
          <w:w w:val="98"/>
        </w:rPr>
        <w:t>, ¶ 18, Doc. ONU CEDAW/C/GC/35 (2017) (versión preliminar sin editar).</w:t>
      </w:r>
    </w:p>
  </w:endnote>
  <w:endnote w:id="499">
    <w:p w14:paraId="2177C674" w14:textId="031DC5A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Recomendación General Núm. 35 sobre la violencia por razón de género contra la mujer, por la que se actualiza la Recomendación General Núm. 19</w:t>
      </w:r>
      <w:r w:rsidRPr="00AC72B5">
        <w:rPr>
          <w:w w:val="98"/>
        </w:rPr>
        <w:t>, ¶ 31(a), Doc. ONU CEDAW/C/GC/35 (2017) (versión preliminar sin editar).</w:t>
      </w:r>
    </w:p>
  </w:endnote>
  <w:endnote w:id="500">
    <w:p w14:paraId="0B050BDD" w14:textId="41E9A5E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Recomendación General Núm. 35 sobre la violencia por razón de género contra la mujer, por la que se actualiza la Recomendación General Núm. 19</w:t>
      </w:r>
      <w:r w:rsidRPr="00AC72B5">
        <w:rPr>
          <w:w w:val="98"/>
        </w:rPr>
        <w:t>, ¶ 38, Doc. ONU CEDAW/C/GC/35 (2017) (versión preliminar sin editar).</w:t>
      </w:r>
    </w:p>
  </w:endnote>
  <w:endnote w:id="501">
    <w:p w14:paraId="5BA4C7D8" w14:textId="7EFCF3A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Recomendación General Núm. 35 sobre la violencia por razón de género contra la mujer, por la que se actualiza la Recomendación General Núm. 19</w:t>
      </w:r>
      <w:r w:rsidRPr="00AC72B5">
        <w:rPr>
          <w:w w:val="98"/>
        </w:rPr>
        <w:t>, ¶ 40(c), Doc. ONU CEDAW/C/GC/35 (2017) (versión preliminar sin editar).</w:t>
      </w:r>
    </w:p>
  </w:endnote>
  <w:endnote w:id="502">
    <w:p w14:paraId="5B9389E6" w14:textId="1C31610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Recomendación General Núm. 35 sobre la violencia por razón de género contra la mujer, por la que se actualiza la Recomendación General Núm. 19</w:t>
      </w:r>
      <w:r w:rsidRPr="00AC72B5">
        <w:rPr>
          <w:w w:val="98"/>
        </w:rPr>
        <w:t>, ¶ 46, Doc. ONU CEDAW/C/GC/35 (2017) (versión preliminar sin editar).</w:t>
      </w:r>
    </w:p>
  </w:endnote>
  <w:endnote w:id="503">
    <w:p w14:paraId="386F8438" w14:textId="54EA5B2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Congo</w:t>
      </w:r>
      <w:r w:rsidRPr="00AC72B5">
        <w:rPr>
          <w:rFonts w:eastAsia="MS Mincho"/>
          <w:w w:val="98"/>
        </w:rPr>
        <w:t xml:space="preserve">, </w:t>
      </w:r>
      <w:r w:rsidRPr="00AC72B5">
        <w:rPr>
          <w:w w:val="98"/>
        </w:rPr>
        <w:t>¶ 35</w:t>
      </w:r>
      <w:r w:rsidRPr="00AC72B5">
        <w:rPr>
          <w:rFonts w:eastAsia="MS Mincho"/>
          <w:w w:val="98"/>
        </w:rPr>
        <w:t xml:space="preserve">, Doc. ONU </w:t>
      </w:r>
      <w:r w:rsidRPr="00AC72B5">
        <w:rPr>
          <w:w w:val="98"/>
        </w:rPr>
        <w:t xml:space="preserve">CEDAW/C/COG/CO/6 (2012); </w:t>
      </w:r>
      <w:r w:rsidRPr="00AC72B5">
        <w:rPr>
          <w:rFonts w:eastAsia="MS Mincho"/>
          <w:i/>
          <w:w w:val="98"/>
        </w:rPr>
        <w:t>Bielorrusia</w:t>
      </w:r>
      <w:r w:rsidRPr="00AC72B5">
        <w:rPr>
          <w:rFonts w:eastAsia="MS Mincho"/>
          <w:w w:val="98"/>
        </w:rPr>
        <w:t>,</w:t>
      </w:r>
      <w:r w:rsidRPr="00AC72B5">
        <w:rPr>
          <w:rFonts w:eastAsia="MS Mincho"/>
          <w:i/>
          <w:w w:val="98"/>
        </w:rPr>
        <w:t xml:space="preserve"> </w:t>
      </w:r>
      <w:r w:rsidRPr="00AC72B5">
        <w:rPr>
          <w:w w:val="98"/>
        </w:rPr>
        <w:t>¶ 35</w:t>
      </w:r>
      <w:r w:rsidRPr="00AC72B5">
        <w:rPr>
          <w:rFonts w:eastAsia="MS Mincho"/>
          <w:w w:val="98"/>
        </w:rPr>
        <w:t xml:space="preserve">, Doc. ONU </w:t>
      </w:r>
      <w:r w:rsidRPr="00AC72B5">
        <w:rPr>
          <w:w w:val="98"/>
        </w:rPr>
        <w:t xml:space="preserve">CEDAW/C/BLR/CO/7 (2011); </w:t>
      </w:r>
      <w:r w:rsidRPr="00AC72B5">
        <w:rPr>
          <w:i/>
          <w:w w:val="98"/>
        </w:rPr>
        <w:t>Vietnam</w:t>
      </w:r>
      <w:r w:rsidRPr="00AC72B5">
        <w:rPr>
          <w:w w:val="98"/>
        </w:rPr>
        <w:t>, ¶ 24, Doc. ONU CEDAW/C/VNM/CO/6 (2007).</w:t>
      </w:r>
    </w:p>
  </w:endnote>
  <w:endnote w:id="504">
    <w:p w14:paraId="1E4E0C62" w14:textId="7642256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Bielorrusia</w:t>
      </w:r>
      <w:r w:rsidRPr="00AC72B5">
        <w:rPr>
          <w:rFonts w:eastAsia="MS Mincho"/>
          <w:w w:val="98"/>
        </w:rPr>
        <w:t xml:space="preserve">, </w:t>
      </w:r>
      <w:r w:rsidRPr="00AC72B5">
        <w:rPr>
          <w:w w:val="98"/>
        </w:rPr>
        <w:t>¶ 35</w:t>
      </w:r>
      <w:r w:rsidRPr="00AC72B5">
        <w:rPr>
          <w:rFonts w:eastAsia="MS Mincho"/>
          <w:w w:val="98"/>
        </w:rPr>
        <w:t xml:space="preserve">, Doc. ONU </w:t>
      </w:r>
      <w:r w:rsidRPr="00AC72B5">
        <w:rPr>
          <w:w w:val="98"/>
        </w:rPr>
        <w:t xml:space="preserve">CEDAW/C/BLR/CO/7 (2011); </w:t>
      </w:r>
      <w:r w:rsidRPr="00AC72B5">
        <w:rPr>
          <w:i/>
          <w:w w:val="98"/>
        </w:rPr>
        <w:t>Kenia</w:t>
      </w:r>
      <w:r w:rsidRPr="00AC72B5">
        <w:rPr>
          <w:w w:val="98"/>
        </w:rPr>
        <w:t>, ¶ 37, Doc. ONU CEDAW/C/KEN/CO/7 (2011).</w:t>
      </w:r>
    </w:p>
  </w:endnote>
  <w:endnote w:id="505">
    <w:p w14:paraId="3C3F721C" w14:textId="62A2B81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 xml:space="preserve">, Comité CEDAW, </w:t>
      </w:r>
      <w:r w:rsidRPr="00AC72B5">
        <w:rPr>
          <w:i/>
          <w:w w:val="98"/>
        </w:rPr>
        <w:t>Observaciones Finales: Federación Rusa</w:t>
      </w:r>
      <w:r w:rsidRPr="00AC72B5">
        <w:rPr>
          <w:w w:val="98"/>
        </w:rPr>
        <w:t xml:space="preserve">, ¶ 35, Doc. ONU CEDAW/C/RUS/CO/8 (2015); </w:t>
      </w:r>
      <w:r w:rsidRPr="00AC72B5">
        <w:rPr>
          <w:i/>
          <w:w w:val="98"/>
        </w:rPr>
        <w:t>Líbano</w:t>
      </w:r>
      <w:r w:rsidRPr="00AC72B5">
        <w:rPr>
          <w:w w:val="98"/>
        </w:rPr>
        <w:t xml:space="preserve">, ¶ 41, Doc. ONU CEDAW/C/LBN/CO/4-5 (2015); </w:t>
      </w:r>
      <w:r w:rsidRPr="00AC72B5">
        <w:rPr>
          <w:i/>
          <w:w w:val="98"/>
        </w:rPr>
        <w:t>Bielorrusia</w:t>
      </w:r>
      <w:r w:rsidRPr="00AC72B5">
        <w:rPr>
          <w:w w:val="98"/>
        </w:rPr>
        <w:t xml:space="preserve">, ¶ 35, Doc. ONU CEDAW/C/BLR/CO/7 (2011); </w:t>
      </w:r>
      <w:r w:rsidRPr="00AC72B5">
        <w:rPr>
          <w:i/>
          <w:w w:val="98"/>
        </w:rPr>
        <w:t>Montenegro</w:t>
      </w:r>
      <w:r w:rsidRPr="00AC72B5">
        <w:rPr>
          <w:w w:val="98"/>
        </w:rPr>
        <w:t xml:space="preserve">, ¶ 30, Doc. ONU CEDAW/C/MNE/CO/1 (2011); </w:t>
      </w:r>
      <w:r w:rsidRPr="00AC72B5">
        <w:rPr>
          <w:i/>
          <w:w w:val="98"/>
        </w:rPr>
        <w:t>Egipto</w:t>
      </w:r>
      <w:r w:rsidRPr="00AC72B5">
        <w:rPr>
          <w:w w:val="98"/>
        </w:rPr>
        <w:t xml:space="preserve">, ¶ 39, Doc. ONU CEDAW/C/EGY/CO/7 (2010); </w:t>
      </w:r>
      <w:r w:rsidRPr="00AC72B5">
        <w:rPr>
          <w:i/>
          <w:w w:val="98"/>
        </w:rPr>
        <w:t>Uganda</w:t>
      </w:r>
      <w:r w:rsidRPr="00AC72B5">
        <w:rPr>
          <w:w w:val="98"/>
        </w:rPr>
        <w:t xml:space="preserve">, ¶ 35, Doc. ONU CEDAW/C/UGA/CO/7 (2010); </w:t>
      </w:r>
      <w:r w:rsidRPr="00AC72B5">
        <w:rPr>
          <w:i/>
          <w:w w:val="98"/>
        </w:rPr>
        <w:t>Armenia</w:t>
      </w:r>
      <w:r w:rsidRPr="00AC72B5">
        <w:rPr>
          <w:w w:val="98"/>
        </w:rPr>
        <w:t xml:space="preserve">, ¶ 34, Doc. ONU CEDAW/C/ARM/CO/4/Rev.1 (2009); </w:t>
      </w:r>
      <w:r w:rsidRPr="00AC72B5">
        <w:rPr>
          <w:i/>
          <w:w w:val="98"/>
        </w:rPr>
        <w:t>Guatemala</w:t>
      </w:r>
      <w:r w:rsidRPr="00AC72B5">
        <w:rPr>
          <w:w w:val="98"/>
        </w:rPr>
        <w:t xml:space="preserve">, ¶ 35, Doc. ONU CEDAW/C/GUA/CO/7 (2009); </w:t>
      </w:r>
      <w:r w:rsidRPr="00AC72B5">
        <w:rPr>
          <w:i/>
          <w:w w:val="98"/>
        </w:rPr>
        <w:t>Haití</w:t>
      </w:r>
      <w:r w:rsidRPr="00AC72B5">
        <w:rPr>
          <w:w w:val="98"/>
        </w:rPr>
        <w:t xml:space="preserve">, ¶ 36, Doc. ONU CEDAW/C/HTI/CO/7 (2009); </w:t>
      </w:r>
      <w:r w:rsidRPr="00AC72B5">
        <w:rPr>
          <w:i/>
          <w:w w:val="98"/>
        </w:rPr>
        <w:t>Kazajistán</w:t>
      </w:r>
      <w:r w:rsidRPr="00AC72B5">
        <w:rPr>
          <w:w w:val="98"/>
        </w:rPr>
        <w:t xml:space="preserve">, ¶ 25, Doc. ONU CEDAW/C/KAZ/CO/2 (2007); </w:t>
      </w:r>
      <w:r w:rsidRPr="00AC72B5">
        <w:rPr>
          <w:i/>
          <w:w w:val="98"/>
        </w:rPr>
        <w:t>Brasil</w:t>
      </w:r>
      <w:r w:rsidRPr="00AC72B5">
        <w:rPr>
          <w:w w:val="98"/>
        </w:rPr>
        <w:t>, ¶ 31, Doc. ONU CEDAW/C/VNM/CO/6 (2007).</w:t>
      </w:r>
    </w:p>
  </w:endnote>
  <w:endnote w:id="506">
    <w:p w14:paraId="72C5D78E" w14:textId="4D7B47C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Irak</w:t>
      </w:r>
      <w:r w:rsidRPr="00AC72B5">
        <w:rPr>
          <w:w w:val="98"/>
        </w:rPr>
        <w:t xml:space="preserve">, ¶ 42, Doc. ONU CEDAW/C/IRQ/CO/4-6 (2014); </w:t>
      </w:r>
      <w:r w:rsidRPr="00AC72B5">
        <w:rPr>
          <w:i/>
          <w:w w:val="98"/>
        </w:rPr>
        <w:t>Paraguay</w:t>
      </w:r>
      <w:r w:rsidRPr="00AC72B5">
        <w:rPr>
          <w:w w:val="98"/>
        </w:rPr>
        <w:t>, ¶ 18, Doc. ONU CEDAW/C/PRY/CO/6 (2011).</w:t>
      </w:r>
    </w:p>
  </w:endnote>
  <w:endnote w:id="507">
    <w:p w14:paraId="64B28771" w14:textId="7CB82A7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Islas Salomón</w:t>
      </w:r>
      <w:r w:rsidRPr="00AC72B5">
        <w:rPr>
          <w:w w:val="98"/>
        </w:rPr>
        <w:t>, ¶ 36, Doc. ONU CEDAW/C/SLB/CO/1-3 (2014).</w:t>
      </w:r>
    </w:p>
  </w:endnote>
  <w:endnote w:id="508">
    <w:p w14:paraId="27D944D6" w14:textId="6B381A9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Paraguay</w:t>
      </w:r>
      <w:r w:rsidRPr="00AC72B5">
        <w:rPr>
          <w:w w:val="98"/>
        </w:rPr>
        <w:t>, ¶ 18, Doc. ONU CEDAW/C/PRY/CO/6 (2011).</w:t>
      </w:r>
    </w:p>
  </w:endnote>
  <w:endnote w:id="509">
    <w:p w14:paraId="7182D96F" w14:textId="47D34B52" w:rsidR="005E3DDD" w:rsidRPr="00AC72B5" w:rsidRDefault="005E3DDD" w:rsidP="00AC72B5">
      <w:pPr>
        <w:pStyle w:val="EndnoteText"/>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Mali</w:t>
      </w:r>
      <w:r w:rsidRPr="00AC72B5">
        <w:rPr>
          <w:w w:val="98"/>
        </w:rPr>
        <w:t xml:space="preserve">, ¶ 33, Doc. </w:t>
      </w:r>
      <w:r w:rsidRPr="00AC72B5">
        <w:rPr>
          <w:w w:val="98"/>
          <w:lang w:val="es-CO"/>
        </w:rPr>
        <w:t xml:space="preserve">ONU </w:t>
      </w:r>
      <w:r w:rsidRPr="00AC72B5">
        <w:rPr>
          <w:rFonts w:eastAsia="MS Mincho"/>
          <w:w w:val="98"/>
          <w:lang w:val="es-CO"/>
        </w:rPr>
        <w:t>CEDAW/C/MLI/CO/6-7 (2016).</w:t>
      </w:r>
    </w:p>
  </w:endnote>
  <w:endnote w:id="510">
    <w:p w14:paraId="60A82217" w14:textId="093E8F5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Mali</w:t>
      </w:r>
      <w:r w:rsidRPr="00AC72B5">
        <w:rPr>
          <w:w w:val="98"/>
        </w:rPr>
        <w:t xml:space="preserve">, ¶ 33, Doc. ONU </w:t>
      </w:r>
      <w:r w:rsidRPr="00AC72B5">
        <w:rPr>
          <w:rFonts w:eastAsia="MS Mincho"/>
          <w:w w:val="98"/>
        </w:rPr>
        <w:t xml:space="preserve">CEDAW/C/MLI/CO/6-7 (2016); </w:t>
      </w:r>
      <w:r w:rsidRPr="00AC72B5">
        <w:rPr>
          <w:i/>
          <w:w w:val="98"/>
        </w:rPr>
        <w:t>Azerbaiyán</w:t>
      </w:r>
      <w:r w:rsidRPr="00AC72B5">
        <w:rPr>
          <w:w w:val="98"/>
        </w:rPr>
        <w:t>, ¶ 32, Doc. ONU CEDAW/C/AZE/CO/5 (2015).</w:t>
      </w:r>
    </w:p>
  </w:endnote>
  <w:endnote w:id="511">
    <w:p w14:paraId="1A1F1A90" w14:textId="515ACDF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Mali</w:t>
      </w:r>
      <w:r w:rsidRPr="00AC72B5">
        <w:rPr>
          <w:w w:val="98"/>
        </w:rPr>
        <w:t xml:space="preserve">, ¶ 33, Doc. ONU </w:t>
      </w:r>
      <w:r w:rsidRPr="00AC72B5">
        <w:rPr>
          <w:rFonts w:eastAsia="MS Mincho"/>
          <w:w w:val="98"/>
        </w:rPr>
        <w:t>CEDAW/C/MLI/CO/6-7 (2016).</w:t>
      </w:r>
    </w:p>
  </w:endnote>
  <w:endnote w:id="512">
    <w:p w14:paraId="0C2B5A39" w14:textId="3AE0C83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Gambia</w:t>
      </w:r>
      <w:r w:rsidRPr="00AC72B5">
        <w:rPr>
          <w:rFonts w:eastAsia="MS Mincho"/>
          <w:w w:val="98"/>
        </w:rPr>
        <w:t xml:space="preserve">, </w:t>
      </w:r>
      <w:r w:rsidRPr="00AC72B5">
        <w:rPr>
          <w:w w:val="98"/>
        </w:rPr>
        <w:t xml:space="preserve">¶¶ 9(a), 36, </w:t>
      </w:r>
      <w:r w:rsidRPr="00AC72B5">
        <w:rPr>
          <w:rFonts w:eastAsia="MS Mincho"/>
          <w:w w:val="98"/>
        </w:rPr>
        <w:t xml:space="preserve">Doc. ONU </w:t>
      </w:r>
      <w:r w:rsidRPr="00AC72B5">
        <w:rPr>
          <w:w w:val="98"/>
        </w:rPr>
        <w:t>CEDAW/C/GMB/CO/4-5 (2015).</w:t>
      </w:r>
    </w:p>
  </w:endnote>
  <w:endnote w:id="513">
    <w:p w14:paraId="391DE30F" w14:textId="5750957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Gambia</w:t>
      </w:r>
      <w:r w:rsidRPr="00AC72B5">
        <w:rPr>
          <w:rFonts w:eastAsia="MS Mincho"/>
          <w:w w:val="98"/>
        </w:rPr>
        <w:t xml:space="preserve">, </w:t>
      </w:r>
      <w:r w:rsidRPr="00AC72B5">
        <w:rPr>
          <w:w w:val="98"/>
        </w:rPr>
        <w:t xml:space="preserve">¶ 37(g), </w:t>
      </w:r>
      <w:r w:rsidRPr="00AC72B5">
        <w:rPr>
          <w:rFonts w:eastAsia="MS Mincho"/>
          <w:w w:val="98"/>
        </w:rPr>
        <w:t xml:space="preserve">Doc. ONU </w:t>
      </w:r>
      <w:r w:rsidRPr="00AC72B5">
        <w:rPr>
          <w:w w:val="98"/>
        </w:rPr>
        <w:t>CEDAW/C/GMB/CO/4-5 (2015).</w:t>
      </w:r>
    </w:p>
  </w:endnote>
  <w:endnote w:id="514">
    <w:p w14:paraId="0BA35672" w14:textId="3C821A3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Azerbaiyán</w:t>
      </w:r>
      <w:r w:rsidRPr="00AC72B5">
        <w:rPr>
          <w:w w:val="98"/>
        </w:rPr>
        <w:t>, ¶ 32, Doc. ONU CEDAW/C/AZE/CO/5 (2015).</w:t>
      </w:r>
    </w:p>
  </w:endnote>
  <w:endnote w:id="515">
    <w:p w14:paraId="3C58ED95" w14:textId="2F7D4EF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Cabo Verde</w:t>
      </w:r>
      <w:r w:rsidRPr="00AC72B5">
        <w:rPr>
          <w:w w:val="98"/>
        </w:rPr>
        <w:t>, ¶ 28, Doc. ONU CEDAW/C/CPV/CO/7-8 (2013).</w:t>
      </w:r>
    </w:p>
  </w:endnote>
  <w:endnote w:id="516">
    <w:p w14:paraId="417D3011" w14:textId="71933B15" w:rsidR="005E3DDD" w:rsidRPr="00AC72B5" w:rsidRDefault="005E3DDD" w:rsidP="00AC72B5">
      <w:pPr>
        <w:pStyle w:val="EndnoteText"/>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Grecia</w:t>
      </w:r>
      <w:r w:rsidRPr="00AC72B5">
        <w:rPr>
          <w:rFonts w:eastAsia="MS Mincho"/>
          <w:w w:val="98"/>
        </w:rPr>
        <w:t xml:space="preserve">, </w:t>
      </w:r>
      <w:r w:rsidRPr="00AC72B5">
        <w:rPr>
          <w:w w:val="98"/>
        </w:rPr>
        <w:t>¶ 30</w:t>
      </w:r>
      <w:r w:rsidRPr="00AC72B5">
        <w:rPr>
          <w:rFonts w:eastAsia="MS Mincho"/>
          <w:w w:val="98"/>
        </w:rPr>
        <w:t xml:space="preserve">, Doc. </w:t>
      </w:r>
      <w:r w:rsidRPr="00AC72B5">
        <w:rPr>
          <w:rFonts w:eastAsia="MS Mincho"/>
          <w:w w:val="98"/>
          <w:lang w:val="es-CO"/>
        </w:rPr>
        <w:t xml:space="preserve">ONU </w:t>
      </w:r>
      <w:r w:rsidRPr="00AC72B5">
        <w:rPr>
          <w:w w:val="98"/>
          <w:lang w:val="es-CO"/>
        </w:rPr>
        <w:t>CEDAW/C/GRC/CO/7 (2013).</w:t>
      </w:r>
    </w:p>
  </w:endnote>
  <w:endnote w:id="517">
    <w:p w14:paraId="0C4895BB" w14:textId="24914D8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Lituania</w:t>
      </w:r>
      <w:r w:rsidRPr="00AC72B5">
        <w:rPr>
          <w:w w:val="98"/>
        </w:rPr>
        <w:t xml:space="preserve">, ¶ 36, Doc. ONU </w:t>
      </w:r>
      <w:r w:rsidRPr="00AC72B5">
        <w:rPr>
          <w:rFonts w:eastAsia="MS Mincho"/>
          <w:w w:val="98"/>
        </w:rPr>
        <w:t xml:space="preserve">CEDAW/C/LTU/CO/5 (2014); </w:t>
      </w:r>
      <w:r w:rsidRPr="00AC72B5">
        <w:rPr>
          <w:i/>
          <w:w w:val="98"/>
        </w:rPr>
        <w:t>Costa Rica</w:t>
      </w:r>
      <w:r w:rsidRPr="00AC72B5">
        <w:rPr>
          <w:w w:val="98"/>
        </w:rPr>
        <w:t>, ¶ 32, Doc. ONU CEDAW/C/CRI/CO/5-6 (2011).</w:t>
      </w:r>
    </w:p>
  </w:endnote>
  <w:endnote w:id="518">
    <w:p w14:paraId="48DBDC1B" w14:textId="4EF99EA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Costa Rica</w:t>
      </w:r>
      <w:r w:rsidRPr="00AC72B5">
        <w:rPr>
          <w:w w:val="98"/>
        </w:rPr>
        <w:t>, ¶ 33, Doc. ONU CEDAW/C/CRI/CO/5-6 (2011).</w:t>
      </w:r>
    </w:p>
  </w:endnote>
  <w:endnote w:id="519">
    <w:p w14:paraId="11A5BF5A" w14:textId="764480D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Armenia</w:t>
      </w:r>
      <w:r w:rsidRPr="00AC72B5">
        <w:rPr>
          <w:w w:val="98"/>
        </w:rPr>
        <w:t xml:space="preserve">, ¶ 35, Doc. ONU CEDAW/C/ARM/CO/4/Rev.1 (2009); </w:t>
      </w:r>
      <w:r w:rsidRPr="00AC72B5">
        <w:rPr>
          <w:i/>
          <w:w w:val="98"/>
        </w:rPr>
        <w:t>Vietnam</w:t>
      </w:r>
      <w:r w:rsidRPr="00AC72B5">
        <w:rPr>
          <w:w w:val="98"/>
        </w:rPr>
        <w:t>, ¶ 25, Doc. ONU CEDAW/C/VNM/CO/6 (2007).</w:t>
      </w:r>
    </w:p>
  </w:endnote>
  <w:endnote w:id="520">
    <w:p w14:paraId="0D1FA320" w14:textId="7B736F3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Armenia</w:t>
      </w:r>
      <w:r w:rsidRPr="00AC72B5">
        <w:rPr>
          <w:w w:val="98"/>
        </w:rPr>
        <w:t>, ¶ 35, Doc. ONU CEDAW/C/ARM/CO/4/Rev.1 (2009).</w:t>
      </w:r>
    </w:p>
  </w:endnote>
  <w:endnote w:id="521">
    <w:p w14:paraId="401F2152" w14:textId="274E841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Myanmar</w:t>
      </w:r>
      <w:r w:rsidRPr="00AC72B5">
        <w:rPr>
          <w:w w:val="98"/>
        </w:rPr>
        <w:t xml:space="preserve">, ¶ 39, Doc. ONU </w:t>
      </w:r>
      <w:r w:rsidRPr="00AC72B5">
        <w:rPr>
          <w:rFonts w:eastAsia="MS Mincho"/>
          <w:w w:val="98"/>
        </w:rPr>
        <w:t xml:space="preserve">CEDAW/C/MMR/CO/4-5 (2016); </w:t>
      </w:r>
      <w:r w:rsidRPr="00AC72B5">
        <w:rPr>
          <w:i/>
          <w:w w:val="98"/>
        </w:rPr>
        <w:t>Irak</w:t>
      </w:r>
      <w:r w:rsidRPr="00AC72B5">
        <w:rPr>
          <w:w w:val="98"/>
        </w:rPr>
        <w:t xml:space="preserve">, ¶ 43, Doc. ONU CEDAW/C/IRQ/CO/4-6 (2014); </w:t>
      </w:r>
      <w:r w:rsidRPr="00AC72B5">
        <w:rPr>
          <w:i/>
          <w:w w:val="98"/>
        </w:rPr>
        <w:t>Guatemala</w:t>
      </w:r>
      <w:r w:rsidRPr="00AC72B5">
        <w:rPr>
          <w:w w:val="98"/>
        </w:rPr>
        <w:t>, ¶ 36, Doc. ONU CEDAW/C/GUA/CO/7 (2009).</w:t>
      </w:r>
    </w:p>
  </w:endnote>
  <w:endnote w:id="522">
    <w:p w14:paraId="21E793A5" w14:textId="07704DD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Mali</w:t>
      </w:r>
      <w:r w:rsidRPr="00AC72B5">
        <w:rPr>
          <w:w w:val="98"/>
        </w:rPr>
        <w:t xml:space="preserve">, ¶ 34, Doc. ONU </w:t>
      </w:r>
      <w:r w:rsidRPr="00AC72B5">
        <w:rPr>
          <w:rFonts w:eastAsia="MS Mincho"/>
          <w:w w:val="98"/>
        </w:rPr>
        <w:t xml:space="preserve">CEDAW/C/MLI/CO/6-7 (2016); </w:t>
      </w:r>
      <w:r w:rsidRPr="00AC72B5">
        <w:rPr>
          <w:rFonts w:eastAsia="MS Mincho"/>
          <w:i/>
          <w:w w:val="98"/>
        </w:rPr>
        <w:t>Grecia</w:t>
      </w:r>
      <w:r w:rsidRPr="00AC72B5">
        <w:rPr>
          <w:rFonts w:eastAsia="MS Mincho"/>
          <w:w w:val="98"/>
        </w:rPr>
        <w:t xml:space="preserve">, </w:t>
      </w:r>
      <w:r w:rsidRPr="00AC72B5">
        <w:rPr>
          <w:w w:val="98"/>
        </w:rPr>
        <w:t xml:space="preserve">¶ 31, </w:t>
      </w:r>
      <w:r w:rsidRPr="00AC72B5">
        <w:rPr>
          <w:rFonts w:eastAsia="MS Mincho"/>
          <w:w w:val="98"/>
        </w:rPr>
        <w:t xml:space="preserve">Doc. ONU </w:t>
      </w:r>
      <w:r w:rsidRPr="00AC72B5">
        <w:rPr>
          <w:w w:val="98"/>
        </w:rPr>
        <w:t>CEDAW/C/GRC/CO/7 (2013).</w:t>
      </w:r>
    </w:p>
  </w:endnote>
  <w:endnote w:id="523">
    <w:p w14:paraId="52950A17" w14:textId="2F3AB38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Cabo Verde</w:t>
      </w:r>
      <w:r w:rsidRPr="00AC72B5">
        <w:rPr>
          <w:w w:val="98"/>
        </w:rPr>
        <w:t>, ¶ 29, Doc. ONU CEDAW/C/CPV/CO/7-8 (2013).</w:t>
      </w:r>
    </w:p>
  </w:endnote>
  <w:endnote w:id="524">
    <w:p w14:paraId="70F8F1DE" w14:textId="6049A8C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Mongolia</w:t>
      </w:r>
      <w:r w:rsidRPr="00AC72B5">
        <w:rPr>
          <w:rFonts w:eastAsia="MS Mincho"/>
          <w:w w:val="98"/>
        </w:rPr>
        <w:t>,</w:t>
      </w:r>
      <w:r w:rsidRPr="00AC72B5">
        <w:rPr>
          <w:rFonts w:eastAsia="MS Mincho"/>
          <w:i/>
          <w:w w:val="98"/>
        </w:rPr>
        <w:t xml:space="preserve"> </w:t>
      </w:r>
      <w:r w:rsidRPr="00AC72B5">
        <w:rPr>
          <w:w w:val="98"/>
        </w:rPr>
        <w:t>¶</w:t>
      </w:r>
      <w:r w:rsidRPr="00AC72B5">
        <w:rPr>
          <w:rFonts w:eastAsia="MS Mincho"/>
          <w:w w:val="98"/>
        </w:rPr>
        <w:t xml:space="preserve"> </w:t>
      </w:r>
      <w:r w:rsidRPr="00AC72B5">
        <w:rPr>
          <w:w w:val="98"/>
        </w:rPr>
        <w:t>29</w:t>
      </w:r>
      <w:r w:rsidRPr="00AC72B5">
        <w:rPr>
          <w:rFonts w:eastAsia="MS Mincho"/>
          <w:w w:val="98"/>
        </w:rPr>
        <w:t xml:space="preserve">, Doc. ONU CEDAW/C/MNG/CO/8-9 (2016); </w:t>
      </w:r>
      <w:r w:rsidRPr="00AC72B5">
        <w:rPr>
          <w:rFonts w:eastAsia="MS Mincho"/>
          <w:i/>
          <w:w w:val="98"/>
        </w:rPr>
        <w:t>Gabón</w:t>
      </w:r>
      <w:r w:rsidRPr="00AC72B5">
        <w:rPr>
          <w:rFonts w:eastAsia="MS Mincho"/>
          <w:w w:val="98"/>
        </w:rPr>
        <w:t xml:space="preserve">, </w:t>
      </w:r>
      <w:r w:rsidRPr="00AC72B5">
        <w:rPr>
          <w:w w:val="98"/>
        </w:rPr>
        <w:t xml:space="preserve">¶ 35, </w:t>
      </w:r>
      <w:r w:rsidRPr="00AC72B5">
        <w:rPr>
          <w:rFonts w:eastAsia="MS Mincho"/>
          <w:w w:val="98"/>
        </w:rPr>
        <w:t xml:space="preserve">Doc. ONU </w:t>
      </w:r>
      <w:r w:rsidRPr="00AC72B5">
        <w:rPr>
          <w:w w:val="98"/>
        </w:rPr>
        <w:t xml:space="preserve">CEDAW/C/GAB/CO/6 (2015); </w:t>
      </w:r>
      <w:r w:rsidRPr="00AC72B5">
        <w:rPr>
          <w:i/>
          <w:w w:val="98"/>
        </w:rPr>
        <w:t>Uganda</w:t>
      </w:r>
      <w:r w:rsidRPr="00AC72B5">
        <w:rPr>
          <w:w w:val="98"/>
        </w:rPr>
        <w:t>, ¶ 36, Doc. ONU CEDAW/C/UGA/CO/7 (2010).</w:t>
      </w:r>
    </w:p>
  </w:endnote>
  <w:endnote w:id="525">
    <w:p w14:paraId="1963C112" w14:textId="7C45A02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Mongolia</w:t>
      </w:r>
      <w:r w:rsidRPr="00AC72B5">
        <w:rPr>
          <w:rFonts w:eastAsia="MS Mincho"/>
          <w:w w:val="98"/>
        </w:rPr>
        <w:t>,</w:t>
      </w:r>
      <w:r w:rsidRPr="00AC72B5">
        <w:rPr>
          <w:rFonts w:eastAsia="MS Mincho"/>
          <w:i/>
          <w:w w:val="98"/>
        </w:rPr>
        <w:t xml:space="preserve"> </w:t>
      </w:r>
      <w:r w:rsidRPr="00AC72B5">
        <w:rPr>
          <w:w w:val="98"/>
        </w:rPr>
        <w:t>¶</w:t>
      </w:r>
      <w:r w:rsidRPr="00AC72B5">
        <w:rPr>
          <w:rFonts w:eastAsia="MS Mincho"/>
          <w:w w:val="98"/>
        </w:rPr>
        <w:t xml:space="preserve"> </w:t>
      </w:r>
      <w:r w:rsidRPr="00AC72B5">
        <w:rPr>
          <w:w w:val="98"/>
        </w:rPr>
        <w:t>29</w:t>
      </w:r>
      <w:r w:rsidRPr="00AC72B5">
        <w:rPr>
          <w:rFonts w:eastAsia="MS Mincho"/>
          <w:w w:val="98"/>
        </w:rPr>
        <w:t xml:space="preserve">, Doc. ONU CEDAW/C/MNG/CO/8-9 (2016); </w:t>
      </w:r>
      <w:r w:rsidRPr="00AC72B5">
        <w:rPr>
          <w:i/>
          <w:w w:val="98"/>
        </w:rPr>
        <w:t>Ucrania</w:t>
      </w:r>
      <w:r w:rsidRPr="00AC72B5">
        <w:rPr>
          <w:w w:val="98"/>
        </w:rPr>
        <w:t xml:space="preserve">, ¶ 39, Doc. ONU CEDAW/C/UKR/CO/7 (2010); </w:t>
      </w:r>
      <w:r w:rsidRPr="00AC72B5">
        <w:rPr>
          <w:i/>
          <w:w w:val="98"/>
        </w:rPr>
        <w:t>Guatemala</w:t>
      </w:r>
      <w:r w:rsidRPr="00AC72B5">
        <w:rPr>
          <w:w w:val="98"/>
        </w:rPr>
        <w:t>, ¶ 36, Doc. ONU CEDAW/C/GUA/CO/7 (2009).</w:t>
      </w:r>
    </w:p>
  </w:endnote>
  <w:endnote w:id="526">
    <w:p w14:paraId="22F286EA" w14:textId="2B85979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Mongolia</w:t>
      </w:r>
      <w:r w:rsidRPr="00AC72B5">
        <w:rPr>
          <w:w w:val="98"/>
        </w:rPr>
        <w:t>, ¶ 29, Doc. ONU CEDAW/C/MNG/CO/8-9 (2016).</w:t>
      </w:r>
    </w:p>
  </w:endnote>
  <w:endnote w:id="527">
    <w:p w14:paraId="3D16F18D" w14:textId="1E18539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Cabo Verde</w:t>
      </w:r>
      <w:r w:rsidRPr="00AC72B5">
        <w:rPr>
          <w:w w:val="98"/>
        </w:rPr>
        <w:t>, ¶ 29, Doc. ONU CEDAW/C/CPV/CO/7-8 (2013).</w:t>
      </w:r>
    </w:p>
  </w:endnote>
  <w:endnote w:id="528">
    <w:p w14:paraId="17E4C3A0" w14:textId="1212DB5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Gambia</w:t>
      </w:r>
      <w:r w:rsidRPr="00AC72B5">
        <w:rPr>
          <w:rFonts w:eastAsia="MS Mincho"/>
          <w:w w:val="98"/>
        </w:rPr>
        <w:t xml:space="preserve">, </w:t>
      </w:r>
      <w:r w:rsidRPr="00AC72B5">
        <w:rPr>
          <w:w w:val="98"/>
        </w:rPr>
        <w:t xml:space="preserve">¶ 37(g), </w:t>
      </w:r>
      <w:r w:rsidRPr="00AC72B5">
        <w:rPr>
          <w:rFonts w:eastAsia="MS Mincho"/>
          <w:w w:val="98"/>
        </w:rPr>
        <w:t xml:space="preserve">Doc. ONU </w:t>
      </w:r>
      <w:r w:rsidRPr="00AC72B5">
        <w:rPr>
          <w:w w:val="98"/>
        </w:rPr>
        <w:t>CEDAW/C/GMB/CO/4-5 (2015).</w:t>
      </w:r>
    </w:p>
  </w:endnote>
  <w:endnote w:id="529">
    <w:p w14:paraId="1B82BD93" w14:textId="4884215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República Centroafricana</w:t>
      </w:r>
      <w:r w:rsidRPr="00AC72B5">
        <w:rPr>
          <w:w w:val="98"/>
        </w:rPr>
        <w:t xml:space="preserve">, ¶ 40, Doc. ONU </w:t>
      </w:r>
      <w:r w:rsidRPr="00AC72B5">
        <w:rPr>
          <w:rFonts w:eastAsia="MS Mincho"/>
          <w:w w:val="98"/>
        </w:rPr>
        <w:t>CEDAW/C/CAF/CO/1-5 (2014).</w:t>
      </w:r>
    </w:p>
  </w:endnote>
  <w:endnote w:id="530">
    <w:p w14:paraId="3B9AB570" w14:textId="4FA98C1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Mongolia</w:t>
      </w:r>
      <w:r w:rsidRPr="00AC72B5">
        <w:rPr>
          <w:w w:val="98"/>
        </w:rPr>
        <w:t>,</w:t>
      </w:r>
      <w:r w:rsidRPr="00AC72B5">
        <w:rPr>
          <w:i/>
          <w:w w:val="98"/>
        </w:rPr>
        <w:t xml:space="preserve"> </w:t>
      </w:r>
      <w:r w:rsidRPr="00AC72B5">
        <w:rPr>
          <w:w w:val="98"/>
        </w:rPr>
        <w:t>¶ 28, Doc. ONU CEDAW/C/MNG/CO/8-9 (2016).</w:t>
      </w:r>
    </w:p>
  </w:endnote>
  <w:endnote w:id="531">
    <w:p w14:paraId="392F53A4" w14:textId="63EB74A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Mongolia</w:t>
      </w:r>
      <w:r w:rsidRPr="00AC72B5">
        <w:rPr>
          <w:w w:val="98"/>
        </w:rPr>
        <w:t>,</w:t>
      </w:r>
      <w:r w:rsidRPr="00AC72B5">
        <w:rPr>
          <w:i/>
          <w:w w:val="98"/>
        </w:rPr>
        <w:t xml:space="preserve"> </w:t>
      </w:r>
      <w:r w:rsidRPr="00AC72B5">
        <w:rPr>
          <w:w w:val="98"/>
        </w:rPr>
        <w:t>¶ 29, Doc. ONU CEDAW/C/MNG/CO/8-9 (2016).</w:t>
      </w:r>
    </w:p>
  </w:endnote>
  <w:endnote w:id="532">
    <w:p w14:paraId="452C7105" w14:textId="72DB0D4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Suecia</w:t>
      </w:r>
      <w:r w:rsidRPr="00AC72B5">
        <w:rPr>
          <w:w w:val="98"/>
        </w:rPr>
        <w:t xml:space="preserve">, ¶ 36, Doc. ONU </w:t>
      </w:r>
      <w:r w:rsidRPr="00AC72B5">
        <w:rPr>
          <w:rFonts w:eastAsia="MS Mincho"/>
          <w:w w:val="98"/>
        </w:rPr>
        <w:t xml:space="preserve">CEDAW/C/SWE/CO/8-9 (2016); </w:t>
      </w:r>
      <w:r w:rsidRPr="00AC72B5">
        <w:rPr>
          <w:rFonts w:eastAsia="MS Mincho"/>
          <w:i/>
          <w:w w:val="98"/>
        </w:rPr>
        <w:t>Mongolia</w:t>
      </w:r>
      <w:r w:rsidRPr="00AC72B5">
        <w:rPr>
          <w:rFonts w:eastAsia="MS Mincho"/>
          <w:w w:val="98"/>
        </w:rPr>
        <w:t xml:space="preserve">, </w:t>
      </w:r>
      <w:r w:rsidRPr="00AC72B5">
        <w:rPr>
          <w:w w:val="98"/>
        </w:rPr>
        <w:t>¶ 28</w:t>
      </w:r>
      <w:r w:rsidRPr="00AC72B5">
        <w:rPr>
          <w:rFonts w:eastAsia="MS Mincho"/>
          <w:w w:val="98"/>
        </w:rPr>
        <w:t xml:space="preserve">, Doc. ONU CEDAW/C/MNG/CO/8-9 (2016); </w:t>
      </w:r>
      <w:r w:rsidRPr="00AC72B5">
        <w:rPr>
          <w:rFonts w:eastAsia="MS Mincho"/>
          <w:i/>
          <w:w w:val="98"/>
        </w:rPr>
        <w:t>Hungría</w:t>
      </w:r>
      <w:r w:rsidRPr="00AC72B5">
        <w:rPr>
          <w:rFonts w:eastAsia="MS Mincho"/>
          <w:w w:val="98"/>
        </w:rPr>
        <w:t>,</w:t>
      </w:r>
      <w:r w:rsidRPr="00AC72B5">
        <w:rPr>
          <w:w w:val="98"/>
        </w:rPr>
        <w:t xml:space="preserve"> ¶ 32,</w:t>
      </w:r>
      <w:r w:rsidRPr="00AC72B5">
        <w:rPr>
          <w:rFonts w:eastAsia="MS Mincho"/>
          <w:w w:val="98"/>
        </w:rPr>
        <w:t xml:space="preserve"> Doc. ONU </w:t>
      </w:r>
      <w:r w:rsidRPr="00AC72B5">
        <w:rPr>
          <w:w w:val="98"/>
        </w:rPr>
        <w:t>CEDAW/C/HUN/CO/7-8</w:t>
      </w:r>
      <w:r w:rsidRPr="00AC72B5">
        <w:rPr>
          <w:rFonts w:eastAsia="MS Mincho"/>
          <w:w w:val="98"/>
        </w:rPr>
        <w:t xml:space="preserve"> (2013); </w:t>
      </w:r>
      <w:r w:rsidRPr="00AC72B5">
        <w:rPr>
          <w:i/>
          <w:w w:val="98"/>
        </w:rPr>
        <w:t>Cabo Verde</w:t>
      </w:r>
      <w:r w:rsidRPr="00AC72B5">
        <w:rPr>
          <w:w w:val="98"/>
        </w:rPr>
        <w:t xml:space="preserve">, ¶ 28, Doc. ONU CEDAW/C/CPV/CO/7-8 (2013); </w:t>
      </w:r>
      <w:r w:rsidRPr="00AC72B5">
        <w:rPr>
          <w:i/>
          <w:w w:val="98"/>
        </w:rPr>
        <w:t>Liechtenstein</w:t>
      </w:r>
      <w:r w:rsidRPr="00AC72B5">
        <w:rPr>
          <w:w w:val="98"/>
        </w:rPr>
        <w:t xml:space="preserve">, ¶ 38, Doc. ONU CEDAW/C/LIE/CO/4 (2011); </w:t>
      </w:r>
      <w:r w:rsidRPr="00AC72B5">
        <w:rPr>
          <w:i/>
          <w:w w:val="98"/>
        </w:rPr>
        <w:t>Montenegro</w:t>
      </w:r>
      <w:r w:rsidRPr="00AC72B5">
        <w:rPr>
          <w:w w:val="98"/>
        </w:rPr>
        <w:t xml:space="preserve">, ¶ 30, Doc. ONU CEDAW/C/MNE/CO/1 (2011); </w:t>
      </w:r>
      <w:r w:rsidRPr="00AC72B5">
        <w:rPr>
          <w:i/>
          <w:w w:val="98"/>
        </w:rPr>
        <w:t>Omán</w:t>
      </w:r>
      <w:r w:rsidRPr="00AC72B5">
        <w:rPr>
          <w:w w:val="98"/>
        </w:rPr>
        <w:t xml:space="preserve">, ¶ 40, Doc. ONU CEDAW/C/OMN/CO/1 (2011); </w:t>
      </w:r>
      <w:r w:rsidRPr="00AC72B5">
        <w:rPr>
          <w:i/>
          <w:w w:val="98"/>
        </w:rPr>
        <w:t>Tuvalu</w:t>
      </w:r>
      <w:r w:rsidRPr="00AC72B5">
        <w:rPr>
          <w:w w:val="98"/>
        </w:rPr>
        <w:t>, ¶ 43, Doc. ONU CEDAW/C/TUV/CO/2 (2009).</w:t>
      </w:r>
    </w:p>
  </w:endnote>
  <w:endnote w:id="533">
    <w:p w14:paraId="7BB664E7" w14:textId="16FD536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Uganda</w:t>
      </w:r>
      <w:r w:rsidRPr="00AC72B5">
        <w:rPr>
          <w:w w:val="98"/>
        </w:rPr>
        <w:t>, ¶ 45, Doc. ONU CEDAW/C/UGA/CO/7 (2010).</w:t>
      </w:r>
    </w:p>
  </w:endnote>
  <w:endnote w:id="534">
    <w:p w14:paraId="2E035D69" w14:textId="13D9A68D" w:rsidR="005E3DDD" w:rsidRPr="00AC72B5" w:rsidRDefault="005E3DDD" w:rsidP="00AC72B5">
      <w:pPr>
        <w:pStyle w:val="EndnoteText"/>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Serbia</w:t>
      </w:r>
      <w:r w:rsidRPr="00AC72B5">
        <w:rPr>
          <w:rFonts w:eastAsia="MS Mincho"/>
          <w:w w:val="98"/>
        </w:rPr>
        <w:t xml:space="preserve">, </w:t>
      </w:r>
      <w:r w:rsidRPr="00AC72B5">
        <w:rPr>
          <w:w w:val="98"/>
        </w:rPr>
        <w:t>¶ 32</w:t>
      </w:r>
      <w:r w:rsidRPr="00AC72B5">
        <w:rPr>
          <w:rFonts w:eastAsia="MS Mincho"/>
          <w:w w:val="98"/>
        </w:rPr>
        <w:t xml:space="preserve">, Doc. </w:t>
      </w:r>
      <w:r w:rsidRPr="00AC72B5">
        <w:rPr>
          <w:rFonts w:eastAsia="MS Mincho"/>
          <w:w w:val="98"/>
          <w:lang w:val="es-CO"/>
        </w:rPr>
        <w:t xml:space="preserve">ONU </w:t>
      </w:r>
      <w:r w:rsidRPr="00AC72B5">
        <w:rPr>
          <w:w w:val="98"/>
          <w:lang w:val="es-CO"/>
        </w:rPr>
        <w:t>CEDAW/C/SRB/CO/2-3 (2013).</w:t>
      </w:r>
    </w:p>
  </w:endnote>
  <w:endnote w:id="535">
    <w:p w14:paraId="715EC566" w14:textId="520883E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 xml:space="preserve">Observaciones Finales: Mongolia, </w:t>
      </w:r>
      <w:r w:rsidRPr="00AC72B5">
        <w:rPr>
          <w:w w:val="98"/>
        </w:rPr>
        <w:t xml:space="preserve">¶ 28, Doc. ONU CEDAW/C/MNG/CO/8-9 (2016); </w:t>
      </w:r>
      <w:r w:rsidRPr="00AC72B5">
        <w:rPr>
          <w:i/>
          <w:w w:val="98"/>
        </w:rPr>
        <w:t>Serbia</w:t>
      </w:r>
      <w:r w:rsidRPr="00AC72B5">
        <w:rPr>
          <w:w w:val="98"/>
        </w:rPr>
        <w:t>, ¶ 32; Doc. ONU CEDAW/C/SRB/CO/2-3 (2013).</w:t>
      </w:r>
    </w:p>
  </w:endnote>
  <w:endnote w:id="536">
    <w:p w14:paraId="379A3FCD" w14:textId="6DD5521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Mali</w:t>
      </w:r>
      <w:r w:rsidRPr="00AC72B5">
        <w:rPr>
          <w:w w:val="98"/>
        </w:rPr>
        <w:t xml:space="preserve">, ¶ 39, Doc. ONU </w:t>
      </w:r>
      <w:r w:rsidRPr="00AC72B5">
        <w:rPr>
          <w:rFonts w:eastAsia="MS Mincho"/>
          <w:w w:val="98"/>
        </w:rPr>
        <w:t>CEDAW/C/MLI/CO/6-7 (2016).</w:t>
      </w:r>
    </w:p>
  </w:endnote>
  <w:endnote w:id="537">
    <w:p w14:paraId="679BC7D1" w14:textId="43830B9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República Checa</w:t>
      </w:r>
      <w:r w:rsidRPr="00AC72B5">
        <w:rPr>
          <w:w w:val="98"/>
        </w:rPr>
        <w:t>, ¶ 40, Doc. ONU</w:t>
      </w:r>
      <w:r w:rsidRPr="00AC72B5">
        <w:rPr>
          <w:i/>
          <w:w w:val="98"/>
        </w:rPr>
        <w:t xml:space="preserve"> </w:t>
      </w:r>
      <w:r w:rsidRPr="00AC72B5">
        <w:rPr>
          <w:rFonts w:eastAsia="MS Mincho"/>
          <w:w w:val="98"/>
        </w:rPr>
        <w:t>CEDAW/C/CZE/CO/6 (2016);</w:t>
      </w:r>
    </w:p>
  </w:endnote>
  <w:endnote w:id="538">
    <w:p w14:paraId="5077C0A7" w14:textId="2705C81E" w:rsidR="005E3DDD" w:rsidRPr="00AC72B5" w:rsidRDefault="005E3DDD" w:rsidP="00AC72B5">
      <w:pPr>
        <w:pStyle w:val="EndnoteText"/>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 xml:space="preserve">Observaciones Finales: Serbia, </w:t>
      </w:r>
      <w:r w:rsidRPr="00AC72B5">
        <w:rPr>
          <w:w w:val="98"/>
        </w:rPr>
        <w:t>¶ 33</w:t>
      </w:r>
      <w:r w:rsidRPr="00AC72B5">
        <w:rPr>
          <w:rFonts w:eastAsia="MS Mincho"/>
          <w:w w:val="98"/>
        </w:rPr>
        <w:t xml:space="preserve">, Doc. </w:t>
      </w:r>
      <w:r w:rsidRPr="00AC72B5">
        <w:rPr>
          <w:rFonts w:eastAsia="MS Mincho"/>
          <w:w w:val="98"/>
          <w:lang w:val="es-CO"/>
        </w:rPr>
        <w:t xml:space="preserve">ONU </w:t>
      </w:r>
      <w:r w:rsidRPr="00AC72B5">
        <w:rPr>
          <w:w w:val="98"/>
          <w:lang w:val="es-CO"/>
        </w:rPr>
        <w:t>CEDAW/C/SRB/CO/2-3 (2013).</w:t>
      </w:r>
    </w:p>
  </w:endnote>
  <w:endnote w:id="539">
    <w:p w14:paraId="1D26A1DC" w14:textId="23A9C4F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 xml:space="preserve">Observaciones Finales: Mongolia, </w:t>
      </w:r>
      <w:r w:rsidRPr="00AC72B5">
        <w:rPr>
          <w:w w:val="98"/>
        </w:rPr>
        <w:t xml:space="preserve">¶ 29, Doc. ONU CEDAW/C/MNG/CO/8-9 (2016); </w:t>
      </w:r>
      <w:r w:rsidRPr="00AC72B5">
        <w:rPr>
          <w:i/>
          <w:w w:val="98"/>
        </w:rPr>
        <w:t>Serbia</w:t>
      </w:r>
      <w:r w:rsidRPr="00AC72B5">
        <w:rPr>
          <w:w w:val="98"/>
        </w:rPr>
        <w:t>, ¶ 33; Doc. ONU CEDAW/C/SRB/CO/2-3 (2013).</w:t>
      </w:r>
    </w:p>
  </w:endnote>
  <w:endnote w:id="540">
    <w:p w14:paraId="6E1C2A91" w14:textId="0951564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 xml:space="preserve">Observaciones Finales: Mongolia, </w:t>
      </w:r>
      <w:r w:rsidRPr="00AC72B5">
        <w:rPr>
          <w:w w:val="98"/>
        </w:rPr>
        <w:t>¶ 29 Doc. ONU CEDAW/C/MNG/CO/8-9 (2016).</w:t>
      </w:r>
    </w:p>
  </w:endnote>
  <w:endnote w:id="541">
    <w:p w14:paraId="4999FEFA" w14:textId="771D217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Liechtenstein</w:t>
      </w:r>
      <w:r w:rsidRPr="00AC72B5">
        <w:rPr>
          <w:w w:val="98"/>
        </w:rPr>
        <w:t xml:space="preserve">, ¶ 38, Doc. ONU CEDAW/C/LIE/CO/4 (2011); </w:t>
      </w:r>
      <w:r w:rsidRPr="00AC72B5">
        <w:rPr>
          <w:i/>
          <w:w w:val="98"/>
        </w:rPr>
        <w:t>Montenegro</w:t>
      </w:r>
      <w:r w:rsidRPr="00AC72B5">
        <w:rPr>
          <w:w w:val="98"/>
        </w:rPr>
        <w:t>, ¶ 31, Doc. ONU CEDAW/C/MNE/CO/1 (2011).</w:t>
      </w:r>
    </w:p>
  </w:endnote>
  <w:endnote w:id="542">
    <w:p w14:paraId="33D791DD" w14:textId="0C532F4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Liechtenstein</w:t>
      </w:r>
      <w:r w:rsidRPr="00AC72B5">
        <w:rPr>
          <w:w w:val="98"/>
        </w:rPr>
        <w:t xml:space="preserve">, ¶ 38, Doc. ONU CEDAW/C/LIE/CO/4 (2011); </w:t>
      </w:r>
      <w:r w:rsidRPr="00AC72B5">
        <w:rPr>
          <w:i/>
          <w:w w:val="98"/>
        </w:rPr>
        <w:t>Montenegro</w:t>
      </w:r>
      <w:r w:rsidRPr="00AC72B5">
        <w:rPr>
          <w:w w:val="98"/>
        </w:rPr>
        <w:t>, ¶ 31, Doc. ONU CEDAW/C/MNE/CO/1 (2011).</w:t>
      </w:r>
    </w:p>
  </w:endnote>
  <w:endnote w:id="543">
    <w:p w14:paraId="7003AB57" w14:textId="3011EA9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 xml:space="preserve">Observaciones Finales: Serbia, </w:t>
      </w:r>
      <w:r w:rsidRPr="00AC72B5">
        <w:rPr>
          <w:w w:val="98"/>
        </w:rPr>
        <w:t>¶ 33</w:t>
      </w:r>
      <w:r w:rsidRPr="00AC72B5">
        <w:rPr>
          <w:rFonts w:eastAsia="MS Mincho"/>
          <w:w w:val="98"/>
        </w:rPr>
        <w:t xml:space="preserve">, Doc. ONU </w:t>
      </w:r>
      <w:r w:rsidRPr="00AC72B5">
        <w:rPr>
          <w:w w:val="98"/>
        </w:rPr>
        <w:t>CEDAW/C/SRB/CO/2-3 (2013).</w:t>
      </w:r>
    </w:p>
  </w:endnote>
  <w:endnote w:id="544">
    <w:p w14:paraId="57D12390" w14:textId="403D2EF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República Checa</w:t>
      </w:r>
      <w:r w:rsidRPr="00AC72B5">
        <w:rPr>
          <w:w w:val="98"/>
        </w:rPr>
        <w:t>, ¶ 41, Doc. ONU</w:t>
      </w:r>
      <w:r w:rsidRPr="00AC72B5">
        <w:rPr>
          <w:i/>
          <w:w w:val="98"/>
        </w:rPr>
        <w:t xml:space="preserve"> </w:t>
      </w:r>
      <w:r w:rsidRPr="00AC72B5">
        <w:rPr>
          <w:rFonts w:eastAsia="MS Mincho"/>
          <w:w w:val="98"/>
        </w:rPr>
        <w:t>CEDAW/C/CZE/CO/6 (2016);</w:t>
      </w:r>
    </w:p>
  </w:endnote>
  <w:endnote w:id="545">
    <w:p w14:paraId="7BB9CB1A" w14:textId="3C49FD5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Georgia</w:t>
      </w:r>
      <w:r w:rsidRPr="00AC72B5">
        <w:rPr>
          <w:w w:val="98"/>
        </w:rPr>
        <w:t>, ¶ 30, Doc. ONU CEDAW/C/GEO/CO/4-5 (2014).</w:t>
      </w:r>
    </w:p>
  </w:endnote>
  <w:endnote w:id="546">
    <w:p w14:paraId="3442919C" w14:textId="6D63C89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Mongolia</w:t>
      </w:r>
      <w:r w:rsidRPr="00AC72B5">
        <w:rPr>
          <w:rFonts w:eastAsia="MS Mincho"/>
          <w:w w:val="98"/>
        </w:rPr>
        <w:t xml:space="preserve">, </w:t>
      </w:r>
      <w:r w:rsidRPr="00AC72B5">
        <w:rPr>
          <w:w w:val="98"/>
        </w:rPr>
        <w:t>¶ 28</w:t>
      </w:r>
      <w:r w:rsidRPr="00AC72B5">
        <w:rPr>
          <w:rFonts w:eastAsia="MS Mincho"/>
          <w:w w:val="98"/>
        </w:rPr>
        <w:t>, Doc. ONU CEDAW/C/MNG/CO/8-9 (2016);</w:t>
      </w:r>
      <w:r w:rsidRPr="00AC72B5">
        <w:rPr>
          <w:w w:val="98"/>
        </w:rPr>
        <w:t xml:space="preserve"> </w:t>
      </w:r>
      <w:r w:rsidRPr="00AC72B5">
        <w:rPr>
          <w:i/>
          <w:w w:val="98"/>
        </w:rPr>
        <w:t>Kirguistán</w:t>
      </w:r>
      <w:r w:rsidRPr="00AC72B5">
        <w:rPr>
          <w:w w:val="98"/>
        </w:rPr>
        <w:t xml:space="preserve">, ¶ 29, Doc. ONU CEDAW/C/KGZ/CO/4 (2015); </w:t>
      </w:r>
      <w:r w:rsidRPr="00AC72B5">
        <w:rPr>
          <w:rFonts w:eastAsia="MS Mincho"/>
          <w:i/>
          <w:w w:val="98"/>
        </w:rPr>
        <w:t>República Dominicana</w:t>
      </w:r>
      <w:r w:rsidRPr="00AC72B5">
        <w:rPr>
          <w:rFonts w:eastAsia="MS Mincho"/>
          <w:w w:val="98"/>
        </w:rPr>
        <w:t xml:space="preserve">, </w:t>
      </w:r>
      <w:r w:rsidRPr="00AC72B5">
        <w:rPr>
          <w:w w:val="98"/>
        </w:rPr>
        <w:t>¶ 36</w:t>
      </w:r>
      <w:r w:rsidRPr="00AC72B5">
        <w:rPr>
          <w:rFonts w:eastAsia="MS Mincho"/>
          <w:w w:val="98"/>
        </w:rPr>
        <w:t xml:space="preserve">, Doc. ONU </w:t>
      </w:r>
      <w:r w:rsidRPr="00AC72B5">
        <w:rPr>
          <w:w w:val="98"/>
        </w:rPr>
        <w:t>CEDAW/C/DOM/CO/6-7 (2014).</w:t>
      </w:r>
    </w:p>
  </w:endnote>
  <w:endnote w:id="547">
    <w:p w14:paraId="2095010F" w14:textId="76C6CFE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Kirguistán</w:t>
      </w:r>
      <w:r w:rsidRPr="00AC72B5">
        <w:rPr>
          <w:w w:val="98"/>
        </w:rPr>
        <w:t>, ¶ 29, Doc. ONU CEDAW/C/KGZ/CO/4 (2015).</w:t>
      </w:r>
    </w:p>
  </w:endnote>
  <w:endnote w:id="548">
    <w:p w14:paraId="4592E36E" w14:textId="42D312E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de la CEDAW, </w:t>
      </w:r>
      <w:r w:rsidRPr="00AC72B5">
        <w:rPr>
          <w:rFonts w:eastAsia="MS Mincho"/>
          <w:i/>
          <w:w w:val="98"/>
        </w:rPr>
        <w:t>Observaciones Finales: Hungría</w:t>
      </w:r>
      <w:r w:rsidRPr="00AC72B5">
        <w:rPr>
          <w:rFonts w:eastAsia="MS Mincho"/>
          <w:w w:val="98"/>
        </w:rPr>
        <w:t xml:space="preserve">, </w:t>
      </w:r>
      <w:r w:rsidRPr="00AC72B5">
        <w:rPr>
          <w:w w:val="98"/>
        </w:rPr>
        <w:t>¶ 32</w:t>
      </w:r>
      <w:r w:rsidRPr="00AC72B5">
        <w:rPr>
          <w:rFonts w:eastAsia="MS Mincho"/>
          <w:w w:val="98"/>
        </w:rPr>
        <w:t xml:space="preserve">, Doc. ONU </w:t>
      </w:r>
      <w:r w:rsidRPr="00AC72B5">
        <w:rPr>
          <w:w w:val="98"/>
        </w:rPr>
        <w:t>CEDAW/C/HUN/CO/7-8</w:t>
      </w:r>
      <w:r w:rsidRPr="00AC72B5">
        <w:rPr>
          <w:rFonts w:eastAsia="MS Mincho"/>
          <w:w w:val="98"/>
        </w:rPr>
        <w:t xml:space="preserve"> (2013); </w:t>
      </w:r>
      <w:r w:rsidRPr="00AC72B5">
        <w:rPr>
          <w:i/>
          <w:w w:val="98"/>
        </w:rPr>
        <w:t>Montenegro</w:t>
      </w:r>
      <w:r w:rsidRPr="00AC72B5">
        <w:rPr>
          <w:w w:val="98"/>
        </w:rPr>
        <w:t xml:space="preserve">, ¶ 30, Doc. ONU CEDAW/C/MNE/CO/1 (2011); </w:t>
      </w:r>
      <w:r w:rsidRPr="00AC72B5">
        <w:rPr>
          <w:rFonts w:eastAsia="MS Mincho"/>
          <w:i/>
          <w:w w:val="98"/>
        </w:rPr>
        <w:t>Nicaragua</w:t>
      </w:r>
      <w:r w:rsidRPr="00AC72B5">
        <w:rPr>
          <w:rFonts w:eastAsia="MS Mincho"/>
          <w:w w:val="98"/>
        </w:rPr>
        <w:t>,</w:t>
      </w:r>
      <w:r w:rsidRPr="00AC72B5">
        <w:rPr>
          <w:rFonts w:eastAsia="MS Mincho"/>
          <w:i/>
          <w:w w:val="98"/>
        </w:rPr>
        <w:t xml:space="preserve"> </w:t>
      </w:r>
      <w:r w:rsidRPr="00AC72B5">
        <w:rPr>
          <w:w w:val="98"/>
        </w:rPr>
        <w:t>¶ 17</w:t>
      </w:r>
      <w:r w:rsidRPr="00AC72B5">
        <w:rPr>
          <w:rFonts w:eastAsia="MS Mincho"/>
          <w:w w:val="98"/>
        </w:rPr>
        <w:t xml:space="preserve">, Doc. ONU </w:t>
      </w:r>
      <w:r w:rsidRPr="00AC72B5">
        <w:rPr>
          <w:w w:val="98"/>
        </w:rPr>
        <w:t>CEDAW/C/NIC/CO/6 (2007).</w:t>
      </w:r>
    </w:p>
  </w:endnote>
  <w:endnote w:id="549">
    <w:p w14:paraId="615527EF" w14:textId="3AC303A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Suecia</w:t>
      </w:r>
      <w:r w:rsidRPr="00AC72B5">
        <w:rPr>
          <w:w w:val="98"/>
        </w:rPr>
        <w:t xml:space="preserve">, ¶ 36, Doc. ONU </w:t>
      </w:r>
      <w:r w:rsidRPr="00AC72B5">
        <w:rPr>
          <w:rFonts w:eastAsia="MS Mincho"/>
          <w:w w:val="98"/>
        </w:rPr>
        <w:t xml:space="preserve">CEDAW/C/SWE/CO/8-9 (2016); </w:t>
      </w:r>
      <w:r w:rsidRPr="00AC72B5">
        <w:rPr>
          <w:i/>
          <w:w w:val="98"/>
        </w:rPr>
        <w:t>Liechtenstein</w:t>
      </w:r>
      <w:r w:rsidRPr="00AC72B5">
        <w:rPr>
          <w:w w:val="98"/>
        </w:rPr>
        <w:t>, ¶ 38, Doc. ONU CEDAW/C/LIE/CO/4 (2011).</w:t>
      </w:r>
    </w:p>
  </w:endnote>
  <w:endnote w:id="550">
    <w:p w14:paraId="5B6C0753" w14:textId="2BA6DE8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República de Macedonia</w:t>
      </w:r>
      <w:r w:rsidRPr="00AC72B5">
        <w:rPr>
          <w:w w:val="98"/>
        </w:rPr>
        <w:t>, ¶ 33, Doc. ONU CEDAW/C/MKD/CO/4-5 (2013).</w:t>
      </w:r>
    </w:p>
  </w:endnote>
  <w:endnote w:id="551">
    <w:p w14:paraId="7ECAB440" w14:textId="6F53522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República Checa</w:t>
      </w:r>
      <w:r w:rsidRPr="00AC72B5">
        <w:rPr>
          <w:w w:val="98"/>
        </w:rPr>
        <w:t>, ¶ 30, Doc. ONU</w:t>
      </w:r>
      <w:r w:rsidRPr="00AC72B5">
        <w:rPr>
          <w:i/>
          <w:w w:val="98"/>
        </w:rPr>
        <w:t xml:space="preserve"> </w:t>
      </w:r>
      <w:r w:rsidRPr="00AC72B5">
        <w:rPr>
          <w:rFonts w:eastAsia="MS Mincho"/>
          <w:w w:val="98"/>
        </w:rPr>
        <w:t>CEDAW/C/CZE/CO/6 (2016).</w:t>
      </w:r>
    </w:p>
  </w:endnote>
  <w:endnote w:id="552">
    <w:p w14:paraId="6E9E1DB7" w14:textId="7CC1D4A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Hungría</w:t>
      </w:r>
      <w:r w:rsidRPr="00AC72B5">
        <w:rPr>
          <w:w w:val="98"/>
        </w:rPr>
        <w:t>, ¶ 32, Doc. ONU CEDAW/C/HUN/CO/7-8 (2013).</w:t>
      </w:r>
    </w:p>
  </w:endnote>
  <w:endnote w:id="553">
    <w:p w14:paraId="7C9D6224" w14:textId="6150190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w:t>
      </w:r>
      <w:r>
        <w:rPr>
          <w:w w:val="98"/>
        </w:rPr>
        <w:t xml:space="preserve"> </w:t>
      </w:r>
      <w:r w:rsidRPr="00AC72B5">
        <w:rPr>
          <w:w w:val="98"/>
        </w:rPr>
        <w:t xml:space="preserve">CEDAW, </w:t>
      </w:r>
      <w:r w:rsidRPr="00AC72B5">
        <w:rPr>
          <w:i/>
          <w:w w:val="98"/>
        </w:rPr>
        <w:t>Observaciones Finales: Francia</w:t>
      </w:r>
      <w:r w:rsidRPr="00AC72B5">
        <w:rPr>
          <w:w w:val="98"/>
        </w:rPr>
        <w:t xml:space="preserve">, ¶ 37, Doc. ONU </w:t>
      </w:r>
      <w:r w:rsidRPr="00AC72B5">
        <w:rPr>
          <w:rFonts w:eastAsia="MS Mincho"/>
          <w:w w:val="98"/>
        </w:rPr>
        <w:t xml:space="preserve">CEDAW/C/FRA/CO/7-8 (2016); </w:t>
      </w:r>
      <w:r w:rsidRPr="00AC72B5">
        <w:rPr>
          <w:i/>
          <w:w w:val="98"/>
        </w:rPr>
        <w:t>Turquía</w:t>
      </w:r>
      <w:r w:rsidRPr="00AC72B5">
        <w:rPr>
          <w:w w:val="98"/>
        </w:rPr>
        <w:t xml:space="preserve">, ¶ 48, Doc. ONU CEDAW/C/TUR/CO/7 (2016); </w:t>
      </w:r>
      <w:r w:rsidRPr="00AC72B5">
        <w:rPr>
          <w:i/>
          <w:w w:val="98"/>
        </w:rPr>
        <w:t>Malí</w:t>
      </w:r>
      <w:r w:rsidRPr="00AC72B5">
        <w:rPr>
          <w:w w:val="98"/>
        </w:rPr>
        <w:t xml:space="preserve">, ¶ 40, Doc. ONU </w:t>
      </w:r>
      <w:r w:rsidRPr="00AC72B5">
        <w:rPr>
          <w:rFonts w:eastAsia="MS Mincho"/>
          <w:w w:val="98"/>
        </w:rPr>
        <w:t xml:space="preserve">CEDAW/C/MLI/CO/6-7 (2016); </w:t>
      </w:r>
      <w:r w:rsidRPr="00AC72B5">
        <w:rPr>
          <w:rFonts w:eastAsia="MS Mincho"/>
          <w:i/>
          <w:w w:val="98"/>
        </w:rPr>
        <w:t>Grecia</w:t>
      </w:r>
      <w:r w:rsidRPr="00AC72B5">
        <w:rPr>
          <w:rFonts w:eastAsia="MS Mincho"/>
          <w:w w:val="98"/>
        </w:rPr>
        <w:t xml:space="preserve">, </w:t>
      </w:r>
      <w:r w:rsidRPr="00AC72B5">
        <w:rPr>
          <w:w w:val="98"/>
        </w:rPr>
        <w:t xml:space="preserve">¶ 31, </w:t>
      </w:r>
      <w:r w:rsidRPr="00AC72B5">
        <w:rPr>
          <w:rFonts w:eastAsia="MS Mincho"/>
          <w:w w:val="98"/>
        </w:rPr>
        <w:t xml:space="preserve">Doc. ONU </w:t>
      </w:r>
      <w:r w:rsidRPr="00AC72B5">
        <w:rPr>
          <w:w w:val="98"/>
        </w:rPr>
        <w:t>CEDAW/C/GRC/CO/7 (2013).</w:t>
      </w:r>
    </w:p>
  </w:endnote>
  <w:endnote w:id="554">
    <w:p w14:paraId="1D5CFABF" w14:textId="39B8C73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Francia</w:t>
      </w:r>
      <w:r w:rsidRPr="00AC72B5">
        <w:rPr>
          <w:w w:val="98"/>
        </w:rPr>
        <w:t xml:space="preserve">, ¶ 37, Doc. ONU </w:t>
      </w:r>
      <w:r w:rsidRPr="00AC72B5">
        <w:rPr>
          <w:rFonts w:eastAsia="MS Mincho"/>
          <w:w w:val="98"/>
        </w:rPr>
        <w:t>CEDAW/C/FRA/CO/7-8 (2016);</w:t>
      </w:r>
      <w:r w:rsidRPr="00AC72B5">
        <w:rPr>
          <w:i/>
          <w:w w:val="98"/>
        </w:rPr>
        <w:t xml:space="preserve"> Turquía</w:t>
      </w:r>
      <w:r w:rsidRPr="00AC72B5">
        <w:rPr>
          <w:w w:val="98"/>
        </w:rPr>
        <w:t xml:space="preserve">, ¶ 48, Doc. ONU CEDAW/C/TUR/CO/7 (2016); </w:t>
      </w:r>
      <w:r w:rsidRPr="00AC72B5">
        <w:rPr>
          <w:i/>
          <w:w w:val="98"/>
        </w:rPr>
        <w:t>Malí</w:t>
      </w:r>
      <w:r w:rsidRPr="00AC72B5">
        <w:rPr>
          <w:w w:val="98"/>
        </w:rPr>
        <w:t xml:space="preserve">, ¶ 40, Doc. ONU </w:t>
      </w:r>
      <w:r w:rsidRPr="00AC72B5">
        <w:rPr>
          <w:rFonts w:eastAsia="MS Mincho"/>
          <w:w w:val="98"/>
        </w:rPr>
        <w:t>CEDAW/C/MLI/CO/6-7 (2016).</w:t>
      </w:r>
    </w:p>
  </w:endnote>
  <w:endnote w:id="555">
    <w:p w14:paraId="18997532" w14:textId="3088209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República Dominicana</w:t>
      </w:r>
      <w:r w:rsidRPr="00AC72B5">
        <w:rPr>
          <w:w w:val="98"/>
        </w:rPr>
        <w:t>, ¶ 37, Doc. ONU CEDAW/C/DOM/CO/6-7 (2014).</w:t>
      </w:r>
    </w:p>
  </w:endnote>
  <w:endnote w:id="556">
    <w:p w14:paraId="06E85F8D" w14:textId="4F16B6EA" w:rsidR="005E3DDD" w:rsidRPr="00AC72B5" w:rsidRDefault="005E3DDD" w:rsidP="00AC72B5">
      <w:pPr>
        <w:pStyle w:val="EndnoteText"/>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Suecia</w:t>
      </w:r>
      <w:r w:rsidRPr="00AC72B5">
        <w:rPr>
          <w:w w:val="98"/>
        </w:rPr>
        <w:t xml:space="preserve">, ¶ 37, Doc. </w:t>
      </w:r>
      <w:r w:rsidRPr="00AC72B5">
        <w:rPr>
          <w:w w:val="98"/>
          <w:lang w:val="es-CO"/>
        </w:rPr>
        <w:t xml:space="preserve">ONU </w:t>
      </w:r>
      <w:r w:rsidRPr="00AC72B5">
        <w:rPr>
          <w:rFonts w:eastAsia="MS Mincho"/>
          <w:w w:val="98"/>
          <w:lang w:val="es-CO"/>
        </w:rPr>
        <w:t>CEDAW/C/SWE/CO/8-9 (2016).</w:t>
      </w:r>
    </w:p>
  </w:endnote>
  <w:endnote w:id="557">
    <w:p w14:paraId="69FEEDFC" w14:textId="3FE03A5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Turquía</w:t>
      </w:r>
      <w:r w:rsidRPr="00AC72B5">
        <w:rPr>
          <w:w w:val="98"/>
        </w:rPr>
        <w:t>, ¶ 48, Doc. ONU CEDAW/C/TUR/CO/7 (2016).</w:t>
      </w:r>
    </w:p>
  </w:endnote>
  <w:endnote w:id="558">
    <w:p w14:paraId="1165C0CB" w14:textId="68BFF65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Georgia</w:t>
      </w:r>
      <w:r w:rsidRPr="00AC72B5">
        <w:rPr>
          <w:w w:val="98"/>
        </w:rPr>
        <w:t>, ¶ 31, Doc. ONU CEDAW/C/GEO/CO/4-5 (2014).</w:t>
      </w:r>
    </w:p>
  </w:endnote>
  <w:endnote w:id="559">
    <w:p w14:paraId="2ABAAD62" w14:textId="398DDEE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Eslovaquia</w:t>
      </w:r>
      <w:r w:rsidRPr="00AC72B5">
        <w:rPr>
          <w:w w:val="98"/>
        </w:rPr>
        <w:t xml:space="preserve">, ¶ 31, Doc. ONU </w:t>
      </w:r>
      <w:r w:rsidRPr="00AC72B5">
        <w:rPr>
          <w:rFonts w:eastAsia="MS Mincho"/>
          <w:w w:val="98"/>
        </w:rPr>
        <w:t>CEDAW/C/SVK/CO/5-6 (2015).</w:t>
      </w:r>
    </w:p>
  </w:endnote>
  <w:endnote w:id="560">
    <w:p w14:paraId="34A774B5" w14:textId="1AA57BC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 xml:space="preserve">, Comité CEDAW, </w:t>
      </w:r>
      <w:r w:rsidRPr="00AC72B5">
        <w:rPr>
          <w:i/>
          <w:w w:val="98"/>
        </w:rPr>
        <w:t>Observaciones Finales: Nepal</w:t>
      </w:r>
      <w:r w:rsidRPr="00AC72B5">
        <w:rPr>
          <w:w w:val="98"/>
        </w:rPr>
        <w:t xml:space="preserve">, ¶ 31, Doc. ONU CEDAW/C/NPL/CO/4-5 (2011); </w:t>
      </w:r>
      <w:r w:rsidRPr="00AC72B5">
        <w:rPr>
          <w:i/>
          <w:w w:val="98"/>
        </w:rPr>
        <w:t>Omán</w:t>
      </w:r>
      <w:r w:rsidRPr="00AC72B5">
        <w:rPr>
          <w:w w:val="98"/>
        </w:rPr>
        <w:t>, ¶ 40, Doc. ONU CEDAW/C/OMN/CO/1 (2011).</w:t>
      </w:r>
    </w:p>
  </w:endnote>
  <w:endnote w:id="561">
    <w:p w14:paraId="08D5D6A1" w14:textId="33E4070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w:t>
      </w:r>
      <w:r w:rsidRPr="00AC72B5">
        <w:rPr>
          <w:i/>
          <w:w w:val="98"/>
        </w:rPr>
        <w:t xml:space="preserve"> </w:t>
      </w:r>
      <w:r w:rsidRPr="00AC72B5">
        <w:rPr>
          <w:w w:val="98"/>
        </w:rPr>
        <w:t xml:space="preserve">Comité CEDAW, </w:t>
      </w:r>
      <w:r w:rsidRPr="00AC72B5">
        <w:rPr>
          <w:i/>
          <w:w w:val="98"/>
        </w:rPr>
        <w:t>Observaciones Finales: República Unida de Tanzania</w:t>
      </w:r>
      <w:r w:rsidRPr="00AC72B5">
        <w:rPr>
          <w:w w:val="98"/>
        </w:rPr>
        <w:t xml:space="preserve">, ¶ 34, Doc. ONU CEDAW/C/TZA/CO/7-8 (2016); </w:t>
      </w:r>
      <w:r w:rsidRPr="00AC72B5">
        <w:rPr>
          <w:i/>
          <w:w w:val="98"/>
        </w:rPr>
        <w:t>Líbano</w:t>
      </w:r>
      <w:r w:rsidRPr="00AC72B5">
        <w:rPr>
          <w:w w:val="98"/>
        </w:rPr>
        <w:t xml:space="preserve">, ¶ 41, Doc. ONU CEDAW/C/LBN/CO/4-5 (2015); </w:t>
      </w:r>
      <w:r w:rsidRPr="00AC72B5">
        <w:rPr>
          <w:i/>
          <w:w w:val="98"/>
        </w:rPr>
        <w:t>Liberia</w:t>
      </w:r>
      <w:r w:rsidRPr="00AC72B5">
        <w:rPr>
          <w:w w:val="98"/>
        </w:rPr>
        <w:t xml:space="preserve">, ¶ 39, Doc. ONU CEDAW/C/LBR/CO/7-8 (2015); </w:t>
      </w:r>
      <w:r w:rsidRPr="00AC72B5">
        <w:rPr>
          <w:i/>
          <w:w w:val="98"/>
        </w:rPr>
        <w:t>Tuvalu</w:t>
      </w:r>
      <w:r w:rsidRPr="00AC72B5">
        <w:rPr>
          <w:w w:val="98"/>
        </w:rPr>
        <w:t>, ¶ 30, Doc. ONU</w:t>
      </w:r>
      <w:r w:rsidRPr="00AC72B5">
        <w:rPr>
          <w:i/>
          <w:w w:val="98"/>
        </w:rPr>
        <w:t xml:space="preserve"> </w:t>
      </w:r>
      <w:r w:rsidRPr="00AC72B5">
        <w:rPr>
          <w:w w:val="98"/>
        </w:rPr>
        <w:t xml:space="preserve">CEDAW/C/TUV/CO/3-4 (2015); </w:t>
      </w:r>
      <w:r w:rsidRPr="00AC72B5">
        <w:rPr>
          <w:i/>
          <w:w w:val="98"/>
        </w:rPr>
        <w:t>Ecuador</w:t>
      </w:r>
      <w:r w:rsidRPr="00AC72B5">
        <w:rPr>
          <w:w w:val="98"/>
        </w:rPr>
        <w:t xml:space="preserve">, ¶ 32, Doc. ONU CEDAW/C/ECU/CO/8-9 (2015); </w:t>
      </w:r>
      <w:r w:rsidRPr="00AC72B5">
        <w:rPr>
          <w:i/>
          <w:w w:val="98"/>
        </w:rPr>
        <w:t>Islas Salomón</w:t>
      </w:r>
      <w:r w:rsidRPr="00AC72B5">
        <w:rPr>
          <w:w w:val="98"/>
        </w:rPr>
        <w:t xml:space="preserve">, ¶ 36, Doc. ONU CEDAW/C/SLB/CO/1-3 (2014); </w:t>
      </w:r>
      <w:r w:rsidRPr="00AC72B5">
        <w:rPr>
          <w:i/>
          <w:w w:val="98"/>
        </w:rPr>
        <w:t>Congo</w:t>
      </w:r>
      <w:r w:rsidRPr="00AC72B5">
        <w:rPr>
          <w:w w:val="98"/>
        </w:rPr>
        <w:t xml:space="preserve">, ¶ 35, Doc. ONU CEDAW/C/COG/CO/6 (2012); </w:t>
      </w:r>
      <w:r w:rsidRPr="00AC72B5">
        <w:rPr>
          <w:i/>
          <w:w w:val="98"/>
        </w:rPr>
        <w:t>Indonesia</w:t>
      </w:r>
      <w:r w:rsidRPr="00AC72B5">
        <w:rPr>
          <w:w w:val="98"/>
        </w:rPr>
        <w:t xml:space="preserve">, ¶ 41, Doc. ONU CEDAW/C/IDN/CO/6-7 (2012); </w:t>
      </w:r>
      <w:r w:rsidRPr="00AC72B5">
        <w:rPr>
          <w:i/>
          <w:w w:val="98"/>
        </w:rPr>
        <w:t>Kenia</w:t>
      </w:r>
      <w:r w:rsidRPr="00AC72B5">
        <w:rPr>
          <w:w w:val="98"/>
        </w:rPr>
        <w:t xml:space="preserve">, ¶ 37, Doc. ONU CEDAW/C/KEN/CO/7 (2011); </w:t>
      </w:r>
      <w:r w:rsidRPr="00AC72B5">
        <w:rPr>
          <w:i/>
          <w:w w:val="98"/>
        </w:rPr>
        <w:t>Brasil</w:t>
      </w:r>
      <w:r w:rsidRPr="00AC72B5">
        <w:rPr>
          <w:w w:val="98"/>
        </w:rPr>
        <w:t xml:space="preserve">, ¶ 29, Doc. ONU CEDAW/C/BRA/CO/6 (2007); </w:t>
      </w:r>
      <w:r w:rsidRPr="00AC72B5">
        <w:rPr>
          <w:i/>
          <w:w w:val="98"/>
        </w:rPr>
        <w:t>Santa Lucía</w:t>
      </w:r>
      <w:r w:rsidRPr="00AC72B5">
        <w:rPr>
          <w:w w:val="98"/>
        </w:rPr>
        <w:t>, ¶ 31, Doc. ONU CEDAW/C/LCA/CO/6 (2006).</w:t>
      </w:r>
    </w:p>
  </w:endnote>
  <w:endnote w:id="562">
    <w:p w14:paraId="39153122" w14:textId="5955D90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w:t>
      </w:r>
      <w:r w:rsidRPr="00AC72B5">
        <w:rPr>
          <w:i/>
          <w:w w:val="98"/>
        </w:rPr>
        <w:t xml:space="preserve"> </w:t>
      </w:r>
      <w:r w:rsidRPr="00AC72B5">
        <w:rPr>
          <w:w w:val="98"/>
        </w:rPr>
        <w:t xml:space="preserve">Comité CEDAW, </w:t>
      </w:r>
      <w:r w:rsidRPr="00AC72B5">
        <w:rPr>
          <w:rFonts w:eastAsia="MS Mincho"/>
          <w:i/>
          <w:w w:val="98"/>
        </w:rPr>
        <w:t>Observaciones Finales: Liberia</w:t>
      </w:r>
      <w:r w:rsidRPr="00AC72B5">
        <w:rPr>
          <w:rFonts w:eastAsia="MS Mincho"/>
          <w:w w:val="98"/>
        </w:rPr>
        <w:t xml:space="preserve">, ¶ </w:t>
      </w:r>
      <w:r w:rsidRPr="00AC72B5">
        <w:rPr>
          <w:w w:val="98"/>
        </w:rPr>
        <w:t>40</w:t>
      </w:r>
      <w:r w:rsidRPr="00AC72B5">
        <w:rPr>
          <w:rFonts w:eastAsia="MS Mincho"/>
          <w:w w:val="98"/>
        </w:rPr>
        <w:t xml:space="preserve">, Doc. ONU CEDAW/C/LBR/CO/7-8 (2015); </w:t>
      </w:r>
      <w:r w:rsidRPr="00AC72B5">
        <w:rPr>
          <w:i/>
          <w:w w:val="98"/>
        </w:rPr>
        <w:t>Eritrea</w:t>
      </w:r>
      <w:r w:rsidRPr="00AC72B5">
        <w:rPr>
          <w:w w:val="98"/>
        </w:rPr>
        <w:t xml:space="preserve">, ¶ 34, Doc. ONU CEDAW/C/ERI/CO/5 (2015); </w:t>
      </w:r>
      <w:r w:rsidRPr="00AC72B5">
        <w:rPr>
          <w:i/>
          <w:w w:val="98"/>
        </w:rPr>
        <w:t>San Vicente y las Granadinas</w:t>
      </w:r>
      <w:r w:rsidRPr="00AC72B5">
        <w:rPr>
          <w:w w:val="98"/>
        </w:rPr>
        <w:t xml:space="preserve">, ¶ 39, Doc. ONU CEDAW/C/VCT/CO/4-8 (2015); </w:t>
      </w:r>
      <w:r w:rsidRPr="00AC72B5">
        <w:rPr>
          <w:rFonts w:eastAsia="MS Mincho"/>
          <w:i/>
          <w:w w:val="98"/>
        </w:rPr>
        <w:t>India</w:t>
      </w:r>
      <w:r w:rsidRPr="00AC72B5">
        <w:rPr>
          <w:rFonts w:eastAsia="MS Mincho"/>
          <w:w w:val="98"/>
        </w:rPr>
        <w:t xml:space="preserve">, </w:t>
      </w:r>
      <w:r w:rsidRPr="00AC72B5">
        <w:rPr>
          <w:w w:val="98"/>
        </w:rPr>
        <w:t>¶ 31</w:t>
      </w:r>
      <w:r w:rsidRPr="00AC72B5">
        <w:rPr>
          <w:rFonts w:eastAsia="MS Mincho"/>
          <w:w w:val="98"/>
        </w:rPr>
        <w:t xml:space="preserve">, Doc. ONU CEDAW/C/IND/CO/4-5 (2014); </w:t>
      </w:r>
      <w:r w:rsidRPr="00AC72B5">
        <w:rPr>
          <w:i/>
          <w:w w:val="98"/>
        </w:rPr>
        <w:t>Nepal</w:t>
      </w:r>
      <w:r w:rsidRPr="00AC72B5">
        <w:rPr>
          <w:w w:val="98"/>
        </w:rPr>
        <w:t xml:space="preserve">, ¶ 32, Doc. ONU CEDAW/C/NPL/CO/4-5 (2011); </w:t>
      </w:r>
      <w:r w:rsidRPr="00AC72B5">
        <w:rPr>
          <w:i/>
          <w:w w:val="98"/>
        </w:rPr>
        <w:t>Santa Lucía</w:t>
      </w:r>
      <w:r w:rsidRPr="00AC72B5">
        <w:rPr>
          <w:w w:val="98"/>
        </w:rPr>
        <w:t>, ¶ 32, Doc. ONU CEDAW/C/LCA/CO/6 (2006).</w:t>
      </w:r>
    </w:p>
  </w:endnote>
  <w:endnote w:id="563">
    <w:p w14:paraId="59D09DE9" w14:textId="76FD90A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Sri Lanka</w:t>
      </w:r>
      <w:r w:rsidRPr="00AC72B5">
        <w:rPr>
          <w:rFonts w:eastAsia="MS Mincho"/>
          <w:w w:val="98"/>
        </w:rPr>
        <w:t>,</w:t>
      </w:r>
      <w:r w:rsidRPr="00AC72B5">
        <w:rPr>
          <w:rFonts w:eastAsia="MS Mincho"/>
          <w:i/>
          <w:w w:val="98"/>
        </w:rPr>
        <w:t xml:space="preserve"> </w:t>
      </w:r>
      <w:r w:rsidRPr="00AC72B5">
        <w:rPr>
          <w:w w:val="98"/>
        </w:rPr>
        <w:t>¶ 37</w:t>
      </w:r>
      <w:r w:rsidRPr="00AC72B5">
        <w:rPr>
          <w:rFonts w:eastAsia="MS Mincho"/>
          <w:w w:val="98"/>
        </w:rPr>
        <w:t xml:space="preserve">, Doc. ONU </w:t>
      </w:r>
      <w:r w:rsidRPr="00AC72B5">
        <w:rPr>
          <w:w w:val="98"/>
        </w:rPr>
        <w:t xml:space="preserve">CEDAW/C/LKA/CO/7 (2011); </w:t>
      </w:r>
      <w:r w:rsidRPr="00AC72B5">
        <w:rPr>
          <w:rFonts w:eastAsia="MS Mincho"/>
          <w:i/>
          <w:w w:val="98"/>
        </w:rPr>
        <w:t>Nicaragua</w:t>
      </w:r>
      <w:r w:rsidRPr="00AC72B5">
        <w:rPr>
          <w:rFonts w:eastAsia="MS Mincho"/>
          <w:w w:val="98"/>
        </w:rPr>
        <w:t xml:space="preserve">, </w:t>
      </w:r>
      <w:r w:rsidRPr="00AC72B5">
        <w:rPr>
          <w:w w:val="98"/>
        </w:rPr>
        <w:t>¶ 18</w:t>
      </w:r>
      <w:r w:rsidRPr="00AC72B5">
        <w:rPr>
          <w:rFonts w:eastAsia="MS Mincho"/>
          <w:w w:val="98"/>
        </w:rPr>
        <w:t xml:space="preserve">, Doc. ONU </w:t>
      </w:r>
      <w:r w:rsidRPr="00AC72B5">
        <w:rPr>
          <w:w w:val="98"/>
        </w:rPr>
        <w:t>CEDAW/C/NIC/CO/6 (2007).</w:t>
      </w:r>
    </w:p>
  </w:endnote>
  <w:endnote w:id="564">
    <w:p w14:paraId="3560E319" w14:textId="04D3ACA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Santa Lucía</w:t>
      </w:r>
      <w:r w:rsidRPr="00AC72B5">
        <w:rPr>
          <w:w w:val="98"/>
        </w:rPr>
        <w:t>, ¶ 32, Doc. ONU CEDAW/C/LCA/CO/6 (2006).</w:t>
      </w:r>
    </w:p>
  </w:endnote>
  <w:endnote w:id="565">
    <w:p w14:paraId="72BBD3E2" w14:textId="36FDCDD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Tuvalu</w:t>
      </w:r>
      <w:r w:rsidRPr="00AC72B5">
        <w:rPr>
          <w:w w:val="98"/>
        </w:rPr>
        <w:t>, ¶ 30, Doc. ONU</w:t>
      </w:r>
      <w:r w:rsidRPr="00AC72B5">
        <w:rPr>
          <w:i/>
          <w:w w:val="98"/>
        </w:rPr>
        <w:t xml:space="preserve"> </w:t>
      </w:r>
      <w:r w:rsidRPr="00AC72B5">
        <w:rPr>
          <w:w w:val="98"/>
        </w:rPr>
        <w:t xml:space="preserve">CEDAW/C/TUV/CO/3-4 (2015); </w:t>
      </w:r>
      <w:r w:rsidRPr="00AC72B5">
        <w:rPr>
          <w:i/>
          <w:w w:val="98"/>
        </w:rPr>
        <w:t>Baréin</w:t>
      </w:r>
      <w:r w:rsidRPr="00AC72B5">
        <w:rPr>
          <w:w w:val="98"/>
        </w:rPr>
        <w:t xml:space="preserve">, ¶ 41, Doc. ONU </w:t>
      </w:r>
      <w:r w:rsidRPr="00AC72B5">
        <w:rPr>
          <w:rFonts w:eastAsia="MS Mincho"/>
          <w:w w:val="98"/>
        </w:rPr>
        <w:t>CEDAW/C/BHR/CO/3</w:t>
      </w:r>
      <w:r w:rsidRPr="00AC72B5">
        <w:rPr>
          <w:w w:val="98"/>
        </w:rPr>
        <w:t xml:space="preserve"> (2014); </w:t>
      </w:r>
      <w:r w:rsidRPr="00AC72B5">
        <w:rPr>
          <w:i/>
          <w:w w:val="98"/>
        </w:rPr>
        <w:t>Chile</w:t>
      </w:r>
      <w:r w:rsidRPr="00AC72B5">
        <w:rPr>
          <w:w w:val="98"/>
        </w:rPr>
        <w:t xml:space="preserve">, ¶ 34, Doc. ONU CEDAW/C/CHL/CO/5-6 (2012); </w:t>
      </w:r>
      <w:r w:rsidRPr="00AC72B5">
        <w:rPr>
          <w:i/>
          <w:w w:val="98"/>
        </w:rPr>
        <w:t>Haití</w:t>
      </w:r>
      <w:r w:rsidRPr="00AC72B5">
        <w:rPr>
          <w:w w:val="98"/>
        </w:rPr>
        <w:t xml:space="preserve">, ¶ 36, Doc. ONU CEDAW/C/HTI/CO/7 (2009); </w:t>
      </w:r>
      <w:r w:rsidRPr="00AC72B5">
        <w:rPr>
          <w:i/>
          <w:w w:val="98"/>
        </w:rPr>
        <w:t>Honduras</w:t>
      </w:r>
      <w:r w:rsidRPr="00AC72B5">
        <w:rPr>
          <w:w w:val="98"/>
        </w:rPr>
        <w:t>, ¶ 24, Doc. ONU CEDAW/C/HON/CO/6 (2007).</w:t>
      </w:r>
    </w:p>
  </w:endnote>
  <w:endnote w:id="566">
    <w:p w14:paraId="4EE97992" w14:textId="36788D2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w:t>
      </w:r>
      <w:r w:rsidRPr="00AC72B5">
        <w:rPr>
          <w:i/>
          <w:w w:val="98"/>
        </w:rPr>
        <w:t xml:space="preserve"> </w:t>
      </w:r>
      <w:r w:rsidRPr="00AC72B5">
        <w:rPr>
          <w:w w:val="98"/>
        </w:rPr>
        <w:t xml:space="preserve">Comité CEDAW, </w:t>
      </w:r>
      <w:r w:rsidRPr="00AC72B5">
        <w:rPr>
          <w:i/>
          <w:w w:val="98"/>
        </w:rPr>
        <w:t>Observaciones Finales: Trinidad y Tobago</w:t>
      </w:r>
      <w:r w:rsidRPr="00AC72B5">
        <w:rPr>
          <w:w w:val="98"/>
        </w:rPr>
        <w:t xml:space="preserve">, ¶ 32, Doc. ONU CEDAW/C/TTO/CO/4-7 (2016); </w:t>
      </w:r>
      <w:r w:rsidRPr="00AC72B5">
        <w:rPr>
          <w:i/>
          <w:w w:val="98"/>
        </w:rPr>
        <w:t>Myanmar</w:t>
      </w:r>
      <w:r w:rsidRPr="00AC72B5">
        <w:rPr>
          <w:w w:val="98"/>
        </w:rPr>
        <w:t xml:space="preserve">, ¶ 38, Doc. ONU </w:t>
      </w:r>
      <w:r w:rsidRPr="00AC72B5">
        <w:rPr>
          <w:rFonts w:eastAsia="MS Mincho"/>
          <w:w w:val="98"/>
        </w:rPr>
        <w:t xml:space="preserve">CEDAW/C/MMR/CO/4-5 (2016); </w:t>
      </w:r>
      <w:r w:rsidRPr="00AC72B5">
        <w:rPr>
          <w:rFonts w:eastAsia="MS Mincho"/>
          <w:i/>
          <w:w w:val="98"/>
        </w:rPr>
        <w:t>Gabón</w:t>
      </w:r>
      <w:r w:rsidRPr="00AC72B5">
        <w:rPr>
          <w:rFonts w:eastAsia="MS Mincho"/>
          <w:w w:val="98"/>
        </w:rPr>
        <w:t xml:space="preserve">, </w:t>
      </w:r>
      <w:r w:rsidRPr="00AC72B5">
        <w:rPr>
          <w:w w:val="98"/>
        </w:rPr>
        <w:t>¶ 34</w:t>
      </w:r>
      <w:r w:rsidRPr="00AC72B5">
        <w:rPr>
          <w:rFonts w:eastAsia="MS Mincho"/>
          <w:w w:val="98"/>
        </w:rPr>
        <w:t xml:space="preserve">, Doc. ONU </w:t>
      </w:r>
      <w:r w:rsidRPr="00AC72B5">
        <w:rPr>
          <w:w w:val="98"/>
        </w:rPr>
        <w:t xml:space="preserve">CEDAW/C/GAB/CO/6 (2015); </w:t>
      </w:r>
      <w:r w:rsidRPr="00AC72B5">
        <w:rPr>
          <w:rFonts w:eastAsia="MS Mincho"/>
          <w:i/>
          <w:w w:val="98"/>
        </w:rPr>
        <w:t>Gambia</w:t>
      </w:r>
      <w:r w:rsidRPr="00AC72B5">
        <w:rPr>
          <w:rFonts w:eastAsia="MS Mincho"/>
          <w:w w:val="98"/>
        </w:rPr>
        <w:t>,</w:t>
      </w:r>
      <w:r w:rsidRPr="00AC72B5">
        <w:rPr>
          <w:rFonts w:eastAsia="MS Mincho"/>
          <w:i/>
          <w:w w:val="98"/>
        </w:rPr>
        <w:t xml:space="preserve"> </w:t>
      </w:r>
      <w:r w:rsidRPr="00AC72B5">
        <w:rPr>
          <w:w w:val="98"/>
        </w:rPr>
        <w:t>¶ 36</w:t>
      </w:r>
      <w:r w:rsidRPr="00AC72B5">
        <w:rPr>
          <w:rFonts w:eastAsia="MS Mincho"/>
          <w:w w:val="98"/>
        </w:rPr>
        <w:t xml:space="preserve">, Doc. ONU </w:t>
      </w:r>
      <w:r w:rsidRPr="00AC72B5">
        <w:rPr>
          <w:w w:val="98"/>
        </w:rPr>
        <w:t xml:space="preserve">CEDAW/C/GMB/CO/4-5 (2015); </w:t>
      </w:r>
      <w:r w:rsidRPr="00AC72B5">
        <w:rPr>
          <w:rFonts w:eastAsia="MS Mincho"/>
          <w:i/>
          <w:w w:val="98"/>
        </w:rPr>
        <w:t>Malawi</w:t>
      </w:r>
      <w:r w:rsidRPr="00AC72B5">
        <w:rPr>
          <w:rFonts w:eastAsia="MS Mincho"/>
          <w:w w:val="98"/>
        </w:rPr>
        <w:t xml:space="preserve">, </w:t>
      </w:r>
      <w:r w:rsidRPr="00AC72B5">
        <w:rPr>
          <w:w w:val="98"/>
        </w:rPr>
        <w:t>¶ 34</w:t>
      </w:r>
      <w:r w:rsidRPr="00AC72B5">
        <w:rPr>
          <w:rFonts w:eastAsia="MS Mincho"/>
          <w:w w:val="98"/>
        </w:rPr>
        <w:t xml:space="preserve">, Doc. ONU CEDAW/C/MWI/CO/7 (2015); </w:t>
      </w:r>
      <w:r w:rsidRPr="00AC72B5">
        <w:rPr>
          <w:rFonts w:eastAsia="MS Mincho"/>
          <w:i/>
          <w:w w:val="98"/>
        </w:rPr>
        <w:t>República Dominicana</w:t>
      </w:r>
      <w:r w:rsidRPr="00AC72B5">
        <w:rPr>
          <w:rFonts w:eastAsia="MS Mincho"/>
          <w:w w:val="98"/>
        </w:rPr>
        <w:t>,</w:t>
      </w:r>
      <w:r>
        <w:rPr>
          <w:rFonts w:eastAsia="MS Mincho"/>
          <w:w w:val="98"/>
        </w:rPr>
        <w:t xml:space="preserve"> </w:t>
      </w:r>
      <w:r w:rsidRPr="00AC72B5">
        <w:rPr>
          <w:w w:val="98"/>
        </w:rPr>
        <w:t xml:space="preserve">¶ 36, </w:t>
      </w:r>
      <w:r w:rsidRPr="00AC72B5">
        <w:rPr>
          <w:rFonts w:eastAsia="MS Mincho"/>
          <w:w w:val="98"/>
        </w:rPr>
        <w:t xml:space="preserve">Doc. ONU </w:t>
      </w:r>
      <w:r w:rsidRPr="00AC72B5">
        <w:rPr>
          <w:w w:val="98"/>
        </w:rPr>
        <w:t xml:space="preserve">CEDAW/C/DOM/CO/6-7 (2014); </w:t>
      </w:r>
      <w:r w:rsidRPr="00AC72B5">
        <w:rPr>
          <w:rFonts w:eastAsia="MS Mincho"/>
          <w:i/>
          <w:w w:val="98"/>
        </w:rPr>
        <w:t>Siria</w:t>
      </w:r>
      <w:r w:rsidRPr="00AC72B5">
        <w:rPr>
          <w:rFonts w:eastAsia="MS Mincho"/>
          <w:w w:val="98"/>
        </w:rPr>
        <w:t>,</w:t>
      </w:r>
      <w:r w:rsidRPr="00AC72B5">
        <w:rPr>
          <w:rFonts w:eastAsia="MS Mincho"/>
          <w:i/>
          <w:w w:val="98"/>
        </w:rPr>
        <w:t xml:space="preserve"> </w:t>
      </w:r>
      <w:r w:rsidRPr="00AC72B5">
        <w:rPr>
          <w:w w:val="98"/>
        </w:rPr>
        <w:t>¶ 39</w:t>
      </w:r>
      <w:r w:rsidRPr="00AC72B5">
        <w:rPr>
          <w:rFonts w:eastAsia="MS Mincho"/>
          <w:w w:val="98"/>
        </w:rPr>
        <w:t xml:space="preserve">, Doc. ONU </w:t>
      </w:r>
      <w:r w:rsidRPr="00AC72B5">
        <w:rPr>
          <w:w w:val="98"/>
        </w:rPr>
        <w:t xml:space="preserve">CEDAW/C/SYR/CO/2 (2014); </w:t>
      </w:r>
      <w:r w:rsidRPr="00AC72B5">
        <w:rPr>
          <w:i/>
          <w:w w:val="98"/>
        </w:rPr>
        <w:t>Reino Unido de Gran Bretaña e Irlanda del Norte</w:t>
      </w:r>
      <w:r w:rsidRPr="00AC72B5">
        <w:rPr>
          <w:w w:val="98"/>
        </w:rPr>
        <w:t xml:space="preserve">, ¶ 50, Doc. ONU CEDAW/C/GBR/CO/7 (2013); </w:t>
      </w:r>
      <w:r w:rsidRPr="00AC72B5">
        <w:rPr>
          <w:rFonts w:eastAsia="MS Mincho"/>
          <w:i/>
          <w:w w:val="98"/>
        </w:rPr>
        <w:t>Afganistán</w:t>
      </w:r>
      <w:r w:rsidRPr="00AC72B5">
        <w:rPr>
          <w:rFonts w:eastAsia="MS Mincho"/>
          <w:w w:val="98"/>
        </w:rPr>
        <w:t>,</w:t>
      </w:r>
      <w:r w:rsidRPr="00AC72B5">
        <w:rPr>
          <w:rFonts w:eastAsia="MS Mincho"/>
          <w:i/>
          <w:w w:val="98"/>
        </w:rPr>
        <w:t xml:space="preserve"> </w:t>
      </w:r>
      <w:r w:rsidRPr="00AC72B5">
        <w:rPr>
          <w:w w:val="98"/>
        </w:rPr>
        <w:t>¶ 36</w:t>
      </w:r>
      <w:r w:rsidRPr="00AC72B5">
        <w:rPr>
          <w:rFonts w:eastAsia="MS Mincho"/>
          <w:w w:val="98"/>
        </w:rPr>
        <w:t xml:space="preserve">, Doc. ONU </w:t>
      </w:r>
      <w:r w:rsidRPr="00AC72B5">
        <w:rPr>
          <w:w w:val="98"/>
        </w:rPr>
        <w:t xml:space="preserve">CEDAW/C/AFG/CO/1-2 (2013); </w:t>
      </w:r>
      <w:r w:rsidRPr="00AC72B5">
        <w:rPr>
          <w:i/>
          <w:w w:val="98"/>
        </w:rPr>
        <w:t>Indonesia</w:t>
      </w:r>
      <w:r w:rsidRPr="00AC72B5">
        <w:rPr>
          <w:w w:val="98"/>
        </w:rPr>
        <w:t xml:space="preserve">, ¶ 41, Doc. ONU CEDAW/C/IDN/CO/6-7 (2012); </w:t>
      </w:r>
      <w:r w:rsidRPr="00AC72B5">
        <w:rPr>
          <w:rFonts w:eastAsia="MS Mincho"/>
          <w:i/>
          <w:w w:val="98"/>
        </w:rPr>
        <w:t>Sri Lanka</w:t>
      </w:r>
      <w:r w:rsidRPr="00AC72B5">
        <w:rPr>
          <w:rFonts w:eastAsia="MS Mincho"/>
          <w:w w:val="98"/>
        </w:rPr>
        <w:t xml:space="preserve">, </w:t>
      </w:r>
      <w:r w:rsidRPr="00AC72B5">
        <w:rPr>
          <w:w w:val="98"/>
        </w:rPr>
        <w:t>¶ 36</w:t>
      </w:r>
      <w:r w:rsidRPr="00AC72B5">
        <w:rPr>
          <w:rFonts w:eastAsia="MS Mincho"/>
          <w:w w:val="98"/>
        </w:rPr>
        <w:t xml:space="preserve">, Doc. ONU </w:t>
      </w:r>
      <w:r w:rsidRPr="00AC72B5">
        <w:rPr>
          <w:w w:val="98"/>
        </w:rPr>
        <w:t>CEDAW/C/LKA/CO/7 (2011).</w:t>
      </w:r>
    </w:p>
  </w:endnote>
  <w:endnote w:id="567">
    <w:p w14:paraId="1A11D06B" w14:textId="305F4DC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Japón</w:t>
      </w:r>
      <w:r w:rsidRPr="00AC72B5">
        <w:rPr>
          <w:w w:val="98"/>
        </w:rPr>
        <w:t xml:space="preserve">, ¶ 38, Doc. ONU </w:t>
      </w:r>
      <w:r w:rsidRPr="00AC72B5">
        <w:rPr>
          <w:rFonts w:eastAsia="MS Mincho"/>
          <w:w w:val="98"/>
        </w:rPr>
        <w:t xml:space="preserve">CEDAW/C/JPN/CO/7-8 (2016); </w:t>
      </w:r>
      <w:r w:rsidRPr="00AC72B5">
        <w:rPr>
          <w:rFonts w:eastAsia="MS Mincho"/>
          <w:i/>
          <w:w w:val="98"/>
        </w:rPr>
        <w:t>República Unida de Tanzania</w:t>
      </w:r>
      <w:r w:rsidRPr="00AC72B5">
        <w:rPr>
          <w:rFonts w:eastAsia="MS Mincho"/>
          <w:w w:val="98"/>
        </w:rPr>
        <w:t xml:space="preserve">, </w:t>
      </w:r>
      <w:r w:rsidRPr="00AC72B5">
        <w:rPr>
          <w:w w:val="98"/>
        </w:rPr>
        <w:t>¶ 34</w:t>
      </w:r>
      <w:r w:rsidRPr="00AC72B5">
        <w:rPr>
          <w:rFonts w:eastAsia="MS Mincho"/>
          <w:w w:val="98"/>
        </w:rPr>
        <w:t>, Doc. ONU CEDAW/C/TZA/CO/7-8 (2016);</w:t>
      </w:r>
      <w:r>
        <w:rPr>
          <w:rFonts w:eastAsia="MS Mincho"/>
          <w:w w:val="98"/>
        </w:rPr>
        <w:t xml:space="preserve"> </w:t>
      </w:r>
      <w:r w:rsidRPr="00AC72B5">
        <w:rPr>
          <w:i/>
          <w:w w:val="98"/>
        </w:rPr>
        <w:t>Ecuador</w:t>
      </w:r>
      <w:r w:rsidRPr="00AC72B5">
        <w:rPr>
          <w:w w:val="98"/>
        </w:rPr>
        <w:t xml:space="preserve">, ¶ 32, Doc. ONU CEDAW/C/ECU/CO/8-9 (2015); </w:t>
      </w:r>
      <w:r w:rsidRPr="00AC72B5">
        <w:rPr>
          <w:i/>
          <w:w w:val="98"/>
        </w:rPr>
        <w:t>Perú</w:t>
      </w:r>
      <w:r w:rsidRPr="00AC72B5">
        <w:rPr>
          <w:w w:val="98"/>
        </w:rPr>
        <w:t xml:space="preserve">, ¶ 35, Doc. ONU </w:t>
      </w:r>
      <w:r w:rsidRPr="00AC72B5">
        <w:rPr>
          <w:rFonts w:eastAsia="MS Mincho"/>
          <w:w w:val="98"/>
        </w:rPr>
        <w:t xml:space="preserve">CEDAW/C/por/CO/7-8 (2014); </w:t>
      </w:r>
      <w:r w:rsidRPr="00AC72B5">
        <w:rPr>
          <w:rFonts w:eastAsia="MS Mincho"/>
          <w:i/>
          <w:w w:val="98"/>
        </w:rPr>
        <w:t>Congo</w:t>
      </w:r>
      <w:r w:rsidRPr="00AC72B5">
        <w:rPr>
          <w:rFonts w:eastAsia="MS Mincho"/>
          <w:w w:val="98"/>
        </w:rPr>
        <w:t xml:space="preserve">, </w:t>
      </w:r>
      <w:r w:rsidRPr="00AC72B5">
        <w:rPr>
          <w:w w:val="98"/>
        </w:rPr>
        <w:t xml:space="preserve">¶ 35, </w:t>
      </w:r>
      <w:r w:rsidRPr="00AC72B5">
        <w:rPr>
          <w:rFonts w:eastAsia="MS Mincho"/>
          <w:w w:val="98"/>
        </w:rPr>
        <w:t xml:space="preserve">Doc. ONU </w:t>
      </w:r>
      <w:r w:rsidRPr="00AC72B5">
        <w:rPr>
          <w:w w:val="98"/>
        </w:rPr>
        <w:t>CEDAW/C/COG/CO/6 (2012).</w:t>
      </w:r>
    </w:p>
  </w:endnote>
  <w:endnote w:id="568">
    <w:p w14:paraId="4FCA1EAA" w14:textId="29FBAE4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Japón</w:t>
      </w:r>
      <w:r w:rsidRPr="00AC72B5">
        <w:rPr>
          <w:w w:val="98"/>
        </w:rPr>
        <w:t xml:space="preserve">, ¶ 38, Doc. ONU </w:t>
      </w:r>
      <w:r w:rsidRPr="00AC72B5">
        <w:rPr>
          <w:rFonts w:eastAsia="MS Mincho"/>
          <w:w w:val="98"/>
        </w:rPr>
        <w:t>CEDAW/C/JPN/CO/7-8 (2016).</w:t>
      </w:r>
    </w:p>
  </w:endnote>
  <w:endnote w:id="569">
    <w:p w14:paraId="36999BFC" w14:textId="60BB3BC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Myanmar</w:t>
      </w:r>
      <w:r w:rsidRPr="00AC72B5">
        <w:rPr>
          <w:w w:val="98"/>
        </w:rPr>
        <w:t xml:space="preserve">, ¶ 38, Doc. ONU </w:t>
      </w:r>
      <w:r w:rsidRPr="00AC72B5">
        <w:rPr>
          <w:rFonts w:eastAsia="MS Mincho"/>
          <w:w w:val="98"/>
        </w:rPr>
        <w:t>CEDAW/C/MMR/CO/4-5 (2016).</w:t>
      </w:r>
    </w:p>
  </w:endnote>
  <w:endnote w:id="570">
    <w:p w14:paraId="3E01D289" w14:textId="6CEC5374" w:rsidR="005E3DDD" w:rsidRPr="00AC72B5" w:rsidRDefault="005E3DDD" w:rsidP="00AC72B5">
      <w:pPr>
        <w:pStyle w:val="EndnoteText"/>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Irak</w:t>
      </w:r>
      <w:r w:rsidRPr="00AC72B5">
        <w:rPr>
          <w:w w:val="98"/>
        </w:rPr>
        <w:t xml:space="preserve">, ¶ 42, Doc. </w:t>
      </w:r>
      <w:r w:rsidRPr="00AC72B5">
        <w:rPr>
          <w:w w:val="98"/>
          <w:lang w:val="es-CO"/>
        </w:rPr>
        <w:t>ONU CEDAW/C/KWT/CO/3-4 (2011).</w:t>
      </w:r>
    </w:p>
  </w:endnote>
  <w:endnote w:id="571">
    <w:p w14:paraId="69633088" w14:textId="2A6880B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 xml:space="preserve">, Comité CEDAW, </w:t>
      </w:r>
      <w:r w:rsidRPr="00AC72B5">
        <w:rPr>
          <w:i/>
          <w:w w:val="98"/>
        </w:rPr>
        <w:t>Observaciones Finales: Ecuador</w:t>
      </w:r>
      <w:r w:rsidRPr="00AC72B5">
        <w:rPr>
          <w:w w:val="98"/>
        </w:rPr>
        <w:t xml:space="preserve">, ¶ 32, Doc. ONU CEDAW/C/ECU/CO/8-9 (2015); </w:t>
      </w:r>
      <w:r w:rsidRPr="00AC72B5">
        <w:rPr>
          <w:i/>
          <w:w w:val="98"/>
        </w:rPr>
        <w:t>Yibuti</w:t>
      </w:r>
      <w:r w:rsidRPr="00AC72B5">
        <w:rPr>
          <w:w w:val="98"/>
        </w:rPr>
        <w:t>, ¶ 20, Doc. ONU CEDAW/C/DJI/CO/1-3 (2011).</w:t>
      </w:r>
    </w:p>
  </w:endnote>
  <w:endnote w:id="572">
    <w:p w14:paraId="0F55DEC7" w14:textId="5814E5F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Indonesia</w:t>
      </w:r>
      <w:r w:rsidRPr="00AC72B5">
        <w:rPr>
          <w:w w:val="98"/>
        </w:rPr>
        <w:t xml:space="preserve">, ¶ 41, Doc. ONU CEDAW/C/IDN/CO/6-7 (2012); </w:t>
      </w:r>
      <w:r w:rsidRPr="00AC72B5">
        <w:rPr>
          <w:rFonts w:eastAsia="MS Mincho"/>
          <w:i/>
          <w:w w:val="98"/>
        </w:rPr>
        <w:t>Lituania</w:t>
      </w:r>
      <w:r w:rsidRPr="00AC72B5">
        <w:rPr>
          <w:rFonts w:eastAsia="MS Mincho"/>
          <w:w w:val="98"/>
        </w:rPr>
        <w:t xml:space="preserve">, </w:t>
      </w:r>
      <w:r w:rsidRPr="00AC72B5">
        <w:rPr>
          <w:w w:val="98"/>
        </w:rPr>
        <w:t>¶ 24</w:t>
      </w:r>
      <w:r w:rsidRPr="00AC72B5">
        <w:rPr>
          <w:rFonts w:eastAsia="MS Mincho"/>
          <w:w w:val="98"/>
        </w:rPr>
        <w:t xml:space="preserve">, Doc. ONU </w:t>
      </w:r>
      <w:r w:rsidRPr="00AC72B5">
        <w:rPr>
          <w:w w:val="98"/>
        </w:rPr>
        <w:t>CEDAW/C/LTU/CO/4 (2008).</w:t>
      </w:r>
    </w:p>
  </w:endnote>
  <w:endnote w:id="573">
    <w:p w14:paraId="1F44DC50" w14:textId="5045412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Filipinas</w:t>
      </w:r>
      <w:r w:rsidRPr="00AC72B5">
        <w:rPr>
          <w:w w:val="98"/>
        </w:rPr>
        <w:t xml:space="preserve">, ¶ 39, Doc. ONU CEDAW/C/PHL/CO/7-8 (2016); </w:t>
      </w:r>
      <w:r w:rsidRPr="00AC72B5">
        <w:rPr>
          <w:rFonts w:eastAsia="MS Mincho"/>
          <w:i/>
          <w:w w:val="98"/>
        </w:rPr>
        <w:t>República Unida de Tanzania</w:t>
      </w:r>
      <w:r w:rsidRPr="00AC72B5">
        <w:rPr>
          <w:rFonts w:eastAsia="MS Mincho"/>
          <w:w w:val="98"/>
        </w:rPr>
        <w:t xml:space="preserve">, </w:t>
      </w:r>
      <w:r w:rsidRPr="00AC72B5">
        <w:rPr>
          <w:w w:val="98"/>
        </w:rPr>
        <w:t>¶ 34</w:t>
      </w:r>
      <w:r w:rsidRPr="00AC72B5">
        <w:rPr>
          <w:rFonts w:eastAsia="MS Mincho"/>
          <w:w w:val="98"/>
        </w:rPr>
        <w:t xml:space="preserve">, Doc. ONU CEDAW/C/TZA/CO/7-8 (2016); </w:t>
      </w:r>
      <w:r w:rsidRPr="00AC72B5">
        <w:rPr>
          <w:rFonts w:eastAsia="MS Mincho"/>
          <w:i/>
          <w:w w:val="98"/>
        </w:rPr>
        <w:t>Gambia</w:t>
      </w:r>
      <w:r w:rsidRPr="00AC72B5">
        <w:rPr>
          <w:rFonts w:eastAsia="MS Mincho"/>
          <w:w w:val="98"/>
        </w:rPr>
        <w:t xml:space="preserve">, </w:t>
      </w:r>
      <w:r w:rsidRPr="00AC72B5">
        <w:rPr>
          <w:w w:val="98"/>
        </w:rPr>
        <w:t xml:space="preserve">¶ 36, </w:t>
      </w:r>
      <w:r w:rsidRPr="00AC72B5">
        <w:rPr>
          <w:rFonts w:eastAsia="MS Mincho"/>
          <w:w w:val="98"/>
        </w:rPr>
        <w:t xml:space="preserve">Doc. ONU </w:t>
      </w:r>
      <w:r w:rsidRPr="00AC72B5">
        <w:rPr>
          <w:w w:val="98"/>
        </w:rPr>
        <w:t xml:space="preserve">CEDAW/C/GMB/CO/4-5 (2015); </w:t>
      </w:r>
      <w:r w:rsidRPr="00AC72B5">
        <w:rPr>
          <w:rFonts w:eastAsia="MS Mincho"/>
          <w:i/>
          <w:w w:val="98"/>
        </w:rPr>
        <w:t>Malawi</w:t>
      </w:r>
      <w:r w:rsidRPr="00AC72B5">
        <w:rPr>
          <w:rFonts w:eastAsia="MS Mincho"/>
          <w:w w:val="98"/>
        </w:rPr>
        <w:t xml:space="preserve">, </w:t>
      </w:r>
      <w:r w:rsidRPr="00AC72B5">
        <w:rPr>
          <w:w w:val="98"/>
        </w:rPr>
        <w:t>¶ 34</w:t>
      </w:r>
      <w:r w:rsidRPr="00AC72B5">
        <w:rPr>
          <w:rFonts w:eastAsia="MS Mincho"/>
          <w:w w:val="98"/>
        </w:rPr>
        <w:t xml:space="preserve">, Doc. ONU CEDAW/C/MWI/CO/7 (2015); </w:t>
      </w:r>
      <w:r w:rsidRPr="00AC72B5">
        <w:rPr>
          <w:i/>
          <w:w w:val="98"/>
        </w:rPr>
        <w:t>Perú</w:t>
      </w:r>
      <w:r w:rsidRPr="00AC72B5">
        <w:rPr>
          <w:w w:val="98"/>
        </w:rPr>
        <w:t xml:space="preserve">, ¶ 35, Doc. ONU </w:t>
      </w:r>
      <w:r w:rsidRPr="00AC72B5">
        <w:rPr>
          <w:rFonts w:eastAsia="MS Mincho"/>
          <w:w w:val="98"/>
        </w:rPr>
        <w:t xml:space="preserve">CEDAW/C/PER/CO/7-8 (2014); </w:t>
      </w:r>
      <w:r w:rsidRPr="00AC72B5">
        <w:rPr>
          <w:rFonts w:eastAsia="MS Mincho"/>
          <w:i/>
          <w:w w:val="98"/>
        </w:rPr>
        <w:t>Venezuela</w:t>
      </w:r>
      <w:r w:rsidRPr="00AC72B5">
        <w:rPr>
          <w:rFonts w:eastAsia="MS Mincho"/>
          <w:w w:val="98"/>
        </w:rPr>
        <w:t xml:space="preserve">, </w:t>
      </w:r>
      <w:r w:rsidRPr="00AC72B5">
        <w:rPr>
          <w:w w:val="98"/>
        </w:rPr>
        <w:t xml:space="preserve">30, </w:t>
      </w:r>
      <w:r w:rsidRPr="00AC72B5">
        <w:rPr>
          <w:rFonts w:eastAsia="MS Mincho"/>
          <w:w w:val="98"/>
        </w:rPr>
        <w:t xml:space="preserve">Doc. ONU </w:t>
      </w:r>
      <w:r w:rsidRPr="00AC72B5">
        <w:rPr>
          <w:w w:val="98"/>
        </w:rPr>
        <w:t xml:space="preserve">CEDAW/C/VEN/CO/7-8 (2014); </w:t>
      </w:r>
      <w:r w:rsidRPr="00AC72B5">
        <w:rPr>
          <w:rFonts w:eastAsia="MS Mincho"/>
          <w:i/>
          <w:w w:val="98"/>
        </w:rPr>
        <w:t>Afganistán</w:t>
      </w:r>
      <w:r w:rsidRPr="00AC72B5">
        <w:rPr>
          <w:rFonts w:eastAsia="MS Mincho"/>
          <w:w w:val="98"/>
        </w:rPr>
        <w:t xml:space="preserve">, </w:t>
      </w:r>
      <w:r w:rsidRPr="00AC72B5">
        <w:rPr>
          <w:w w:val="98"/>
        </w:rPr>
        <w:t>¶ 36</w:t>
      </w:r>
      <w:r w:rsidRPr="00AC72B5">
        <w:rPr>
          <w:rFonts w:eastAsia="MS Mincho"/>
          <w:w w:val="98"/>
        </w:rPr>
        <w:t xml:space="preserve">, Doc. ONU </w:t>
      </w:r>
      <w:r w:rsidRPr="00AC72B5">
        <w:rPr>
          <w:w w:val="98"/>
        </w:rPr>
        <w:t xml:space="preserve">CEDAW/C/AFG/CO/1-2 (2013); </w:t>
      </w:r>
      <w:r w:rsidRPr="00AC72B5">
        <w:rPr>
          <w:i/>
          <w:w w:val="98"/>
        </w:rPr>
        <w:t>Tuvalu</w:t>
      </w:r>
      <w:r w:rsidRPr="00AC72B5">
        <w:rPr>
          <w:w w:val="98"/>
        </w:rPr>
        <w:t xml:space="preserve">, ¶ 43, Doc. ONU CEDAW/C/TUV/CO/2 (2009); </w:t>
      </w:r>
      <w:r w:rsidRPr="00AC72B5">
        <w:rPr>
          <w:rFonts w:eastAsia="MS Mincho"/>
          <w:i/>
          <w:w w:val="98"/>
        </w:rPr>
        <w:t>Lituania</w:t>
      </w:r>
      <w:r w:rsidRPr="00AC72B5">
        <w:rPr>
          <w:rFonts w:eastAsia="MS Mincho"/>
          <w:w w:val="98"/>
        </w:rPr>
        <w:t>,</w:t>
      </w:r>
      <w:r w:rsidRPr="00AC72B5">
        <w:rPr>
          <w:rFonts w:eastAsia="MS Mincho"/>
          <w:i/>
          <w:w w:val="98"/>
        </w:rPr>
        <w:t xml:space="preserve"> </w:t>
      </w:r>
      <w:r w:rsidRPr="00AC72B5">
        <w:rPr>
          <w:w w:val="98"/>
        </w:rPr>
        <w:t>¶ 24</w:t>
      </w:r>
      <w:r w:rsidRPr="00AC72B5">
        <w:rPr>
          <w:rFonts w:eastAsia="MS Mincho"/>
          <w:w w:val="98"/>
        </w:rPr>
        <w:t xml:space="preserve">, Doc. ONU </w:t>
      </w:r>
      <w:r w:rsidRPr="00AC72B5">
        <w:rPr>
          <w:w w:val="98"/>
        </w:rPr>
        <w:t>CEDAW/C/LTU/CO/4 (2008).</w:t>
      </w:r>
    </w:p>
  </w:endnote>
  <w:endnote w:id="574">
    <w:p w14:paraId="2448AFF7" w14:textId="251560A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w:t>
      </w:r>
      <w:r w:rsidRPr="00AC72B5">
        <w:rPr>
          <w:w w:val="98"/>
        </w:rPr>
        <w:t>: Reino Unido de Gran Bretaña e Irlanda del Norte, ¶ 50, Doc. ONU CEDAW/C/GRC/CO/7 (2013).</w:t>
      </w:r>
    </w:p>
  </w:endnote>
  <w:endnote w:id="575">
    <w:p w14:paraId="27887ED4" w14:textId="45B2D5C4" w:rsidR="005E3DDD" w:rsidRPr="00AC72B5" w:rsidRDefault="005E3DDD" w:rsidP="00AC72B5">
      <w:pPr>
        <w:pStyle w:val="EndnoteText"/>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Serbia</w:t>
      </w:r>
      <w:r w:rsidRPr="00AC72B5">
        <w:rPr>
          <w:rFonts w:eastAsia="MS Mincho"/>
          <w:w w:val="98"/>
        </w:rPr>
        <w:t xml:space="preserve">, </w:t>
      </w:r>
      <w:r w:rsidRPr="00AC72B5">
        <w:rPr>
          <w:w w:val="98"/>
        </w:rPr>
        <w:t>¶ 32</w:t>
      </w:r>
      <w:r w:rsidRPr="00AC72B5">
        <w:rPr>
          <w:rFonts w:eastAsia="MS Mincho"/>
          <w:w w:val="98"/>
        </w:rPr>
        <w:t xml:space="preserve">, Doc. </w:t>
      </w:r>
      <w:r w:rsidRPr="00AC72B5">
        <w:rPr>
          <w:rFonts w:eastAsia="MS Mincho"/>
          <w:w w:val="98"/>
          <w:lang w:val="es-CO"/>
        </w:rPr>
        <w:t xml:space="preserve">ONU </w:t>
      </w:r>
      <w:r w:rsidRPr="00AC72B5">
        <w:rPr>
          <w:w w:val="98"/>
          <w:lang w:val="es-CO"/>
        </w:rPr>
        <w:t>CEDAW/C/SRB/CO/2-3 (2013).</w:t>
      </w:r>
    </w:p>
  </w:endnote>
  <w:endnote w:id="576">
    <w:p w14:paraId="527CD1F5" w14:textId="6782E0D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Nicaragua</w:t>
      </w:r>
      <w:r w:rsidRPr="00AC72B5">
        <w:rPr>
          <w:rFonts w:eastAsia="MS Mincho"/>
          <w:w w:val="98"/>
        </w:rPr>
        <w:t xml:space="preserve">, </w:t>
      </w:r>
      <w:r w:rsidRPr="00AC72B5">
        <w:rPr>
          <w:w w:val="98"/>
        </w:rPr>
        <w:t xml:space="preserve">¶ 17, </w:t>
      </w:r>
      <w:r w:rsidRPr="00AC72B5">
        <w:rPr>
          <w:rFonts w:eastAsia="MS Mincho"/>
          <w:w w:val="98"/>
        </w:rPr>
        <w:t xml:space="preserve">Doc. ONU </w:t>
      </w:r>
      <w:r w:rsidRPr="00AC72B5">
        <w:rPr>
          <w:w w:val="98"/>
        </w:rPr>
        <w:t>CEDAW/C/NIC/CO/6 (2007).</w:t>
      </w:r>
    </w:p>
  </w:endnote>
  <w:endnote w:id="577">
    <w:p w14:paraId="7C1D2EA4" w14:textId="707A4B2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w:t>
      </w:r>
      <w:r w:rsidRPr="00AC72B5">
        <w:rPr>
          <w:i/>
          <w:w w:val="98"/>
        </w:rPr>
        <w:t xml:space="preserve"> </w:t>
      </w:r>
      <w:r w:rsidRPr="00AC72B5">
        <w:rPr>
          <w:w w:val="98"/>
        </w:rPr>
        <w:t xml:space="preserve">Comité CEDAW, </w:t>
      </w:r>
      <w:r w:rsidRPr="00AC72B5">
        <w:rPr>
          <w:i/>
          <w:w w:val="98"/>
        </w:rPr>
        <w:t>Observaciones Finales: Trinidad y Tobago</w:t>
      </w:r>
      <w:r w:rsidRPr="00AC72B5">
        <w:rPr>
          <w:w w:val="98"/>
        </w:rPr>
        <w:t xml:space="preserve">, ¶ 33, Doc. ONU CEDAW/C/TTO/CO/4-7 (2016); </w:t>
      </w:r>
      <w:r w:rsidRPr="00AC72B5">
        <w:rPr>
          <w:i/>
          <w:w w:val="98"/>
        </w:rPr>
        <w:t>Myanmar</w:t>
      </w:r>
      <w:r w:rsidRPr="00AC72B5">
        <w:rPr>
          <w:w w:val="98"/>
        </w:rPr>
        <w:t xml:space="preserve">, ¶ 39, Doc. ONU </w:t>
      </w:r>
      <w:r w:rsidRPr="00AC72B5">
        <w:rPr>
          <w:rFonts w:eastAsia="MS Mincho"/>
          <w:w w:val="98"/>
        </w:rPr>
        <w:t>CEDAW/C/MMR/CO/4-5 (2016);</w:t>
      </w:r>
      <w:r w:rsidRPr="00AC72B5">
        <w:rPr>
          <w:w w:val="98"/>
        </w:rPr>
        <w:t xml:space="preserve"> </w:t>
      </w:r>
      <w:r w:rsidRPr="00AC72B5">
        <w:rPr>
          <w:i/>
          <w:w w:val="98"/>
        </w:rPr>
        <w:t>Haití</w:t>
      </w:r>
      <w:r w:rsidRPr="00AC72B5">
        <w:rPr>
          <w:w w:val="98"/>
        </w:rPr>
        <w:t xml:space="preserve">, ¶ 34 Doc. ONU </w:t>
      </w:r>
      <w:r w:rsidRPr="00AC72B5">
        <w:rPr>
          <w:rFonts w:eastAsia="MS Mincho"/>
          <w:w w:val="98"/>
        </w:rPr>
        <w:t xml:space="preserve">CEDAW/C/HTI/CO/8-9 (2016); </w:t>
      </w:r>
      <w:r w:rsidRPr="00AC72B5">
        <w:rPr>
          <w:i/>
          <w:w w:val="98"/>
        </w:rPr>
        <w:t>Japón</w:t>
      </w:r>
      <w:r w:rsidRPr="00AC72B5">
        <w:rPr>
          <w:w w:val="98"/>
        </w:rPr>
        <w:t xml:space="preserve">, ¶ 39, Doc. ONU </w:t>
      </w:r>
      <w:r w:rsidRPr="00AC72B5">
        <w:rPr>
          <w:rFonts w:eastAsia="MS Mincho"/>
          <w:w w:val="98"/>
        </w:rPr>
        <w:t xml:space="preserve">CEDAW/C/JPN/CO/7-8 (2016); </w:t>
      </w:r>
      <w:r w:rsidRPr="00AC72B5">
        <w:rPr>
          <w:rFonts w:eastAsia="MS Mincho"/>
          <w:i/>
          <w:w w:val="98"/>
        </w:rPr>
        <w:t>Bolivia</w:t>
      </w:r>
      <w:r w:rsidRPr="00AC72B5">
        <w:rPr>
          <w:rFonts w:eastAsia="MS Mincho"/>
          <w:w w:val="98"/>
        </w:rPr>
        <w:t xml:space="preserve">, </w:t>
      </w:r>
      <w:r w:rsidRPr="00AC72B5">
        <w:rPr>
          <w:w w:val="98"/>
        </w:rPr>
        <w:t xml:space="preserve">¶ 29, </w:t>
      </w:r>
      <w:r w:rsidRPr="00AC72B5">
        <w:rPr>
          <w:rFonts w:eastAsia="MS Mincho"/>
          <w:w w:val="98"/>
        </w:rPr>
        <w:t xml:space="preserve">Doc. ONU </w:t>
      </w:r>
      <w:r w:rsidRPr="00AC72B5">
        <w:rPr>
          <w:w w:val="98"/>
        </w:rPr>
        <w:t xml:space="preserve">CEDAW/C/BOL/CO/5-6 (2015); </w:t>
      </w:r>
      <w:r w:rsidRPr="00AC72B5">
        <w:rPr>
          <w:i/>
          <w:w w:val="98"/>
        </w:rPr>
        <w:t>Ecuador</w:t>
      </w:r>
      <w:r w:rsidRPr="00AC72B5">
        <w:rPr>
          <w:w w:val="98"/>
        </w:rPr>
        <w:t xml:space="preserve">, ¶ 33, Doc. ONU CEDAW/C/ECU/CO/8-9 (2015); </w:t>
      </w:r>
      <w:r w:rsidRPr="00AC72B5">
        <w:rPr>
          <w:rFonts w:eastAsia="MS Mincho"/>
          <w:i/>
          <w:w w:val="98"/>
        </w:rPr>
        <w:t>Malawi</w:t>
      </w:r>
      <w:r w:rsidRPr="00AC72B5">
        <w:rPr>
          <w:rFonts w:eastAsia="MS Mincho"/>
          <w:w w:val="98"/>
        </w:rPr>
        <w:t>,</w:t>
      </w:r>
      <w:r>
        <w:rPr>
          <w:rFonts w:eastAsia="MS Mincho"/>
          <w:w w:val="98"/>
        </w:rPr>
        <w:t xml:space="preserve"> </w:t>
      </w:r>
      <w:r w:rsidRPr="00AC72B5">
        <w:rPr>
          <w:w w:val="98"/>
        </w:rPr>
        <w:t>¶ 35</w:t>
      </w:r>
      <w:r w:rsidRPr="00AC72B5">
        <w:rPr>
          <w:rFonts w:eastAsia="MS Mincho"/>
          <w:w w:val="98"/>
        </w:rPr>
        <w:t xml:space="preserve">, Doc. ONU CEDAW/C/MWI/CO/7 (2015); </w:t>
      </w:r>
      <w:r w:rsidRPr="00AC72B5">
        <w:rPr>
          <w:rFonts w:eastAsia="MS Mincho"/>
          <w:i/>
          <w:w w:val="98"/>
        </w:rPr>
        <w:t>Líbano</w:t>
      </w:r>
      <w:r w:rsidRPr="00AC72B5">
        <w:rPr>
          <w:rFonts w:eastAsia="MS Mincho"/>
          <w:w w:val="98"/>
        </w:rPr>
        <w:t xml:space="preserve">, </w:t>
      </w:r>
      <w:r w:rsidRPr="00AC72B5">
        <w:rPr>
          <w:w w:val="98"/>
        </w:rPr>
        <w:t>¶ 42</w:t>
      </w:r>
      <w:r w:rsidRPr="00AC72B5">
        <w:rPr>
          <w:rFonts w:eastAsia="MS Mincho"/>
          <w:w w:val="98"/>
        </w:rPr>
        <w:t xml:space="preserve">, Doc. ONU CEDAW/C/LBN/CO/4-5 (2015); </w:t>
      </w:r>
      <w:r w:rsidRPr="00AC72B5">
        <w:rPr>
          <w:i/>
          <w:w w:val="98"/>
        </w:rPr>
        <w:t>Tuvalu</w:t>
      </w:r>
      <w:r w:rsidRPr="00AC72B5">
        <w:rPr>
          <w:w w:val="98"/>
        </w:rPr>
        <w:t>, ¶ 31, Doc. ONU</w:t>
      </w:r>
      <w:r w:rsidRPr="00AC72B5">
        <w:rPr>
          <w:i/>
          <w:w w:val="98"/>
        </w:rPr>
        <w:t xml:space="preserve"> </w:t>
      </w:r>
      <w:r w:rsidRPr="00AC72B5">
        <w:rPr>
          <w:w w:val="98"/>
        </w:rPr>
        <w:t xml:space="preserve">CEDAW/C/TUV/CO/3-4 (2015); </w:t>
      </w:r>
      <w:r w:rsidRPr="00AC72B5">
        <w:rPr>
          <w:rFonts w:eastAsia="MS Mincho"/>
          <w:i/>
          <w:w w:val="98"/>
        </w:rPr>
        <w:t>Gabón</w:t>
      </w:r>
      <w:r w:rsidRPr="00AC72B5">
        <w:rPr>
          <w:rFonts w:eastAsia="MS Mincho"/>
          <w:w w:val="98"/>
        </w:rPr>
        <w:t>,</w:t>
      </w:r>
      <w:r w:rsidRPr="00AC72B5">
        <w:rPr>
          <w:rFonts w:eastAsia="MS Mincho"/>
          <w:i/>
          <w:w w:val="98"/>
        </w:rPr>
        <w:t xml:space="preserve"> </w:t>
      </w:r>
      <w:r w:rsidRPr="00AC72B5">
        <w:rPr>
          <w:w w:val="98"/>
        </w:rPr>
        <w:t>¶ 35</w:t>
      </w:r>
      <w:r w:rsidRPr="00AC72B5">
        <w:rPr>
          <w:rFonts w:eastAsia="MS Mincho"/>
          <w:w w:val="98"/>
        </w:rPr>
        <w:t xml:space="preserve">, Doc. ONU </w:t>
      </w:r>
      <w:r w:rsidRPr="00AC72B5">
        <w:rPr>
          <w:w w:val="98"/>
        </w:rPr>
        <w:t xml:space="preserve">CEDAW/C/GAB/CO/6 (2015); </w:t>
      </w:r>
      <w:r w:rsidRPr="00AC72B5">
        <w:rPr>
          <w:i/>
          <w:w w:val="98"/>
        </w:rPr>
        <w:t>Per</w:t>
      </w:r>
      <w:r w:rsidRPr="00AC72B5">
        <w:rPr>
          <w:rFonts w:eastAsia="MS Mincho"/>
          <w:i/>
          <w:w w:val="98"/>
        </w:rPr>
        <w:t>ú</w:t>
      </w:r>
      <w:r w:rsidRPr="00AC72B5">
        <w:rPr>
          <w:w w:val="98"/>
        </w:rPr>
        <w:t xml:space="preserve">, ¶ 36, Doc. ONU </w:t>
      </w:r>
      <w:r w:rsidRPr="00AC72B5">
        <w:rPr>
          <w:rFonts w:eastAsia="MS Mincho"/>
          <w:w w:val="98"/>
        </w:rPr>
        <w:t xml:space="preserve">CEDAW/C/PER/CO/7-8 (2014); </w:t>
      </w:r>
      <w:r w:rsidRPr="00AC72B5">
        <w:rPr>
          <w:rFonts w:eastAsia="MS Mincho"/>
          <w:i/>
          <w:w w:val="98"/>
        </w:rPr>
        <w:t>República Dominicana</w:t>
      </w:r>
      <w:r w:rsidRPr="00AC72B5">
        <w:rPr>
          <w:rFonts w:eastAsia="MS Mincho"/>
          <w:w w:val="98"/>
        </w:rPr>
        <w:t xml:space="preserve">, </w:t>
      </w:r>
      <w:r w:rsidRPr="00AC72B5">
        <w:rPr>
          <w:w w:val="98"/>
        </w:rPr>
        <w:t xml:space="preserve">¶ 37, </w:t>
      </w:r>
      <w:r w:rsidRPr="00AC72B5">
        <w:rPr>
          <w:rFonts w:eastAsia="MS Mincho"/>
          <w:w w:val="98"/>
        </w:rPr>
        <w:t xml:space="preserve">Doc. ONU </w:t>
      </w:r>
      <w:r w:rsidRPr="00AC72B5">
        <w:rPr>
          <w:w w:val="98"/>
        </w:rPr>
        <w:t xml:space="preserve">CEDAW/C/DOM/CO/6-7 (2014); </w:t>
      </w:r>
      <w:r w:rsidRPr="00AC72B5">
        <w:rPr>
          <w:rFonts w:eastAsia="MS Mincho"/>
          <w:i/>
          <w:w w:val="98"/>
        </w:rPr>
        <w:t>Islas Salomón</w:t>
      </w:r>
      <w:r w:rsidRPr="00AC72B5">
        <w:rPr>
          <w:rFonts w:eastAsia="MS Mincho"/>
          <w:w w:val="98"/>
        </w:rPr>
        <w:t xml:space="preserve">, </w:t>
      </w:r>
      <w:r w:rsidRPr="00AC72B5">
        <w:rPr>
          <w:w w:val="98"/>
        </w:rPr>
        <w:t xml:space="preserve">¶ 37, </w:t>
      </w:r>
      <w:r w:rsidRPr="00AC72B5">
        <w:rPr>
          <w:rFonts w:eastAsia="MS Mincho"/>
          <w:w w:val="98"/>
        </w:rPr>
        <w:t xml:space="preserve">Doc. ONU </w:t>
      </w:r>
      <w:r w:rsidRPr="00AC72B5">
        <w:rPr>
          <w:w w:val="98"/>
        </w:rPr>
        <w:t xml:space="preserve">CEDAW/C/SLB/CO/1-3 (2014); </w:t>
      </w:r>
      <w:r w:rsidRPr="00AC72B5">
        <w:rPr>
          <w:rFonts w:eastAsia="MS Mincho"/>
          <w:i/>
          <w:w w:val="98"/>
        </w:rPr>
        <w:t>Venezuela</w:t>
      </w:r>
      <w:r w:rsidRPr="00AC72B5">
        <w:rPr>
          <w:rFonts w:eastAsia="MS Mincho"/>
          <w:w w:val="98"/>
        </w:rPr>
        <w:t xml:space="preserve">, </w:t>
      </w:r>
      <w:r w:rsidRPr="00AC72B5">
        <w:rPr>
          <w:w w:val="98"/>
        </w:rPr>
        <w:t xml:space="preserve">¶ 31, </w:t>
      </w:r>
      <w:r w:rsidRPr="00AC72B5">
        <w:rPr>
          <w:rFonts w:eastAsia="MS Mincho"/>
          <w:w w:val="98"/>
        </w:rPr>
        <w:t xml:space="preserve">Doc. ONU </w:t>
      </w:r>
      <w:r w:rsidRPr="00AC72B5">
        <w:rPr>
          <w:w w:val="98"/>
        </w:rPr>
        <w:t xml:space="preserve">CEDAW/C/VEN/CO/7-8 (2014); </w:t>
      </w:r>
      <w:r w:rsidRPr="00AC72B5">
        <w:rPr>
          <w:rFonts w:eastAsia="MS Mincho"/>
          <w:i/>
          <w:w w:val="98"/>
        </w:rPr>
        <w:t>Afganistán</w:t>
      </w:r>
      <w:r w:rsidRPr="00AC72B5">
        <w:rPr>
          <w:rFonts w:eastAsia="MS Mincho"/>
          <w:w w:val="98"/>
        </w:rPr>
        <w:t xml:space="preserve">, </w:t>
      </w:r>
      <w:r w:rsidRPr="00AC72B5">
        <w:rPr>
          <w:w w:val="98"/>
        </w:rPr>
        <w:t>¶ 37</w:t>
      </w:r>
      <w:r w:rsidRPr="00AC72B5">
        <w:rPr>
          <w:rFonts w:eastAsia="MS Mincho"/>
          <w:w w:val="98"/>
        </w:rPr>
        <w:t xml:space="preserve">, Doc. ONU </w:t>
      </w:r>
      <w:r w:rsidRPr="00AC72B5">
        <w:rPr>
          <w:w w:val="98"/>
        </w:rPr>
        <w:t xml:space="preserve">CEDAW/C/AFG/CO/1-2 (2013); </w:t>
      </w:r>
      <w:r w:rsidRPr="00AC72B5">
        <w:rPr>
          <w:i/>
          <w:w w:val="98"/>
        </w:rPr>
        <w:t>Reino Unido de Gran Bretaña e Irlanda del Norte</w:t>
      </w:r>
      <w:r w:rsidRPr="00AC72B5">
        <w:rPr>
          <w:w w:val="98"/>
        </w:rPr>
        <w:t xml:space="preserve">, ¶ 51, Doc. ONU CEDAW/C/GBR/CO/7 (2013); </w:t>
      </w:r>
      <w:r w:rsidRPr="00AC72B5">
        <w:rPr>
          <w:i/>
          <w:w w:val="98"/>
        </w:rPr>
        <w:t>Chile</w:t>
      </w:r>
      <w:r w:rsidRPr="00AC72B5">
        <w:rPr>
          <w:w w:val="98"/>
        </w:rPr>
        <w:t xml:space="preserve">, ¶ 35, Doc. ONU CEDAW/C/CHL/CO/5-6 (2012); </w:t>
      </w:r>
      <w:r w:rsidRPr="00AC72B5">
        <w:rPr>
          <w:i/>
          <w:w w:val="98"/>
        </w:rPr>
        <w:t>Yibuti</w:t>
      </w:r>
      <w:r w:rsidRPr="00AC72B5">
        <w:rPr>
          <w:w w:val="98"/>
        </w:rPr>
        <w:t xml:space="preserve">, ¶ 20, Doc. ONU CEDAW/C/DJI/CO/1-3 (2011); </w:t>
      </w:r>
      <w:r w:rsidRPr="00AC72B5">
        <w:rPr>
          <w:i/>
          <w:w w:val="98"/>
        </w:rPr>
        <w:t>Yibuti</w:t>
      </w:r>
      <w:r w:rsidRPr="00AC72B5">
        <w:rPr>
          <w:w w:val="98"/>
        </w:rPr>
        <w:t xml:space="preserve">, ¶ 31, Doc. ONU CEDAW/C/DJI/CO/1-3 (2011); </w:t>
      </w:r>
      <w:r w:rsidRPr="00AC72B5">
        <w:rPr>
          <w:i/>
          <w:w w:val="98"/>
        </w:rPr>
        <w:t>Costa Rica</w:t>
      </w:r>
      <w:r w:rsidRPr="00AC72B5">
        <w:rPr>
          <w:w w:val="98"/>
        </w:rPr>
        <w:t xml:space="preserve">, ¶ 33, Doc. ONU CEDAW/C/CRI/CO/5-6 (2011); </w:t>
      </w:r>
      <w:r w:rsidRPr="00AC72B5">
        <w:rPr>
          <w:i/>
          <w:w w:val="98"/>
        </w:rPr>
        <w:t>Honduras</w:t>
      </w:r>
      <w:r w:rsidRPr="00AC72B5">
        <w:rPr>
          <w:w w:val="98"/>
        </w:rPr>
        <w:t>, ¶ 25, Doc. ONU CEDAW/C/HON/CO/6 (2007).</w:t>
      </w:r>
    </w:p>
  </w:endnote>
  <w:endnote w:id="578">
    <w:p w14:paraId="3841C37D" w14:textId="26CEEAB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Trinidad y Tobago</w:t>
      </w:r>
      <w:r w:rsidRPr="00AC72B5">
        <w:rPr>
          <w:w w:val="98"/>
        </w:rPr>
        <w:t xml:space="preserve">, ¶ 33, Doc. ONU CEDAW/C/TTO/CO/4-7 (2016); </w:t>
      </w:r>
      <w:r w:rsidRPr="00AC72B5">
        <w:rPr>
          <w:rFonts w:eastAsia="MS Mincho"/>
          <w:i/>
          <w:w w:val="98"/>
        </w:rPr>
        <w:t>República Unida de Tanzania</w:t>
      </w:r>
      <w:r w:rsidRPr="00AC72B5">
        <w:rPr>
          <w:rFonts w:eastAsia="MS Mincho"/>
          <w:w w:val="98"/>
        </w:rPr>
        <w:t xml:space="preserve">, </w:t>
      </w:r>
      <w:r w:rsidRPr="00AC72B5">
        <w:rPr>
          <w:w w:val="98"/>
        </w:rPr>
        <w:t>¶ 35</w:t>
      </w:r>
      <w:r w:rsidRPr="00AC72B5">
        <w:rPr>
          <w:rFonts w:eastAsia="MS Mincho"/>
          <w:w w:val="98"/>
        </w:rPr>
        <w:t xml:space="preserve">, Doc. ONU CEDAW/C/TZA/CO/7-8 (2016); </w:t>
      </w:r>
      <w:r w:rsidRPr="00AC72B5">
        <w:rPr>
          <w:i/>
          <w:w w:val="98"/>
        </w:rPr>
        <w:t>Myanmar</w:t>
      </w:r>
      <w:r w:rsidRPr="00AC72B5">
        <w:rPr>
          <w:w w:val="98"/>
        </w:rPr>
        <w:t xml:space="preserve">, ¶ 39, Doc. ONU </w:t>
      </w:r>
      <w:r w:rsidRPr="00AC72B5">
        <w:rPr>
          <w:rFonts w:eastAsia="MS Mincho"/>
          <w:w w:val="98"/>
        </w:rPr>
        <w:t xml:space="preserve">CEDAW/C/MMR/CO/4-5 (2016); </w:t>
      </w:r>
      <w:r w:rsidRPr="00AC72B5">
        <w:rPr>
          <w:i/>
          <w:w w:val="98"/>
        </w:rPr>
        <w:t>Japón</w:t>
      </w:r>
      <w:r w:rsidRPr="00AC72B5">
        <w:rPr>
          <w:w w:val="98"/>
        </w:rPr>
        <w:t xml:space="preserve">, ¶ 39, Doc. ONU </w:t>
      </w:r>
      <w:r w:rsidRPr="00AC72B5">
        <w:rPr>
          <w:rFonts w:eastAsia="MS Mincho"/>
          <w:w w:val="98"/>
        </w:rPr>
        <w:t xml:space="preserve">CEDAW/C/JPN/CO/7-8 (2016); </w:t>
      </w:r>
      <w:r w:rsidRPr="00AC72B5">
        <w:rPr>
          <w:i/>
          <w:w w:val="98"/>
        </w:rPr>
        <w:t>Reino Unido de Gran Bretaña e Irlanda del Norte</w:t>
      </w:r>
      <w:r w:rsidRPr="00AC72B5">
        <w:rPr>
          <w:w w:val="98"/>
        </w:rPr>
        <w:t>, ¶ 51, Doc. ONU CEDAW/C/GRC/CO/7 (2013).</w:t>
      </w:r>
    </w:p>
  </w:endnote>
  <w:endnote w:id="579">
    <w:p w14:paraId="5670B6CF" w14:textId="22326D2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w:t>
      </w:r>
      <w:r w:rsidRPr="00AC72B5">
        <w:rPr>
          <w:i/>
          <w:w w:val="98"/>
        </w:rPr>
        <w:t xml:space="preserve"> </w:t>
      </w:r>
      <w:r w:rsidRPr="00AC72B5">
        <w:rPr>
          <w:w w:val="98"/>
        </w:rPr>
        <w:t xml:space="preserve">Comité CEDAW, </w:t>
      </w:r>
      <w:r w:rsidRPr="00AC72B5">
        <w:rPr>
          <w:rFonts w:eastAsia="MS Mincho"/>
          <w:i/>
          <w:w w:val="98"/>
        </w:rPr>
        <w:t>Observaciones Finales: Gambia</w:t>
      </w:r>
      <w:r w:rsidRPr="00AC72B5">
        <w:rPr>
          <w:rFonts w:eastAsia="MS Mincho"/>
          <w:w w:val="98"/>
        </w:rPr>
        <w:t xml:space="preserve">, </w:t>
      </w:r>
      <w:r w:rsidRPr="00AC72B5">
        <w:rPr>
          <w:w w:val="98"/>
        </w:rPr>
        <w:t>¶ 37</w:t>
      </w:r>
      <w:r w:rsidRPr="00AC72B5">
        <w:rPr>
          <w:rFonts w:eastAsia="MS Mincho"/>
          <w:w w:val="98"/>
        </w:rPr>
        <w:t xml:space="preserve">, Doc. ONU </w:t>
      </w:r>
      <w:r w:rsidRPr="00AC72B5">
        <w:rPr>
          <w:w w:val="98"/>
        </w:rPr>
        <w:t xml:space="preserve">CEDAW/C/GMB/CO/4-5 (2015); </w:t>
      </w:r>
      <w:r w:rsidRPr="00AC72B5">
        <w:rPr>
          <w:i/>
          <w:w w:val="98"/>
        </w:rPr>
        <w:t>San Vicente y las Granadinas</w:t>
      </w:r>
      <w:r w:rsidRPr="00AC72B5">
        <w:rPr>
          <w:w w:val="98"/>
        </w:rPr>
        <w:t xml:space="preserve">, ¶ 39, Doc. ONU CEDAW/C/VCT/CO/4-8 (2015); </w:t>
      </w:r>
      <w:r w:rsidRPr="00AC72B5">
        <w:rPr>
          <w:i/>
          <w:w w:val="98"/>
        </w:rPr>
        <w:t>Perú</w:t>
      </w:r>
      <w:r w:rsidRPr="00AC72B5">
        <w:rPr>
          <w:w w:val="98"/>
        </w:rPr>
        <w:t xml:space="preserve">, ¶ 36, Doc. ONU </w:t>
      </w:r>
      <w:r w:rsidRPr="00AC72B5">
        <w:rPr>
          <w:rFonts w:eastAsia="MS Mincho"/>
          <w:w w:val="98"/>
        </w:rPr>
        <w:t xml:space="preserve">CEDAW/C/PER/CO/7-8 (2014); </w:t>
      </w:r>
      <w:r w:rsidRPr="00AC72B5">
        <w:rPr>
          <w:i/>
          <w:w w:val="98"/>
        </w:rPr>
        <w:t>Baréin</w:t>
      </w:r>
      <w:r w:rsidRPr="00AC72B5">
        <w:rPr>
          <w:w w:val="98"/>
        </w:rPr>
        <w:t xml:space="preserve">, ¶ 41, Doc. ONU </w:t>
      </w:r>
      <w:r w:rsidRPr="00AC72B5">
        <w:rPr>
          <w:rFonts w:eastAsia="MS Mincho"/>
          <w:w w:val="98"/>
        </w:rPr>
        <w:t>CEDAW/C/BHR/CO/3</w:t>
      </w:r>
      <w:r w:rsidRPr="00AC72B5">
        <w:rPr>
          <w:w w:val="98"/>
        </w:rPr>
        <w:t xml:space="preserve"> (2014); </w:t>
      </w:r>
      <w:r w:rsidRPr="00AC72B5">
        <w:rPr>
          <w:rFonts w:eastAsia="MS Mincho"/>
          <w:i/>
          <w:w w:val="98"/>
        </w:rPr>
        <w:t>Venezuela</w:t>
      </w:r>
      <w:r w:rsidRPr="00AC72B5">
        <w:rPr>
          <w:rFonts w:eastAsia="MS Mincho"/>
          <w:w w:val="98"/>
        </w:rPr>
        <w:t xml:space="preserve">, </w:t>
      </w:r>
      <w:r w:rsidRPr="00AC72B5">
        <w:rPr>
          <w:w w:val="98"/>
        </w:rPr>
        <w:t xml:space="preserve">¶ 31, </w:t>
      </w:r>
      <w:r w:rsidRPr="00AC72B5">
        <w:rPr>
          <w:rFonts w:eastAsia="MS Mincho"/>
          <w:w w:val="98"/>
        </w:rPr>
        <w:t xml:space="preserve">Doc. ONU </w:t>
      </w:r>
      <w:r w:rsidRPr="00AC72B5">
        <w:rPr>
          <w:w w:val="98"/>
        </w:rPr>
        <w:t xml:space="preserve">CEDAW/C/VEN/CO/7-8 (2014); </w:t>
      </w:r>
      <w:r w:rsidRPr="00AC72B5">
        <w:rPr>
          <w:rFonts w:eastAsia="MS Mincho"/>
          <w:i/>
          <w:w w:val="98"/>
        </w:rPr>
        <w:t>Congo</w:t>
      </w:r>
      <w:r w:rsidRPr="00AC72B5">
        <w:rPr>
          <w:rFonts w:eastAsia="MS Mincho"/>
          <w:w w:val="98"/>
        </w:rPr>
        <w:t xml:space="preserve">, </w:t>
      </w:r>
      <w:r w:rsidRPr="00AC72B5">
        <w:rPr>
          <w:w w:val="98"/>
        </w:rPr>
        <w:t>¶ 36</w:t>
      </w:r>
      <w:r w:rsidRPr="00AC72B5">
        <w:rPr>
          <w:rFonts w:eastAsia="MS Mincho"/>
          <w:w w:val="98"/>
        </w:rPr>
        <w:t xml:space="preserve">,Doc. ONU </w:t>
      </w:r>
      <w:r w:rsidRPr="00AC72B5">
        <w:rPr>
          <w:w w:val="98"/>
        </w:rPr>
        <w:t xml:space="preserve">CEDAW/C/COG/CO/6 (2012); </w:t>
      </w:r>
      <w:r w:rsidRPr="00AC72B5">
        <w:rPr>
          <w:i/>
          <w:w w:val="98"/>
        </w:rPr>
        <w:t>Kenia</w:t>
      </w:r>
      <w:r w:rsidRPr="00AC72B5">
        <w:rPr>
          <w:w w:val="98"/>
        </w:rPr>
        <w:t xml:space="preserve">, ¶ 38, Doc. ONU CEDAW/C/KEN/CO/7 (2011); </w:t>
      </w:r>
      <w:r w:rsidRPr="00AC72B5">
        <w:rPr>
          <w:rFonts w:eastAsia="MS Mincho"/>
          <w:i/>
          <w:w w:val="98"/>
        </w:rPr>
        <w:t>Sri Lanka</w:t>
      </w:r>
      <w:r w:rsidRPr="00AC72B5">
        <w:rPr>
          <w:rFonts w:eastAsia="MS Mincho"/>
          <w:w w:val="98"/>
        </w:rPr>
        <w:t xml:space="preserve">, </w:t>
      </w:r>
      <w:r w:rsidRPr="00AC72B5">
        <w:rPr>
          <w:w w:val="98"/>
        </w:rPr>
        <w:t xml:space="preserve">¶ 37, </w:t>
      </w:r>
      <w:r w:rsidRPr="00AC72B5">
        <w:rPr>
          <w:rFonts w:eastAsia="MS Mincho"/>
          <w:w w:val="98"/>
        </w:rPr>
        <w:t xml:space="preserve">Doc. ONU </w:t>
      </w:r>
      <w:r w:rsidRPr="00AC72B5">
        <w:rPr>
          <w:w w:val="98"/>
        </w:rPr>
        <w:t xml:space="preserve">CEDAW/C/LKA/CO/7 (2011); </w:t>
      </w:r>
      <w:r w:rsidRPr="00AC72B5">
        <w:rPr>
          <w:i/>
          <w:w w:val="98"/>
        </w:rPr>
        <w:t>Liechtenstein</w:t>
      </w:r>
      <w:r w:rsidRPr="00AC72B5">
        <w:rPr>
          <w:w w:val="98"/>
        </w:rPr>
        <w:t xml:space="preserve">, ¶ 38, Doc. ONU CEDAW/C/LIE/CO/4 (2011); </w:t>
      </w:r>
      <w:r w:rsidRPr="00AC72B5">
        <w:rPr>
          <w:i/>
          <w:w w:val="98"/>
        </w:rPr>
        <w:t>Paraguay</w:t>
      </w:r>
      <w:r w:rsidRPr="00AC72B5">
        <w:rPr>
          <w:w w:val="98"/>
        </w:rPr>
        <w:t xml:space="preserve">, ¶ 31, Doc. ONU CEDAW/C/PRY/CO/6 (2011); </w:t>
      </w:r>
      <w:r w:rsidRPr="00AC72B5">
        <w:rPr>
          <w:i/>
          <w:w w:val="98"/>
        </w:rPr>
        <w:t>Tuvalu</w:t>
      </w:r>
      <w:r w:rsidRPr="00AC72B5">
        <w:rPr>
          <w:w w:val="98"/>
        </w:rPr>
        <w:t xml:space="preserve">, ¶ 44, Doc. ONU CEDAW/C/TUV/CO/2 (2009); </w:t>
      </w:r>
      <w:r w:rsidRPr="00AC72B5">
        <w:rPr>
          <w:i/>
          <w:w w:val="98"/>
        </w:rPr>
        <w:t>Honduras</w:t>
      </w:r>
      <w:r w:rsidRPr="00AC72B5">
        <w:rPr>
          <w:w w:val="98"/>
        </w:rPr>
        <w:t xml:space="preserve">, ¶ 25, Doc. ONU CEDAW/C/HON/CO/6 (2007); </w:t>
      </w:r>
      <w:r w:rsidRPr="00AC72B5">
        <w:rPr>
          <w:rFonts w:eastAsia="MS Mincho"/>
          <w:i/>
          <w:w w:val="98"/>
        </w:rPr>
        <w:t>Nicaragua</w:t>
      </w:r>
      <w:r w:rsidRPr="00AC72B5">
        <w:rPr>
          <w:rFonts w:eastAsia="MS Mincho"/>
          <w:w w:val="98"/>
        </w:rPr>
        <w:t xml:space="preserve">, </w:t>
      </w:r>
      <w:r w:rsidRPr="00AC72B5">
        <w:rPr>
          <w:w w:val="98"/>
        </w:rPr>
        <w:t>¶ 18</w:t>
      </w:r>
      <w:r w:rsidRPr="00AC72B5">
        <w:rPr>
          <w:rFonts w:eastAsia="MS Mincho"/>
          <w:w w:val="98"/>
        </w:rPr>
        <w:t xml:space="preserve">, Doc. ONU </w:t>
      </w:r>
      <w:r w:rsidRPr="00AC72B5">
        <w:rPr>
          <w:w w:val="98"/>
        </w:rPr>
        <w:t xml:space="preserve">CEDAW/C/NIC/CO/6 (2007); </w:t>
      </w:r>
      <w:r w:rsidRPr="00AC72B5">
        <w:rPr>
          <w:i/>
          <w:w w:val="98"/>
        </w:rPr>
        <w:t>Brasil</w:t>
      </w:r>
      <w:r w:rsidRPr="00AC72B5">
        <w:rPr>
          <w:w w:val="98"/>
        </w:rPr>
        <w:t xml:space="preserve">, ¶ 29, Doc. ONU CEDAW/C/BRA/CO/6 (2007); </w:t>
      </w:r>
      <w:r w:rsidRPr="00AC72B5">
        <w:rPr>
          <w:i/>
          <w:w w:val="98"/>
        </w:rPr>
        <w:t>Filipinas</w:t>
      </w:r>
      <w:r w:rsidRPr="00AC72B5">
        <w:rPr>
          <w:w w:val="98"/>
        </w:rPr>
        <w:t>, ¶ 28, Doc. ONU CEDAW/C/PHI/CO/6 (2006).</w:t>
      </w:r>
    </w:p>
  </w:endnote>
  <w:endnote w:id="580">
    <w:p w14:paraId="2675F13E" w14:textId="2E5764F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Indonesia</w:t>
      </w:r>
      <w:r w:rsidRPr="00AC72B5">
        <w:rPr>
          <w:w w:val="98"/>
        </w:rPr>
        <w:t>, ¶ 42, Doc. ONU CEDAW/C/IDN/CO/6-7 (2012).</w:t>
      </w:r>
    </w:p>
  </w:endnote>
  <w:endnote w:id="581">
    <w:p w14:paraId="78F6C56A" w14:textId="7C5F03C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Haití</w:t>
      </w:r>
      <w:r w:rsidRPr="00AC72B5">
        <w:rPr>
          <w:w w:val="98"/>
        </w:rPr>
        <w:t xml:space="preserve">, ¶ 34, Doc. ONU </w:t>
      </w:r>
      <w:r w:rsidRPr="00AC72B5">
        <w:rPr>
          <w:rFonts w:eastAsia="MS Mincho"/>
          <w:w w:val="98"/>
        </w:rPr>
        <w:t>CEDAW/C/HTI/CO/8-9 (2016).</w:t>
      </w:r>
    </w:p>
  </w:endnote>
  <w:endnote w:id="582">
    <w:p w14:paraId="776E4826" w14:textId="61DD8E8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Lituania</w:t>
      </w:r>
      <w:r w:rsidRPr="00AC72B5">
        <w:rPr>
          <w:w w:val="98"/>
        </w:rPr>
        <w:t xml:space="preserve">, ¶ 37, Doc. ONU </w:t>
      </w:r>
      <w:r w:rsidRPr="00AC72B5">
        <w:rPr>
          <w:rFonts w:eastAsia="MS Mincho"/>
          <w:w w:val="98"/>
        </w:rPr>
        <w:t>CEDAW/C/LTU/CO/5 (2014).</w:t>
      </w:r>
    </w:p>
  </w:endnote>
  <w:endnote w:id="583">
    <w:p w14:paraId="3844F15A" w14:textId="28AD98C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Perú</w:t>
      </w:r>
      <w:r w:rsidRPr="00AC72B5">
        <w:rPr>
          <w:w w:val="98"/>
        </w:rPr>
        <w:t xml:space="preserve">, ¶ 36, Doc. ONU </w:t>
      </w:r>
      <w:r w:rsidRPr="00AC72B5">
        <w:rPr>
          <w:rFonts w:eastAsia="MS Mincho"/>
          <w:w w:val="98"/>
        </w:rPr>
        <w:t>CEDAW/C/PER/CO/7-8 (2014).</w:t>
      </w:r>
    </w:p>
  </w:endnote>
  <w:endnote w:id="584">
    <w:p w14:paraId="05620DD6" w14:textId="4C730252" w:rsidR="005E3DDD" w:rsidRPr="00AC72B5" w:rsidRDefault="005E3DDD" w:rsidP="00AC72B5">
      <w:pPr>
        <w:pStyle w:val="EndnoteText"/>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Kuwait</w:t>
      </w:r>
      <w:r w:rsidRPr="00AC72B5">
        <w:rPr>
          <w:w w:val="98"/>
        </w:rPr>
        <w:t xml:space="preserve">, ¶ 43, Doc. </w:t>
      </w:r>
      <w:r w:rsidRPr="00AC72B5">
        <w:rPr>
          <w:w w:val="98"/>
          <w:lang w:val="es-CO"/>
        </w:rPr>
        <w:t>ONU CEDAW/C/KWT/CO/3-4 (2011).</w:t>
      </w:r>
    </w:p>
  </w:endnote>
  <w:endnote w:id="585">
    <w:p w14:paraId="194822DF" w14:textId="07025F7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Reino Unido de Gran Bretaña e Irlanda del Norte</w:t>
      </w:r>
      <w:r w:rsidRPr="00AC72B5">
        <w:rPr>
          <w:w w:val="98"/>
        </w:rPr>
        <w:t>, ¶ 50, Doc. ONU CEDAW/C/GRC/CO/7 (2013).</w:t>
      </w:r>
    </w:p>
  </w:endnote>
  <w:endnote w:id="586">
    <w:p w14:paraId="29C6B02A" w14:textId="7EB9892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Eslovaquia</w:t>
      </w:r>
      <w:r w:rsidRPr="00AC72B5">
        <w:rPr>
          <w:w w:val="98"/>
        </w:rPr>
        <w:t xml:space="preserve">, ¶ 30, Doc. ONU </w:t>
      </w:r>
      <w:r w:rsidRPr="00AC72B5">
        <w:rPr>
          <w:rFonts w:eastAsia="MS Mincho"/>
          <w:w w:val="98"/>
        </w:rPr>
        <w:t>CEDAW/C/SVK/CO/5-6 (2015).</w:t>
      </w:r>
    </w:p>
  </w:endnote>
  <w:endnote w:id="587">
    <w:p w14:paraId="4D0E5E59" w14:textId="678E4B0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Namibia</w:t>
      </w:r>
      <w:r w:rsidRPr="00AC72B5">
        <w:rPr>
          <w:w w:val="98"/>
        </w:rPr>
        <w:t>, ¶¶ 34-35, Doc. ONU</w:t>
      </w:r>
      <w:r w:rsidRPr="00AC72B5">
        <w:rPr>
          <w:i/>
          <w:w w:val="98"/>
        </w:rPr>
        <w:t xml:space="preserve"> </w:t>
      </w:r>
      <w:r w:rsidRPr="00AC72B5">
        <w:rPr>
          <w:w w:val="98"/>
        </w:rPr>
        <w:t>CEDAW/C/NAM/CO/4-5 (2015).</w:t>
      </w:r>
    </w:p>
  </w:endnote>
  <w:endnote w:id="588">
    <w:p w14:paraId="589E160E" w14:textId="3F33184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Perú</w:t>
      </w:r>
      <w:r w:rsidRPr="00AC72B5">
        <w:rPr>
          <w:w w:val="98"/>
        </w:rPr>
        <w:t xml:space="preserve">, ¶ 35, Doc. ONU </w:t>
      </w:r>
      <w:r w:rsidRPr="00AC72B5">
        <w:rPr>
          <w:rFonts w:eastAsia="MS Mincho"/>
          <w:w w:val="98"/>
        </w:rPr>
        <w:t>CEDAW/C/PER/CO/7-8 (2014).</w:t>
      </w:r>
    </w:p>
  </w:endnote>
  <w:endnote w:id="589">
    <w:p w14:paraId="3D6DFE51" w14:textId="2F863FC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República Unida de Tanzania</w:t>
      </w:r>
      <w:r w:rsidRPr="00AC72B5">
        <w:rPr>
          <w:w w:val="98"/>
        </w:rPr>
        <w:t>, ¶¶ 34-35, Doc. ONU CEDAW/C/TZA/CO/7-8 (2016).</w:t>
      </w:r>
    </w:p>
  </w:endnote>
  <w:endnote w:id="590">
    <w:p w14:paraId="3E80C927" w14:textId="3700225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Portugal</w:t>
      </w:r>
      <w:r w:rsidRPr="00AC72B5">
        <w:rPr>
          <w:w w:val="98"/>
        </w:rPr>
        <w:t>, ¶¶ 36-37, Doc. ONU CEDAW/C/PRT/CO/8-9 (2015).</w:t>
      </w:r>
    </w:p>
  </w:endnote>
  <w:endnote w:id="591">
    <w:p w14:paraId="0BA2506D" w14:textId="74ADAA9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Eslovaquia</w:t>
      </w:r>
      <w:r w:rsidRPr="00AC72B5">
        <w:rPr>
          <w:w w:val="98"/>
        </w:rPr>
        <w:t xml:space="preserve">, ¶ 30, Doc. ONU </w:t>
      </w:r>
      <w:r w:rsidRPr="00AC72B5">
        <w:rPr>
          <w:rFonts w:eastAsia="MS Mincho"/>
          <w:w w:val="98"/>
        </w:rPr>
        <w:t>CEDAW/C/SVK/CO/5-6 (2015).</w:t>
      </w:r>
    </w:p>
  </w:endnote>
  <w:endnote w:id="592">
    <w:p w14:paraId="6CF429DB" w14:textId="579259B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Eslovaquia</w:t>
      </w:r>
      <w:r w:rsidRPr="00AC72B5">
        <w:rPr>
          <w:w w:val="98"/>
        </w:rPr>
        <w:t xml:space="preserve">, ¶ 31, Doc. ONU </w:t>
      </w:r>
      <w:r w:rsidRPr="00AC72B5">
        <w:rPr>
          <w:rFonts w:eastAsia="MS Mincho"/>
          <w:w w:val="98"/>
        </w:rPr>
        <w:t>CEDAW/C/SVK/CO/5-6 (2015).</w:t>
      </w:r>
    </w:p>
  </w:endnote>
  <w:endnote w:id="593">
    <w:p w14:paraId="6C4FFDC1" w14:textId="1798C44E" w:rsidR="005E3DDD" w:rsidRPr="00AC72B5" w:rsidRDefault="005E3DDD" w:rsidP="00AC72B5">
      <w:pPr>
        <w:pStyle w:val="EndnoteText"/>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Malawi</w:t>
      </w:r>
      <w:r w:rsidRPr="00AC72B5">
        <w:rPr>
          <w:w w:val="98"/>
        </w:rPr>
        <w:t xml:space="preserve">, ¶ 35, Doc. </w:t>
      </w:r>
      <w:r w:rsidRPr="00AC72B5">
        <w:rPr>
          <w:w w:val="98"/>
          <w:lang w:val="es-CO"/>
        </w:rPr>
        <w:t>ONU CEDAW/C/MWI/CO/7 (2015).</w:t>
      </w:r>
    </w:p>
  </w:endnote>
  <w:endnote w:id="594">
    <w:p w14:paraId="074A1529" w14:textId="0604C6B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Croacia</w:t>
      </w:r>
      <w:r w:rsidRPr="00AC72B5">
        <w:rPr>
          <w:w w:val="98"/>
        </w:rPr>
        <w:t xml:space="preserve">, ¶ 30, Doc. ONU CEDAW/C/HRV/CO/4-5 (2015); </w:t>
      </w:r>
      <w:r w:rsidRPr="00AC72B5">
        <w:rPr>
          <w:rFonts w:eastAsia="MS Mincho"/>
          <w:i/>
          <w:w w:val="98"/>
        </w:rPr>
        <w:t>Portugal</w:t>
      </w:r>
      <w:r w:rsidRPr="00AC72B5">
        <w:rPr>
          <w:rFonts w:eastAsia="MS Mincho"/>
          <w:w w:val="98"/>
        </w:rPr>
        <w:t>,</w:t>
      </w:r>
      <w:r w:rsidRPr="00AC72B5">
        <w:rPr>
          <w:rFonts w:eastAsia="MS Mincho"/>
          <w:i/>
          <w:w w:val="98"/>
        </w:rPr>
        <w:t xml:space="preserve"> </w:t>
      </w:r>
      <w:r w:rsidRPr="00AC72B5">
        <w:rPr>
          <w:w w:val="98"/>
        </w:rPr>
        <w:t>¶</w:t>
      </w:r>
      <w:r w:rsidRPr="00AC72B5">
        <w:rPr>
          <w:rFonts w:eastAsia="MS Mincho"/>
          <w:w w:val="98"/>
        </w:rPr>
        <w:t xml:space="preserve"> </w:t>
      </w:r>
      <w:r w:rsidRPr="00AC72B5">
        <w:rPr>
          <w:w w:val="98"/>
        </w:rPr>
        <w:t>36</w:t>
      </w:r>
      <w:r w:rsidRPr="00AC72B5">
        <w:rPr>
          <w:rFonts w:eastAsia="MS Mincho"/>
          <w:w w:val="98"/>
        </w:rPr>
        <w:t>, Doc. ONU CEDAW/C/PRT/CO/8-9 (2015).</w:t>
      </w:r>
    </w:p>
  </w:endnote>
  <w:endnote w:id="595">
    <w:p w14:paraId="1E623EFC" w14:textId="0C96743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Croacia</w:t>
      </w:r>
      <w:r w:rsidRPr="00AC72B5">
        <w:rPr>
          <w:w w:val="98"/>
        </w:rPr>
        <w:t>, ¶ 30, Doc. ONU CEDAW/C/HRV/CO/4-5 (2015).</w:t>
      </w:r>
    </w:p>
  </w:endnote>
  <w:endnote w:id="596">
    <w:p w14:paraId="2D5477A1" w14:textId="6868692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Portugal</w:t>
      </w:r>
      <w:r w:rsidRPr="00AC72B5">
        <w:rPr>
          <w:w w:val="98"/>
        </w:rPr>
        <w:t>, ¶¶ 37, Doc. ONU CEDAW/C/PRT/CO/8-9 (2015).</w:t>
      </w:r>
    </w:p>
  </w:endnote>
  <w:endnote w:id="597">
    <w:p w14:paraId="116679C6" w14:textId="197775E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Serbia</w:t>
      </w:r>
      <w:r w:rsidRPr="00AC72B5">
        <w:rPr>
          <w:rFonts w:eastAsia="MS Mincho"/>
          <w:w w:val="98"/>
        </w:rPr>
        <w:t>,</w:t>
      </w:r>
      <w:r w:rsidRPr="00AC72B5">
        <w:rPr>
          <w:rFonts w:eastAsia="MS Mincho"/>
          <w:i/>
          <w:w w:val="98"/>
        </w:rPr>
        <w:t xml:space="preserve"> </w:t>
      </w:r>
      <w:r w:rsidRPr="00AC72B5">
        <w:rPr>
          <w:w w:val="98"/>
        </w:rPr>
        <w:t>¶ 33</w:t>
      </w:r>
      <w:r w:rsidRPr="00AC72B5">
        <w:rPr>
          <w:rFonts w:eastAsia="MS Mincho"/>
          <w:w w:val="98"/>
        </w:rPr>
        <w:t xml:space="preserve">, Doc. ONU </w:t>
      </w:r>
      <w:r w:rsidRPr="00AC72B5">
        <w:rPr>
          <w:w w:val="98"/>
        </w:rPr>
        <w:t>CEDAW/C/SRB/CO/2-3 (2013).</w:t>
      </w:r>
    </w:p>
  </w:endnote>
  <w:endnote w:id="598">
    <w:p w14:paraId="33F602BB" w14:textId="760968B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Eslovaquia</w:t>
      </w:r>
      <w:r w:rsidRPr="00AC72B5">
        <w:rPr>
          <w:w w:val="98"/>
        </w:rPr>
        <w:t xml:space="preserve">, ¶ 31, Doc. ONU </w:t>
      </w:r>
      <w:r w:rsidRPr="00AC72B5">
        <w:rPr>
          <w:rFonts w:eastAsia="MS Mincho"/>
          <w:w w:val="98"/>
        </w:rPr>
        <w:t xml:space="preserve">CEDAW/C/SVK/CO/5-6 (2015); </w:t>
      </w:r>
      <w:r w:rsidRPr="00AC72B5">
        <w:rPr>
          <w:i/>
          <w:w w:val="98"/>
        </w:rPr>
        <w:t>Croacia</w:t>
      </w:r>
      <w:r w:rsidRPr="00AC72B5">
        <w:rPr>
          <w:w w:val="98"/>
        </w:rPr>
        <w:t xml:space="preserve">, ¶ 31, Doc. ONU CEDAW/C/HRV/CO/4-5 (2015); </w:t>
      </w:r>
      <w:r w:rsidRPr="00AC72B5">
        <w:rPr>
          <w:rFonts w:eastAsia="MS Mincho"/>
          <w:i/>
          <w:w w:val="98"/>
        </w:rPr>
        <w:t>Serbia</w:t>
      </w:r>
      <w:r w:rsidRPr="00AC72B5">
        <w:rPr>
          <w:rFonts w:eastAsia="MS Mincho"/>
          <w:w w:val="98"/>
        </w:rPr>
        <w:t>,</w:t>
      </w:r>
      <w:r w:rsidRPr="00AC72B5">
        <w:rPr>
          <w:rFonts w:eastAsia="MS Mincho"/>
          <w:i/>
          <w:w w:val="98"/>
        </w:rPr>
        <w:t xml:space="preserve"> </w:t>
      </w:r>
      <w:r w:rsidRPr="00AC72B5">
        <w:rPr>
          <w:w w:val="98"/>
        </w:rPr>
        <w:t>¶ 33</w:t>
      </w:r>
      <w:r w:rsidRPr="00AC72B5">
        <w:rPr>
          <w:rFonts w:eastAsia="MS Mincho"/>
          <w:w w:val="98"/>
        </w:rPr>
        <w:t xml:space="preserve">, Doc. ONU </w:t>
      </w:r>
      <w:r w:rsidRPr="00AC72B5">
        <w:rPr>
          <w:w w:val="98"/>
        </w:rPr>
        <w:t>CEDAW/C/SRB/CO/2-3 (2013).</w:t>
      </w:r>
    </w:p>
  </w:endnote>
  <w:endnote w:id="599">
    <w:p w14:paraId="6DDAC5DE" w14:textId="3A211B2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Siria</w:t>
      </w:r>
      <w:r w:rsidRPr="00AC72B5">
        <w:rPr>
          <w:rFonts w:eastAsia="MS Mincho"/>
          <w:w w:val="98"/>
        </w:rPr>
        <w:t>,</w:t>
      </w:r>
      <w:r w:rsidRPr="00AC72B5">
        <w:rPr>
          <w:rFonts w:eastAsia="MS Mincho"/>
          <w:i/>
          <w:w w:val="98"/>
        </w:rPr>
        <w:t xml:space="preserve"> </w:t>
      </w:r>
      <w:r w:rsidRPr="00AC72B5">
        <w:rPr>
          <w:w w:val="98"/>
        </w:rPr>
        <w:t>¶ 40</w:t>
      </w:r>
      <w:r w:rsidRPr="00AC72B5">
        <w:rPr>
          <w:rFonts w:eastAsia="MS Mincho"/>
          <w:w w:val="98"/>
        </w:rPr>
        <w:t xml:space="preserve">, Doc. ONU </w:t>
      </w:r>
      <w:r w:rsidRPr="00AC72B5">
        <w:rPr>
          <w:w w:val="98"/>
        </w:rPr>
        <w:t>CEDAW/C/SYR/CO/2 (2014).</w:t>
      </w:r>
    </w:p>
  </w:endnote>
  <w:endnote w:id="600">
    <w:p w14:paraId="44FDF065" w14:textId="532D751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Turquía</w:t>
      </w:r>
      <w:r w:rsidRPr="00AC72B5">
        <w:rPr>
          <w:w w:val="98"/>
        </w:rPr>
        <w:t xml:space="preserve">, ¶ 18, Doc. ONU CEDAW/C/TUR/CO/7 (2016); </w:t>
      </w:r>
      <w:r w:rsidRPr="00AC72B5">
        <w:rPr>
          <w:i/>
          <w:w w:val="98"/>
        </w:rPr>
        <w:t>Japón</w:t>
      </w:r>
      <w:r w:rsidRPr="00AC72B5">
        <w:rPr>
          <w:w w:val="98"/>
        </w:rPr>
        <w:t xml:space="preserve">, ¶ 38, Doc. ONU </w:t>
      </w:r>
      <w:r w:rsidRPr="00AC72B5">
        <w:rPr>
          <w:rFonts w:eastAsia="MS Mincho"/>
          <w:w w:val="98"/>
        </w:rPr>
        <w:t xml:space="preserve">CEDAW/C/JPN/CO/7-8 (2016); </w:t>
      </w:r>
      <w:r w:rsidRPr="00AC72B5">
        <w:rPr>
          <w:i/>
          <w:w w:val="98"/>
        </w:rPr>
        <w:t>Indonesia</w:t>
      </w:r>
      <w:r w:rsidRPr="00AC72B5">
        <w:rPr>
          <w:w w:val="98"/>
        </w:rPr>
        <w:t xml:space="preserve">, ¶ 41, Doc. ONU CEDAW/C/IDN/CO/6-7 (2012); </w:t>
      </w:r>
      <w:r w:rsidRPr="00AC72B5">
        <w:rPr>
          <w:rFonts w:eastAsia="MS Mincho"/>
          <w:i/>
          <w:w w:val="98"/>
        </w:rPr>
        <w:t>Indonesia</w:t>
      </w:r>
      <w:r w:rsidRPr="00AC72B5">
        <w:rPr>
          <w:rFonts w:eastAsia="MS Mincho"/>
          <w:w w:val="98"/>
        </w:rPr>
        <w:t xml:space="preserve">, </w:t>
      </w:r>
      <w:r w:rsidRPr="00AC72B5">
        <w:rPr>
          <w:w w:val="98"/>
        </w:rPr>
        <w:t>¶ 16</w:t>
      </w:r>
      <w:r w:rsidRPr="00AC72B5">
        <w:rPr>
          <w:rFonts w:eastAsia="MS Mincho"/>
          <w:w w:val="98"/>
        </w:rPr>
        <w:t xml:space="preserve">, Doc. ONU </w:t>
      </w:r>
      <w:r w:rsidRPr="00AC72B5">
        <w:rPr>
          <w:w w:val="98"/>
        </w:rPr>
        <w:t>CEDAW/C/IDN/CO/5 (2007).</w:t>
      </w:r>
    </w:p>
  </w:endnote>
  <w:endnote w:id="601">
    <w:p w14:paraId="3BC050A0" w14:textId="7F54E2A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Eslovaquia</w:t>
      </w:r>
      <w:r w:rsidRPr="00AC72B5">
        <w:rPr>
          <w:w w:val="98"/>
        </w:rPr>
        <w:t xml:space="preserve">, ¶ 30, Doc. ONU </w:t>
      </w:r>
      <w:r w:rsidRPr="00AC72B5">
        <w:rPr>
          <w:rFonts w:eastAsia="MS Mincho"/>
          <w:w w:val="98"/>
        </w:rPr>
        <w:t>CEDAW/C/SVK/CO/5-6 (2015).</w:t>
      </w:r>
    </w:p>
  </w:endnote>
  <w:endnote w:id="602">
    <w:p w14:paraId="47AD826A" w14:textId="656B9D8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w:t>
      </w:r>
      <w:r>
        <w:rPr>
          <w:w w:val="98"/>
        </w:rPr>
        <w:t xml:space="preserve"> </w:t>
      </w:r>
      <w:r w:rsidRPr="00AC72B5">
        <w:rPr>
          <w:w w:val="98"/>
        </w:rPr>
        <w:t xml:space="preserve">CEDAW, </w:t>
      </w:r>
      <w:r w:rsidRPr="00AC72B5">
        <w:rPr>
          <w:i/>
          <w:w w:val="98"/>
        </w:rPr>
        <w:t>Observaciones Finales: Japón</w:t>
      </w:r>
      <w:r w:rsidRPr="00AC72B5">
        <w:rPr>
          <w:w w:val="98"/>
        </w:rPr>
        <w:t xml:space="preserve">, ¶ 39, Doc. ONU </w:t>
      </w:r>
      <w:r w:rsidRPr="00AC72B5">
        <w:rPr>
          <w:rFonts w:eastAsia="MS Mincho"/>
          <w:w w:val="98"/>
        </w:rPr>
        <w:t xml:space="preserve">CEDAW/C/JPN/CO/7-8 (2016); </w:t>
      </w:r>
      <w:r w:rsidRPr="00AC72B5">
        <w:rPr>
          <w:i/>
          <w:w w:val="98"/>
        </w:rPr>
        <w:t>Eslovaquia</w:t>
      </w:r>
      <w:r w:rsidRPr="00AC72B5">
        <w:rPr>
          <w:w w:val="98"/>
        </w:rPr>
        <w:t xml:space="preserve">, ¶ 31, Doc. ONU </w:t>
      </w:r>
      <w:r w:rsidRPr="00AC72B5">
        <w:rPr>
          <w:rFonts w:eastAsia="MS Mincho"/>
          <w:w w:val="98"/>
        </w:rPr>
        <w:t xml:space="preserve">CEDAW/C/SVK/CO/5-6 (2015); </w:t>
      </w:r>
      <w:r w:rsidRPr="00AC72B5">
        <w:rPr>
          <w:i/>
          <w:w w:val="98"/>
        </w:rPr>
        <w:t>Indonesia</w:t>
      </w:r>
      <w:r w:rsidRPr="00AC72B5">
        <w:rPr>
          <w:w w:val="98"/>
        </w:rPr>
        <w:t>, ¶ 42, Doc. ONU CEDAW/C/IDN/CO/6-7 (2012).</w:t>
      </w:r>
    </w:p>
  </w:endnote>
  <w:endnote w:id="603">
    <w:p w14:paraId="15BE8D7B" w14:textId="28E484C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Turquía</w:t>
      </w:r>
      <w:r w:rsidRPr="00AC72B5">
        <w:rPr>
          <w:w w:val="98"/>
        </w:rPr>
        <w:t>, ¶ 19, Doc. ONU CEDAW/C/TUR/CO/7 (2016).</w:t>
      </w:r>
    </w:p>
  </w:endnote>
  <w:endnote w:id="604">
    <w:p w14:paraId="3E00A021" w14:textId="0C4D3E9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Bolivia</w:t>
      </w:r>
      <w:r w:rsidRPr="00AC72B5">
        <w:rPr>
          <w:rFonts w:eastAsia="MS Mincho"/>
          <w:w w:val="98"/>
        </w:rPr>
        <w:t xml:space="preserve">, </w:t>
      </w:r>
      <w:r w:rsidRPr="00AC72B5">
        <w:rPr>
          <w:w w:val="98"/>
        </w:rPr>
        <w:t xml:space="preserve">¶ 29, </w:t>
      </w:r>
      <w:r w:rsidRPr="00AC72B5">
        <w:rPr>
          <w:rFonts w:eastAsia="MS Mincho"/>
          <w:w w:val="98"/>
        </w:rPr>
        <w:t xml:space="preserve">Doc. ONU </w:t>
      </w:r>
      <w:r w:rsidRPr="00AC72B5">
        <w:rPr>
          <w:w w:val="98"/>
        </w:rPr>
        <w:t>CEDAW/C/BOL/CO/5-6 (2015).</w:t>
      </w:r>
    </w:p>
  </w:endnote>
  <w:endnote w:id="605">
    <w:p w14:paraId="7824FA84" w14:textId="0409913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Uruguay</w:t>
      </w:r>
      <w:r w:rsidRPr="00AC72B5">
        <w:rPr>
          <w:w w:val="98"/>
        </w:rPr>
        <w:t xml:space="preserve">, ¶ 35, Doc. ONU </w:t>
      </w:r>
      <w:r w:rsidRPr="00AC72B5">
        <w:rPr>
          <w:rFonts w:eastAsia="MS Mincho"/>
          <w:w w:val="98"/>
        </w:rPr>
        <w:t xml:space="preserve">CEDAW/C/URY/CO/8-9 (2016); </w:t>
      </w:r>
      <w:r w:rsidRPr="00AC72B5">
        <w:rPr>
          <w:rFonts w:eastAsia="MS Mincho"/>
          <w:i/>
          <w:w w:val="98"/>
        </w:rPr>
        <w:t>Polonia</w:t>
      </w:r>
      <w:r w:rsidRPr="00AC72B5">
        <w:rPr>
          <w:rFonts w:eastAsia="MS Mincho"/>
          <w:w w:val="98"/>
        </w:rPr>
        <w:t xml:space="preserve">, </w:t>
      </w:r>
      <w:r w:rsidRPr="00AC72B5">
        <w:rPr>
          <w:w w:val="98"/>
        </w:rPr>
        <w:t xml:space="preserve">¶ 36, </w:t>
      </w:r>
      <w:r w:rsidRPr="00AC72B5">
        <w:rPr>
          <w:rFonts w:eastAsia="MS Mincho"/>
          <w:w w:val="98"/>
        </w:rPr>
        <w:t xml:space="preserve">Doc. ONU </w:t>
      </w:r>
      <w:r w:rsidRPr="00AC72B5">
        <w:rPr>
          <w:w w:val="98"/>
        </w:rPr>
        <w:t xml:space="preserve">CEDAW/C/POL/CO/7-8 (2014); </w:t>
      </w:r>
      <w:r w:rsidRPr="00AC72B5">
        <w:rPr>
          <w:i/>
          <w:w w:val="98"/>
        </w:rPr>
        <w:t>Hungría</w:t>
      </w:r>
      <w:r w:rsidRPr="00AC72B5">
        <w:rPr>
          <w:w w:val="98"/>
        </w:rPr>
        <w:t>, ¶ 30, Doc. ONU CEDAW/C/HUN/CO/7-8 (2013).</w:t>
      </w:r>
    </w:p>
  </w:endnote>
  <w:endnote w:id="606">
    <w:p w14:paraId="5588A8B1" w14:textId="6B4E531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Turquía</w:t>
      </w:r>
      <w:r w:rsidRPr="00AC72B5">
        <w:rPr>
          <w:w w:val="98"/>
        </w:rPr>
        <w:t xml:space="preserve">, ¶ 47, Doc. ONU CEDAW/C/TUR/CO/7 (2016); </w:t>
      </w:r>
      <w:r w:rsidRPr="00AC72B5">
        <w:rPr>
          <w:i/>
          <w:w w:val="98"/>
        </w:rPr>
        <w:t>Croacia</w:t>
      </w:r>
      <w:r w:rsidRPr="00AC72B5">
        <w:rPr>
          <w:w w:val="98"/>
        </w:rPr>
        <w:t xml:space="preserve">, ¶ 30, Doc. ONU CEDAW/C/HRV/CO/4-5 (2015); </w:t>
      </w:r>
      <w:r w:rsidRPr="00AC72B5">
        <w:rPr>
          <w:rFonts w:eastAsia="MS Mincho"/>
          <w:i/>
          <w:w w:val="98"/>
        </w:rPr>
        <w:t>Polonia</w:t>
      </w:r>
      <w:r w:rsidRPr="00AC72B5">
        <w:rPr>
          <w:rFonts w:eastAsia="MS Mincho"/>
          <w:w w:val="98"/>
        </w:rPr>
        <w:t xml:space="preserve">, </w:t>
      </w:r>
      <w:r w:rsidRPr="00AC72B5">
        <w:rPr>
          <w:w w:val="98"/>
        </w:rPr>
        <w:t>¶ 36</w:t>
      </w:r>
      <w:r w:rsidRPr="00AC72B5">
        <w:rPr>
          <w:rFonts w:eastAsia="MS Mincho"/>
          <w:w w:val="98"/>
        </w:rPr>
        <w:t xml:space="preserve">, Doc. ONU </w:t>
      </w:r>
      <w:r w:rsidRPr="00AC72B5">
        <w:rPr>
          <w:w w:val="98"/>
        </w:rPr>
        <w:t>CEDAW/C/POL/CO/7-8 (2014).</w:t>
      </w:r>
    </w:p>
  </w:endnote>
  <w:endnote w:id="607">
    <w:p w14:paraId="74F98CC5" w14:textId="5C30955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Eslovaquia</w:t>
      </w:r>
      <w:r w:rsidRPr="00AC72B5">
        <w:rPr>
          <w:w w:val="98"/>
        </w:rPr>
        <w:t xml:space="preserve">, ¶ 30, Doc. ONU </w:t>
      </w:r>
      <w:r w:rsidRPr="00AC72B5">
        <w:rPr>
          <w:rFonts w:eastAsia="MS Mincho"/>
          <w:w w:val="98"/>
        </w:rPr>
        <w:t>CEDAW/C/SVK/CO/5-6 (2015).</w:t>
      </w:r>
    </w:p>
  </w:endnote>
  <w:endnote w:id="608">
    <w:p w14:paraId="4EC7FCA0" w14:textId="526CB7E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Turquía</w:t>
      </w:r>
      <w:r w:rsidRPr="00AC72B5">
        <w:rPr>
          <w:w w:val="98"/>
        </w:rPr>
        <w:t>, ¶ 47, Doc. ONU CEDAW/C/TUR/CO/7 (2016).</w:t>
      </w:r>
    </w:p>
  </w:endnote>
  <w:endnote w:id="609">
    <w:p w14:paraId="1EC21D54" w14:textId="256C79C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Uruguay</w:t>
      </w:r>
      <w:r w:rsidRPr="00AC72B5">
        <w:rPr>
          <w:w w:val="98"/>
        </w:rPr>
        <w:t xml:space="preserve">, ¶ 36, Doc. ONU </w:t>
      </w:r>
      <w:r w:rsidRPr="00AC72B5">
        <w:rPr>
          <w:rFonts w:eastAsia="MS Mincho"/>
          <w:w w:val="98"/>
        </w:rPr>
        <w:t xml:space="preserve">CEDAW/C/URY/CO/8-9 (2016); </w:t>
      </w:r>
      <w:r w:rsidRPr="00AC72B5">
        <w:rPr>
          <w:rFonts w:eastAsia="MS Mincho"/>
          <w:i/>
          <w:w w:val="98"/>
        </w:rPr>
        <w:t>Portugal</w:t>
      </w:r>
      <w:r w:rsidRPr="00AC72B5">
        <w:rPr>
          <w:rFonts w:eastAsia="MS Mincho"/>
          <w:w w:val="98"/>
        </w:rPr>
        <w:t xml:space="preserve">, </w:t>
      </w:r>
      <w:r w:rsidRPr="00AC72B5">
        <w:rPr>
          <w:w w:val="98"/>
        </w:rPr>
        <w:t>¶ 37</w:t>
      </w:r>
      <w:r w:rsidRPr="00AC72B5">
        <w:rPr>
          <w:rFonts w:eastAsia="MS Mincho"/>
          <w:w w:val="98"/>
        </w:rPr>
        <w:t xml:space="preserve">, Doc. ONU CEDAW/C/PRT/CO/8-9 (2015); </w:t>
      </w:r>
      <w:r w:rsidRPr="00AC72B5">
        <w:rPr>
          <w:i/>
          <w:w w:val="98"/>
        </w:rPr>
        <w:t>Croacia</w:t>
      </w:r>
      <w:r w:rsidRPr="00AC72B5">
        <w:rPr>
          <w:w w:val="98"/>
        </w:rPr>
        <w:t xml:space="preserve">, ¶ 31, Doc. ONU CEDAW/C/HRV/CO/4-5 (2015); </w:t>
      </w:r>
      <w:r w:rsidRPr="00AC72B5">
        <w:rPr>
          <w:i/>
          <w:w w:val="98"/>
        </w:rPr>
        <w:t>Perú</w:t>
      </w:r>
      <w:r w:rsidRPr="00AC72B5">
        <w:rPr>
          <w:w w:val="98"/>
        </w:rPr>
        <w:t xml:space="preserve">, ¶ 36, Doc. ONU </w:t>
      </w:r>
      <w:r w:rsidRPr="00AC72B5">
        <w:rPr>
          <w:rFonts w:eastAsia="MS Mincho"/>
          <w:w w:val="98"/>
        </w:rPr>
        <w:t>CEDAW/C/PER/CO/7-8 (2014).</w:t>
      </w:r>
    </w:p>
  </w:endnote>
  <w:endnote w:id="610">
    <w:p w14:paraId="31306844" w14:textId="7DC27D8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Hungría</w:t>
      </w:r>
      <w:r w:rsidRPr="00AC72B5">
        <w:rPr>
          <w:w w:val="98"/>
        </w:rPr>
        <w:t>, ¶ 31, Doc. ONU CEDAW/C/HUN/CO/7-8 (2013).</w:t>
      </w:r>
    </w:p>
  </w:endnote>
  <w:endnote w:id="611">
    <w:p w14:paraId="239D1348" w14:textId="5122E34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Turquía</w:t>
      </w:r>
      <w:r w:rsidRPr="00AC72B5">
        <w:rPr>
          <w:w w:val="98"/>
        </w:rPr>
        <w:t>, ¶ 48, Doc. ONU CEDAW/C/TUR/CO/7 (2016).</w:t>
      </w:r>
    </w:p>
  </w:endnote>
  <w:endnote w:id="612">
    <w:p w14:paraId="736B4FD4" w14:textId="7334284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Eslovaquia</w:t>
      </w:r>
      <w:r w:rsidRPr="00AC72B5">
        <w:rPr>
          <w:w w:val="98"/>
        </w:rPr>
        <w:t xml:space="preserve">, ¶ 31, Doc. ONU </w:t>
      </w:r>
      <w:r w:rsidRPr="00AC72B5">
        <w:rPr>
          <w:rFonts w:eastAsia="MS Mincho"/>
          <w:w w:val="98"/>
        </w:rPr>
        <w:t>CEDAW/C/SVK/CO/5-6 (2015).</w:t>
      </w:r>
    </w:p>
  </w:endnote>
  <w:endnote w:id="613">
    <w:p w14:paraId="1D8209A0" w14:textId="38BA776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Polonia</w:t>
      </w:r>
      <w:r w:rsidRPr="00AC72B5">
        <w:rPr>
          <w:rFonts w:eastAsia="MS Mincho"/>
          <w:w w:val="98"/>
        </w:rPr>
        <w:t xml:space="preserve">, </w:t>
      </w:r>
      <w:r w:rsidRPr="00AC72B5">
        <w:rPr>
          <w:w w:val="98"/>
        </w:rPr>
        <w:t xml:space="preserve">¶ 37, </w:t>
      </w:r>
      <w:r w:rsidRPr="00AC72B5">
        <w:rPr>
          <w:rFonts w:eastAsia="MS Mincho"/>
          <w:w w:val="98"/>
        </w:rPr>
        <w:t xml:space="preserve">Doc. ONU </w:t>
      </w:r>
      <w:r w:rsidRPr="00AC72B5">
        <w:rPr>
          <w:w w:val="98"/>
        </w:rPr>
        <w:t>CEDAW/C/POL/CO/7-8 (2014).</w:t>
      </w:r>
    </w:p>
  </w:endnote>
  <w:endnote w:id="614">
    <w:p w14:paraId="3558CB27" w14:textId="6484BBE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Federación de Rusia</w:t>
      </w:r>
      <w:r w:rsidRPr="00AC72B5">
        <w:rPr>
          <w:w w:val="98"/>
        </w:rPr>
        <w:t xml:space="preserve">, ¶ 35, Doc. ONU CEDAW/C/RUS/CO/8 (2015); </w:t>
      </w:r>
      <w:r w:rsidRPr="00AC72B5">
        <w:rPr>
          <w:i/>
          <w:w w:val="98"/>
        </w:rPr>
        <w:t>Eslovaquia</w:t>
      </w:r>
      <w:r w:rsidRPr="00AC72B5">
        <w:rPr>
          <w:w w:val="98"/>
        </w:rPr>
        <w:t xml:space="preserve">, ¶ 30, Doc. ONU CEDAW/C/SVK/CO/5-6 (2015); </w:t>
      </w:r>
      <w:r w:rsidRPr="00AC72B5">
        <w:rPr>
          <w:i/>
          <w:w w:val="98"/>
        </w:rPr>
        <w:t>Hungría</w:t>
      </w:r>
      <w:r w:rsidRPr="00AC72B5">
        <w:rPr>
          <w:w w:val="98"/>
        </w:rPr>
        <w:t>, ¶ 30, Doc. ONU CEDAW/C/HUN/CO/7-8 (2013).</w:t>
      </w:r>
    </w:p>
  </w:endnote>
  <w:endnote w:id="615">
    <w:p w14:paraId="345D7F15" w14:textId="5AEC6DF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Hungría</w:t>
      </w:r>
      <w:r w:rsidRPr="00AC72B5">
        <w:rPr>
          <w:w w:val="98"/>
        </w:rPr>
        <w:t>, ¶ 30, Doc. ONU CEDAW/C/HUN/CO/7-8 (2013).</w:t>
      </w:r>
    </w:p>
  </w:endnote>
  <w:endnote w:id="616">
    <w:p w14:paraId="1608245F" w14:textId="3B435C3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Federación de Rusia</w:t>
      </w:r>
      <w:r w:rsidRPr="00AC72B5">
        <w:rPr>
          <w:w w:val="98"/>
        </w:rPr>
        <w:t>, ¶ 36, Doc. ONU CEDAW/C/RUS/CO/8 (2015).</w:t>
      </w:r>
    </w:p>
  </w:endnote>
  <w:endnote w:id="617">
    <w:p w14:paraId="535A47E6" w14:textId="2234BE3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Federación de Rusia</w:t>
      </w:r>
      <w:r w:rsidRPr="00AC72B5">
        <w:rPr>
          <w:w w:val="98"/>
        </w:rPr>
        <w:t xml:space="preserve">, ¶ 36, Doc. ONU CEDAW/C/RUS/CO/8 (2015); </w:t>
      </w:r>
      <w:r w:rsidRPr="00AC72B5">
        <w:rPr>
          <w:i/>
          <w:w w:val="98"/>
        </w:rPr>
        <w:t>Eslovaquia</w:t>
      </w:r>
      <w:r w:rsidRPr="00AC72B5">
        <w:rPr>
          <w:w w:val="98"/>
        </w:rPr>
        <w:t xml:space="preserve">, ¶ 31, Doc. ONU CEDAW/C/SVK/CO/5-6 (2015); </w:t>
      </w:r>
      <w:r w:rsidRPr="00AC72B5">
        <w:rPr>
          <w:i/>
          <w:w w:val="98"/>
        </w:rPr>
        <w:t>Hungría</w:t>
      </w:r>
      <w:r w:rsidRPr="00AC72B5">
        <w:rPr>
          <w:w w:val="98"/>
        </w:rPr>
        <w:t>, ¶ 31, Doc. ONU CEDAW/C/HUN/CO/7-8 (2013).</w:t>
      </w:r>
    </w:p>
  </w:endnote>
  <w:endnote w:id="618">
    <w:p w14:paraId="192B429D" w14:textId="3C88551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Eslovaquia</w:t>
      </w:r>
      <w:r w:rsidRPr="00AC72B5">
        <w:rPr>
          <w:w w:val="98"/>
        </w:rPr>
        <w:t xml:space="preserve">, ¶ 31, Doc. ONU </w:t>
      </w:r>
      <w:r w:rsidRPr="00AC72B5">
        <w:rPr>
          <w:rFonts w:eastAsia="MS Mincho"/>
          <w:w w:val="98"/>
        </w:rPr>
        <w:t>CEDAW/C/SVK/CO/5-6 (2015).</w:t>
      </w:r>
    </w:p>
  </w:endnote>
  <w:endnote w:id="619">
    <w:p w14:paraId="06925097" w14:textId="6283F31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 xml:space="preserve">Observaciones Finales: Kirguistán, </w:t>
      </w:r>
      <w:r w:rsidRPr="00AC72B5">
        <w:rPr>
          <w:w w:val="98"/>
        </w:rPr>
        <w:t>¶ 29, Doc. ONU CEDAW/C/VNM/CO/6 (2007).</w:t>
      </w:r>
    </w:p>
  </w:endnote>
  <w:endnote w:id="620">
    <w:p w14:paraId="51BF0F20" w14:textId="7D82307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Perú</w:t>
      </w:r>
      <w:r w:rsidRPr="00AC72B5">
        <w:rPr>
          <w:w w:val="98"/>
        </w:rPr>
        <w:t xml:space="preserve">, ¶ 35, Doc. ONU </w:t>
      </w:r>
      <w:r w:rsidRPr="00AC72B5">
        <w:rPr>
          <w:rFonts w:eastAsia="MS Mincho"/>
          <w:w w:val="98"/>
        </w:rPr>
        <w:t>CEDAW/C/PER/CO/7-8 (2014).</w:t>
      </w:r>
    </w:p>
  </w:endnote>
  <w:endnote w:id="621">
    <w:p w14:paraId="7170CF19" w14:textId="6602C2B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Ecuador</w:t>
      </w:r>
      <w:r w:rsidRPr="00AC72B5">
        <w:rPr>
          <w:w w:val="98"/>
        </w:rPr>
        <w:t xml:space="preserve">, ¶ 32, Doc. ONU CEDAW/C/ECU/CO/8-9 (2015); </w:t>
      </w:r>
      <w:r w:rsidRPr="00AC72B5">
        <w:rPr>
          <w:i/>
          <w:w w:val="98"/>
        </w:rPr>
        <w:t>Paraguay</w:t>
      </w:r>
      <w:r w:rsidRPr="00AC72B5">
        <w:rPr>
          <w:w w:val="98"/>
        </w:rPr>
        <w:t>, ¶ 31, Doc. ONU CEDAW/C/PRY/CO/6 (2011).</w:t>
      </w:r>
    </w:p>
  </w:endnote>
  <w:endnote w:id="622">
    <w:p w14:paraId="5FE6A756" w14:textId="35C146A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Nicaragua</w:t>
      </w:r>
      <w:r w:rsidRPr="00AC72B5">
        <w:rPr>
          <w:rFonts w:eastAsia="MS Mincho"/>
          <w:w w:val="98"/>
        </w:rPr>
        <w:t xml:space="preserve">, </w:t>
      </w:r>
      <w:r w:rsidRPr="00AC72B5">
        <w:rPr>
          <w:w w:val="98"/>
        </w:rPr>
        <w:t xml:space="preserve">¶ 17, </w:t>
      </w:r>
      <w:r w:rsidRPr="00AC72B5">
        <w:rPr>
          <w:rFonts w:eastAsia="MS Mincho"/>
          <w:w w:val="98"/>
        </w:rPr>
        <w:t xml:space="preserve">Doc. ONU </w:t>
      </w:r>
      <w:r w:rsidRPr="00AC72B5">
        <w:rPr>
          <w:w w:val="98"/>
        </w:rPr>
        <w:t>CEDAW/C/NIC/CO/6 (2007).</w:t>
      </w:r>
    </w:p>
  </w:endnote>
  <w:endnote w:id="623">
    <w:p w14:paraId="227D096E" w14:textId="27BBC7A6" w:rsidR="005E3DDD" w:rsidRPr="00AC72B5" w:rsidRDefault="005E3DDD" w:rsidP="00AC72B5">
      <w:pPr>
        <w:pStyle w:val="EndnoteText"/>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Irak</w:t>
      </w:r>
      <w:r w:rsidRPr="00AC72B5">
        <w:rPr>
          <w:w w:val="98"/>
        </w:rPr>
        <w:t xml:space="preserve">, ¶ 42, Doc. </w:t>
      </w:r>
      <w:r w:rsidRPr="00AC72B5">
        <w:rPr>
          <w:w w:val="98"/>
          <w:lang w:val="es-CO"/>
        </w:rPr>
        <w:t>ONU CEDAW/C/IRQ/CO/4-6 (2014).</w:t>
      </w:r>
    </w:p>
  </w:endnote>
  <w:endnote w:id="624">
    <w:p w14:paraId="5D297559" w14:textId="6D6807C1" w:rsidR="005E3DDD" w:rsidRPr="00AC72B5" w:rsidRDefault="005E3DDD" w:rsidP="00AC72B5">
      <w:pPr>
        <w:pStyle w:val="EndnoteText"/>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w:t>
      </w:r>
      <w:r w:rsidRPr="00AC72B5">
        <w:rPr>
          <w:i/>
          <w:w w:val="98"/>
        </w:rPr>
        <w:t xml:space="preserve"> </w:t>
      </w:r>
      <w:r w:rsidRPr="00AC72B5">
        <w:rPr>
          <w:w w:val="98"/>
        </w:rPr>
        <w:t xml:space="preserve">Comité CEDAW, </w:t>
      </w:r>
      <w:r w:rsidRPr="00AC72B5">
        <w:rPr>
          <w:i/>
          <w:w w:val="98"/>
        </w:rPr>
        <w:t>Observaciones Finales: Haití</w:t>
      </w:r>
      <w:r w:rsidRPr="00AC72B5">
        <w:rPr>
          <w:w w:val="98"/>
        </w:rPr>
        <w:t xml:space="preserve">, ¶ 34, Doc. ONU CEDAW/C/HTI/CO/8-9 (2016); </w:t>
      </w:r>
      <w:r w:rsidRPr="00AC72B5">
        <w:rPr>
          <w:i/>
          <w:w w:val="98"/>
        </w:rPr>
        <w:t>Eslovaquia</w:t>
      </w:r>
      <w:r w:rsidRPr="00AC72B5">
        <w:rPr>
          <w:w w:val="98"/>
        </w:rPr>
        <w:t xml:space="preserve">, ¶ 31, Doc. ONU CEDAW/C/SVK/CO/5-6 (2015); </w:t>
      </w:r>
      <w:r w:rsidRPr="00AC72B5">
        <w:rPr>
          <w:i/>
          <w:w w:val="98"/>
        </w:rPr>
        <w:t>Liberia</w:t>
      </w:r>
      <w:r w:rsidRPr="00AC72B5">
        <w:rPr>
          <w:w w:val="98"/>
        </w:rPr>
        <w:t xml:space="preserve">, ¶ 40, Doc. ONU CEDAW/C/LBR/CO/7-8 (2015); </w:t>
      </w:r>
      <w:r w:rsidRPr="00AC72B5">
        <w:rPr>
          <w:i/>
          <w:w w:val="98"/>
        </w:rPr>
        <w:t>Líbano</w:t>
      </w:r>
      <w:r w:rsidRPr="00AC72B5">
        <w:rPr>
          <w:w w:val="98"/>
        </w:rPr>
        <w:t xml:space="preserve">, ¶ 42, Doc. ONU CEDAW/C/LBN/CO/4-5 (2015); </w:t>
      </w:r>
      <w:r w:rsidRPr="00AC72B5">
        <w:rPr>
          <w:i/>
          <w:w w:val="98"/>
        </w:rPr>
        <w:t>Namibia</w:t>
      </w:r>
      <w:r w:rsidRPr="00AC72B5">
        <w:rPr>
          <w:w w:val="98"/>
        </w:rPr>
        <w:t>, ¶ 35, Doc. ONU</w:t>
      </w:r>
      <w:r w:rsidRPr="00AC72B5">
        <w:rPr>
          <w:i/>
          <w:w w:val="98"/>
        </w:rPr>
        <w:t xml:space="preserve"> </w:t>
      </w:r>
      <w:r w:rsidRPr="00AC72B5">
        <w:rPr>
          <w:w w:val="98"/>
        </w:rPr>
        <w:t xml:space="preserve">CEDAW/C/NAM/CO/4-5 (2015); </w:t>
      </w:r>
      <w:r w:rsidRPr="00AC72B5">
        <w:rPr>
          <w:i/>
          <w:w w:val="98"/>
        </w:rPr>
        <w:t>Perú</w:t>
      </w:r>
      <w:r w:rsidRPr="00AC72B5">
        <w:rPr>
          <w:w w:val="98"/>
        </w:rPr>
        <w:t xml:space="preserve">, ¶ 36, Doc. ONU CEDAW/C/PER/CO/7-8 (2014); </w:t>
      </w:r>
      <w:r w:rsidRPr="00AC72B5">
        <w:rPr>
          <w:i/>
          <w:w w:val="98"/>
        </w:rPr>
        <w:t>Afganistán</w:t>
      </w:r>
      <w:r w:rsidRPr="00AC72B5">
        <w:rPr>
          <w:w w:val="98"/>
        </w:rPr>
        <w:t xml:space="preserve">, ¶ 37, Doc. ONU CEDAW/C/AFG/CO/1-2 (2013); </w:t>
      </w:r>
      <w:r w:rsidRPr="00AC72B5">
        <w:rPr>
          <w:i/>
          <w:w w:val="98"/>
        </w:rPr>
        <w:t>Yibuti</w:t>
      </w:r>
      <w:r w:rsidRPr="00AC72B5">
        <w:rPr>
          <w:w w:val="98"/>
        </w:rPr>
        <w:t xml:space="preserve">, ¶ 31, Doc. </w:t>
      </w:r>
      <w:r w:rsidRPr="00AC72B5">
        <w:rPr>
          <w:w w:val="98"/>
          <w:lang w:val="es-CO"/>
        </w:rPr>
        <w:t>ONU CEDAW/C/DJI/CO/1-3 (2011).</w:t>
      </w:r>
    </w:p>
  </w:endnote>
  <w:endnote w:id="625">
    <w:p w14:paraId="41D4B97E" w14:textId="1B9699D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Haití</w:t>
      </w:r>
      <w:r w:rsidRPr="00AC72B5">
        <w:rPr>
          <w:w w:val="98"/>
        </w:rPr>
        <w:t xml:space="preserve">, ¶ 34, Doc. ONU </w:t>
      </w:r>
      <w:r w:rsidRPr="00AC72B5">
        <w:rPr>
          <w:rFonts w:eastAsia="MS Mincho"/>
          <w:w w:val="98"/>
        </w:rPr>
        <w:t xml:space="preserve">CEDAW/C/HTI/CO/8-9 (2016); </w:t>
      </w:r>
      <w:r w:rsidRPr="00AC72B5">
        <w:rPr>
          <w:i/>
          <w:w w:val="98"/>
        </w:rPr>
        <w:t>Eritrea</w:t>
      </w:r>
      <w:r w:rsidRPr="00AC72B5">
        <w:rPr>
          <w:w w:val="98"/>
        </w:rPr>
        <w:t xml:space="preserve">, ¶ 34, Doc. ONU CEDAW/C/ERI/CO/5 (2015); </w:t>
      </w:r>
      <w:r w:rsidRPr="00AC72B5">
        <w:rPr>
          <w:rFonts w:eastAsia="MS Mincho"/>
          <w:i/>
          <w:w w:val="98"/>
        </w:rPr>
        <w:t>India</w:t>
      </w:r>
      <w:r w:rsidRPr="00AC72B5">
        <w:rPr>
          <w:rFonts w:eastAsia="MS Mincho"/>
          <w:w w:val="98"/>
        </w:rPr>
        <w:t>,</w:t>
      </w:r>
      <w:r w:rsidRPr="00AC72B5">
        <w:rPr>
          <w:rFonts w:eastAsia="MS Mincho"/>
          <w:i/>
          <w:w w:val="98"/>
        </w:rPr>
        <w:t xml:space="preserve"> </w:t>
      </w:r>
      <w:r w:rsidRPr="00AC72B5">
        <w:rPr>
          <w:w w:val="98"/>
        </w:rPr>
        <w:t>¶</w:t>
      </w:r>
      <w:r w:rsidRPr="00AC72B5">
        <w:rPr>
          <w:rFonts w:eastAsia="MS Mincho"/>
          <w:w w:val="98"/>
        </w:rPr>
        <w:t xml:space="preserve"> </w:t>
      </w:r>
      <w:r w:rsidRPr="00AC72B5">
        <w:rPr>
          <w:w w:val="98"/>
        </w:rPr>
        <w:t>31</w:t>
      </w:r>
      <w:r w:rsidRPr="00AC72B5">
        <w:rPr>
          <w:rFonts w:eastAsia="MS Mincho"/>
          <w:w w:val="98"/>
        </w:rPr>
        <w:t xml:space="preserve">, Doc. ONU CEDAW/C/IND/CO/4-5 (2014); </w:t>
      </w:r>
      <w:r w:rsidRPr="00AC72B5">
        <w:rPr>
          <w:i/>
          <w:w w:val="98"/>
        </w:rPr>
        <w:t>Indonesia</w:t>
      </w:r>
      <w:r w:rsidRPr="00AC72B5">
        <w:rPr>
          <w:w w:val="98"/>
        </w:rPr>
        <w:t>, ¶ 42, Doc. ONU CEDAW/C/IDN/CO/6-7 (2012).</w:t>
      </w:r>
    </w:p>
  </w:endnote>
  <w:endnote w:id="626">
    <w:p w14:paraId="5F0FE5A4" w14:textId="13B2BA4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Haití</w:t>
      </w:r>
      <w:r w:rsidRPr="00AC72B5">
        <w:rPr>
          <w:w w:val="98"/>
        </w:rPr>
        <w:t xml:space="preserve">, ¶ 34, Doc. ONU </w:t>
      </w:r>
      <w:r w:rsidRPr="00AC72B5">
        <w:rPr>
          <w:rFonts w:eastAsia="MS Mincho"/>
          <w:w w:val="98"/>
        </w:rPr>
        <w:t xml:space="preserve">CEDAW/C/HTI/CO/8-9 (2016); </w:t>
      </w:r>
      <w:r w:rsidRPr="00AC72B5">
        <w:rPr>
          <w:i/>
          <w:w w:val="98"/>
        </w:rPr>
        <w:t>Tuvalu</w:t>
      </w:r>
      <w:r w:rsidRPr="00AC72B5">
        <w:rPr>
          <w:w w:val="98"/>
        </w:rPr>
        <w:t>, ¶ 30, Doc. ONU</w:t>
      </w:r>
      <w:r w:rsidRPr="00AC72B5">
        <w:rPr>
          <w:i/>
          <w:w w:val="98"/>
        </w:rPr>
        <w:t xml:space="preserve"> </w:t>
      </w:r>
      <w:r w:rsidRPr="00AC72B5">
        <w:rPr>
          <w:w w:val="98"/>
        </w:rPr>
        <w:t xml:space="preserve">CEDAW/C/TUV/CO/3-4 (2015); </w:t>
      </w:r>
      <w:r w:rsidRPr="00AC72B5">
        <w:rPr>
          <w:i/>
          <w:w w:val="98"/>
        </w:rPr>
        <w:t>Eritrea</w:t>
      </w:r>
      <w:r w:rsidRPr="00AC72B5">
        <w:rPr>
          <w:w w:val="98"/>
        </w:rPr>
        <w:t xml:space="preserve">, ¶ 34, Doc. ONU CEDAW/C/ERI/CO/5 (2015); </w:t>
      </w:r>
      <w:r w:rsidRPr="00AC72B5">
        <w:rPr>
          <w:i/>
          <w:w w:val="98"/>
        </w:rPr>
        <w:t>San Vicente y las Granadinas</w:t>
      </w:r>
      <w:r w:rsidRPr="00AC72B5">
        <w:rPr>
          <w:w w:val="98"/>
        </w:rPr>
        <w:t xml:space="preserve">, ¶ 39, Doc. ONU CEDAW/C/VCT/CO/4-8 (2015); </w:t>
      </w:r>
      <w:r w:rsidRPr="00AC72B5">
        <w:rPr>
          <w:i/>
          <w:w w:val="98"/>
        </w:rPr>
        <w:t>Paraguay</w:t>
      </w:r>
      <w:r w:rsidRPr="00AC72B5">
        <w:rPr>
          <w:w w:val="98"/>
        </w:rPr>
        <w:t>, ¶ 32, Doc. ONU CEDAW/C/PRY/CO/6 (2011).</w:t>
      </w:r>
    </w:p>
  </w:endnote>
  <w:endnote w:id="627">
    <w:p w14:paraId="50BED0B8" w14:textId="3DCB852B" w:rsidR="005E3DDD" w:rsidRPr="00AC72B5" w:rsidRDefault="005E3DDD" w:rsidP="00AC72B5">
      <w:pPr>
        <w:pStyle w:val="EndnoteText"/>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Haití</w:t>
      </w:r>
      <w:r w:rsidRPr="00AC72B5">
        <w:rPr>
          <w:w w:val="98"/>
        </w:rPr>
        <w:t xml:space="preserve">, ¶ 34, Doc. </w:t>
      </w:r>
      <w:r w:rsidRPr="00AC72B5">
        <w:rPr>
          <w:w w:val="98"/>
          <w:lang w:val="es-CO"/>
        </w:rPr>
        <w:t xml:space="preserve">ONU </w:t>
      </w:r>
      <w:r w:rsidRPr="00AC72B5">
        <w:rPr>
          <w:rFonts w:eastAsia="MS Mincho"/>
          <w:w w:val="98"/>
          <w:lang w:val="es-CO"/>
        </w:rPr>
        <w:t>CEDAW/C/HTI/CO/8-9 (2016).</w:t>
      </w:r>
    </w:p>
  </w:endnote>
  <w:endnote w:id="628">
    <w:p w14:paraId="163239D9" w14:textId="7668AD8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India</w:t>
      </w:r>
      <w:r w:rsidRPr="00AC72B5">
        <w:rPr>
          <w:w w:val="98"/>
        </w:rPr>
        <w:t xml:space="preserve">, ¶ 31, Doc. ONU CEDAW/C/IND/CO/4-5 (2014); </w:t>
      </w:r>
      <w:r w:rsidRPr="00AC72B5">
        <w:rPr>
          <w:i/>
          <w:w w:val="98"/>
        </w:rPr>
        <w:t>Perú</w:t>
      </w:r>
      <w:r w:rsidRPr="00AC72B5">
        <w:rPr>
          <w:w w:val="98"/>
        </w:rPr>
        <w:t xml:space="preserve">, ¶ 36, Doc. ONU CEDAW/C/PER/CO/7-8 (2014); </w:t>
      </w:r>
      <w:r w:rsidRPr="00AC72B5">
        <w:rPr>
          <w:i/>
          <w:w w:val="98"/>
        </w:rPr>
        <w:t>Islas Salomón</w:t>
      </w:r>
      <w:r w:rsidRPr="00AC72B5">
        <w:rPr>
          <w:w w:val="98"/>
        </w:rPr>
        <w:t xml:space="preserve">, ¶ 37, Doc. ONU CEDAW/C/SLB/CO/1-3 (2014); </w:t>
      </w:r>
      <w:r w:rsidRPr="00AC72B5">
        <w:rPr>
          <w:i/>
          <w:w w:val="98"/>
        </w:rPr>
        <w:t>Islas Salomón</w:t>
      </w:r>
      <w:r w:rsidRPr="00AC72B5">
        <w:rPr>
          <w:w w:val="98"/>
        </w:rPr>
        <w:t xml:space="preserve">, ¶ 37, Doc. ONU CEDAW/C/SLB/CO/1-3 (2014); </w:t>
      </w:r>
      <w:r w:rsidRPr="00AC72B5">
        <w:rPr>
          <w:i/>
          <w:w w:val="98"/>
        </w:rPr>
        <w:t>Congo</w:t>
      </w:r>
      <w:r w:rsidRPr="00AC72B5">
        <w:rPr>
          <w:w w:val="98"/>
        </w:rPr>
        <w:t xml:space="preserve">, ¶ 36, Doc. ONU CEDAW/C/COG/CO/6 (2012); </w:t>
      </w:r>
      <w:r w:rsidRPr="00AC72B5">
        <w:rPr>
          <w:i/>
          <w:w w:val="98"/>
        </w:rPr>
        <w:t>Sri Lanka</w:t>
      </w:r>
      <w:r w:rsidRPr="00AC72B5">
        <w:rPr>
          <w:w w:val="98"/>
        </w:rPr>
        <w:t xml:space="preserve">, ¶ 37, Doc. ONU CEDAW/C/LKA/CO/7 (2011); </w:t>
      </w:r>
      <w:r w:rsidRPr="00AC72B5">
        <w:rPr>
          <w:i/>
          <w:w w:val="98"/>
        </w:rPr>
        <w:t>Kenia</w:t>
      </w:r>
      <w:r w:rsidRPr="00AC72B5">
        <w:rPr>
          <w:w w:val="98"/>
        </w:rPr>
        <w:t xml:space="preserve">, ¶ 38, Doc. ONU CEDAW/C/KEN/CO/7 (2011); </w:t>
      </w:r>
      <w:r w:rsidRPr="00AC72B5">
        <w:rPr>
          <w:i/>
          <w:w w:val="98"/>
        </w:rPr>
        <w:t>Tuvalu</w:t>
      </w:r>
      <w:r w:rsidRPr="00AC72B5">
        <w:rPr>
          <w:w w:val="98"/>
        </w:rPr>
        <w:t xml:space="preserve">, ¶ 44, Doc. ONU CEDAW/C/TUV/CO/2 (2009); </w:t>
      </w:r>
      <w:r w:rsidRPr="00AC72B5">
        <w:rPr>
          <w:i/>
          <w:w w:val="98"/>
        </w:rPr>
        <w:t>Honduras</w:t>
      </w:r>
      <w:r w:rsidRPr="00AC72B5">
        <w:rPr>
          <w:w w:val="98"/>
        </w:rPr>
        <w:t xml:space="preserve">, ¶ 25, Doc. ONU CEDAW/C/HON/CO/6 (2007); </w:t>
      </w:r>
      <w:r w:rsidRPr="00AC72B5">
        <w:rPr>
          <w:i/>
          <w:w w:val="98"/>
        </w:rPr>
        <w:t>Nicaragua</w:t>
      </w:r>
      <w:r w:rsidRPr="00AC72B5">
        <w:rPr>
          <w:w w:val="98"/>
        </w:rPr>
        <w:t xml:space="preserve">, ¶ 18, Doc. ONU CEDAW/C/NIC/CO/6 (2007); </w:t>
      </w:r>
      <w:r w:rsidRPr="00AC72B5">
        <w:rPr>
          <w:i/>
          <w:w w:val="98"/>
        </w:rPr>
        <w:t>Brasil</w:t>
      </w:r>
      <w:r w:rsidRPr="00AC72B5">
        <w:rPr>
          <w:w w:val="98"/>
        </w:rPr>
        <w:t xml:space="preserve">, ¶ 30, Doc. ONU CEDAW/C/SUJETADOR/CO/6 (2007); </w:t>
      </w:r>
      <w:r w:rsidRPr="00AC72B5">
        <w:rPr>
          <w:i/>
          <w:w w:val="98"/>
        </w:rPr>
        <w:t>Filipinas</w:t>
      </w:r>
      <w:r w:rsidRPr="00AC72B5">
        <w:rPr>
          <w:w w:val="98"/>
        </w:rPr>
        <w:t>, ¶ 28, Doc. ONU CEDAW/C/PHI/CO/6 (2006).</w:t>
      </w:r>
    </w:p>
  </w:endnote>
  <w:endnote w:id="629">
    <w:p w14:paraId="1228B71E" w14:textId="028E008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Siria</w:t>
      </w:r>
      <w:r w:rsidRPr="00AC72B5">
        <w:rPr>
          <w:rFonts w:eastAsia="MS Mincho"/>
          <w:w w:val="98"/>
        </w:rPr>
        <w:t>,</w:t>
      </w:r>
      <w:r w:rsidRPr="00AC72B5">
        <w:rPr>
          <w:rFonts w:eastAsia="MS Mincho"/>
          <w:i/>
          <w:w w:val="98"/>
        </w:rPr>
        <w:t xml:space="preserve"> </w:t>
      </w:r>
      <w:r w:rsidRPr="00AC72B5">
        <w:rPr>
          <w:w w:val="98"/>
        </w:rPr>
        <w:t>¶ 40</w:t>
      </w:r>
      <w:r w:rsidRPr="00AC72B5">
        <w:rPr>
          <w:rFonts w:eastAsia="MS Mincho"/>
          <w:w w:val="98"/>
        </w:rPr>
        <w:t xml:space="preserve">, Doc. ONU </w:t>
      </w:r>
      <w:r w:rsidRPr="00AC72B5">
        <w:rPr>
          <w:w w:val="98"/>
        </w:rPr>
        <w:t xml:space="preserve">CEDAW/C/SYR/CO/2 (2014); </w:t>
      </w:r>
      <w:r w:rsidRPr="00AC72B5">
        <w:rPr>
          <w:rFonts w:eastAsia="MS Mincho"/>
          <w:i/>
          <w:w w:val="98"/>
        </w:rPr>
        <w:t>Afganistán</w:t>
      </w:r>
      <w:r w:rsidRPr="00AC72B5">
        <w:rPr>
          <w:rFonts w:eastAsia="MS Mincho"/>
          <w:w w:val="98"/>
        </w:rPr>
        <w:t xml:space="preserve">, </w:t>
      </w:r>
      <w:r w:rsidRPr="00AC72B5">
        <w:rPr>
          <w:w w:val="98"/>
        </w:rPr>
        <w:t xml:space="preserve">¶ 37, </w:t>
      </w:r>
      <w:r w:rsidRPr="00AC72B5">
        <w:rPr>
          <w:rFonts w:eastAsia="MS Mincho"/>
          <w:w w:val="98"/>
        </w:rPr>
        <w:t xml:space="preserve">Doc. ONU </w:t>
      </w:r>
      <w:r w:rsidRPr="00AC72B5">
        <w:rPr>
          <w:w w:val="98"/>
        </w:rPr>
        <w:t xml:space="preserve">CEDAW/C/AFG/CO/1-2 (2013); </w:t>
      </w:r>
      <w:r w:rsidRPr="00AC72B5">
        <w:rPr>
          <w:i/>
          <w:w w:val="98"/>
        </w:rPr>
        <w:t>Pakistán</w:t>
      </w:r>
      <w:r w:rsidRPr="00AC72B5">
        <w:rPr>
          <w:w w:val="98"/>
        </w:rPr>
        <w:t>, ¶ 32, Doc. ONU CEDAW/C/PAK/CO/4 (2013).</w:t>
      </w:r>
    </w:p>
  </w:endnote>
  <w:endnote w:id="630">
    <w:p w14:paraId="3DFF10AA" w14:textId="645AE51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Paraguay</w:t>
      </w:r>
      <w:r w:rsidRPr="00AC72B5">
        <w:rPr>
          <w:w w:val="98"/>
        </w:rPr>
        <w:t>, ¶ 32, Doc. ONU CEDAW/C/PRY/CO/6 (2011).</w:t>
      </w:r>
    </w:p>
  </w:endnote>
  <w:endnote w:id="631">
    <w:p w14:paraId="74E6EA2C" w14:textId="3478BC4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Croacia</w:t>
      </w:r>
      <w:r w:rsidRPr="00AC72B5">
        <w:rPr>
          <w:w w:val="98"/>
        </w:rPr>
        <w:t>, ¶ 31, Doc. ONU CEDAW/C/HRV/CO/4-5 (2015).</w:t>
      </w:r>
    </w:p>
  </w:endnote>
  <w:endnote w:id="632">
    <w:p w14:paraId="16F533CA" w14:textId="26FBEEA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Hungría</w:t>
      </w:r>
      <w:r w:rsidRPr="00AC72B5">
        <w:rPr>
          <w:w w:val="98"/>
        </w:rPr>
        <w:t>, ¶ 30, Doc. ONU CEDAW/C/HUN/CO/7-8 (2013).</w:t>
      </w:r>
    </w:p>
  </w:endnote>
  <w:endnote w:id="633">
    <w:p w14:paraId="523BD144" w14:textId="5903AA3D" w:rsidR="005E3DDD" w:rsidRPr="00AC72B5" w:rsidRDefault="005E3DDD" w:rsidP="00AC72B5">
      <w:pPr>
        <w:pStyle w:val="EndnoteText"/>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Irak</w:t>
      </w:r>
      <w:r w:rsidRPr="00AC72B5">
        <w:rPr>
          <w:w w:val="98"/>
        </w:rPr>
        <w:t xml:space="preserve">, ¶ 42, Doc. </w:t>
      </w:r>
      <w:r w:rsidRPr="00AC72B5">
        <w:rPr>
          <w:w w:val="98"/>
          <w:lang w:val="es-CO"/>
        </w:rPr>
        <w:t>ONU CEDAW/C/IRQ/CO/4-6 (2014).</w:t>
      </w:r>
    </w:p>
  </w:endnote>
  <w:endnote w:id="634">
    <w:p w14:paraId="31D0FB85" w14:textId="043E28D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Afganistán</w:t>
      </w:r>
      <w:r w:rsidRPr="00AC72B5">
        <w:rPr>
          <w:rFonts w:eastAsia="MS Mincho"/>
          <w:w w:val="98"/>
        </w:rPr>
        <w:t xml:space="preserve">, </w:t>
      </w:r>
      <w:r w:rsidRPr="00AC72B5">
        <w:rPr>
          <w:w w:val="98"/>
        </w:rPr>
        <w:t>¶ 37</w:t>
      </w:r>
      <w:r w:rsidRPr="00AC72B5">
        <w:rPr>
          <w:rFonts w:eastAsia="MS Mincho"/>
          <w:w w:val="98"/>
        </w:rPr>
        <w:t xml:space="preserve">, Doc. ONU </w:t>
      </w:r>
      <w:r w:rsidRPr="00AC72B5">
        <w:rPr>
          <w:w w:val="98"/>
        </w:rPr>
        <w:t>CEDAW/C/AFG/CO/1-2 (2013);</w:t>
      </w:r>
    </w:p>
  </w:endnote>
  <w:endnote w:id="635">
    <w:p w14:paraId="018154D7" w14:textId="53807BD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Eritrea</w:t>
      </w:r>
      <w:r w:rsidRPr="00AC72B5">
        <w:rPr>
          <w:w w:val="98"/>
        </w:rPr>
        <w:t xml:space="preserve">, ¶ 34, Doc. ONU CEDAW/C/ERI/CO/5 (2015); </w:t>
      </w:r>
      <w:r w:rsidRPr="00AC72B5">
        <w:rPr>
          <w:rFonts w:eastAsia="MS Mincho"/>
          <w:i/>
          <w:w w:val="98"/>
        </w:rPr>
        <w:t>Polonia</w:t>
      </w:r>
      <w:r w:rsidRPr="00AC72B5">
        <w:rPr>
          <w:rFonts w:eastAsia="MS Mincho"/>
          <w:w w:val="98"/>
        </w:rPr>
        <w:t xml:space="preserve">, </w:t>
      </w:r>
      <w:r w:rsidRPr="00AC72B5">
        <w:rPr>
          <w:w w:val="98"/>
        </w:rPr>
        <w:t xml:space="preserve">¶ 37, </w:t>
      </w:r>
      <w:r w:rsidRPr="00AC72B5">
        <w:rPr>
          <w:rFonts w:eastAsia="MS Mincho"/>
          <w:w w:val="98"/>
        </w:rPr>
        <w:t xml:space="preserve">Doc. ONU </w:t>
      </w:r>
      <w:r w:rsidRPr="00AC72B5">
        <w:rPr>
          <w:w w:val="98"/>
        </w:rPr>
        <w:t xml:space="preserve">CEDAW/C/POL/CO/7-8 (2014); </w:t>
      </w:r>
      <w:r w:rsidRPr="00AC72B5">
        <w:rPr>
          <w:i/>
          <w:w w:val="98"/>
        </w:rPr>
        <w:t>Costa Rica</w:t>
      </w:r>
      <w:r w:rsidRPr="00AC72B5">
        <w:rPr>
          <w:w w:val="98"/>
        </w:rPr>
        <w:t>, ¶ 32, Doc. ONU CEDAW/C/CRI/CO/5-6 (2011).</w:t>
      </w:r>
    </w:p>
  </w:endnote>
  <w:endnote w:id="636">
    <w:p w14:paraId="61599A86" w14:textId="7EB8CE4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Polonia</w:t>
      </w:r>
      <w:r w:rsidRPr="00AC72B5">
        <w:rPr>
          <w:rFonts w:eastAsia="MS Mincho"/>
          <w:w w:val="98"/>
        </w:rPr>
        <w:t xml:space="preserve">, </w:t>
      </w:r>
      <w:r w:rsidRPr="00AC72B5">
        <w:rPr>
          <w:w w:val="98"/>
        </w:rPr>
        <w:t xml:space="preserve">¶ 37, </w:t>
      </w:r>
      <w:r w:rsidRPr="00AC72B5">
        <w:rPr>
          <w:rFonts w:eastAsia="MS Mincho"/>
          <w:w w:val="98"/>
        </w:rPr>
        <w:t xml:space="preserve">Doc. ONU </w:t>
      </w:r>
      <w:r w:rsidRPr="00AC72B5">
        <w:rPr>
          <w:w w:val="98"/>
        </w:rPr>
        <w:t xml:space="preserve">CEDAW/C/POL/CO/7-8 (2014); </w:t>
      </w:r>
      <w:r w:rsidRPr="00AC72B5">
        <w:rPr>
          <w:i/>
          <w:w w:val="98"/>
        </w:rPr>
        <w:t>Costa Rica</w:t>
      </w:r>
      <w:r w:rsidRPr="00AC72B5">
        <w:rPr>
          <w:w w:val="98"/>
        </w:rPr>
        <w:t>, ¶ 32, Doc. ONU CEDAW/C/CRI/CO/5-6 (2011).</w:t>
      </w:r>
    </w:p>
  </w:endnote>
  <w:endnote w:id="637">
    <w:p w14:paraId="1ABB5B43" w14:textId="0CFEE6F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Eritrea</w:t>
      </w:r>
      <w:r w:rsidRPr="00AC72B5">
        <w:rPr>
          <w:w w:val="98"/>
        </w:rPr>
        <w:t xml:space="preserve">, ¶ 34, Doc. ONU CEDAW/C/ERI/CO/5 (2015); </w:t>
      </w:r>
      <w:r w:rsidRPr="00AC72B5">
        <w:rPr>
          <w:i/>
          <w:w w:val="98"/>
        </w:rPr>
        <w:t>Costa Rica</w:t>
      </w:r>
      <w:r w:rsidRPr="00AC72B5">
        <w:rPr>
          <w:w w:val="98"/>
        </w:rPr>
        <w:t>, ¶ 33, Doc. ONU CEDAW/C/CRI/CO/5-6 (2011).</w:t>
      </w:r>
    </w:p>
  </w:endnote>
  <w:endnote w:id="638">
    <w:p w14:paraId="7B4F6D21" w14:textId="49DC61F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Ecuador</w:t>
      </w:r>
      <w:r w:rsidRPr="00AC72B5">
        <w:rPr>
          <w:w w:val="98"/>
        </w:rPr>
        <w:t>, ¶ 33</w:t>
      </w:r>
      <w:r w:rsidRPr="00AC72B5">
        <w:rPr>
          <w:rFonts w:eastAsia="MS Mincho"/>
          <w:w w:val="98"/>
        </w:rPr>
        <w:t>,</w:t>
      </w:r>
      <w:r w:rsidRPr="00AC72B5">
        <w:rPr>
          <w:w w:val="98"/>
        </w:rPr>
        <w:t xml:space="preserve"> Doc. ONU CEDAW/C/ECU/CO/8-9 (2015); </w:t>
      </w:r>
      <w:r w:rsidRPr="00AC72B5">
        <w:rPr>
          <w:i/>
          <w:w w:val="98"/>
        </w:rPr>
        <w:t>Perú</w:t>
      </w:r>
      <w:r w:rsidRPr="00AC72B5">
        <w:rPr>
          <w:w w:val="98"/>
        </w:rPr>
        <w:t xml:space="preserve">, ¶ 36, Doc. ONU CEDAW/C/POR/CO/7-8 (2014); </w:t>
      </w:r>
      <w:r w:rsidRPr="00AC72B5">
        <w:rPr>
          <w:i/>
          <w:w w:val="98"/>
        </w:rPr>
        <w:t>Costa Rica</w:t>
      </w:r>
      <w:r w:rsidRPr="00AC72B5">
        <w:rPr>
          <w:w w:val="98"/>
        </w:rPr>
        <w:t>, ¶ 33, Doc. ONU CEDAW/C/CRI/CO/5-6 (2011).</w:t>
      </w:r>
    </w:p>
  </w:endnote>
  <w:endnote w:id="639">
    <w:p w14:paraId="2EEA58A0" w14:textId="0C51949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Ecuador</w:t>
      </w:r>
      <w:r w:rsidRPr="00AC72B5">
        <w:rPr>
          <w:w w:val="98"/>
        </w:rPr>
        <w:t>, ¶ 33, Doc. ONU CEDAW/C/ECU/CO/8-9 (2015).</w:t>
      </w:r>
    </w:p>
  </w:endnote>
  <w:endnote w:id="640">
    <w:p w14:paraId="02B0AC17" w14:textId="16FC90A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Argelia</w:t>
      </w:r>
      <w:r w:rsidRPr="00AC72B5">
        <w:rPr>
          <w:w w:val="98"/>
        </w:rPr>
        <w:t>, ¶ 41, Doc. ONU CEDAW/C/DZA/CO/3-4 (2012).</w:t>
      </w:r>
    </w:p>
  </w:endnote>
  <w:endnote w:id="641">
    <w:p w14:paraId="2CE6B098" w14:textId="5E8317B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Colombia</w:t>
      </w:r>
      <w:r w:rsidRPr="00AC72B5">
        <w:rPr>
          <w:w w:val="98"/>
        </w:rPr>
        <w:t>, ¶ 23, Doc. ONU CEDAW/C/COL/CO/6 (2007).</w:t>
      </w:r>
    </w:p>
  </w:endnote>
  <w:endnote w:id="642">
    <w:p w14:paraId="62530137" w14:textId="5A7D443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Albania</w:t>
      </w:r>
      <w:r w:rsidRPr="00AC72B5">
        <w:rPr>
          <w:w w:val="98"/>
        </w:rPr>
        <w:t xml:space="preserve">, ¶ 32, Doc. ONU CEDAW/C/ALBA/CO/4 (2016); </w:t>
      </w:r>
      <w:r w:rsidRPr="00AC72B5">
        <w:rPr>
          <w:i/>
          <w:w w:val="98"/>
        </w:rPr>
        <w:t>Azerbaiyán</w:t>
      </w:r>
      <w:r w:rsidRPr="00AC72B5">
        <w:rPr>
          <w:w w:val="98"/>
        </w:rPr>
        <w:t xml:space="preserve">, ¶ 32, Doc. ONU CEDAW/C/AZE/CO/5 (2015); </w:t>
      </w:r>
      <w:r w:rsidRPr="00AC72B5">
        <w:rPr>
          <w:i/>
          <w:w w:val="98"/>
        </w:rPr>
        <w:t>Vietnam</w:t>
      </w:r>
      <w:r w:rsidRPr="00AC72B5">
        <w:rPr>
          <w:w w:val="98"/>
        </w:rPr>
        <w:t xml:space="preserve">, ¶ 32, Doc. ONU CEDAW/C/VNM/CO/7-8 (2015); </w:t>
      </w:r>
      <w:r w:rsidRPr="00AC72B5">
        <w:rPr>
          <w:i/>
          <w:w w:val="98"/>
        </w:rPr>
        <w:t>China</w:t>
      </w:r>
      <w:r w:rsidRPr="00AC72B5">
        <w:rPr>
          <w:w w:val="98"/>
        </w:rPr>
        <w:t>, ¶ 31, Doc. ONU CEDAW/C/CHN/CO/6 (2006).</w:t>
      </w:r>
    </w:p>
  </w:endnote>
  <w:endnote w:id="643">
    <w:p w14:paraId="7E2CED11" w14:textId="33460C8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Vietnam</w:t>
      </w:r>
      <w:r w:rsidRPr="00AC72B5">
        <w:rPr>
          <w:w w:val="98"/>
        </w:rPr>
        <w:t xml:space="preserve">, ¶ 32, Doc. ONU CEDAW/C/VNM/CO/7-8 (2015); </w:t>
      </w:r>
      <w:r w:rsidRPr="00AC72B5">
        <w:rPr>
          <w:i/>
          <w:w w:val="98"/>
        </w:rPr>
        <w:t>China</w:t>
      </w:r>
      <w:r w:rsidRPr="00AC72B5">
        <w:rPr>
          <w:w w:val="98"/>
        </w:rPr>
        <w:t>, ¶ 17, Doc. ONU CEDAW/C/CHN/CO/6 (2006).</w:t>
      </w:r>
    </w:p>
  </w:endnote>
  <w:endnote w:id="644">
    <w:p w14:paraId="2E668D13" w14:textId="145CDC1C" w:rsidR="005E3DDD" w:rsidRPr="00AC72B5" w:rsidRDefault="005E3DDD" w:rsidP="00AC72B5">
      <w:pPr>
        <w:pStyle w:val="EndnoteText"/>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China</w:t>
      </w:r>
      <w:r w:rsidRPr="00AC72B5">
        <w:rPr>
          <w:w w:val="98"/>
        </w:rPr>
        <w:t xml:space="preserve">, ¶ 17, Doc. </w:t>
      </w:r>
      <w:r w:rsidRPr="00AC72B5">
        <w:rPr>
          <w:w w:val="98"/>
          <w:lang w:val="es-CO"/>
        </w:rPr>
        <w:t>ONU CEDAW/C/CHN/CO/6 (2006).</w:t>
      </w:r>
    </w:p>
  </w:endnote>
  <w:endnote w:id="645">
    <w:p w14:paraId="165CADE0" w14:textId="0FC700B6" w:rsidR="005E3DDD" w:rsidRPr="00AC72B5" w:rsidRDefault="005E3DDD" w:rsidP="00AC72B5">
      <w:pPr>
        <w:pStyle w:val="EndnoteText"/>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India</w:t>
      </w:r>
      <w:r w:rsidRPr="00AC72B5">
        <w:rPr>
          <w:w w:val="98"/>
        </w:rPr>
        <w:t xml:space="preserve">, ¶ 38, Doc. </w:t>
      </w:r>
      <w:r w:rsidRPr="00AC72B5">
        <w:rPr>
          <w:w w:val="98"/>
          <w:lang w:val="es-CO"/>
        </w:rPr>
        <w:t>ONU CEDAW/C/IND/CO/3 (2007).</w:t>
      </w:r>
    </w:p>
  </w:endnote>
  <w:endnote w:id="646">
    <w:p w14:paraId="748ED553" w14:textId="26F2DCAB" w:rsidR="005E3DDD" w:rsidRPr="00AC72B5" w:rsidRDefault="005E3DDD" w:rsidP="00AC72B5">
      <w:pPr>
        <w:pStyle w:val="EndnoteText"/>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China</w:t>
      </w:r>
      <w:r w:rsidRPr="00AC72B5">
        <w:rPr>
          <w:w w:val="98"/>
        </w:rPr>
        <w:t xml:space="preserve">, ¶ 32, Doc. </w:t>
      </w:r>
      <w:r w:rsidRPr="00AC72B5">
        <w:rPr>
          <w:w w:val="98"/>
          <w:lang w:val="es-CO"/>
        </w:rPr>
        <w:t>ONU CEDAW/C/CHN/CO/6 (2006).</w:t>
      </w:r>
    </w:p>
  </w:endnote>
  <w:endnote w:id="647">
    <w:p w14:paraId="5F4EAEA3" w14:textId="0B46813C" w:rsidR="005E3DDD" w:rsidRPr="00AC72B5" w:rsidRDefault="005E3DDD" w:rsidP="00AC72B5">
      <w:pPr>
        <w:pStyle w:val="EndnoteText"/>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China</w:t>
      </w:r>
      <w:r w:rsidRPr="00AC72B5">
        <w:rPr>
          <w:w w:val="98"/>
        </w:rPr>
        <w:t xml:space="preserve">, ¶ 32, Doc. </w:t>
      </w:r>
      <w:r w:rsidRPr="00AC72B5">
        <w:rPr>
          <w:w w:val="98"/>
          <w:lang w:val="es-CO"/>
        </w:rPr>
        <w:t>ONU CEDAW/C/CHN/CO/6 (2006).</w:t>
      </w:r>
    </w:p>
  </w:endnote>
  <w:endnote w:id="648">
    <w:p w14:paraId="2DEB5B30" w14:textId="122793E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Georgia</w:t>
      </w:r>
      <w:r w:rsidRPr="00AC72B5">
        <w:rPr>
          <w:w w:val="98"/>
        </w:rPr>
        <w:t>, ¶ 31, Doc. ONU CEDAW/C/GEO/CO/4-5 (2014).</w:t>
      </w:r>
    </w:p>
  </w:endnote>
  <w:endnote w:id="649">
    <w:p w14:paraId="7D9DEEC4" w14:textId="4640DC4C" w:rsidR="005E3DDD" w:rsidRPr="00AC72B5" w:rsidRDefault="005E3DDD" w:rsidP="00AC72B5">
      <w:pPr>
        <w:pStyle w:val="EndnoteText"/>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India</w:t>
      </w:r>
      <w:r w:rsidRPr="00AC72B5">
        <w:rPr>
          <w:w w:val="98"/>
        </w:rPr>
        <w:t xml:space="preserve">, ¶ 39, Doc. </w:t>
      </w:r>
      <w:r w:rsidRPr="00AC72B5">
        <w:rPr>
          <w:w w:val="98"/>
          <w:lang w:val="es-CO"/>
        </w:rPr>
        <w:t>ONU CEDAW/C/IND/CO/3 (2007).</w:t>
      </w:r>
    </w:p>
  </w:endnote>
  <w:endnote w:id="650">
    <w:p w14:paraId="78456879" w14:textId="0DE0DD5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w:t>
      </w:r>
      <w:r w:rsidRPr="00AC72B5">
        <w:rPr>
          <w:i/>
          <w:w w:val="98"/>
        </w:rPr>
        <w:t xml:space="preserve"> </w:t>
      </w:r>
      <w:r w:rsidRPr="00AC72B5">
        <w:rPr>
          <w:w w:val="98"/>
        </w:rPr>
        <w:t xml:space="preserve">Comité CEDAW, </w:t>
      </w:r>
      <w:r w:rsidRPr="00AC72B5">
        <w:rPr>
          <w:i/>
          <w:w w:val="98"/>
        </w:rPr>
        <w:t>Observaciones Finales: Trinidad y Tobago</w:t>
      </w:r>
      <w:r w:rsidRPr="00AC72B5">
        <w:rPr>
          <w:w w:val="98"/>
        </w:rPr>
        <w:t xml:space="preserve">, ¶¶ 32-33, Doc. ONU CEDAW/C/TTO/CO/4-7 (2016); </w:t>
      </w:r>
      <w:r w:rsidRPr="00AC72B5">
        <w:rPr>
          <w:rFonts w:eastAsia="MS Mincho"/>
          <w:i/>
          <w:w w:val="98"/>
        </w:rPr>
        <w:t>Georgia</w:t>
      </w:r>
      <w:r w:rsidRPr="00AC72B5">
        <w:rPr>
          <w:rFonts w:eastAsia="MS Mincho"/>
          <w:w w:val="98"/>
        </w:rPr>
        <w:t xml:space="preserve">, </w:t>
      </w:r>
      <w:r w:rsidRPr="00AC72B5">
        <w:rPr>
          <w:w w:val="98"/>
        </w:rPr>
        <w:t>¶</w:t>
      </w:r>
      <w:r w:rsidRPr="00AC72B5">
        <w:rPr>
          <w:rFonts w:eastAsia="MS Mincho"/>
          <w:w w:val="98"/>
        </w:rPr>
        <w:t xml:space="preserve"> </w:t>
      </w:r>
      <w:r w:rsidRPr="00AC72B5">
        <w:rPr>
          <w:w w:val="98"/>
        </w:rPr>
        <w:t>30</w:t>
      </w:r>
      <w:r w:rsidRPr="00AC72B5">
        <w:rPr>
          <w:rFonts w:eastAsia="MS Mincho"/>
          <w:w w:val="98"/>
        </w:rPr>
        <w:t xml:space="preserve">, Doc. ONU CEDAW/C/GEO/CO/4-5 (2014); </w:t>
      </w:r>
      <w:r w:rsidRPr="00AC72B5">
        <w:rPr>
          <w:rFonts w:eastAsia="MS Mincho"/>
          <w:i/>
          <w:w w:val="98"/>
        </w:rPr>
        <w:t>Polonia</w:t>
      </w:r>
      <w:r w:rsidRPr="00AC72B5">
        <w:rPr>
          <w:rFonts w:eastAsia="MS Mincho"/>
          <w:w w:val="98"/>
        </w:rPr>
        <w:t xml:space="preserve">, </w:t>
      </w:r>
      <w:r w:rsidRPr="00AC72B5">
        <w:rPr>
          <w:w w:val="98"/>
        </w:rPr>
        <w:t xml:space="preserve">¶ 36, </w:t>
      </w:r>
      <w:r w:rsidRPr="00AC72B5">
        <w:rPr>
          <w:rFonts w:eastAsia="MS Mincho"/>
          <w:w w:val="98"/>
        </w:rPr>
        <w:t xml:space="preserve">Doc. ONU </w:t>
      </w:r>
      <w:r w:rsidRPr="00AC72B5">
        <w:rPr>
          <w:w w:val="98"/>
        </w:rPr>
        <w:t xml:space="preserve">CEDAW/C/POL/CO/7-8 (2014); </w:t>
      </w:r>
      <w:r w:rsidRPr="00AC72B5">
        <w:rPr>
          <w:i/>
          <w:w w:val="98"/>
        </w:rPr>
        <w:t>Chipre</w:t>
      </w:r>
      <w:r w:rsidRPr="00AC72B5">
        <w:rPr>
          <w:w w:val="98"/>
        </w:rPr>
        <w:t xml:space="preserve">, ¶ 29, Doc. ONU CEDAW/C/CYP/CO/6-7 (2013); </w:t>
      </w:r>
      <w:r w:rsidRPr="00AC72B5">
        <w:rPr>
          <w:i/>
          <w:w w:val="98"/>
        </w:rPr>
        <w:t>Indonesia</w:t>
      </w:r>
      <w:r w:rsidRPr="00AC72B5">
        <w:rPr>
          <w:w w:val="98"/>
        </w:rPr>
        <w:t xml:space="preserve">, ¶ 41, Doc. ONU CEDAW/C/IDN/CO/6-7 (2012); </w:t>
      </w:r>
      <w:r w:rsidRPr="00AC72B5">
        <w:rPr>
          <w:i/>
          <w:w w:val="98"/>
        </w:rPr>
        <w:t>Yibuti</w:t>
      </w:r>
      <w:r w:rsidRPr="00AC72B5">
        <w:rPr>
          <w:w w:val="98"/>
        </w:rPr>
        <w:t xml:space="preserve">, ¶ 30, Doc. ONU CEDAW/C/DJI/CO/1-3 (2011); </w:t>
      </w:r>
      <w:r w:rsidRPr="00AC72B5">
        <w:rPr>
          <w:i/>
          <w:w w:val="98"/>
        </w:rPr>
        <w:t>Armenia</w:t>
      </w:r>
      <w:r w:rsidRPr="00AC72B5">
        <w:rPr>
          <w:w w:val="98"/>
        </w:rPr>
        <w:t xml:space="preserve">, ¶ 34, Doc. ONU (CEDAW/C/ARM/CO/4/Rev.1)1 (2009); </w:t>
      </w:r>
      <w:r w:rsidRPr="00AC72B5">
        <w:rPr>
          <w:i/>
          <w:w w:val="98"/>
        </w:rPr>
        <w:t>Guatemala</w:t>
      </w:r>
      <w:r w:rsidRPr="00AC72B5">
        <w:rPr>
          <w:w w:val="98"/>
        </w:rPr>
        <w:t>, ¶ 35, Doc. ONU CEDAW/C/GUA/CO/7 (2009).</w:t>
      </w:r>
    </w:p>
  </w:endnote>
  <w:endnote w:id="651">
    <w:p w14:paraId="22C47D94" w14:textId="3B5FD44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Trinidad y Tobago</w:t>
      </w:r>
      <w:r w:rsidRPr="00AC72B5">
        <w:rPr>
          <w:w w:val="98"/>
        </w:rPr>
        <w:t xml:space="preserve">, ¶¶ 32-33, Doc. ONU CEDAW/C/TTO/CO/4-7 (2016); </w:t>
      </w:r>
      <w:r w:rsidRPr="00AC72B5">
        <w:rPr>
          <w:rFonts w:eastAsia="MS Mincho"/>
          <w:i/>
          <w:w w:val="98"/>
        </w:rPr>
        <w:t>Georgia</w:t>
      </w:r>
      <w:r w:rsidRPr="00AC72B5">
        <w:rPr>
          <w:rFonts w:eastAsia="MS Mincho"/>
          <w:w w:val="98"/>
        </w:rPr>
        <w:t xml:space="preserve">, </w:t>
      </w:r>
      <w:r w:rsidRPr="00AC72B5">
        <w:rPr>
          <w:w w:val="98"/>
        </w:rPr>
        <w:t>¶</w:t>
      </w:r>
      <w:r w:rsidRPr="00AC72B5">
        <w:rPr>
          <w:rFonts w:eastAsia="MS Mincho"/>
          <w:w w:val="98"/>
        </w:rPr>
        <w:t xml:space="preserve"> </w:t>
      </w:r>
      <w:r w:rsidRPr="00AC72B5">
        <w:rPr>
          <w:w w:val="98"/>
        </w:rPr>
        <w:t>30</w:t>
      </w:r>
      <w:r w:rsidRPr="00AC72B5">
        <w:rPr>
          <w:rFonts w:eastAsia="MS Mincho"/>
          <w:w w:val="98"/>
        </w:rPr>
        <w:t>, Doc. ONU CEDAW/C/GEO/CO/4-5 (2014).</w:t>
      </w:r>
    </w:p>
  </w:endnote>
  <w:endnote w:id="652">
    <w:p w14:paraId="3BC9E206" w14:textId="039A014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Grecia</w:t>
      </w:r>
      <w:r w:rsidRPr="00AC72B5">
        <w:rPr>
          <w:w w:val="98"/>
        </w:rPr>
        <w:t xml:space="preserve">, ¶ 27, Doc. ONU CEDAW/C/GRC/CO/6 (2007); </w:t>
      </w:r>
      <w:r w:rsidRPr="00AC72B5">
        <w:rPr>
          <w:rFonts w:eastAsia="MS Mincho"/>
          <w:i/>
          <w:w w:val="98"/>
        </w:rPr>
        <w:t>Cuba</w:t>
      </w:r>
      <w:r w:rsidRPr="00AC72B5">
        <w:rPr>
          <w:rFonts w:eastAsia="MS Mincho"/>
          <w:w w:val="98"/>
        </w:rPr>
        <w:t xml:space="preserve">, </w:t>
      </w:r>
      <w:r w:rsidRPr="00AC72B5">
        <w:rPr>
          <w:w w:val="98"/>
        </w:rPr>
        <w:t xml:space="preserve">¶ 27, </w:t>
      </w:r>
      <w:r w:rsidRPr="00AC72B5">
        <w:rPr>
          <w:rFonts w:eastAsia="MS Mincho"/>
          <w:w w:val="98"/>
        </w:rPr>
        <w:t xml:space="preserve">Doc. ONU </w:t>
      </w:r>
      <w:r w:rsidRPr="00AC72B5">
        <w:rPr>
          <w:w w:val="98"/>
        </w:rPr>
        <w:t>CEDAW/C/CUB/CO/6 (2006).</w:t>
      </w:r>
    </w:p>
  </w:endnote>
  <w:endnote w:id="653">
    <w:p w14:paraId="3411AEC9" w14:textId="60C046A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Indonesia</w:t>
      </w:r>
      <w:r w:rsidRPr="00AC72B5">
        <w:rPr>
          <w:w w:val="98"/>
        </w:rPr>
        <w:t xml:space="preserve">, ¶ 42, Doc. ONU CEDAW/C/IDN/CO/6-7 (2012); </w:t>
      </w:r>
      <w:r w:rsidRPr="00AC72B5">
        <w:rPr>
          <w:rFonts w:eastAsia="MS Mincho"/>
          <w:i/>
          <w:w w:val="98"/>
        </w:rPr>
        <w:t>Cuba</w:t>
      </w:r>
      <w:r w:rsidRPr="00AC72B5">
        <w:rPr>
          <w:rFonts w:eastAsia="MS Mincho"/>
          <w:w w:val="98"/>
        </w:rPr>
        <w:t xml:space="preserve">, </w:t>
      </w:r>
      <w:r w:rsidRPr="00AC72B5">
        <w:rPr>
          <w:w w:val="98"/>
        </w:rPr>
        <w:t xml:space="preserve">¶ 28, </w:t>
      </w:r>
      <w:r w:rsidRPr="00AC72B5">
        <w:rPr>
          <w:rFonts w:eastAsia="MS Mincho"/>
          <w:w w:val="98"/>
        </w:rPr>
        <w:t xml:space="preserve">Doc. ONU </w:t>
      </w:r>
      <w:r w:rsidRPr="00AC72B5">
        <w:rPr>
          <w:w w:val="98"/>
        </w:rPr>
        <w:t>CEDAW/C/CUB/CO/6 (2006).</w:t>
      </w:r>
    </w:p>
  </w:endnote>
  <w:endnote w:id="654">
    <w:p w14:paraId="75D33EE2" w14:textId="70F1B6F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Polonia</w:t>
      </w:r>
      <w:r w:rsidRPr="00AC72B5">
        <w:rPr>
          <w:rFonts w:eastAsia="MS Mincho"/>
          <w:w w:val="98"/>
        </w:rPr>
        <w:t xml:space="preserve">, </w:t>
      </w:r>
      <w:r w:rsidRPr="00AC72B5">
        <w:rPr>
          <w:w w:val="98"/>
        </w:rPr>
        <w:t xml:space="preserve">¶ 37, </w:t>
      </w:r>
      <w:r w:rsidRPr="00AC72B5">
        <w:rPr>
          <w:rFonts w:eastAsia="MS Mincho"/>
          <w:w w:val="98"/>
        </w:rPr>
        <w:t xml:space="preserve">Doc. ONU </w:t>
      </w:r>
      <w:r w:rsidRPr="00AC72B5">
        <w:rPr>
          <w:w w:val="98"/>
        </w:rPr>
        <w:t xml:space="preserve">CEDAW/C/POL/CO/7-8 (2014); </w:t>
      </w:r>
      <w:r w:rsidRPr="00AC72B5">
        <w:rPr>
          <w:i/>
          <w:w w:val="98"/>
        </w:rPr>
        <w:t>Chipre</w:t>
      </w:r>
      <w:r w:rsidRPr="00AC72B5">
        <w:rPr>
          <w:w w:val="98"/>
        </w:rPr>
        <w:t>, ¶ 30, Doc. ONU CEDAW/C/CYP/CO/6-7 (2013).</w:t>
      </w:r>
    </w:p>
  </w:endnote>
  <w:endnote w:id="655">
    <w:p w14:paraId="59D1F750" w14:textId="12DE3BD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w:t>
      </w:r>
      <w:r w:rsidRPr="00AC72B5">
        <w:rPr>
          <w:i/>
          <w:w w:val="98"/>
        </w:rPr>
        <w:t xml:space="preserve"> </w:t>
      </w:r>
      <w:r w:rsidRPr="00AC72B5">
        <w:rPr>
          <w:w w:val="98"/>
        </w:rPr>
        <w:t xml:space="preserve">Comité CEDAW, </w:t>
      </w:r>
      <w:r w:rsidRPr="00AC72B5">
        <w:rPr>
          <w:i/>
          <w:w w:val="98"/>
        </w:rPr>
        <w:t>Observaciones Finales: Haití</w:t>
      </w:r>
      <w:r w:rsidRPr="00AC72B5">
        <w:rPr>
          <w:w w:val="98"/>
        </w:rPr>
        <w:t xml:space="preserve">, ¶ 33, Doc. ONU </w:t>
      </w:r>
      <w:r w:rsidRPr="00AC72B5">
        <w:rPr>
          <w:rFonts w:eastAsia="MS Mincho"/>
          <w:w w:val="98"/>
        </w:rPr>
        <w:t xml:space="preserve">CEDAW/C/HTI/CO/8-9 (2016); </w:t>
      </w:r>
      <w:r w:rsidRPr="00AC72B5">
        <w:rPr>
          <w:rFonts w:eastAsia="MS Mincho"/>
          <w:i/>
          <w:w w:val="98"/>
        </w:rPr>
        <w:t>Mongolia</w:t>
      </w:r>
      <w:r w:rsidRPr="00AC72B5">
        <w:rPr>
          <w:rFonts w:eastAsia="MS Mincho"/>
          <w:w w:val="98"/>
        </w:rPr>
        <w:t xml:space="preserve">, </w:t>
      </w:r>
      <w:r w:rsidRPr="00AC72B5">
        <w:rPr>
          <w:w w:val="98"/>
        </w:rPr>
        <w:t>¶ 28</w:t>
      </w:r>
      <w:r w:rsidRPr="00AC72B5">
        <w:rPr>
          <w:rFonts w:eastAsia="MS Mincho"/>
          <w:w w:val="98"/>
        </w:rPr>
        <w:t xml:space="preserve">, Doc. ONU CEDAW/C/MNG/CO/8-9 (2016); </w:t>
      </w:r>
      <w:r w:rsidRPr="00AC72B5">
        <w:rPr>
          <w:i/>
          <w:w w:val="98"/>
        </w:rPr>
        <w:t>Azerbaiyán</w:t>
      </w:r>
      <w:r w:rsidRPr="00AC72B5">
        <w:rPr>
          <w:w w:val="98"/>
        </w:rPr>
        <w:t xml:space="preserve">, ¶ 32, Doc. ONU CEDAW/C/AZE/CO/5 (2015); </w:t>
      </w:r>
      <w:r w:rsidRPr="00AC72B5">
        <w:rPr>
          <w:rFonts w:eastAsia="MS Mincho"/>
          <w:i/>
          <w:w w:val="98"/>
        </w:rPr>
        <w:t>Gabón</w:t>
      </w:r>
      <w:r w:rsidRPr="00AC72B5">
        <w:rPr>
          <w:rFonts w:eastAsia="MS Mincho"/>
          <w:w w:val="98"/>
        </w:rPr>
        <w:t>,</w:t>
      </w:r>
      <w:r w:rsidRPr="00AC72B5">
        <w:rPr>
          <w:rFonts w:eastAsia="MS Mincho"/>
          <w:i/>
          <w:w w:val="98"/>
        </w:rPr>
        <w:t xml:space="preserve"> </w:t>
      </w:r>
      <w:r w:rsidRPr="00AC72B5">
        <w:rPr>
          <w:w w:val="98"/>
        </w:rPr>
        <w:t>¶ 34</w:t>
      </w:r>
      <w:r w:rsidRPr="00AC72B5">
        <w:rPr>
          <w:rFonts w:eastAsia="MS Mincho"/>
          <w:w w:val="98"/>
        </w:rPr>
        <w:t xml:space="preserve">, Doc. ONU </w:t>
      </w:r>
      <w:r w:rsidRPr="00AC72B5">
        <w:rPr>
          <w:w w:val="98"/>
        </w:rPr>
        <w:t xml:space="preserve">CEDAW/C/GAB/CO/6 (2015); </w:t>
      </w:r>
      <w:r w:rsidRPr="00AC72B5">
        <w:rPr>
          <w:i/>
          <w:w w:val="98"/>
        </w:rPr>
        <w:t>Tuvalu</w:t>
      </w:r>
      <w:r w:rsidRPr="00AC72B5">
        <w:rPr>
          <w:w w:val="98"/>
        </w:rPr>
        <w:t>, ¶ 30, Doc. ONU</w:t>
      </w:r>
      <w:r w:rsidRPr="00AC72B5">
        <w:rPr>
          <w:i/>
          <w:w w:val="98"/>
        </w:rPr>
        <w:t xml:space="preserve"> </w:t>
      </w:r>
      <w:r w:rsidRPr="00AC72B5">
        <w:rPr>
          <w:w w:val="98"/>
        </w:rPr>
        <w:t xml:space="preserve">CEDAW/C/TUV/CO/3-4 (2015); </w:t>
      </w:r>
      <w:r w:rsidRPr="00AC72B5">
        <w:rPr>
          <w:i/>
          <w:w w:val="98"/>
        </w:rPr>
        <w:t>Lituania</w:t>
      </w:r>
      <w:r w:rsidRPr="00AC72B5">
        <w:rPr>
          <w:w w:val="98"/>
        </w:rPr>
        <w:t xml:space="preserve">, ¶ 36, Doc. ONU </w:t>
      </w:r>
      <w:r w:rsidRPr="00AC72B5">
        <w:rPr>
          <w:rFonts w:eastAsia="MS Mincho"/>
          <w:w w:val="98"/>
        </w:rPr>
        <w:t xml:space="preserve">CEDAW/C/LTU/CO/5 (2014); </w:t>
      </w:r>
      <w:r w:rsidRPr="00AC72B5">
        <w:rPr>
          <w:i/>
          <w:w w:val="98"/>
        </w:rPr>
        <w:t>Irak</w:t>
      </w:r>
      <w:r w:rsidRPr="00AC72B5">
        <w:rPr>
          <w:w w:val="98"/>
        </w:rPr>
        <w:t xml:space="preserve">, ¶ 42, Doc. ONU CEDAW/C/IRQ/CO/4-6 (2014); </w:t>
      </w:r>
      <w:r w:rsidRPr="00AC72B5">
        <w:rPr>
          <w:rFonts w:eastAsia="MS Mincho"/>
          <w:i/>
          <w:w w:val="98"/>
        </w:rPr>
        <w:t>Islas Salomón</w:t>
      </w:r>
      <w:r w:rsidRPr="00AC72B5">
        <w:rPr>
          <w:rFonts w:eastAsia="MS Mincho"/>
          <w:w w:val="98"/>
        </w:rPr>
        <w:t>,</w:t>
      </w:r>
      <w:r w:rsidRPr="00AC72B5">
        <w:rPr>
          <w:rFonts w:eastAsia="MS Mincho"/>
          <w:i/>
          <w:w w:val="98"/>
        </w:rPr>
        <w:t xml:space="preserve"> </w:t>
      </w:r>
      <w:r w:rsidRPr="00AC72B5">
        <w:rPr>
          <w:w w:val="98"/>
        </w:rPr>
        <w:t>¶ 36</w:t>
      </w:r>
      <w:r w:rsidRPr="00AC72B5">
        <w:rPr>
          <w:rFonts w:eastAsia="MS Mincho"/>
          <w:w w:val="98"/>
        </w:rPr>
        <w:t xml:space="preserve">, Doc. ONU </w:t>
      </w:r>
      <w:r w:rsidRPr="00AC72B5">
        <w:rPr>
          <w:w w:val="98"/>
        </w:rPr>
        <w:t xml:space="preserve">CEDAW/C/SLB/CO/1-3 (2014); </w:t>
      </w:r>
      <w:r w:rsidRPr="00AC72B5">
        <w:rPr>
          <w:rFonts w:eastAsia="MS Mincho"/>
          <w:i/>
          <w:w w:val="98"/>
        </w:rPr>
        <w:t>Hungría</w:t>
      </w:r>
      <w:r w:rsidRPr="00AC72B5">
        <w:rPr>
          <w:rFonts w:eastAsia="MS Mincho"/>
          <w:w w:val="98"/>
        </w:rPr>
        <w:t>,</w:t>
      </w:r>
      <w:r w:rsidRPr="00AC72B5">
        <w:rPr>
          <w:rFonts w:eastAsia="MS Mincho"/>
          <w:i/>
          <w:w w:val="98"/>
        </w:rPr>
        <w:t xml:space="preserve"> </w:t>
      </w:r>
      <w:r w:rsidRPr="00AC72B5">
        <w:rPr>
          <w:w w:val="98"/>
        </w:rPr>
        <w:t>¶ 30</w:t>
      </w:r>
      <w:r w:rsidRPr="00AC72B5">
        <w:rPr>
          <w:rFonts w:eastAsia="MS Mincho"/>
          <w:w w:val="98"/>
        </w:rPr>
        <w:t xml:space="preserve">, Doc. ONU </w:t>
      </w:r>
      <w:r w:rsidRPr="00AC72B5">
        <w:rPr>
          <w:w w:val="98"/>
        </w:rPr>
        <w:t>CEDAW/C/HUN/CO/7-8</w:t>
      </w:r>
      <w:r w:rsidRPr="00AC72B5">
        <w:rPr>
          <w:rFonts w:eastAsia="MS Mincho"/>
          <w:w w:val="98"/>
        </w:rPr>
        <w:t xml:space="preserve"> (2013); </w:t>
      </w:r>
      <w:r w:rsidRPr="00AC72B5">
        <w:rPr>
          <w:rFonts w:eastAsia="MS Mincho"/>
          <w:i/>
          <w:w w:val="98"/>
        </w:rPr>
        <w:t>República de Macedonia</w:t>
      </w:r>
      <w:r w:rsidRPr="00AC72B5">
        <w:rPr>
          <w:rFonts w:eastAsia="MS Mincho"/>
          <w:w w:val="98"/>
        </w:rPr>
        <w:t xml:space="preserve">, </w:t>
      </w:r>
      <w:r w:rsidRPr="00AC72B5">
        <w:rPr>
          <w:w w:val="98"/>
        </w:rPr>
        <w:t xml:space="preserve">¶ 33, </w:t>
      </w:r>
      <w:r w:rsidRPr="00AC72B5">
        <w:rPr>
          <w:rFonts w:eastAsia="MS Mincho"/>
          <w:w w:val="98"/>
        </w:rPr>
        <w:t xml:space="preserve">Doc. ONU </w:t>
      </w:r>
      <w:r w:rsidRPr="00AC72B5">
        <w:rPr>
          <w:w w:val="98"/>
        </w:rPr>
        <w:t xml:space="preserve">CEDAW/C/MKD/CO/4-5 (2013); </w:t>
      </w:r>
      <w:r w:rsidRPr="00AC72B5">
        <w:rPr>
          <w:rFonts w:eastAsia="MS Mincho"/>
          <w:i/>
          <w:w w:val="98"/>
        </w:rPr>
        <w:t>Grecia</w:t>
      </w:r>
      <w:r w:rsidRPr="00AC72B5">
        <w:rPr>
          <w:rFonts w:eastAsia="MS Mincho"/>
          <w:w w:val="98"/>
        </w:rPr>
        <w:t>,</w:t>
      </w:r>
      <w:r w:rsidRPr="00AC72B5">
        <w:rPr>
          <w:rFonts w:eastAsia="MS Mincho"/>
          <w:i/>
          <w:w w:val="98"/>
        </w:rPr>
        <w:t xml:space="preserve"> </w:t>
      </w:r>
      <w:r w:rsidRPr="00AC72B5">
        <w:rPr>
          <w:w w:val="98"/>
        </w:rPr>
        <w:t>¶ 30</w:t>
      </w:r>
      <w:r w:rsidRPr="00AC72B5">
        <w:rPr>
          <w:rFonts w:eastAsia="MS Mincho"/>
          <w:w w:val="98"/>
        </w:rPr>
        <w:t xml:space="preserve">, Doc. ONU </w:t>
      </w:r>
      <w:r w:rsidRPr="00AC72B5">
        <w:rPr>
          <w:w w:val="98"/>
        </w:rPr>
        <w:t xml:space="preserve">CEDAW/C/GRC/CO/7 (2013); </w:t>
      </w:r>
      <w:r w:rsidRPr="00AC72B5">
        <w:rPr>
          <w:rFonts w:eastAsia="MS Mincho"/>
          <w:i/>
          <w:w w:val="98"/>
        </w:rPr>
        <w:t>Congo</w:t>
      </w:r>
      <w:r w:rsidRPr="00AC72B5">
        <w:rPr>
          <w:rFonts w:eastAsia="MS Mincho"/>
          <w:w w:val="98"/>
        </w:rPr>
        <w:t>,</w:t>
      </w:r>
      <w:r w:rsidRPr="00AC72B5">
        <w:rPr>
          <w:rFonts w:eastAsia="MS Mincho"/>
          <w:i/>
          <w:w w:val="98"/>
        </w:rPr>
        <w:t xml:space="preserve"> </w:t>
      </w:r>
      <w:r w:rsidRPr="00AC72B5">
        <w:rPr>
          <w:w w:val="98"/>
        </w:rPr>
        <w:t>¶ 35</w:t>
      </w:r>
      <w:r w:rsidRPr="00AC72B5">
        <w:rPr>
          <w:rFonts w:eastAsia="MS Mincho"/>
          <w:w w:val="98"/>
        </w:rPr>
        <w:t xml:space="preserve">, Doc. ONU </w:t>
      </w:r>
      <w:r w:rsidRPr="00AC72B5">
        <w:rPr>
          <w:w w:val="98"/>
        </w:rPr>
        <w:t xml:space="preserve">CEDAW/C/COG/CO/6 (2012); </w:t>
      </w:r>
      <w:r w:rsidRPr="00AC72B5">
        <w:rPr>
          <w:rFonts w:eastAsia="MS Mincho"/>
          <w:i/>
          <w:w w:val="98"/>
        </w:rPr>
        <w:t>Bielorrusia</w:t>
      </w:r>
      <w:r w:rsidRPr="00AC72B5">
        <w:rPr>
          <w:rFonts w:eastAsia="MS Mincho"/>
          <w:w w:val="98"/>
        </w:rPr>
        <w:t>,</w:t>
      </w:r>
      <w:r w:rsidRPr="00AC72B5">
        <w:rPr>
          <w:rFonts w:eastAsia="MS Mincho"/>
          <w:i/>
          <w:w w:val="98"/>
        </w:rPr>
        <w:t xml:space="preserve"> </w:t>
      </w:r>
      <w:r w:rsidRPr="00AC72B5">
        <w:rPr>
          <w:w w:val="98"/>
        </w:rPr>
        <w:t>¶ 35</w:t>
      </w:r>
      <w:r w:rsidRPr="00AC72B5">
        <w:rPr>
          <w:rFonts w:eastAsia="MS Mincho"/>
          <w:w w:val="98"/>
        </w:rPr>
        <w:t xml:space="preserve">, Doc. ONU </w:t>
      </w:r>
      <w:r w:rsidRPr="00AC72B5">
        <w:rPr>
          <w:w w:val="98"/>
        </w:rPr>
        <w:t xml:space="preserve">CEDAW/C/BLR/CO/7 (2011); </w:t>
      </w:r>
      <w:r w:rsidRPr="00AC72B5">
        <w:rPr>
          <w:i/>
          <w:w w:val="98"/>
        </w:rPr>
        <w:t>Montenegro</w:t>
      </w:r>
      <w:r w:rsidRPr="00AC72B5">
        <w:rPr>
          <w:w w:val="98"/>
        </w:rPr>
        <w:t xml:space="preserve">, ¶ 30, Doc. ONU CEDAW/C/MNE/CO/1 (2011); </w:t>
      </w:r>
      <w:r w:rsidRPr="00AC72B5">
        <w:rPr>
          <w:i/>
          <w:w w:val="98"/>
        </w:rPr>
        <w:t>Yibuti</w:t>
      </w:r>
      <w:r w:rsidRPr="00AC72B5">
        <w:rPr>
          <w:w w:val="98"/>
        </w:rPr>
        <w:t xml:space="preserve">, ¶ 30, Doc. ONU CEDAW/C/DJI/CO/1-3 (2011); </w:t>
      </w:r>
      <w:r w:rsidRPr="00AC72B5">
        <w:rPr>
          <w:i/>
          <w:w w:val="98"/>
        </w:rPr>
        <w:t>Omán</w:t>
      </w:r>
      <w:r w:rsidRPr="00AC72B5">
        <w:rPr>
          <w:w w:val="98"/>
        </w:rPr>
        <w:t xml:space="preserve">, ¶ 40, Doc. ONU CEDAW/C/OMN/CO/1 (2011); </w:t>
      </w:r>
      <w:r w:rsidRPr="00AC72B5">
        <w:rPr>
          <w:rFonts w:eastAsia="MS Mincho"/>
          <w:i/>
          <w:w w:val="98"/>
        </w:rPr>
        <w:t>Sri Lanka</w:t>
      </w:r>
      <w:r w:rsidRPr="00AC72B5">
        <w:rPr>
          <w:rFonts w:eastAsia="MS Mincho"/>
          <w:w w:val="98"/>
        </w:rPr>
        <w:t>,</w:t>
      </w:r>
      <w:r w:rsidRPr="00AC72B5">
        <w:rPr>
          <w:rFonts w:eastAsia="MS Mincho"/>
          <w:i/>
          <w:w w:val="98"/>
        </w:rPr>
        <w:t xml:space="preserve"> </w:t>
      </w:r>
      <w:r w:rsidRPr="00AC72B5">
        <w:rPr>
          <w:w w:val="98"/>
        </w:rPr>
        <w:t>¶ 36</w:t>
      </w:r>
      <w:r w:rsidRPr="00AC72B5">
        <w:rPr>
          <w:rFonts w:eastAsia="MS Mincho"/>
          <w:w w:val="98"/>
        </w:rPr>
        <w:t xml:space="preserve">, Doc. ONU </w:t>
      </w:r>
      <w:r w:rsidRPr="00AC72B5">
        <w:rPr>
          <w:w w:val="98"/>
        </w:rPr>
        <w:t xml:space="preserve">CEDAW/C/LKA/CO/7 (2011); </w:t>
      </w:r>
      <w:r w:rsidRPr="00AC72B5">
        <w:rPr>
          <w:rFonts w:eastAsia="MS Mincho"/>
          <w:i/>
          <w:w w:val="98"/>
        </w:rPr>
        <w:t>Federación de Rusia</w:t>
      </w:r>
      <w:r w:rsidRPr="00AC72B5">
        <w:rPr>
          <w:rFonts w:eastAsia="MS Mincho"/>
          <w:w w:val="98"/>
        </w:rPr>
        <w:t xml:space="preserve">, </w:t>
      </w:r>
      <w:r w:rsidRPr="00AC72B5">
        <w:rPr>
          <w:w w:val="98"/>
        </w:rPr>
        <w:t xml:space="preserve">¶ 38, </w:t>
      </w:r>
      <w:r w:rsidRPr="00AC72B5">
        <w:rPr>
          <w:rFonts w:eastAsia="MS Mincho"/>
          <w:w w:val="98"/>
        </w:rPr>
        <w:t xml:space="preserve">Doc. ONU </w:t>
      </w:r>
      <w:r w:rsidRPr="00AC72B5">
        <w:rPr>
          <w:w w:val="98"/>
        </w:rPr>
        <w:t xml:space="preserve">CEDAW/C/USR/CO/7 (2010); </w:t>
      </w:r>
      <w:r w:rsidRPr="00AC72B5">
        <w:rPr>
          <w:i/>
          <w:w w:val="98"/>
        </w:rPr>
        <w:t>Tuvalu</w:t>
      </w:r>
      <w:r w:rsidRPr="00AC72B5">
        <w:rPr>
          <w:w w:val="98"/>
        </w:rPr>
        <w:t xml:space="preserve">, ¶ 43, Doc. ONU CEDAW/C/TUV/CO/2 (2009); </w:t>
      </w:r>
      <w:r w:rsidRPr="00AC72B5">
        <w:rPr>
          <w:rFonts w:eastAsia="MS Mincho"/>
          <w:i/>
          <w:w w:val="98"/>
        </w:rPr>
        <w:t>República de Macedonia</w:t>
      </w:r>
      <w:r w:rsidRPr="00AC72B5">
        <w:rPr>
          <w:rFonts w:eastAsia="MS Mincho"/>
          <w:w w:val="98"/>
        </w:rPr>
        <w:t xml:space="preserve">, </w:t>
      </w:r>
      <w:r w:rsidRPr="00AC72B5">
        <w:rPr>
          <w:w w:val="98"/>
        </w:rPr>
        <w:t>¶</w:t>
      </w:r>
      <w:r w:rsidRPr="00AC72B5">
        <w:rPr>
          <w:rFonts w:eastAsia="MS Mincho"/>
          <w:w w:val="98"/>
        </w:rPr>
        <w:t xml:space="preserve"> </w:t>
      </w:r>
      <w:r w:rsidRPr="00AC72B5">
        <w:rPr>
          <w:w w:val="98"/>
        </w:rPr>
        <w:t>31</w:t>
      </w:r>
      <w:r w:rsidRPr="00AC72B5">
        <w:rPr>
          <w:rFonts w:eastAsia="MS Mincho"/>
          <w:w w:val="98"/>
        </w:rPr>
        <w:t xml:space="preserve">, Doc. ONU CEDAW/C/MKD/CO/3 (2006); </w:t>
      </w:r>
      <w:r w:rsidRPr="00AC72B5">
        <w:rPr>
          <w:i/>
          <w:w w:val="98"/>
        </w:rPr>
        <w:t>Filipinas</w:t>
      </w:r>
      <w:r w:rsidRPr="00AC72B5">
        <w:rPr>
          <w:w w:val="98"/>
        </w:rPr>
        <w:t>, ¶ 27, Doc. ONU CEDAW/C/PHI/CO/6 (2006).</w:t>
      </w:r>
    </w:p>
  </w:endnote>
  <w:endnote w:id="656">
    <w:p w14:paraId="6709AC0D" w14:textId="71C5D42A" w:rsidR="005E3DDD" w:rsidRPr="00AC72B5" w:rsidRDefault="005E3DDD" w:rsidP="00AC72B5">
      <w:pPr>
        <w:pStyle w:val="EndnoteText"/>
        <w:rPr>
          <w:w w:val="98"/>
          <w:lang w:val="es-CO"/>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Nepal</w:t>
      </w:r>
      <w:r w:rsidRPr="00AC72B5">
        <w:rPr>
          <w:w w:val="98"/>
        </w:rPr>
        <w:t xml:space="preserve">, ¶ 31, Doc. </w:t>
      </w:r>
      <w:r w:rsidRPr="00AC72B5">
        <w:rPr>
          <w:w w:val="98"/>
          <w:lang w:val="es-CO"/>
        </w:rPr>
        <w:t>ONU CEDAW/C/NPL/CO/4-5 (2011).</w:t>
      </w:r>
    </w:p>
  </w:endnote>
  <w:endnote w:id="657">
    <w:p w14:paraId="791A4F74" w14:textId="7C30F61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Myanmar</w:t>
      </w:r>
      <w:r w:rsidRPr="00AC72B5">
        <w:rPr>
          <w:w w:val="98"/>
        </w:rPr>
        <w:t xml:space="preserve">, ¶ 38, Doc. ONU </w:t>
      </w:r>
      <w:r w:rsidRPr="00AC72B5">
        <w:rPr>
          <w:rFonts w:eastAsia="MS Mincho"/>
          <w:w w:val="98"/>
        </w:rPr>
        <w:t xml:space="preserve">CEDAW/C/MMR/CO/4-5 (2016); </w:t>
      </w:r>
      <w:r w:rsidRPr="00AC72B5">
        <w:rPr>
          <w:i/>
          <w:w w:val="98"/>
        </w:rPr>
        <w:t>Croacia</w:t>
      </w:r>
      <w:r w:rsidRPr="00AC72B5">
        <w:rPr>
          <w:w w:val="98"/>
        </w:rPr>
        <w:t xml:space="preserve">, ¶ 30, Doc. ONU CEDAW/C/HRV/CO/4-5 (2015); </w:t>
      </w:r>
      <w:r w:rsidRPr="00AC72B5">
        <w:rPr>
          <w:rFonts w:eastAsia="MS Mincho"/>
          <w:i/>
          <w:w w:val="98"/>
        </w:rPr>
        <w:t>Malawi</w:t>
      </w:r>
      <w:r w:rsidRPr="00AC72B5">
        <w:rPr>
          <w:rFonts w:eastAsia="MS Mincho"/>
          <w:w w:val="98"/>
        </w:rPr>
        <w:t xml:space="preserve">, </w:t>
      </w:r>
      <w:r w:rsidRPr="00AC72B5">
        <w:rPr>
          <w:w w:val="98"/>
        </w:rPr>
        <w:t>¶ 34</w:t>
      </w:r>
      <w:r w:rsidRPr="00AC72B5">
        <w:rPr>
          <w:rFonts w:eastAsia="MS Mincho"/>
          <w:w w:val="98"/>
        </w:rPr>
        <w:t xml:space="preserve">, Doc. ONU CEDAW/C/MWI/CO/7 (2015); </w:t>
      </w:r>
      <w:r w:rsidRPr="00AC72B5">
        <w:rPr>
          <w:i/>
          <w:w w:val="98"/>
        </w:rPr>
        <w:t>Ecuador</w:t>
      </w:r>
      <w:r w:rsidRPr="00AC72B5">
        <w:rPr>
          <w:w w:val="98"/>
        </w:rPr>
        <w:t>, ¶ 32, Doc. ONU CEDAW/C/ECU/CO/8-9 (2015);</w:t>
      </w:r>
      <w:r w:rsidRPr="00AC72B5">
        <w:rPr>
          <w:rFonts w:eastAsia="MS Mincho"/>
          <w:i/>
          <w:w w:val="98"/>
        </w:rPr>
        <w:t xml:space="preserve"> India</w:t>
      </w:r>
      <w:r w:rsidRPr="00AC72B5">
        <w:rPr>
          <w:rFonts w:eastAsia="MS Mincho"/>
          <w:w w:val="98"/>
        </w:rPr>
        <w:t>,</w:t>
      </w:r>
      <w:r w:rsidRPr="00AC72B5">
        <w:rPr>
          <w:rFonts w:eastAsia="MS Mincho"/>
          <w:i/>
          <w:w w:val="98"/>
        </w:rPr>
        <w:t xml:space="preserve"> </w:t>
      </w:r>
      <w:r w:rsidRPr="00AC72B5">
        <w:rPr>
          <w:w w:val="98"/>
        </w:rPr>
        <w:t>¶</w:t>
      </w:r>
      <w:r w:rsidRPr="00AC72B5">
        <w:rPr>
          <w:rFonts w:eastAsia="MS Mincho"/>
          <w:w w:val="98"/>
        </w:rPr>
        <w:t xml:space="preserve"> </w:t>
      </w:r>
      <w:r w:rsidRPr="00AC72B5">
        <w:rPr>
          <w:w w:val="98"/>
        </w:rPr>
        <w:t>30</w:t>
      </w:r>
      <w:r w:rsidRPr="00AC72B5">
        <w:rPr>
          <w:rFonts w:eastAsia="MS Mincho"/>
          <w:w w:val="98"/>
        </w:rPr>
        <w:t xml:space="preserve">, Doc. ONU CEDAW/C/IND/CO/4-5 (2014); </w:t>
      </w:r>
      <w:r w:rsidRPr="00AC72B5">
        <w:rPr>
          <w:rFonts w:eastAsia="MS Mincho"/>
          <w:i/>
          <w:w w:val="98"/>
        </w:rPr>
        <w:t>República Dominicana</w:t>
      </w:r>
      <w:r w:rsidRPr="00AC72B5">
        <w:rPr>
          <w:rFonts w:eastAsia="MS Mincho"/>
          <w:w w:val="98"/>
        </w:rPr>
        <w:t xml:space="preserve">, </w:t>
      </w:r>
      <w:r w:rsidRPr="00AC72B5">
        <w:rPr>
          <w:w w:val="98"/>
        </w:rPr>
        <w:t xml:space="preserve">¶ 36, </w:t>
      </w:r>
      <w:r w:rsidRPr="00AC72B5">
        <w:rPr>
          <w:rFonts w:eastAsia="MS Mincho"/>
          <w:w w:val="98"/>
        </w:rPr>
        <w:t xml:space="preserve">Doc. ONU </w:t>
      </w:r>
      <w:r w:rsidRPr="00AC72B5">
        <w:rPr>
          <w:w w:val="98"/>
        </w:rPr>
        <w:t xml:space="preserve">CEDAW/C/DOM/CO/6-7 (2014); </w:t>
      </w:r>
      <w:r w:rsidRPr="00AC72B5">
        <w:rPr>
          <w:i/>
          <w:w w:val="98"/>
        </w:rPr>
        <w:t>Chipre</w:t>
      </w:r>
      <w:r w:rsidRPr="00AC72B5">
        <w:rPr>
          <w:w w:val="98"/>
        </w:rPr>
        <w:t xml:space="preserve">, ¶ 29, Doc. ONU CEDAW/C/CYP/CO/6-7 (2013); </w:t>
      </w:r>
      <w:r w:rsidRPr="00AC72B5">
        <w:rPr>
          <w:i/>
          <w:w w:val="98"/>
        </w:rPr>
        <w:t>Chile</w:t>
      </w:r>
      <w:r w:rsidRPr="00AC72B5">
        <w:rPr>
          <w:w w:val="98"/>
        </w:rPr>
        <w:t xml:space="preserve">, ¶ 34, Doc. ONU CEDAW/C/CHL/CO/5-6 (2012); </w:t>
      </w:r>
      <w:r w:rsidRPr="00AC72B5">
        <w:rPr>
          <w:rFonts w:eastAsia="MS Mincho"/>
          <w:i/>
          <w:w w:val="98"/>
        </w:rPr>
        <w:t>Indonesia</w:t>
      </w:r>
      <w:r w:rsidRPr="00AC72B5">
        <w:rPr>
          <w:rFonts w:eastAsia="MS Mincho"/>
          <w:w w:val="98"/>
        </w:rPr>
        <w:t xml:space="preserve">, </w:t>
      </w:r>
      <w:r w:rsidRPr="00AC72B5">
        <w:rPr>
          <w:w w:val="98"/>
        </w:rPr>
        <w:t>¶ 36</w:t>
      </w:r>
      <w:r w:rsidRPr="00AC72B5">
        <w:rPr>
          <w:rFonts w:eastAsia="MS Mincho"/>
          <w:w w:val="98"/>
        </w:rPr>
        <w:t xml:space="preserve">, Doc. ONU </w:t>
      </w:r>
      <w:r w:rsidRPr="00AC72B5">
        <w:rPr>
          <w:w w:val="98"/>
        </w:rPr>
        <w:t xml:space="preserve">CEDAW/C/IDN/CO/5 (2007); </w:t>
      </w:r>
      <w:r w:rsidRPr="00AC72B5">
        <w:rPr>
          <w:i/>
          <w:w w:val="98"/>
        </w:rPr>
        <w:t>Filipinas</w:t>
      </w:r>
      <w:r w:rsidRPr="00AC72B5">
        <w:rPr>
          <w:w w:val="98"/>
        </w:rPr>
        <w:t>, ¶ 27, Doc. ONU CEDAW/C/PHI/CO/6 (2006).</w:t>
      </w:r>
    </w:p>
  </w:endnote>
  <w:endnote w:id="658">
    <w:p w14:paraId="01670217" w14:textId="0520ACA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República Unida de Tanzania</w:t>
      </w:r>
      <w:r w:rsidRPr="00AC72B5">
        <w:rPr>
          <w:w w:val="98"/>
        </w:rPr>
        <w:t xml:space="preserve">, ¶ 34, Doc. ONU CEDAW/C/TZA/CO/7-8 (2016); </w:t>
      </w:r>
      <w:r w:rsidRPr="00AC72B5">
        <w:rPr>
          <w:i/>
          <w:w w:val="98"/>
        </w:rPr>
        <w:t>Federación de Rusia</w:t>
      </w:r>
      <w:r w:rsidRPr="00AC72B5">
        <w:rPr>
          <w:w w:val="98"/>
        </w:rPr>
        <w:t xml:space="preserve">, ¶ 35, Doc. ONU CEDAW/C/RUS/CO/8 (2015); </w:t>
      </w:r>
      <w:r w:rsidRPr="00AC72B5">
        <w:rPr>
          <w:i/>
          <w:w w:val="98"/>
        </w:rPr>
        <w:t>Lituania</w:t>
      </w:r>
      <w:r w:rsidRPr="00AC72B5">
        <w:rPr>
          <w:w w:val="98"/>
        </w:rPr>
        <w:t>, ¶ 24, Doc. ONU CEDAW/C/LTU/CO/4 (2008).</w:t>
      </w:r>
    </w:p>
  </w:endnote>
  <w:endnote w:id="659">
    <w:p w14:paraId="67C7E406" w14:textId="74878F5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Kazajistán</w:t>
      </w:r>
      <w:r w:rsidRPr="00AC72B5">
        <w:rPr>
          <w:w w:val="98"/>
        </w:rPr>
        <w:t>, ¶ 25, Doc. ONU CEDAW/C/KAZ/CO/2 (2007).</w:t>
      </w:r>
    </w:p>
  </w:endnote>
  <w:endnote w:id="660">
    <w:p w14:paraId="7A83B8CE" w14:textId="333CA09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Uzbekistán</w:t>
      </w:r>
      <w:r w:rsidRPr="00AC72B5">
        <w:rPr>
          <w:w w:val="98"/>
        </w:rPr>
        <w:t>, ¶ 27, Doc. ONU</w:t>
      </w:r>
      <w:r w:rsidRPr="00AC72B5">
        <w:rPr>
          <w:i/>
          <w:w w:val="98"/>
        </w:rPr>
        <w:t xml:space="preserve"> </w:t>
      </w:r>
      <w:r w:rsidRPr="00AC72B5">
        <w:rPr>
          <w:rFonts w:eastAsia="MS Mincho"/>
          <w:w w:val="98"/>
        </w:rPr>
        <w:t xml:space="preserve">CEDAW/C/UZB/CO/5 (2015); </w:t>
      </w:r>
      <w:r w:rsidRPr="00AC72B5">
        <w:rPr>
          <w:rFonts w:eastAsia="MS Mincho"/>
          <w:i/>
          <w:w w:val="98"/>
        </w:rPr>
        <w:t>República Dominicana</w:t>
      </w:r>
      <w:r w:rsidRPr="00AC72B5">
        <w:rPr>
          <w:rFonts w:eastAsia="MS Mincho"/>
          <w:w w:val="98"/>
        </w:rPr>
        <w:t xml:space="preserve">, </w:t>
      </w:r>
      <w:r w:rsidRPr="00AC72B5">
        <w:rPr>
          <w:w w:val="98"/>
        </w:rPr>
        <w:t xml:space="preserve">¶ 36, </w:t>
      </w:r>
      <w:r w:rsidRPr="00AC72B5">
        <w:rPr>
          <w:rFonts w:eastAsia="MS Mincho"/>
          <w:w w:val="98"/>
        </w:rPr>
        <w:t xml:space="preserve">Doc. ONU </w:t>
      </w:r>
      <w:r w:rsidRPr="00AC72B5">
        <w:rPr>
          <w:w w:val="98"/>
        </w:rPr>
        <w:t>CEDAW/C/DOM/CO/6-7 (2014).</w:t>
      </w:r>
    </w:p>
  </w:endnote>
  <w:endnote w:id="661">
    <w:p w14:paraId="2A55C174" w14:textId="2E704A0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Kazajistán</w:t>
      </w:r>
      <w:r w:rsidRPr="00AC72B5">
        <w:rPr>
          <w:w w:val="98"/>
        </w:rPr>
        <w:t>, ¶ 25, Doc. ONU CEDAW/C/KAZ/CO/2 (2007).</w:t>
      </w:r>
    </w:p>
  </w:endnote>
  <w:endnote w:id="662">
    <w:p w14:paraId="36EB5A7B" w14:textId="33FF763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Uzbekistán</w:t>
      </w:r>
      <w:r w:rsidRPr="00AC72B5">
        <w:rPr>
          <w:w w:val="98"/>
        </w:rPr>
        <w:t>, ¶ 27, Doc. ONU</w:t>
      </w:r>
      <w:r w:rsidRPr="00AC72B5">
        <w:rPr>
          <w:i/>
          <w:w w:val="98"/>
        </w:rPr>
        <w:t xml:space="preserve"> </w:t>
      </w:r>
      <w:r w:rsidRPr="00AC72B5">
        <w:rPr>
          <w:rFonts w:eastAsia="MS Mincho"/>
          <w:w w:val="98"/>
        </w:rPr>
        <w:t>CEDAW/C/UZB/CO/5 (2015).</w:t>
      </w:r>
    </w:p>
  </w:endnote>
  <w:endnote w:id="663">
    <w:p w14:paraId="7DFAE444" w14:textId="30423D4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Afganistán</w:t>
      </w:r>
      <w:r w:rsidRPr="00AC72B5">
        <w:rPr>
          <w:rFonts w:eastAsia="MS Mincho"/>
          <w:w w:val="98"/>
        </w:rPr>
        <w:t xml:space="preserve">, </w:t>
      </w:r>
      <w:r w:rsidRPr="00AC72B5">
        <w:rPr>
          <w:w w:val="98"/>
        </w:rPr>
        <w:t>¶ 36</w:t>
      </w:r>
      <w:r w:rsidRPr="00AC72B5">
        <w:rPr>
          <w:rFonts w:eastAsia="MS Mincho"/>
          <w:w w:val="98"/>
        </w:rPr>
        <w:t xml:space="preserve">, Doc. ONU </w:t>
      </w:r>
      <w:r w:rsidRPr="00AC72B5">
        <w:rPr>
          <w:w w:val="98"/>
        </w:rPr>
        <w:t xml:space="preserve">CEDAW/C/AFG/CO/1-2 (2013); </w:t>
      </w:r>
      <w:r w:rsidRPr="00AC72B5">
        <w:rPr>
          <w:i/>
          <w:w w:val="98"/>
        </w:rPr>
        <w:t>Indonesia</w:t>
      </w:r>
      <w:r w:rsidRPr="00AC72B5">
        <w:rPr>
          <w:w w:val="98"/>
        </w:rPr>
        <w:t>, ¶ 41, Doc. ONU CEDAW/C/IDN/CO/6-7 (2012).</w:t>
      </w:r>
    </w:p>
  </w:endnote>
  <w:endnote w:id="664">
    <w:p w14:paraId="1D13FEC4" w14:textId="275C0E4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Filipinas</w:t>
      </w:r>
      <w:r w:rsidRPr="00AC72B5">
        <w:rPr>
          <w:w w:val="98"/>
        </w:rPr>
        <w:t>, ¶ 39, Doc. ONU CEDAW/C/PHL/CO/7-8 (2016).</w:t>
      </w:r>
    </w:p>
  </w:endnote>
  <w:endnote w:id="665">
    <w:p w14:paraId="232154A3" w14:textId="5D5385C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Liechtenstein</w:t>
      </w:r>
      <w:r w:rsidRPr="00AC72B5">
        <w:rPr>
          <w:w w:val="98"/>
        </w:rPr>
        <w:t>, ¶ 38, Doc. ONU CEDAW/C/LIE/CO/4 (2011).</w:t>
      </w:r>
    </w:p>
  </w:endnote>
  <w:endnote w:id="666">
    <w:p w14:paraId="50B8A3DE" w14:textId="5220461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Croacia</w:t>
      </w:r>
      <w:r w:rsidRPr="00AC72B5">
        <w:rPr>
          <w:w w:val="98"/>
        </w:rPr>
        <w:t>, ¶ 30, Doc. ONU CEDAW/C/HRV/CO/4-5 (2015).</w:t>
      </w:r>
    </w:p>
  </w:endnote>
  <w:endnote w:id="667">
    <w:p w14:paraId="56734D65" w14:textId="75CA4ED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Ecuador</w:t>
      </w:r>
      <w:r w:rsidRPr="00AC72B5">
        <w:rPr>
          <w:w w:val="98"/>
        </w:rPr>
        <w:t>, ¶ 32, Doc. ONU CEDAW/C/ECU/CO/8-9 (2015).</w:t>
      </w:r>
    </w:p>
  </w:endnote>
  <w:endnote w:id="668">
    <w:p w14:paraId="206CFC0D" w14:textId="23E81FD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República Unida de Tanzanía</w:t>
      </w:r>
      <w:r w:rsidRPr="00AC72B5">
        <w:rPr>
          <w:w w:val="98"/>
        </w:rPr>
        <w:t xml:space="preserve">, ¶ 35, Doc. ONU CEDAW/C/TZA/CO/7-8 (2016); </w:t>
      </w:r>
      <w:r w:rsidRPr="00AC72B5">
        <w:rPr>
          <w:i/>
          <w:w w:val="98"/>
        </w:rPr>
        <w:t>Federación de Rusia</w:t>
      </w:r>
      <w:r w:rsidRPr="00AC72B5">
        <w:rPr>
          <w:w w:val="98"/>
        </w:rPr>
        <w:t xml:space="preserve">, ¶ 36, Doc. ONU CEDAW/C/RUS/CO/8 (2015); </w:t>
      </w:r>
      <w:r w:rsidRPr="00AC72B5">
        <w:rPr>
          <w:i/>
          <w:w w:val="98"/>
        </w:rPr>
        <w:t>Malawi</w:t>
      </w:r>
      <w:r w:rsidRPr="00AC72B5">
        <w:rPr>
          <w:w w:val="98"/>
        </w:rPr>
        <w:t xml:space="preserve">, ¶ 35, Doc. ONU CEDAW/C/MWI/CO/7 (2015); </w:t>
      </w:r>
      <w:r w:rsidRPr="00AC72B5">
        <w:rPr>
          <w:i/>
          <w:w w:val="98"/>
        </w:rPr>
        <w:t>Croacia</w:t>
      </w:r>
      <w:r w:rsidRPr="00AC72B5">
        <w:rPr>
          <w:w w:val="98"/>
        </w:rPr>
        <w:t xml:space="preserve">, ¶ 31, Doc. ONU CEDAW/C/HRV/CO/4-5 (2015); </w:t>
      </w:r>
      <w:r w:rsidRPr="00AC72B5">
        <w:rPr>
          <w:i/>
          <w:w w:val="98"/>
        </w:rPr>
        <w:t>Irak</w:t>
      </w:r>
      <w:r w:rsidRPr="00AC72B5">
        <w:rPr>
          <w:w w:val="98"/>
        </w:rPr>
        <w:t xml:space="preserve">, ¶ 43, Doc. ONU CEDAW/C/IRQ/CO/4-6 (2014); </w:t>
      </w:r>
      <w:r w:rsidRPr="00AC72B5">
        <w:rPr>
          <w:i/>
          <w:w w:val="98"/>
        </w:rPr>
        <w:t>Chile</w:t>
      </w:r>
      <w:r w:rsidRPr="00AC72B5">
        <w:rPr>
          <w:w w:val="98"/>
        </w:rPr>
        <w:t xml:space="preserve">, ¶ 35, Doc. ONU CEDAW/C/CHL/CO/5-6 (2012); </w:t>
      </w:r>
      <w:r w:rsidRPr="00AC72B5">
        <w:rPr>
          <w:i/>
          <w:w w:val="98"/>
        </w:rPr>
        <w:t>Nepal</w:t>
      </w:r>
      <w:r w:rsidRPr="00AC72B5">
        <w:rPr>
          <w:w w:val="98"/>
        </w:rPr>
        <w:t xml:space="preserve">, ¶ 32, Doc. ONU CEDAW/C/NPL/CO/4-5 (2011); </w:t>
      </w:r>
      <w:r w:rsidRPr="00AC72B5">
        <w:rPr>
          <w:i/>
          <w:w w:val="98"/>
        </w:rPr>
        <w:t>Haití</w:t>
      </w:r>
      <w:r w:rsidRPr="00AC72B5">
        <w:rPr>
          <w:w w:val="98"/>
        </w:rPr>
        <w:t>, ¶ 37, Doc. ONU CEDAW/C/HTI/CO/7 (2009).</w:t>
      </w:r>
    </w:p>
  </w:endnote>
  <w:endnote w:id="669">
    <w:p w14:paraId="100E48D4" w14:textId="6F40164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Perú</w:t>
      </w:r>
      <w:r w:rsidRPr="00AC72B5">
        <w:rPr>
          <w:w w:val="98"/>
        </w:rPr>
        <w:t xml:space="preserve">, ¶ 36, Doc. ONU </w:t>
      </w:r>
      <w:r w:rsidRPr="00AC72B5">
        <w:rPr>
          <w:rFonts w:eastAsia="MS Mincho"/>
          <w:w w:val="98"/>
        </w:rPr>
        <w:t xml:space="preserve">CEDAW/C/PER/CO/7-8 (2014); </w:t>
      </w:r>
      <w:r w:rsidRPr="00AC72B5">
        <w:rPr>
          <w:i/>
          <w:w w:val="98"/>
        </w:rPr>
        <w:t>Nepal</w:t>
      </w:r>
      <w:r w:rsidRPr="00AC72B5">
        <w:rPr>
          <w:w w:val="98"/>
        </w:rPr>
        <w:t xml:space="preserve">, ¶ 32, Doc. ONU CEDAW/C/NPL/CO/4-5 (2011); </w:t>
      </w:r>
      <w:r w:rsidRPr="00AC72B5">
        <w:rPr>
          <w:i/>
          <w:w w:val="98"/>
        </w:rPr>
        <w:t>Uganda</w:t>
      </w:r>
      <w:r w:rsidRPr="00AC72B5">
        <w:rPr>
          <w:w w:val="98"/>
        </w:rPr>
        <w:t>, ¶ 35, Doc. ONU CEDAW/C/UGA/CO/7 (2010).</w:t>
      </w:r>
    </w:p>
  </w:endnote>
  <w:endnote w:id="670">
    <w:p w14:paraId="0F0CB925" w14:textId="2298CE4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Haití</w:t>
      </w:r>
      <w:r w:rsidRPr="00AC72B5">
        <w:rPr>
          <w:w w:val="98"/>
        </w:rPr>
        <w:t xml:space="preserve">, ¶ 34, Doc. ONU </w:t>
      </w:r>
      <w:r w:rsidRPr="00AC72B5">
        <w:rPr>
          <w:rFonts w:eastAsia="MS Mincho"/>
          <w:w w:val="98"/>
        </w:rPr>
        <w:t xml:space="preserve">CEDAW/C/HTI/CO/8-9 (2016); </w:t>
      </w:r>
      <w:r w:rsidRPr="00AC72B5">
        <w:rPr>
          <w:i/>
          <w:w w:val="98"/>
        </w:rPr>
        <w:t>Uruguay</w:t>
      </w:r>
      <w:r w:rsidRPr="00AC72B5">
        <w:rPr>
          <w:w w:val="98"/>
        </w:rPr>
        <w:t xml:space="preserve">, ¶ 36, Doc. ONU </w:t>
      </w:r>
      <w:r w:rsidRPr="00AC72B5">
        <w:rPr>
          <w:rFonts w:eastAsia="MS Mincho"/>
          <w:w w:val="98"/>
        </w:rPr>
        <w:t xml:space="preserve">CEDAW/C/URY/CO/8-9 (2016); </w:t>
      </w:r>
      <w:r w:rsidRPr="00AC72B5">
        <w:rPr>
          <w:i/>
          <w:w w:val="98"/>
        </w:rPr>
        <w:t>Vietnam</w:t>
      </w:r>
      <w:r w:rsidRPr="00AC72B5">
        <w:rPr>
          <w:w w:val="98"/>
        </w:rPr>
        <w:t xml:space="preserve">, ¶ 33, Doc. ONU CEDAW/C/VNM/CO/7-8 (2015); </w:t>
      </w:r>
      <w:r w:rsidRPr="00AC72B5">
        <w:rPr>
          <w:rFonts w:eastAsia="MS Mincho"/>
          <w:i/>
          <w:w w:val="98"/>
        </w:rPr>
        <w:t>Gabón</w:t>
      </w:r>
      <w:r w:rsidRPr="00AC72B5">
        <w:rPr>
          <w:rFonts w:eastAsia="MS Mincho"/>
          <w:w w:val="98"/>
        </w:rPr>
        <w:t xml:space="preserve">, </w:t>
      </w:r>
      <w:r w:rsidRPr="00AC72B5">
        <w:rPr>
          <w:w w:val="98"/>
        </w:rPr>
        <w:t>¶ 35</w:t>
      </w:r>
      <w:r w:rsidRPr="00AC72B5">
        <w:rPr>
          <w:rFonts w:eastAsia="MS Mincho"/>
          <w:w w:val="98"/>
        </w:rPr>
        <w:t xml:space="preserve">, Doc. ONU </w:t>
      </w:r>
      <w:r w:rsidRPr="00AC72B5">
        <w:rPr>
          <w:w w:val="98"/>
        </w:rPr>
        <w:t xml:space="preserve">CEDAW/C/GAB/CO/6 (2015); </w:t>
      </w:r>
      <w:r w:rsidRPr="00AC72B5">
        <w:rPr>
          <w:rFonts w:eastAsia="MS Mincho"/>
          <w:i/>
          <w:w w:val="98"/>
        </w:rPr>
        <w:t>Liberia</w:t>
      </w:r>
      <w:r w:rsidRPr="00AC72B5">
        <w:rPr>
          <w:rFonts w:eastAsia="MS Mincho"/>
          <w:w w:val="98"/>
        </w:rPr>
        <w:t>,</w:t>
      </w:r>
      <w:r w:rsidRPr="00AC72B5">
        <w:rPr>
          <w:rFonts w:eastAsia="MS Mincho"/>
          <w:i/>
          <w:w w:val="98"/>
        </w:rPr>
        <w:t xml:space="preserve"> </w:t>
      </w:r>
      <w:r w:rsidRPr="00AC72B5">
        <w:rPr>
          <w:w w:val="98"/>
        </w:rPr>
        <w:t>¶</w:t>
      </w:r>
      <w:r w:rsidRPr="00AC72B5">
        <w:rPr>
          <w:rFonts w:eastAsia="MS Mincho"/>
          <w:w w:val="98"/>
        </w:rPr>
        <w:t xml:space="preserve"> </w:t>
      </w:r>
      <w:r w:rsidRPr="00AC72B5">
        <w:rPr>
          <w:w w:val="98"/>
        </w:rPr>
        <w:t>40</w:t>
      </w:r>
      <w:r w:rsidRPr="00AC72B5">
        <w:rPr>
          <w:rFonts w:eastAsia="MS Mincho"/>
          <w:w w:val="98"/>
        </w:rPr>
        <w:t xml:space="preserve">, Doc. ONU CEDAW/C/LBR/CO/7-8 (2015); </w:t>
      </w:r>
      <w:r w:rsidRPr="00AC72B5">
        <w:rPr>
          <w:rFonts w:eastAsia="MS Mincho"/>
          <w:i/>
          <w:w w:val="98"/>
        </w:rPr>
        <w:t>Gambia</w:t>
      </w:r>
      <w:r w:rsidRPr="00AC72B5">
        <w:rPr>
          <w:rFonts w:eastAsia="MS Mincho"/>
          <w:w w:val="98"/>
        </w:rPr>
        <w:t xml:space="preserve">, </w:t>
      </w:r>
      <w:r w:rsidRPr="00AC72B5">
        <w:rPr>
          <w:w w:val="98"/>
        </w:rPr>
        <w:t xml:space="preserve">¶ 37, </w:t>
      </w:r>
      <w:r w:rsidRPr="00AC72B5">
        <w:rPr>
          <w:rFonts w:eastAsia="MS Mincho"/>
          <w:w w:val="98"/>
        </w:rPr>
        <w:t xml:space="preserve">Doc. </w:t>
      </w:r>
      <w:r w:rsidRPr="00AC72B5">
        <w:rPr>
          <w:rFonts w:eastAsia="MS Mincho"/>
          <w:w w:val="98"/>
          <w:lang w:val="es-CO"/>
        </w:rPr>
        <w:t xml:space="preserve">ONU </w:t>
      </w:r>
      <w:r w:rsidRPr="00AC72B5">
        <w:rPr>
          <w:w w:val="98"/>
          <w:lang w:val="es-CO"/>
        </w:rPr>
        <w:t xml:space="preserve">CEDAW/C/GMB/CO/4-5 (2015); </w:t>
      </w:r>
      <w:r w:rsidRPr="00AC72B5">
        <w:rPr>
          <w:rFonts w:eastAsia="MS Mincho"/>
          <w:i/>
          <w:w w:val="98"/>
          <w:lang w:val="es-CO"/>
        </w:rPr>
        <w:t>Bolivia</w:t>
      </w:r>
      <w:r w:rsidRPr="00AC72B5">
        <w:rPr>
          <w:rFonts w:eastAsia="MS Mincho"/>
          <w:w w:val="98"/>
          <w:lang w:val="es-CO"/>
        </w:rPr>
        <w:t xml:space="preserve">, </w:t>
      </w:r>
      <w:r w:rsidRPr="00AC72B5">
        <w:rPr>
          <w:w w:val="98"/>
          <w:lang w:val="es-CO"/>
        </w:rPr>
        <w:t xml:space="preserve">¶ 29, </w:t>
      </w:r>
      <w:r w:rsidRPr="00AC72B5">
        <w:rPr>
          <w:rFonts w:eastAsia="MS Mincho"/>
          <w:w w:val="98"/>
          <w:lang w:val="es-CO"/>
        </w:rPr>
        <w:t xml:space="preserve">Doc. ONU </w:t>
      </w:r>
      <w:r w:rsidRPr="00AC72B5">
        <w:rPr>
          <w:w w:val="98"/>
          <w:lang w:val="es-CO"/>
        </w:rPr>
        <w:t xml:space="preserve">CEDAW/C/BOL/CO/5-6 (2015); </w:t>
      </w:r>
      <w:r w:rsidRPr="00AC72B5">
        <w:rPr>
          <w:i/>
          <w:w w:val="98"/>
          <w:lang w:val="es-CO"/>
        </w:rPr>
        <w:t>Ecuador</w:t>
      </w:r>
      <w:r w:rsidRPr="00AC72B5">
        <w:rPr>
          <w:w w:val="98"/>
          <w:lang w:val="es-CO"/>
        </w:rPr>
        <w:t xml:space="preserve">, ¶ 33, Doc. </w:t>
      </w:r>
      <w:r w:rsidRPr="00AC72B5">
        <w:rPr>
          <w:w w:val="98"/>
        </w:rPr>
        <w:t xml:space="preserve">ONU CEDAW/C/ECU/CO/8-9 (2015); </w:t>
      </w:r>
      <w:r w:rsidRPr="00AC72B5">
        <w:rPr>
          <w:rFonts w:eastAsia="MS Mincho"/>
          <w:i/>
          <w:w w:val="98"/>
        </w:rPr>
        <w:t>Georgia</w:t>
      </w:r>
      <w:r w:rsidRPr="00AC72B5">
        <w:rPr>
          <w:rFonts w:eastAsia="MS Mincho"/>
          <w:w w:val="98"/>
        </w:rPr>
        <w:t>,</w:t>
      </w:r>
      <w:r w:rsidRPr="00AC72B5">
        <w:rPr>
          <w:rFonts w:eastAsia="MS Mincho"/>
          <w:i/>
          <w:w w:val="98"/>
        </w:rPr>
        <w:t xml:space="preserve"> </w:t>
      </w:r>
      <w:r w:rsidRPr="00AC72B5">
        <w:rPr>
          <w:w w:val="98"/>
        </w:rPr>
        <w:t>¶</w:t>
      </w:r>
      <w:r w:rsidRPr="00AC72B5">
        <w:rPr>
          <w:rFonts w:eastAsia="MS Mincho"/>
          <w:w w:val="98"/>
        </w:rPr>
        <w:t xml:space="preserve"> </w:t>
      </w:r>
      <w:r w:rsidRPr="00AC72B5">
        <w:rPr>
          <w:w w:val="98"/>
        </w:rPr>
        <w:t>31</w:t>
      </w:r>
      <w:r w:rsidRPr="00AC72B5">
        <w:rPr>
          <w:rFonts w:eastAsia="MS Mincho"/>
          <w:w w:val="98"/>
        </w:rPr>
        <w:t xml:space="preserve">, Doc. ONU CEDAW/C/GEO/CO/4-5 (2014); </w:t>
      </w:r>
      <w:r w:rsidRPr="00AC72B5">
        <w:rPr>
          <w:i/>
          <w:w w:val="98"/>
        </w:rPr>
        <w:t>Irak</w:t>
      </w:r>
      <w:r w:rsidRPr="00AC72B5">
        <w:rPr>
          <w:w w:val="98"/>
        </w:rPr>
        <w:t xml:space="preserve">, ¶ 43, Doc. ONU CEDAW/C/IRQ/CO/4-6 (2014); </w:t>
      </w:r>
      <w:r w:rsidRPr="00AC72B5">
        <w:rPr>
          <w:i/>
          <w:w w:val="98"/>
        </w:rPr>
        <w:t>Lituania</w:t>
      </w:r>
      <w:r w:rsidRPr="00AC72B5">
        <w:rPr>
          <w:w w:val="98"/>
        </w:rPr>
        <w:t xml:space="preserve">, ¶ 37, Doc. ONU </w:t>
      </w:r>
      <w:r w:rsidRPr="00AC72B5">
        <w:rPr>
          <w:rFonts w:eastAsia="MS Mincho"/>
          <w:w w:val="98"/>
        </w:rPr>
        <w:t xml:space="preserve">CEDAW/C/LTU/CO/5 (2014); </w:t>
      </w:r>
      <w:r w:rsidRPr="00AC72B5">
        <w:rPr>
          <w:rFonts w:eastAsia="MS Mincho"/>
          <w:i/>
          <w:w w:val="98"/>
        </w:rPr>
        <w:t>República de Macedonia</w:t>
      </w:r>
      <w:r w:rsidRPr="00AC72B5">
        <w:rPr>
          <w:rFonts w:eastAsia="MS Mincho"/>
          <w:w w:val="98"/>
        </w:rPr>
        <w:t xml:space="preserve">, </w:t>
      </w:r>
      <w:r w:rsidRPr="00AC72B5">
        <w:rPr>
          <w:w w:val="98"/>
        </w:rPr>
        <w:t xml:space="preserve">¶ 34, </w:t>
      </w:r>
      <w:r w:rsidRPr="00AC72B5">
        <w:rPr>
          <w:rFonts w:eastAsia="MS Mincho"/>
          <w:w w:val="98"/>
        </w:rPr>
        <w:t xml:space="preserve">Doc. ONU </w:t>
      </w:r>
      <w:r w:rsidRPr="00AC72B5">
        <w:rPr>
          <w:w w:val="98"/>
        </w:rPr>
        <w:t xml:space="preserve">CEDAW/C/MKD/CO/4-5 (2013); </w:t>
      </w:r>
      <w:r w:rsidRPr="00AC72B5">
        <w:rPr>
          <w:rFonts w:eastAsia="MS Mincho"/>
          <w:i/>
          <w:w w:val="98"/>
        </w:rPr>
        <w:t>Hungría</w:t>
      </w:r>
      <w:r w:rsidRPr="00AC72B5">
        <w:rPr>
          <w:rFonts w:eastAsia="MS Mincho"/>
          <w:w w:val="98"/>
        </w:rPr>
        <w:t xml:space="preserve">, </w:t>
      </w:r>
      <w:r w:rsidRPr="00AC72B5">
        <w:rPr>
          <w:w w:val="98"/>
        </w:rPr>
        <w:t xml:space="preserve">¶ 31, </w:t>
      </w:r>
      <w:r w:rsidRPr="00AC72B5">
        <w:rPr>
          <w:rFonts w:eastAsia="MS Mincho"/>
          <w:w w:val="98"/>
        </w:rPr>
        <w:t xml:space="preserve">Doc. ONU </w:t>
      </w:r>
      <w:r w:rsidRPr="00AC72B5">
        <w:rPr>
          <w:w w:val="98"/>
        </w:rPr>
        <w:t>CEDAW/C/HUN/CO/7-8</w:t>
      </w:r>
      <w:r w:rsidRPr="00AC72B5">
        <w:rPr>
          <w:rFonts w:eastAsia="MS Mincho"/>
          <w:w w:val="98"/>
        </w:rPr>
        <w:t xml:space="preserve"> (2013); </w:t>
      </w:r>
      <w:r w:rsidRPr="00AC72B5">
        <w:rPr>
          <w:rFonts w:eastAsia="MS Mincho"/>
          <w:i/>
          <w:w w:val="98"/>
        </w:rPr>
        <w:t>Bulgaria</w:t>
      </w:r>
      <w:r w:rsidRPr="00AC72B5">
        <w:rPr>
          <w:rFonts w:eastAsia="MS Mincho"/>
          <w:w w:val="98"/>
        </w:rPr>
        <w:t xml:space="preserve">, </w:t>
      </w:r>
      <w:r w:rsidRPr="00AC72B5">
        <w:rPr>
          <w:w w:val="98"/>
        </w:rPr>
        <w:t>¶ 36</w:t>
      </w:r>
      <w:r w:rsidRPr="00AC72B5">
        <w:rPr>
          <w:rFonts w:eastAsia="MS Mincho"/>
          <w:w w:val="98"/>
        </w:rPr>
        <w:t xml:space="preserve">, Doc. ONU CEDAW/C/BGR/CO/4-7 (2012); </w:t>
      </w:r>
      <w:r w:rsidRPr="00AC72B5">
        <w:rPr>
          <w:i/>
          <w:w w:val="98"/>
        </w:rPr>
        <w:t>Paraguay</w:t>
      </w:r>
      <w:r w:rsidRPr="00AC72B5">
        <w:rPr>
          <w:w w:val="98"/>
        </w:rPr>
        <w:t xml:space="preserve">, ¶ 32, Doc. ONU CEDAW/C/PRY/CO/6 (2011); </w:t>
      </w:r>
      <w:r w:rsidRPr="00AC72B5">
        <w:rPr>
          <w:i/>
          <w:w w:val="98"/>
        </w:rPr>
        <w:t>Kenia</w:t>
      </w:r>
      <w:r w:rsidRPr="00AC72B5">
        <w:rPr>
          <w:w w:val="98"/>
        </w:rPr>
        <w:t>, ¶ 38, Doc. ONU CEDAW/C/KEN/CO/7 (2011);</w:t>
      </w:r>
      <w:r>
        <w:rPr>
          <w:w w:val="98"/>
        </w:rPr>
        <w:t xml:space="preserve"> </w:t>
      </w:r>
      <w:r w:rsidRPr="00AC72B5">
        <w:rPr>
          <w:rFonts w:eastAsia="MS Mincho"/>
          <w:i/>
          <w:w w:val="98"/>
        </w:rPr>
        <w:t>Federación de Rusia</w:t>
      </w:r>
      <w:r w:rsidRPr="00AC72B5">
        <w:rPr>
          <w:rFonts w:eastAsia="MS Mincho"/>
          <w:w w:val="98"/>
        </w:rPr>
        <w:t>,</w:t>
      </w:r>
      <w:r w:rsidRPr="00AC72B5">
        <w:rPr>
          <w:rFonts w:eastAsia="MS Mincho"/>
          <w:i/>
          <w:w w:val="98"/>
        </w:rPr>
        <w:t xml:space="preserve"> </w:t>
      </w:r>
      <w:r w:rsidRPr="00AC72B5">
        <w:rPr>
          <w:w w:val="98"/>
        </w:rPr>
        <w:t>¶ 39</w:t>
      </w:r>
      <w:r w:rsidRPr="00AC72B5">
        <w:rPr>
          <w:rFonts w:eastAsia="MS Mincho"/>
          <w:w w:val="98"/>
        </w:rPr>
        <w:t xml:space="preserve">, Doc. ONU </w:t>
      </w:r>
      <w:r w:rsidRPr="00AC72B5">
        <w:rPr>
          <w:w w:val="98"/>
        </w:rPr>
        <w:t xml:space="preserve">CEDAW/C/USR/CO/7 (2010); </w:t>
      </w:r>
      <w:r w:rsidRPr="00AC72B5">
        <w:rPr>
          <w:i/>
          <w:w w:val="98"/>
        </w:rPr>
        <w:t>Ucrania</w:t>
      </w:r>
      <w:r w:rsidRPr="00AC72B5">
        <w:rPr>
          <w:w w:val="98"/>
        </w:rPr>
        <w:t xml:space="preserve">, ¶ 39, Doc. ONU CEDAW/C/UKR/CO/7 (2010); </w:t>
      </w:r>
      <w:r w:rsidRPr="00AC72B5">
        <w:rPr>
          <w:i/>
          <w:w w:val="98"/>
        </w:rPr>
        <w:t>Egipto</w:t>
      </w:r>
      <w:r w:rsidRPr="00AC72B5">
        <w:rPr>
          <w:w w:val="98"/>
        </w:rPr>
        <w:t xml:space="preserve">, ¶ 39, Doc. ONU CEDAW/C/EGY/CO/7 (2010); </w:t>
      </w:r>
      <w:r w:rsidRPr="00AC72B5">
        <w:rPr>
          <w:i/>
          <w:w w:val="98"/>
        </w:rPr>
        <w:t>Uganda</w:t>
      </w:r>
      <w:r w:rsidRPr="00AC72B5">
        <w:rPr>
          <w:w w:val="98"/>
        </w:rPr>
        <w:t xml:space="preserve">, ¶ 36, Doc. ONU CEDAW/C/UGA/CO/7 (2010); </w:t>
      </w:r>
      <w:r w:rsidRPr="00AC72B5">
        <w:rPr>
          <w:rFonts w:eastAsia="MS Mincho"/>
          <w:i/>
          <w:w w:val="98"/>
        </w:rPr>
        <w:t xml:space="preserve">Lituania, </w:t>
      </w:r>
      <w:r w:rsidRPr="00AC72B5">
        <w:rPr>
          <w:w w:val="98"/>
        </w:rPr>
        <w:t>¶ 24</w:t>
      </w:r>
      <w:r w:rsidRPr="00AC72B5">
        <w:rPr>
          <w:rFonts w:eastAsia="MS Mincho"/>
          <w:w w:val="98"/>
        </w:rPr>
        <w:t xml:space="preserve">, Doc. ONU </w:t>
      </w:r>
      <w:r w:rsidRPr="00AC72B5">
        <w:rPr>
          <w:w w:val="98"/>
        </w:rPr>
        <w:t xml:space="preserve">CEDAW/C/LTU/CO/4 (2008); </w:t>
      </w:r>
      <w:r w:rsidRPr="00AC72B5">
        <w:rPr>
          <w:i/>
          <w:w w:val="98"/>
        </w:rPr>
        <w:t>Honduras</w:t>
      </w:r>
      <w:r w:rsidRPr="00AC72B5">
        <w:rPr>
          <w:w w:val="98"/>
        </w:rPr>
        <w:t>, ¶ 24, Doc. ONU CEDAW/C/HON/CO/6 (2007).</w:t>
      </w:r>
    </w:p>
  </w:endnote>
  <w:endnote w:id="671">
    <w:p w14:paraId="762788E5" w14:textId="42086E7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Tuvalu</w:t>
      </w:r>
      <w:r w:rsidRPr="00AC72B5">
        <w:rPr>
          <w:w w:val="98"/>
        </w:rPr>
        <w:t>, ¶ 31, Doc. ONU</w:t>
      </w:r>
      <w:r w:rsidRPr="00AC72B5">
        <w:rPr>
          <w:i/>
          <w:w w:val="98"/>
        </w:rPr>
        <w:t xml:space="preserve"> </w:t>
      </w:r>
      <w:r w:rsidRPr="00AC72B5">
        <w:rPr>
          <w:w w:val="98"/>
        </w:rPr>
        <w:t xml:space="preserve">CEDAW/C/TUV/CO/3-4 (2015); </w:t>
      </w:r>
      <w:r w:rsidRPr="00AC72B5">
        <w:rPr>
          <w:rFonts w:eastAsia="MS Mincho"/>
          <w:i/>
          <w:w w:val="98"/>
        </w:rPr>
        <w:t>República Dominicana</w:t>
      </w:r>
      <w:r w:rsidRPr="00AC72B5">
        <w:rPr>
          <w:rFonts w:eastAsia="MS Mincho"/>
          <w:w w:val="98"/>
        </w:rPr>
        <w:t xml:space="preserve">, </w:t>
      </w:r>
      <w:r w:rsidRPr="00AC72B5">
        <w:rPr>
          <w:w w:val="98"/>
        </w:rPr>
        <w:t xml:space="preserve">¶ 37, </w:t>
      </w:r>
      <w:r w:rsidRPr="00AC72B5">
        <w:rPr>
          <w:rFonts w:eastAsia="MS Mincho"/>
          <w:w w:val="98"/>
        </w:rPr>
        <w:t xml:space="preserve">Doc. </w:t>
      </w:r>
      <w:r w:rsidRPr="00AC72B5">
        <w:rPr>
          <w:rFonts w:eastAsia="MS Mincho"/>
          <w:w w:val="98"/>
          <w:lang w:val="es-CO"/>
        </w:rPr>
        <w:t xml:space="preserve">ONU </w:t>
      </w:r>
      <w:r w:rsidRPr="00AC72B5">
        <w:rPr>
          <w:w w:val="98"/>
          <w:lang w:val="es-CO"/>
        </w:rPr>
        <w:t xml:space="preserve">CEDAW/C/DOM/CO/6-7 (2014); </w:t>
      </w:r>
      <w:r w:rsidRPr="00AC72B5">
        <w:rPr>
          <w:rFonts w:eastAsia="MS Mincho"/>
          <w:i/>
          <w:w w:val="98"/>
          <w:lang w:val="es-CO"/>
        </w:rPr>
        <w:t>Islas Salomón</w:t>
      </w:r>
      <w:r w:rsidRPr="00AC72B5">
        <w:rPr>
          <w:rFonts w:eastAsia="MS Mincho"/>
          <w:w w:val="98"/>
          <w:lang w:val="es-CO"/>
        </w:rPr>
        <w:t xml:space="preserve">, </w:t>
      </w:r>
      <w:r w:rsidRPr="00AC72B5">
        <w:rPr>
          <w:w w:val="98"/>
          <w:lang w:val="es-CO"/>
        </w:rPr>
        <w:t xml:space="preserve">¶ 37, </w:t>
      </w:r>
      <w:r w:rsidRPr="00AC72B5">
        <w:rPr>
          <w:rFonts w:eastAsia="MS Mincho"/>
          <w:w w:val="98"/>
          <w:lang w:val="es-CO"/>
        </w:rPr>
        <w:t xml:space="preserve">Doc. </w:t>
      </w:r>
      <w:r w:rsidRPr="00AC72B5">
        <w:rPr>
          <w:rFonts w:eastAsia="MS Mincho"/>
          <w:w w:val="98"/>
        </w:rPr>
        <w:t xml:space="preserve">ONU </w:t>
      </w:r>
      <w:r w:rsidRPr="00AC72B5">
        <w:rPr>
          <w:w w:val="98"/>
        </w:rPr>
        <w:t xml:space="preserve">CEDAW/C/SLB/CO/1-3 (2014); </w:t>
      </w:r>
      <w:r w:rsidRPr="00AC72B5">
        <w:rPr>
          <w:rFonts w:eastAsia="MS Mincho"/>
          <w:i/>
          <w:w w:val="98"/>
        </w:rPr>
        <w:t xml:space="preserve">Bielorrusia, </w:t>
      </w:r>
      <w:r w:rsidRPr="00AC72B5">
        <w:rPr>
          <w:w w:val="98"/>
        </w:rPr>
        <w:t>¶ 36</w:t>
      </w:r>
      <w:r w:rsidRPr="00AC72B5">
        <w:rPr>
          <w:rFonts w:eastAsia="MS Mincho"/>
          <w:w w:val="98"/>
        </w:rPr>
        <w:t xml:space="preserve">, Doc. ONU </w:t>
      </w:r>
      <w:r w:rsidRPr="00AC72B5">
        <w:rPr>
          <w:w w:val="98"/>
        </w:rPr>
        <w:t>CEDAW/C/BLR/CO/7 (2011).</w:t>
      </w:r>
    </w:p>
  </w:endnote>
  <w:endnote w:id="672">
    <w:p w14:paraId="65BBABD4" w14:textId="1F626CA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lang w:val="es-CO"/>
        </w:rPr>
        <w:t xml:space="preserve"> Comité CEDAW, </w:t>
      </w:r>
      <w:r w:rsidRPr="00AC72B5">
        <w:rPr>
          <w:i/>
          <w:w w:val="98"/>
          <w:lang w:val="es-CO"/>
        </w:rPr>
        <w:t>Observaciones Finales: Haití</w:t>
      </w:r>
      <w:r w:rsidRPr="00AC72B5">
        <w:rPr>
          <w:w w:val="98"/>
          <w:lang w:val="es-CO"/>
        </w:rPr>
        <w:t xml:space="preserve">, ¶ 34, Doc. </w:t>
      </w:r>
      <w:r w:rsidRPr="00AC72B5">
        <w:rPr>
          <w:w w:val="98"/>
        </w:rPr>
        <w:t xml:space="preserve">ONU </w:t>
      </w:r>
      <w:r w:rsidRPr="00AC72B5">
        <w:rPr>
          <w:rFonts w:eastAsia="MS Mincho"/>
          <w:w w:val="98"/>
        </w:rPr>
        <w:t xml:space="preserve">CEDAW/C/HTI/CO/8-9 (2016); </w:t>
      </w:r>
      <w:r w:rsidRPr="00AC72B5">
        <w:rPr>
          <w:rFonts w:eastAsia="MS Mincho"/>
          <w:i/>
          <w:w w:val="98"/>
        </w:rPr>
        <w:t>Kirguistán</w:t>
      </w:r>
      <w:r w:rsidRPr="00AC72B5">
        <w:rPr>
          <w:rFonts w:eastAsia="MS Mincho"/>
          <w:w w:val="98"/>
        </w:rPr>
        <w:t xml:space="preserve">, </w:t>
      </w:r>
      <w:r w:rsidRPr="00AC72B5">
        <w:rPr>
          <w:w w:val="98"/>
        </w:rPr>
        <w:t xml:space="preserve">¶ 30, </w:t>
      </w:r>
      <w:r w:rsidRPr="00AC72B5">
        <w:rPr>
          <w:rFonts w:eastAsia="MS Mincho"/>
          <w:w w:val="98"/>
        </w:rPr>
        <w:t xml:space="preserve">Doc. ONU </w:t>
      </w:r>
      <w:r w:rsidRPr="00AC72B5">
        <w:rPr>
          <w:w w:val="98"/>
        </w:rPr>
        <w:t>CEDAW/C/KGZ/CO/4</w:t>
      </w:r>
      <w:r w:rsidRPr="00AC72B5">
        <w:rPr>
          <w:rFonts w:eastAsia="MS Mincho"/>
          <w:w w:val="98"/>
        </w:rPr>
        <w:t xml:space="preserve"> (2015); </w:t>
      </w:r>
      <w:r w:rsidRPr="00AC72B5">
        <w:rPr>
          <w:rFonts w:eastAsia="MS Mincho"/>
          <w:i/>
          <w:w w:val="98"/>
        </w:rPr>
        <w:t>Polonia</w:t>
      </w:r>
      <w:r w:rsidRPr="00AC72B5">
        <w:rPr>
          <w:rFonts w:eastAsia="MS Mincho"/>
          <w:w w:val="98"/>
        </w:rPr>
        <w:t xml:space="preserve">, </w:t>
      </w:r>
      <w:r w:rsidRPr="00AC72B5">
        <w:rPr>
          <w:w w:val="98"/>
        </w:rPr>
        <w:t xml:space="preserve">¶ 37, </w:t>
      </w:r>
      <w:r w:rsidRPr="00AC72B5">
        <w:rPr>
          <w:rFonts w:eastAsia="MS Mincho"/>
          <w:w w:val="98"/>
        </w:rPr>
        <w:t xml:space="preserve">Doc. ONU </w:t>
      </w:r>
      <w:r w:rsidRPr="00AC72B5">
        <w:rPr>
          <w:w w:val="98"/>
        </w:rPr>
        <w:t>CEDAW/C/POL/CO/7-8 (2014).</w:t>
      </w:r>
    </w:p>
  </w:endnote>
  <w:endnote w:id="673">
    <w:p w14:paraId="6BBBE0EB" w14:textId="5577E41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Vietnam</w:t>
      </w:r>
      <w:r w:rsidRPr="00AC72B5">
        <w:rPr>
          <w:w w:val="98"/>
        </w:rPr>
        <w:t xml:space="preserve">, ¶ 33, Doc. ONU CEDAW/C/VNM/CO/7-8 (2015); </w:t>
      </w:r>
      <w:r w:rsidRPr="00AC72B5">
        <w:rPr>
          <w:rFonts w:eastAsia="MS Mincho"/>
          <w:i/>
          <w:w w:val="98"/>
        </w:rPr>
        <w:t>Hungría</w:t>
      </w:r>
      <w:r w:rsidRPr="00AC72B5">
        <w:rPr>
          <w:rFonts w:eastAsia="MS Mincho"/>
          <w:w w:val="98"/>
        </w:rPr>
        <w:t xml:space="preserve">, </w:t>
      </w:r>
      <w:r w:rsidRPr="00AC72B5">
        <w:rPr>
          <w:w w:val="98"/>
        </w:rPr>
        <w:t xml:space="preserve">¶ 31, </w:t>
      </w:r>
      <w:r w:rsidRPr="00AC72B5">
        <w:rPr>
          <w:rFonts w:eastAsia="MS Mincho"/>
          <w:w w:val="98"/>
        </w:rPr>
        <w:t xml:space="preserve">Doc. ONU </w:t>
      </w:r>
      <w:r w:rsidRPr="00AC72B5">
        <w:rPr>
          <w:w w:val="98"/>
        </w:rPr>
        <w:t>CEDAW/C/HUN/CO/7-8</w:t>
      </w:r>
      <w:r w:rsidRPr="00AC72B5">
        <w:rPr>
          <w:rFonts w:eastAsia="MS Mincho"/>
          <w:w w:val="98"/>
        </w:rPr>
        <w:t xml:space="preserve"> (2013); </w:t>
      </w:r>
      <w:r w:rsidRPr="00AC72B5">
        <w:rPr>
          <w:rFonts w:eastAsia="MS Mincho"/>
          <w:i/>
          <w:w w:val="98"/>
        </w:rPr>
        <w:t>Bielorrusia</w:t>
      </w:r>
      <w:r w:rsidRPr="00AC72B5">
        <w:rPr>
          <w:rFonts w:eastAsia="MS Mincho"/>
          <w:w w:val="98"/>
        </w:rPr>
        <w:t xml:space="preserve">, </w:t>
      </w:r>
      <w:r w:rsidRPr="00AC72B5">
        <w:rPr>
          <w:w w:val="98"/>
        </w:rPr>
        <w:t xml:space="preserve">¶ 36, </w:t>
      </w:r>
      <w:r w:rsidRPr="00AC72B5">
        <w:rPr>
          <w:rFonts w:eastAsia="MS Mincho"/>
          <w:w w:val="98"/>
        </w:rPr>
        <w:t xml:space="preserve">Doc. ONU </w:t>
      </w:r>
      <w:r w:rsidRPr="00AC72B5">
        <w:rPr>
          <w:w w:val="98"/>
        </w:rPr>
        <w:t xml:space="preserve">CEDAW/C/BLR/CO/7 (2011). </w:t>
      </w:r>
    </w:p>
  </w:endnote>
  <w:endnote w:id="674">
    <w:p w14:paraId="21B08FB5" w14:textId="0E24E12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Chipre</w:t>
      </w:r>
      <w:r w:rsidRPr="00AC72B5">
        <w:rPr>
          <w:w w:val="98"/>
        </w:rPr>
        <w:t xml:space="preserve">, ¶ 30, Doc. ONU CEDAW/C/CYP/CO/6-7 (2013); </w:t>
      </w:r>
      <w:r w:rsidRPr="00AC72B5">
        <w:rPr>
          <w:rFonts w:eastAsia="MS Mincho"/>
          <w:i/>
          <w:w w:val="98"/>
        </w:rPr>
        <w:t>Hungría</w:t>
      </w:r>
      <w:r w:rsidRPr="00AC72B5">
        <w:rPr>
          <w:rFonts w:eastAsia="MS Mincho"/>
          <w:w w:val="98"/>
        </w:rPr>
        <w:t xml:space="preserve">, </w:t>
      </w:r>
      <w:r w:rsidRPr="00AC72B5">
        <w:rPr>
          <w:w w:val="98"/>
        </w:rPr>
        <w:t xml:space="preserve">¶ 31, </w:t>
      </w:r>
      <w:r w:rsidRPr="00AC72B5">
        <w:rPr>
          <w:rFonts w:eastAsia="MS Mincho"/>
          <w:w w:val="98"/>
        </w:rPr>
        <w:t xml:space="preserve">Doc. ONU </w:t>
      </w:r>
      <w:r w:rsidRPr="00AC72B5">
        <w:rPr>
          <w:w w:val="98"/>
        </w:rPr>
        <w:t>CEDAW/C/HUN/CO/7-8</w:t>
      </w:r>
      <w:r w:rsidRPr="00AC72B5">
        <w:rPr>
          <w:rFonts w:eastAsia="MS Mincho"/>
          <w:w w:val="98"/>
        </w:rPr>
        <w:t xml:space="preserve"> (2013); </w:t>
      </w:r>
      <w:r w:rsidRPr="00AC72B5">
        <w:rPr>
          <w:rFonts w:eastAsia="MS Mincho"/>
          <w:i/>
          <w:w w:val="98"/>
        </w:rPr>
        <w:t>Bielorrusia</w:t>
      </w:r>
      <w:r w:rsidRPr="00AC72B5">
        <w:rPr>
          <w:rFonts w:eastAsia="MS Mincho"/>
          <w:w w:val="98"/>
        </w:rPr>
        <w:t xml:space="preserve">, </w:t>
      </w:r>
      <w:r w:rsidRPr="00AC72B5">
        <w:rPr>
          <w:w w:val="98"/>
        </w:rPr>
        <w:t xml:space="preserve">¶ 36, </w:t>
      </w:r>
      <w:r w:rsidRPr="00AC72B5">
        <w:rPr>
          <w:rFonts w:eastAsia="MS Mincho"/>
          <w:w w:val="98"/>
        </w:rPr>
        <w:t xml:space="preserve">Doc. ONU </w:t>
      </w:r>
      <w:r w:rsidRPr="00AC72B5">
        <w:rPr>
          <w:w w:val="98"/>
        </w:rPr>
        <w:t>CEDAW/C/BLR/CO/7 (2011).</w:t>
      </w:r>
    </w:p>
  </w:endnote>
  <w:endnote w:id="675">
    <w:p w14:paraId="0D85E1CF" w14:textId="20B5FF2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Hungría</w:t>
      </w:r>
      <w:r w:rsidRPr="00AC72B5">
        <w:rPr>
          <w:w w:val="98"/>
        </w:rPr>
        <w:t xml:space="preserve">, ¶ 31, Doc. ONU CEDAW/C/HUN/CO/7-8 (2013); </w:t>
      </w:r>
      <w:r w:rsidRPr="00AC72B5">
        <w:rPr>
          <w:i/>
          <w:w w:val="98"/>
        </w:rPr>
        <w:t>Bielorrusia</w:t>
      </w:r>
      <w:r w:rsidRPr="00AC72B5">
        <w:rPr>
          <w:w w:val="98"/>
        </w:rPr>
        <w:t>, ¶ 36, Doc. ONU CEDAW/C/BLR/CO/7 (2011).</w:t>
      </w:r>
    </w:p>
  </w:endnote>
  <w:endnote w:id="676">
    <w:p w14:paraId="64346783" w14:textId="4A0D38A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Vietnam</w:t>
      </w:r>
      <w:r w:rsidRPr="00AC72B5">
        <w:rPr>
          <w:w w:val="98"/>
        </w:rPr>
        <w:t>, ¶ 33, Doc. ONU CEDAW/C/VNM/CO/7-8 (2015).</w:t>
      </w:r>
    </w:p>
  </w:endnote>
  <w:endnote w:id="677">
    <w:p w14:paraId="4973F7F6" w14:textId="11249AF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Uzbekistán</w:t>
      </w:r>
      <w:r w:rsidRPr="00AC72B5">
        <w:rPr>
          <w:w w:val="98"/>
        </w:rPr>
        <w:t>, ¶ 28, Doc. ONU</w:t>
      </w:r>
      <w:r w:rsidRPr="00AC72B5">
        <w:rPr>
          <w:i/>
          <w:w w:val="98"/>
        </w:rPr>
        <w:t xml:space="preserve"> </w:t>
      </w:r>
      <w:r w:rsidRPr="00AC72B5">
        <w:rPr>
          <w:rFonts w:eastAsia="MS Mincho"/>
          <w:w w:val="98"/>
        </w:rPr>
        <w:t xml:space="preserve">CEDAW/C/UZB/CO/5 (2015); </w:t>
      </w:r>
      <w:r w:rsidRPr="00AC72B5">
        <w:rPr>
          <w:rFonts w:eastAsia="MS Mincho"/>
          <w:i/>
          <w:w w:val="98"/>
        </w:rPr>
        <w:t>República Dominicana</w:t>
      </w:r>
      <w:r w:rsidRPr="00AC72B5">
        <w:rPr>
          <w:rFonts w:eastAsia="MS Mincho"/>
          <w:w w:val="98"/>
        </w:rPr>
        <w:t xml:space="preserve">, </w:t>
      </w:r>
      <w:r w:rsidRPr="00AC72B5">
        <w:rPr>
          <w:w w:val="98"/>
        </w:rPr>
        <w:t xml:space="preserve">¶ 37, </w:t>
      </w:r>
      <w:r w:rsidRPr="00AC72B5">
        <w:rPr>
          <w:rFonts w:eastAsia="MS Mincho"/>
          <w:w w:val="98"/>
        </w:rPr>
        <w:t xml:space="preserve">Doc. ONU </w:t>
      </w:r>
      <w:r w:rsidRPr="00AC72B5">
        <w:rPr>
          <w:w w:val="98"/>
        </w:rPr>
        <w:t>CEDAW/C/DOM/CO/6-7 (2014).</w:t>
      </w:r>
    </w:p>
  </w:endnote>
  <w:endnote w:id="678">
    <w:p w14:paraId="00FC7D60" w14:textId="5B5EA1E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India</w:t>
      </w:r>
      <w:r w:rsidRPr="00AC72B5">
        <w:rPr>
          <w:w w:val="98"/>
        </w:rPr>
        <w:t xml:space="preserve">, ¶ 31, Doc. ONU CEDAW/C/IND/CO/4-5 (2014); </w:t>
      </w:r>
      <w:r w:rsidRPr="00AC72B5">
        <w:rPr>
          <w:i/>
          <w:w w:val="98"/>
        </w:rPr>
        <w:t>Grecia</w:t>
      </w:r>
      <w:r w:rsidRPr="00AC72B5">
        <w:rPr>
          <w:w w:val="98"/>
        </w:rPr>
        <w:t>, ¶ 31, Doc. ONU CEDAW/C/GRC/CO/7 (2013).</w:t>
      </w:r>
    </w:p>
  </w:endnote>
  <w:endnote w:id="679">
    <w:p w14:paraId="716279A7" w14:textId="282CFFF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Paraguay</w:t>
      </w:r>
      <w:r w:rsidRPr="00AC72B5">
        <w:rPr>
          <w:w w:val="98"/>
        </w:rPr>
        <w:t>, ¶ 32, Doc. ONU CEDAW/C/PRY/CO/6 (2011).</w:t>
      </w:r>
    </w:p>
  </w:endnote>
  <w:endnote w:id="680">
    <w:p w14:paraId="69E1FB32" w14:textId="336FDF3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Eslovaquia</w:t>
      </w:r>
      <w:r w:rsidRPr="00AC72B5">
        <w:rPr>
          <w:w w:val="98"/>
        </w:rPr>
        <w:t xml:space="preserve">, ¶ 31, Doc. ONU </w:t>
      </w:r>
      <w:r w:rsidRPr="00AC72B5">
        <w:rPr>
          <w:rFonts w:eastAsia="MS Mincho"/>
          <w:w w:val="98"/>
        </w:rPr>
        <w:t>CEDAW/C/SVK/CO/5-6 (2015);</w:t>
      </w:r>
      <w:r w:rsidRPr="00AC72B5">
        <w:rPr>
          <w:w w:val="98"/>
        </w:rPr>
        <w:t xml:space="preserve"> </w:t>
      </w:r>
      <w:r w:rsidRPr="00AC72B5">
        <w:rPr>
          <w:i/>
          <w:w w:val="98"/>
        </w:rPr>
        <w:t>Croacia</w:t>
      </w:r>
      <w:r w:rsidRPr="00AC72B5">
        <w:rPr>
          <w:w w:val="98"/>
        </w:rPr>
        <w:t xml:space="preserve">, ¶ 31, Doc. ONU CEDAW/C/HRV/CO/4-5 (2015); </w:t>
      </w:r>
      <w:r w:rsidRPr="00AC72B5">
        <w:rPr>
          <w:rFonts w:eastAsia="MS Mincho"/>
          <w:i/>
          <w:w w:val="98"/>
        </w:rPr>
        <w:t>Polonia</w:t>
      </w:r>
      <w:r w:rsidRPr="00AC72B5">
        <w:rPr>
          <w:rFonts w:eastAsia="MS Mincho"/>
          <w:w w:val="98"/>
        </w:rPr>
        <w:t xml:space="preserve">, </w:t>
      </w:r>
      <w:r w:rsidRPr="00AC72B5">
        <w:rPr>
          <w:w w:val="98"/>
        </w:rPr>
        <w:t xml:space="preserve">¶ 37, </w:t>
      </w:r>
      <w:r w:rsidRPr="00AC72B5">
        <w:rPr>
          <w:rFonts w:eastAsia="MS Mincho"/>
          <w:w w:val="98"/>
        </w:rPr>
        <w:t xml:space="preserve">Doc. ONU </w:t>
      </w:r>
      <w:r w:rsidRPr="00AC72B5">
        <w:rPr>
          <w:w w:val="98"/>
        </w:rPr>
        <w:t xml:space="preserve">CEDAW/C/POL/CO/7-8 (2014); </w:t>
      </w:r>
      <w:r w:rsidRPr="00AC72B5">
        <w:rPr>
          <w:rFonts w:eastAsia="MS Mincho"/>
          <w:i/>
          <w:w w:val="98"/>
        </w:rPr>
        <w:t>Hungría</w:t>
      </w:r>
      <w:r w:rsidRPr="00AC72B5">
        <w:rPr>
          <w:rFonts w:eastAsia="MS Mincho"/>
          <w:w w:val="98"/>
        </w:rPr>
        <w:t xml:space="preserve">, </w:t>
      </w:r>
      <w:r w:rsidRPr="00AC72B5">
        <w:rPr>
          <w:w w:val="98"/>
        </w:rPr>
        <w:t xml:space="preserve">¶ 31, </w:t>
      </w:r>
      <w:r w:rsidRPr="00AC72B5">
        <w:rPr>
          <w:rFonts w:eastAsia="MS Mincho"/>
          <w:w w:val="98"/>
        </w:rPr>
        <w:t xml:space="preserve">Doc. ONU </w:t>
      </w:r>
      <w:r w:rsidRPr="00AC72B5">
        <w:rPr>
          <w:w w:val="98"/>
        </w:rPr>
        <w:t>CEDAW/C/HUN/CO/7-8</w:t>
      </w:r>
      <w:r w:rsidRPr="00AC72B5">
        <w:rPr>
          <w:rFonts w:eastAsia="MS Mincho"/>
          <w:w w:val="98"/>
        </w:rPr>
        <w:t xml:space="preserve"> (2013).</w:t>
      </w:r>
    </w:p>
  </w:endnote>
  <w:endnote w:id="681">
    <w:p w14:paraId="1D6E9864" w14:textId="689B0B7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Azerbaiyán</w:t>
      </w:r>
      <w:r w:rsidRPr="00AC72B5">
        <w:rPr>
          <w:w w:val="98"/>
        </w:rPr>
        <w:t xml:space="preserve">, ¶ 33, Doc. ONU CEDAW/C/AZE/CO/5 (2015); </w:t>
      </w:r>
      <w:r w:rsidRPr="00AC72B5">
        <w:rPr>
          <w:rFonts w:eastAsia="MS Mincho"/>
          <w:i/>
          <w:w w:val="98"/>
        </w:rPr>
        <w:t>República Dominicana</w:t>
      </w:r>
      <w:r w:rsidRPr="00AC72B5">
        <w:rPr>
          <w:rFonts w:eastAsia="MS Mincho"/>
          <w:w w:val="98"/>
        </w:rPr>
        <w:t xml:space="preserve">, </w:t>
      </w:r>
      <w:r w:rsidRPr="00AC72B5">
        <w:rPr>
          <w:w w:val="98"/>
        </w:rPr>
        <w:t xml:space="preserve">¶ 37, </w:t>
      </w:r>
      <w:r w:rsidRPr="00AC72B5">
        <w:rPr>
          <w:rFonts w:eastAsia="MS Mincho"/>
          <w:w w:val="98"/>
        </w:rPr>
        <w:t xml:space="preserve">Doc. ONU </w:t>
      </w:r>
      <w:r w:rsidRPr="00AC72B5">
        <w:rPr>
          <w:w w:val="98"/>
        </w:rPr>
        <w:t xml:space="preserve">CEDAW/C/DOM/CO/6-7 (2014); </w:t>
      </w:r>
      <w:r w:rsidRPr="00AC72B5">
        <w:rPr>
          <w:rFonts w:eastAsia="MS Mincho"/>
          <w:i/>
          <w:w w:val="98"/>
        </w:rPr>
        <w:t>Serbia</w:t>
      </w:r>
      <w:r w:rsidRPr="00AC72B5">
        <w:rPr>
          <w:rFonts w:eastAsia="MS Mincho"/>
          <w:w w:val="98"/>
        </w:rPr>
        <w:t>,</w:t>
      </w:r>
      <w:r w:rsidRPr="00AC72B5">
        <w:rPr>
          <w:rFonts w:eastAsia="MS Mincho"/>
          <w:i/>
          <w:w w:val="98"/>
        </w:rPr>
        <w:t xml:space="preserve"> </w:t>
      </w:r>
      <w:r w:rsidRPr="00AC72B5">
        <w:rPr>
          <w:w w:val="98"/>
        </w:rPr>
        <w:t>¶ 33</w:t>
      </w:r>
      <w:r w:rsidRPr="00AC72B5">
        <w:rPr>
          <w:rFonts w:eastAsia="MS Mincho"/>
          <w:w w:val="98"/>
        </w:rPr>
        <w:t xml:space="preserve">, Doc. ONU </w:t>
      </w:r>
      <w:r w:rsidRPr="00AC72B5">
        <w:rPr>
          <w:w w:val="98"/>
        </w:rPr>
        <w:t>CEDAW/C/SRB/CO/2-3 (2013).</w:t>
      </w:r>
    </w:p>
  </w:endnote>
  <w:endnote w:id="682">
    <w:p w14:paraId="36D8E508" w14:textId="2B27BBF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Santa Lucía</w:t>
      </w:r>
      <w:r w:rsidRPr="00AC72B5">
        <w:rPr>
          <w:w w:val="98"/>
        </w:rPr>
        <w:t>, ¶ 32, Doc. ONU CEDAW/C/LCA/CO/6 (2006).</w:t>
      </w:r>
    </w:p>
  </w:endnote>
  <w:endnote w:id="683">
    <w:p w14:paraId="39D7404B" w14:textId="6F7AF12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Indonesia</w:t>
      </w:r>
      <w:r w:rsidRPr="00AC72B5">
        <w:rPr>
          <w:w w:val="98"/>
        </w:rPr>
        <w:t>, ¶ 42, Doc. ONU CEDAW/C/IDN/CO/6-7 (2012).</w:t>
      </w:r>
    </w:p>
  </w:endnote>
  <w:endnote w:id="684">
    <w:p w14:paraId="11CA55AA" w14:textId="1326239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Federación de Rusia</w:t>
      </w:r>
      <w:r w:rsidRPr="00AC72B5">
        <w:rPr>
          <w:w w:val="98"/>
        </w:rPr>
        <w:t>, ¶ 35, Doc. ONU CEDAW/C/RUS/CO/8 (2015).</w:t>
      </w:r>
    </w:p>
  </w:endnote>
  <w:endnote w:id="685">
    <w:p w14:paraId="1A451B20" w14:textId="002BFA6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Serbia</w:t>
      </w:r>
      <w:r w:rsidRPr="00AC72B5">
        <w:rPr>
          <w:rFonts w:eastAsia="MS Mincho"/>
          <w:w w:val="98"/>
        </w:rPr>
        <w:t>,</w:t>
      </w:r>
      <w:r w:rsidRPr="00AC72B5">
        <w:rPr>
          <w:rFonts w:eastAsia="MS Mincho"/>
          <w:i/>
          <w:w w:val="98"/>
        </w:rPr>
        <w:t xml:space="preserve"> </w:t>
      </w:r>
      <w:r w:rsidRPr="00AC72B5">
        <w:rPr>
          <w:w w:val="98"/>
        </w:rPr>
        <w:t>¶ 32</w:t>
      </w:r>
      <w:r w:rsidRPr="00AC72B5">
        <w:rPr>
          <w:rFonts w:eastAsia="MS Mincho"/>
          <w:w w:val="98"/>
        </w:rPr>
        <w:t xml:space="preserve">, Doc. ONU </w:t>
      </w:r>
      <w:r w:rsidRPr="00AC72B5">
        <w:rPr>
          <w:w w:val="98"/>
        </w:rPr>
        <w:t>CEDAW/C/SRB/CO/2-3 (2013).</w:t>
      </w:r>
    </w:p>
  </w:endnote>
  <w:endnote w:id="686">
    <w:p w14:paraId="682E4F39" w14:textId="2C3CBFF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Hungría</w:t>
      </w:r>
      <w:r w:rsidRPr="00AC72B5">
        <w:rPr>
          <w:w w:val="98"/>
        </w:rPr>
        <w:t>, ¶ 30, Doc. ONU CEDAW/C/HUN/CO/7-8 (2013).</w:t>
      </w:r>
    </w:p>
  </w:endnote>
  <w:endnote w:id="687">
    <w:p w14:paraId="53A22B2D" w14:textId="09B5CA0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w:t>
      </w:r>
      <w:r>
        <w:rPr>
          <w:w w:val="98"/>
        </w:rPr>
        <w:t xml:space="preserve"> </w:t>
      </w:r>
      <w:r w:rsidRPr="00AC72B5">
        <w:rPr>
          <w:w w:val="98"/>
        </w:rPr>
        <w:t xml:space="preserve">CEDAW, </w:t>
      </w:r>
      <w:r w:rsidRPr="00AC72B5">
        <w:rPr>
          <w:i/>
          <w:w w:val="98"/>
        </w:rPr>
        <w:t>Observaciones Finales: Islas Salomón</w:t>
      </w:r>
      <w:r w:rsidRPr="00AC72B5">
        <w:rPr>
          <w:w w:val="98"/>
        </w:rPr>
        <w:t>, ¶ 36, Doc. ONU CEDAW/C/SLB/CO/1-3 (2014).</w:t>
      </w:r>
    </w:p>
  </w:endnote>
  <w:endnote w:id="688">
    <w:p w14:paraId="0F5F45A7" w14:textId="05538B0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Uruguay</w:t>
      </w:r>
      <w:r w:rsidRPr="00AC72B5">
        <w:rPr>
          <w:w w:val="98"/>
        </w:rPr>
        <w:t xml:space="preserve">, ¶ 36, Doc. ONU </w:t>
      </w:r>
      <w:r w:rsidRPr="00AC72B5">
        <w:rPr>
          <w:rFonts w:eastAsia="MS Mincho"/>
          <w:w w:val="98"/>
        </w:rPr>
        <w:t xml:space="preserve">CEDAW/C/URY/CO/8-9 (2016); </w:t>
      </w:r>
      <w:r w:rsidRPr="00AC72B5">
        <w:rPr>
          <w:rFonts w:eastAsia="MS Mincho"/>
          <w:i/>
          <w:w w:val="98"/>
        </w:rPr>
        <w:t>Mongolia</w:t>
      </w:r>
      <w:r w:rsidRPr="00AC72B5">
        <w:rPr>
          <w:rFonts w:eastAsia="MS Mincho"/>
          <w:w w:val="98"/>
        </w:rPr>
        <w:t xml:space="preserve">, </w:t>
      </w:r>
      <w:r w:rsidRPr="00AC72B5">
        <w:rPr>
          <w:w w:val="98"/>
        </w:rPr>
        <w:t>¶ 29</w:t>
      </w:r>
      <w:r w:rsidRPr="00AC72B5">
        <w:rPr>
          <w:rFonts w:eastAsia="MS Mincho"/>
          <w:w w:val="98"/>
        </w:rPr>
        <w:t xml:space="preserve">, Doc. ONU CEDAW/C/MNG/CO/8-9 (2016); </w:t>
      </w:r>
      <w:r w:rsidRPr="00AC72B5">
        <w:rPr>
          <w:rFonts w:eastAsia="MS Mincho"/>
          <w:i/>
          <w:w w:val="98"/>
        </w:rPr>
        <w:t>Bolivia</w:t>
      </w:r>
      <w:r w:rsidRPr="00AC72B5">
        <w:rPr>
          <w:rFonts w:eastAsia="MS Mincho"/>
          <w:w w:val="98"/>
        </w:rPr>
        <w:t xml:space="preserve">, </w:t>
      </w:r>
      <w:r w:rsidRPr="00AC72B5">
        <w:rPr>
          <w:w w:val="98"/>
        </w:rPr>
        <w:t xml:space="preserve">¶ 29, </w:t>
      </w:r>
      <w:r w:rsidRPr="00AC72B5">
        <w:rPr>
          <w:rFonts w:eastAsia="MS Mincho"/>
          <w:w w:val="98"/>
        </w:rPr>
        <w:t xml:space="preserve">Doc. ONU </w:t>
      </w:r>
      <w:r w:rsidRPr="00AC72B5">
        <w:rPr>
          <w:w w:val="98"/>
        </w:rPr>
        <w:t xml:space="preserve">CEDAW/C/BOL/CO/5-6 (2015); </w:t>
      </w:r>
      <w:r w:rsidRPr="00AC72B5">
        <w:rPr>
          <w:rFonts w:eastAsia="MS Mincho"/>
          <w:i/>
          <w:w w:val="98"/>
        </w:rPr>
        <w:t>Gabón</w:t>
      </w:r>
      <w:r w:rsidRPr="00AC72B5">
        <w:rPr>
          <w:rFonts w:eastAsia="MS Mincho"/>
          <w:w w:val="98"/>
        </w:rPr>
        <w:t>,</w:t>
      </w:r>
      <w:r w:rsidRPr="00AC72B5">
        <w:rPr>
          <w:rFonts w:eastAsia="MS Mincho"/>
          <w:i/>
          <w:w w:val="98"/>
        </w:rPr>
        <w:t xml:space="preserve"> </w:t>
      </w:r>
      <w:r w:rsidRPr="00AC72B5">
        <w:rPr>
          <w:w w:val="98"/>
        </w:rPr>
        <w:t>¶ 35</w:t>
      </w:r>
      <w:r w:rsidRPr="00AC72B5">
        <w:rPr>
          <w:rFonts w:eastAsia="MS Mincho"/>
          <w:w w:val="98"/>
        </w:rPr>
        <w:t xml:space="preserve">, Doc. ONU </w:t>
      </w:r>
      <w:r w:rsidRPr="00AC72B5">
        <w:rPr>
          <w:w w:val="98"/>
        </w:rPr>
        <w:t xml:space="preserve">CEDAW/C/GAB/CO/6 (2015); </w:t>
      </w:r>
      <w:r w:rsidRPr="00AC72B5">
        <w:rPr>
          <w:rFonts w:eastAsia="MS Mincho"/>
          <w:i/>
          <w:w w:val="98"/>
        </w:rPr>
        <w:t>Liberia</w:t>
      </w:r>
      <w:r w:rsidRPr="00AC72B5">
        <w:rPr>
          <w:rFonts w:eastAsia="MS Mincho"/>
          <w:w w:val="98"/>
        </w:rPr>
        <w:t xml:space="preserve">, </w:t>
      </w:r>
      <w:r w:rsidRPr="00AC72B5">
        <w:rPr>
          <w:w w:val="98"/>
        </w:rPr>
        <w:t>¶</w:t>
      </w:r>
      <w:r w:rsidRPr="00AC72B5">
        <w:rPr>
          <w:rFonts w:eastAsia="MS Mincho"/>
          <w:w w:val="98"/>
        </w:rPr>
        <w:t xml:space="preserve"> </w:t>
      </w:r>
      <w:r w:rsidRPr="00AC72B5">
        <w:rPr>
          <w:w w:val="98"/>
        </w:rPr>
        <w:t>40</w:t>
      </w:r>
      <w:r w:rsidRPr="00AC72B5">
        <w:rPr>
          <w:rFonts w:eastAsia="MS Mincho"/>
          <w:w w:val="98"/>
        </w:rPr>
        <w:t xml:space="preserve">, Doc. ONU CEDAW/C/LBR/CO/7-8 (2015); </w:t>
      </w:r>
      <w:r w:rsidRPr="00AC72B5">
        <w:rPr>
          <w:i/>
          <w:w w:val="98"/>
        </w:rPr>
        <w:t>Irak</w:t>
      </w:r>
      <w:r w:rsidRPr="00AC72B5">
        <w:rPr>
          <w:w w:val="98"/>
        </w:rPr>
        <w:t xml:space="preserve">, ¶ 43, Doc. ONU CEDAW/C/IRQ/CO/4-6 (2014); </w:t>
      </w:r>
      <w:r w:rsidRPr="00AC72B5">
        <w:rPr>
          <w:i/>
          <w:w w:val="98"/>
        </w:rPr>
        <w:t>Yibuti</w:t>
      </w:r>
      <w:r w:rsidRPr="00AC72B5">
        <w:rPr>
          <w:w w:val="98"/>
        </w:rPr>
        <w:t xml:space="preserve">, ¶ 31, Doc. ONU CEDAW/C/DJI/CO/1-3 (2011); </w:t>
      </w:r>
      <w:r w:rsidRPr="00AC72B5">
        <w:rPr>
          <w:i/>
          <w:w w:val="98"/>
        </w:rPr>
        <w:t>Montenegro</w:t>
      </w:r>
      <w:r w:rsidRPr="00AC72B5">
        <w:rPr>
          <w:w w:val="98"/>
        </w:rPr>
        <w:t>, ¶ 31, Doc. ONU CEDAW/C/MNE/CO/1 (2011).</w:t>
      </w:r>
    </w:p>
  </w:endnote>
  <w:endnote w:id="689">
    <w:p w14:paraId="54FFC526" w14:textId="03EF8AE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Hungría</w:t>
      </w:r>
      <w:r w:rsidRPr="00AC72B5">
        <w:rPr>
          <w:w w:val="98"/>
        </w:rPr>
        <w:t>, ¶ 31, Doc. ONU CEDAW/C/HUN/CO/7-8 (2013).</w:t>
      </w:r>
    </w:p>
  </w:endnote>
  <w:endnote w:id="690">
    <w:p w14:paraId="733B2675" w14:textId="16E8735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Federación de Rusia</w:t>
      </w:r>
      <w:r w:rsidRPr="00AC72B5">
        <w:rPr>
          <w:w w:val="98"/>
        </w:rPr>
        <w:t>, ¶ 36, Doc. ONU CEDAW/C/RUS/CO/8 (2015).</w:t>
      </w:r>
    </w:p>
  </w:endnote>
  <w:endnote w:id="691">
    <w:p w14:paraId="3F3F46AC" w14:textId="6AD70CB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Islas Salomón</w:t>
      </w:r>
      <w:r w:rsidRPr="00AC72B5">
        <w:rPr>
          <w:w w:val="98"/>
        </w:rPr>
        <w:t>, ¶ 37, Doc. ONU CEDAW/C/SLB/CO/1-3 (2014).</w:t>
      </w:r>
    </w:p>
  </w:endnote>
  <w:endnote w:id="692">
    <w:p w14:paraId="79870B2C" w14:textId="2B1D432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Bielorrusia</w:t>
      </w:r>
      <w:r w:rsidRPr="00AC72B5">
        <w:rPr>
          <w:rFonts w:eastAsia="MS Mincho"/>
          <w:w w:val="98"/>
        </w:rPr>
        <w:t xml:space="preserve">, </w:t>
      </w:r>
      <w:r w:rsidRPr="00AC72B5">
        <w:rPr>
          <w:w w:val="98"/>
        </w:rPr>
        <w:t>¶ 36</w:t>
      </w:r>
      <w:r w:rsidRPr="00AC72B5">
        <w:rPr>
          <w:rFonts w:eastAsia="MS Mincho"/>
          <w:w w:val="98"/>
        </w:rPr>
        <w:t xml:space="preserve">, Doc. ONU </w:t>
      </w:r>
      <w:r w:rsidRPr="00AC72B5">
        <w:rPr>
          <w:w w:val="98"/>
        </w:rPr>
        <w:t xml:space="preserve">CEDAW/C/BLR/CO/7 (2011); </w:t>
      </w:r>
      <w:r w:rsidRPr="00AC72B5">
        <w:rPr>
          <w:i/>
          <w:w w:val="98"/>
        </w:rPr>
        <w:t>Montenegro</w:t>
      </w:r>
      <w:r w:rsidRPr="00AC72B5">
        <w:rPr>
          <w:w w:val="98"/>
        </w:rPr>
        <w:t xml:space="preserve">, ¶ 31, Doc. ONU CEDAW/C/MNE/CO/1 (2011); </w:t>
      </w:r>
      <w:r w:rsidRPr="00AC72B5">
        <w:rPr>
          <w:i/>
          <w:w w:val="98"/>
        </w:rPr>
        <w:t>Liechtenstein</w:t>
      </w:r>
      <w:r w:rsidRPr="00AC72B5">
        <w:rPr>
          <w:w w:val="98"/>
        </w:rPr>
        <w:t>, ¶ 38, Doc. ONU CEDAW/C/LIE/CO/4 (2011).</w:t>
      </w:r>
    </w:p>
  </w:endnote>
  <w:endnote w:id="693">
    <w:p w14:paraId="4CC49D41" w14:textId="57A96B3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w:t>
      </w:r>
      <w:r w:rsidRPr="00AC72B5">
        <w:rPr>
          <w:i/>
          <w:w w:val="98"/>
        </w:rPr>
        <w:t xml:space="preserve"> </w:t>
      </w:r>
      <w:r w:rsidRPr="00AC72B5">
        <w:rPr>
          <w:w w:val="98"/>
        </w:rPr>
        <w:t xml:space="preserve">Comité CEDAW, </w:t>
      </w:r>
      <w:r w:rsidRPr="00AC72B5">
        <w:rPr>
          <w:i/>
          <w:w w:val="98"/>
        </w:rPr>
        <w:t>Observaciones Finales: Bolivia</w:t>
      </w:r>
      <w:r w:rsidRPr="00AC72B5">
        <w:rPr>
          <w:w w:val="98"/>
        </w:rPr>
        <w:t xml:space="preserve">, ¶ 28, Doc. ONU CEDAW/C/BOL/CO/5-6 (2015); </w:t>
      </w:r>
      <w:r w:rsidRPr="00AC72B5">
        <w:rPr>
          <w:rFonts w:eastAsia="MS Mincho"/>
          <w:i/>
          <w:w w:val="98"/>
        </w:rPr>
        <w:t>India</w:t>
      </w:r>
      <w:r w:rsidRPr="00AC72B5">
        <w:rPr>
          <w:rFonts w:eastAsia="MS Mincho"/>
          <w:w w:val="98"/>
        </w:rPr>
        <w:t>,</w:t>
      </w:r>
      <w:r w:rsidRPr="00AC72B5">
        <w:rPr>
          <w:rFonts w:eastAsia="MS Mincho"/>
          <w:i/>
          <w:w w:val="98"/>
        </w:rPr>
        <w:t xml:space="preserve"> </w:t>
      </w:r>
      <w:r w:rsidRPr="00AC72B5">
        <w:rPr>
          <w:w w:val="98"/>
        </w:rPr>
        <w:t>¶</w:t>
      </w:r>
      <w:r w:rsidRPr="00AC72B5">
        <w:rPr>
          <w:rFonts w:eastAsia="MS Mincho"/>
          <w:w w:val="98"/>
        </w:rPr>
        <w:t xml:space="preserve"> </w:t>
      </w:r>
      <w:r w:rsidRPr="00AC72B5">
        <w:rPr>
          <w:w w:val="98"/>
        </w:rPr>
        <w:t>30</w:t>
      </w:r>
      <w:r w:rsidRPr="00AC72B5">
        <w:rPr>
          <w:rFonts w:eastAsia="MS Mincho"/>
          <w:w w:val="98"/>
        </w:rPr>
        <w:t xml:space="preserve">, Doc. ONU CEDAW/C/IND/CO/4-5 (2014); </w:t>
      </w:r>
      <w:r w:rsidRPr="00AC72B5">
        <w:rPr>
          <w:i/>
          <w:w w:val="98"/>
        </w:rPr>
        <w:t>Hungría</w:t>
      </w:r>
      <w:r w:rsidRPr="00AC72B5">
        <w:rPr>
          <w:w w:val="98"/>
        </w:rPr>
        <w:t xml:space="preserve">, ¶ 30, Doc. ONU CEDAW/C/HUN/CO/7-8 (2013); </w:t>
      </w:r>
      <w:r w:rsidRPr="00AC72B5">
        <w:rPr>
          <w:i/>
          <w:w w:val="98"/>
        </w:rPr>
        <w:t>Costa Rica</w:t>
      </w:r>
      <w:r w:rsidRPr="00AC72B5">
        <w:rPr>
          <w:w w:val="98"/>
        </w:rPr>
        <w:t xml:space="preserve">, ¶ 32, Doc. ONU CEDAW/C/CRI/CO/5-6 (2012); </w:t>
      </w:r>
      <w:r w:rsidRPr="00AC72B5">
        <w:rPr>
          <w:i/>
          <w:w w:val="98"/>
        </w:rPr>
        <w:t>Egipto</w:t>
      </w:r>
      <w:r w:rsidRPr="00AC72B5">
        <w:rPr>
          <w:w w:val="98"/>
        </w:rPr>
        <w:t>, ¶ 39, Doc. ONU CEDAW/C/EGY/CO/7 (2010).</w:t>
      </w:r>
    </w:p>
  </w:endnote>
  <w:endnote w:id="694">
    <w:p w14:paraId="2DD1B3A3" w14:textId="22C57DC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Perú</w:t>
      </w:r>
      <w:r w:rsidRPr="00AC72B5">
        <w:rPr>
          <w:w w:val="98"/>
        </w:rPr>
        <w:t xml:space="preserve">, ¶ 35, Doc. ONU </w:t>
      </w:r>
      <w:r w:rsidRPr="00AC72B5">
        <w:rPr>
          <w:rFonts w:eastAsia="MS Mincho"/>
          <w:w w:val="98"/>
        </w:rPr>
        <w:t>CEDAW/C/POR/CO/7-8 (2014).</w:t>
      </w:r>
    </w:p>
  </w:endnote>
  <w:endnote w:id="695">
    <w:p w14:paraId="60E532B4" w14:textId="7638223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República Centroafricana</w:t>
      </w:r>
      <w:r w:rsidRPr="00AC72B5">
        <w:rPr>
          <w:w w:val="98"/>
        </w:rPr>
        <w:t xml:space="preserve">, ¶ 39, Doc. ONU </w:t>
      </w:r>
      <w:r w:rsidRPr="00AC72B5">
        <w:rPr>
          <w:rFonts w:eastAsia="MS Mincho"/>
          <w:w w:val="98"/>
        </w:rPr>
        <w:t xml:space="preserve">CEDAW/C/CAF/CO/1-5 (2014); </w:t>
      </w:r>
      <w:r w:rsidRPr="00AC72B5">
        <w:rPr>
          <w:rFonts w:eastAsia="MS Mincho"/>
          <w:i/>
          <w:w w:val="98"/>
        </w:rPr>
        <w:t>Siria</w:t>
      </w:r>
      <w:r w:rsidRPr="00AC72B5">
        <w:rPr>
          <w:rFonts w:eastAsia="MS Mincho"/>
          <w:w w:val="98"/>
        </w:rPr>
        <w:t xml:space="preserve">, </w:t>
      </w:r>
      <w:r w:rsidRPr="00AC72B5">
        <w:rPr>
          <w:w w:val="98"/>
        </w:rPr>
        <w:t xml:space="preserve">¶ 39, </w:t>
      </w:r>
      <w:r w:rsidRPr="00AC72B5">
        <w:rPr>
          <w:rFonts w:eastAsia="MS Mincho"/>
          <w:w w:val="98"/>
        </w:rPr>
        <w:t xml:space="preserve">Doc. ONU </w:t>
      </w:r>
      <w:r w:rsidRPr="00AC72B5">
        <w:rPr>
          <w:w w:val="98"/>
        </w:rPr>
        <w:t xml:space="preserve">CEDAW/C/SYR/CO/2 (2014); </w:t>
      </w:r>
      <w:r w:rsidRPr="00AC72B5">
        <w:rPr>
          <w:i/>
          <w:w w:val="98"/>
        </w:rPr>
        <w:t>México</w:t>
      </w:r>
      <w:r w:rsidRPr="00AC72B5">
        <w:rPr>
          <w:w w:val="98"/>
        </w:rPr>
        <w:t>, ¶ 33, Doc. ONU CEDAW/C/MEX/CO/7-8 (2012).</w:t>
      </w:r>
    </w:p>
  </w:endnote>
  <w:endnote w:id="696">
    <w:p w14:paraId="53D70FF6" w14:textId="1B363E7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San Vicente y las Granadinas</w:t>
      </w:r>
      <w:r w:rsidRPr="00AC72B5">
        <w:rPr>
          <w:w w:val="98"/>
        </w:rPr>
        <w:t>, ¶ 36, Doc. ONU CEDAW/C/VCT/CO/4-8 (2015).</w:t>
      </w:r>
    </w:p>
  </w:endnote>
  <w:endnote w:id="697">
    <w:p w14:paraId="7C8C31C5" w14:textId="358961F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w:t>
      </w:r>
      <w:r w:rsidRPr="00AC72B5">
        <w:rPr>
          <w:i/>
          <w:w w:val="98"/>
        </w:rPr>
        <w:t xml:space="preserve"> </w:t>
      </w:r>
      <w:r w:rsidRPr="00AC72B5">
        <w:rPr>
          <w:w w:val="98"/>
        </w:rPr>
        <w:t xml:space="preserve">Comité CEDAW, </w:t>
      </w:r>
      <w:r w:rsidRPr="00AC72B5">
        <w:rPr>
          <w:i/>
          <w:w w:val="98"/>
        </w:rPr>
        <w:t>Observaciones Finales: Eritrea</w:t>
      </w:r>
      <w:r w:rsidRPr="00AC72B5">
        <w:rPr>
          <w:w w:val="98"/>
        </w:rPr>
        <w:t xml:space="preserve">, ¶ 35, Doc. ONU CEDAW/C/ERI/CO/5 (2015); </w:t>
      </w:r>
      <w:r w:rsidRPr="00AC72B5">
        <w:rPr>
          <w:i/>
          <w:w w:val="98"/>
        </w:rPr>
        <w:t>Gambia</w:t>
      </w:r>
      <w:r w:rsidRPr="00AC72B5">
        <w:rPr>
          <w:w w:val="98"/>
        </w:rPr>
        <w:t xml:space="preserve">, ¶ 37, Doc. ONU CEDAW/C/GMB/CO/4-5 (2015); </w:t>
      </w:r>
      <w:r w:rsidRPr="00AC72B5">
        <w:rPr>
          <w:i/>
          <w:w w:val="98"/>
        </w:rPr>
        <w:t>República Centroafricana</w:t>
      </w:r>
      <w:r w:rsidRPr="00AC72B5">
        <w:rPr>
          <w:w w:val="98"/>
        </w:rPr>
        <w:t xml:space="preserve">, ¶ 40, Doc. ONU </w:t>
      </w:r>
      <w:r w:rsidRPr="00AC72B5">
        <w:rPr>
          <w:rFonts w:eastAsia="MS Mincho"/>
          <w:w w:val="98"/>
        </w:rPr>
        <w:t xml:space="preserve">CEDAW/C/CAF/CO/1-5 (2014); </w:t>
      </w:r>
      <w:r w:rsidRPr="00AC72B5">
        <w:rPr>
          <w:rFonts w:eastAsia="MS Mincho"/>
          <w:i/>
          <w:w w:val="98"/>
        </w:rPr>
        <w:t>Hungría</w:t>
      </w:r>
      <w:r w:rsidRPr="00AC72B5">
        <w:rPr>
          <w:rFonts w:eastAsia="MS Mincho"/>
          <w:w w:val="98"/>
        </w:rPr>
        <w:t xml:space="preserve">, </w:t>
      </w:r>
      <w:r w:rsidRPr="00AC72B5">
        <w:rPr>
          <w:w w:val="98"/>
        </w:rPr>
        <w:t xml:space="preserve">¶ 31, </w:t>
      </w:r>
      <w:r w:rsidRPr="00AC72B5">
        <w:rPr>
          <w:rFonts w:eastAsia="MS Mincho"/>
          <w:w w:val="98"/>
        </w:rPr>
        <w:t xml:space="preserve">Doc. ONU </w:t>
      </w:r>
      <w:r w:rsidRPr="00AC72B5">
        <w:rPr>
          <w:w w:val="98"/>
        </w:rPr>
        <w:t>CEDAW/C/HUN/CO/7-8</w:t>
      </w:r>
      <w:r w:rsidRPr="00AC72B5">
        <w:rPr>
          <w:rFonts w:eastAsia="MS Mincho"/>
          <w:w w:val="98"/>
        </w:rPr>
        <w:t xml:space="preserve"> (2013); </w:t>
      </w:r>
      <w:r w:rsidRPr="00AC72B5">
        <w:rPr>
          <w:rFonts w:eastAsia="MS Mincho"/>
          <w:i/>
          <w:w w:val="98"/>
        </w:rPr>
        <w:t>Chipre</w:t>
      </w:r>
      <w:r w:rsidRPr="00AC72B5">
        <w:rPr>
          <w:rFonts w:eastAsia="MS Mincho"/>
          <w:w w:val="98"/>
        </w:rPr>
        <w:t xml:space="preserve">, </w:t>
      </w:r>
      <w:r w:rsidRPr="00AC72B5">
        <w:rPr>
          <w:w w:val="98"/>
        </w:rPr>
        <w:t xml:space="preserve">¶ 30, </w:t>
      </w:r>
      <w:r w:rsidRPr="00AC72B5">
        <w:rPr>
          <w:rFonts w:eastAsia="MS Mincho"/>
          <w:w w:val="98"/>
        </w:rPr>
        <w:t xml:space="preserve">Doc. ONU </w:t>
      </w:r>
      <w:r w:rsidRPr="00AC72B5">
        <w:rPr>
          <w:w w:val="98"/>
        </w:rPr>
        <w:t xml:space="preserve">CEDAW/C/CYP/CO/6-7 (2013); </w:t>
      </w:r>
      <w:r w:rsidRPr="00AC72B5">
        <w:rPr>
          <w:i/>
          <w:w w:val="98"/>
        </w:rPr>
        <w:t>Chile</w:t>
      </w:r>
      <w:r w:rsidRPr="00AC72B5">
        <w:rPr>
          <w:w w:val="98"/>
        </w:rPr>
        <w:t xml:space="preserve">, ¶ 35, Doc. ONU CEDAW/C/CHL/CO/5-6 (2012); </w:t>
      </w:r>
      <w:r w:rsidRPr="00AC72B5">
        <w:rPr>
          <w:i/>
          <w:w w:val="98"/>
        </w:rPr>
        <w:t>Lituania</w:t>
      </w:r>
      <w:r w:rsidRPr="00AC72B5">
        <w:rPr>
          <w:w w:val="98"/>
        </w:rPr>
        <w:t>, ¶ 25, Doc. ONU CEDAW/C/LTU/CO/4 (2008).</w:t>
      </w:r>
    </w:p>
  </w:endnote>
  <w:endnote w:id="698">
    <w:p w14:paraId="295E57DE" w14:textId="20701AA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Nepal</w:t>
      </w:r>
      <w:r w:rsidRPr="00AC72B5">
        <w:rPr>
          <w:w w:val="98"/>
        </w:rPr>
        <w:t>, ¶ 32, Doc. ONU CEDAW/C/NPL/CO/4-5 (2011).</w:t>
      </w:r>
    </w:p>
  </w:endnote>
  <w:endnote w:id="699">
    <w:p w14:paraId="235D9885" w14:textId="1B4A123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Turquía</w:t>
      </w:r>
      <w:r w:rsidRPr="00AC72B5">
        <w:rPr>
          <w:w w:val="98"/>
        </w:rPr>
        <w:t xml:space="preserve">, ¶ 48, Doc. ONU CEDAW/C/TUR/CO/7 (2016); </w:t>
      </w:r>
      <w:r w:rsidRPr="00AC72B5">
        <w:rPr>
          <w:i/>
          <w:w w:val="98"/>
        </w:rPr>
        <w:t>Venezuela</w:t>
      </w:r>
      <w:r w:rsidRPr="00AC72B5">
        <w:rPr>
          <w:w w:val="98"/>
        </w:rPr>
        <w:t>, ¶ 31, Doc. ONU CEDAW/C/VEN/CO/7-8 (2014).</w:t>
      </w:r>
    </w:p>
  </w:endnote>
  <w:endnote w:id="700">
    <w:p w14:paraId="58B0FAFC" w14:textId="3C990F1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Haití</w:t>
      </w:r>
      <w:r w:rsidRPr="00AC72B5">
        <w:rPr>
          <w:w w:val="98"/>
        </w:rPr>
        <w:t xml:space="preserve">, ¶ 34, Doc. ONU </w:t>
      </w:r>
      <w:r w:rsidRPr="00AC72B5">
        <w:rPr>
          <w:rFonts w:eastAsia="MS Mincho"/>
          <w:w w:val="98"/>
        </w:rPr>
        <w:t xml:space="preserve">CEDAW/C/HTI/CO/8-9 (2016); </w:t>
      </w:r>
      <w:r w:rsidRPr="00AC72B5">
        <w:rPr>
          <w:i/>
          <w:w w:val="98"/>
        </w:rPr>
        <w:t>Egipto</w:t>
      </w:r>
      <w:r w:rsidRPr="00AC72B5">
        <w:rPr>
          <w:w w:val="98"/>
        </w:rPr>
        <w:t>, ¶ 40, Doc. ONU CEDAW/C/EGY/CO/7 (2010).</w:t>
      </w:r>
    </w:p>
  </w:endnote>
  <w:endnote w:id="701">
    <w:p w14:paraId="18997921" w14:textId="1F9D956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Perú</w:t>
      </w:r>
      <w:r w:rsidRPr="00AC72B5">
        <w:rPr>
          <w:w w:val="98"/>
        </w:rPr>
        <w:t xml:space="preserve">, ¶ 36, Doc. ONU </w:t>
      </w:r>
      <w:r w:rsidRPr="00AC72B5">
        <w:rPr>
          <w:rFonts w:eastAsia="MS Mincho"/>
          <w:w w:val="98"/>
        </w:rPr>
        <w:t>CEDAW/C/POR/CO/7-8 (2014).</w:t>
      </w:r>
    </w:p>
  </w:endnote>
  <w:endnote w:id="702">
    <w:p w14:paraId="52C8A9D3" w14:textId="7543B11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Hungría</w:t>
      </w:r>
      <w:r w:rsidRPr="00AC72B5">
        <w:rPr>
          <w:w w:val="98"/>
        </w:rPr>
        <w:t>, ¶ 31, Doc. ONU CEDAW/C/HUN/CO/7-8 (2013).</w:t>
      </w:r>
    </w:p>
  </w:endnote>
  <w:endnote w:id="703">
    <w:p w14:paraId="7727DE63" w14:textId="4566AE4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Egipto</w:t>
      </w:r>
      <w:r w:rsidRPr="00AC72B5">
        <w:rPr>
          <w:w w:val="98"/>
        </w:rPr>
        <w:t>, ¶ 40, Doc. ONU CEDAW/C/EGY/CO/7 (2010).</w:t>
      </w:r>
    </w:p>
  </w:endnote>
  <w:endnote w:id="704">
    <w:p w14:paraId="4F8B7AE5" w14:textId="086AD9BB" w:rsidR="005E3DDD" w:rsidRPr="00AC72B5" w:rsidRDefault="005E3DDD" w:rsidP="00AC72B5">
      <w:pPr>
        <w:pStyle w:val="EndnoteText"/>
        <w:rPr>
          <w:rFonts w:eastAsia="MS Mincho"/>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Albania</w:t>
      </w:r>
      <w:r w:rsidRPr="00AC72B5">
        <w:rPr>
          <w:w w:val="98"/>
        </w:rPr>
        <w:t xml:space="preserve">, ¶ 32, Doc. ONU CEDAW/C/ALBA/CO/4 (2016); </w:t>
      </w:r>
      <w:r w:rsidRPr="00AC72B5">
        <w:rPr>
          <w:i/>
          <w:w w:val="98"/>
        </w:rPr>
        <w:t>Haití</w:t>
      </w:r>
      <w:r w:rsidRPr="00AC72B5">
        <w:rPr>
          <w:w w:val="98"/>
        </w:rPr>
        <w:t xml:space="preserve">, ¶ 33, Doc. ONU </w:t>
      </w:r>
      <w:r w:rsidRPr="00AC72B5">
        <w:rPr>
          <w:rFonts w:eastAsia="MS Mincho"/>
          <w:w w:val="98"/>
        </w:rPr>
        <w:t xml:space="preserve">CEDAW/C/HTI/CO/8-9 (2016); </w:t>
      </w:r>
      <w:r w:rsidRPr="00AC72B5">
        <w:rPr>
          <w:rFonts w:eastAsia="MS Mincho"/>
          <w:i/>
          <w:w w:val="98"/>
        </w:rPr>
        <w:t>Federación de Rusia</w:t>
      </w:r>
      <w:r w:rsidRPr="00AC72B5">
        <w:rPr>
          <w:rFonts w:eastAsia="MS Mincho"/>
          <w:w w:val="98"/>
        </w:rPr>
        <w:t xml:space="preserve">, </w:t>
      </w:r>
      <w:r w:rsidRPr="00AC72B5">
        <w:rPr>
          <w:w w:val="98"/>
        </w:rPr>
        <w:t>¶ 35</w:t>
      </w:r>
      <w:r w:rsidRPr="00AC72B5">
        <w:rPr>
          <w:rFonts w:eastAsia="MS Mincho"/>
          <w:w w:val="98"/>
        </w:rPr>
        <w:t xml:space="preserve">, Doc. ONU CEDAW/C/RUS/CO/8 (2015); </w:t>
      </w:r>
      <w:r w:rsidRPr="00AC72B5">
        <w:rPr>
          <w:i/>
          <w:w w:val="98"/>
        </w:rPr>
        <w:t>Azerbaiyán</w:t>
      </w:r>
      <w:r w:rsidRPr="00AC72B5">
        <w:rPr>
          <w:w w:val="98"/>
        </w:rPr>
        <w:t xml:space="preserve">, ¶ 32, Doc. ONU CEDAW/C/AZE/CO/5 (2015); </w:t>
      </w:r>
      <w:r w:rsidRPr="00AC72B5">
        <w:rPr>
          <w:rFonts w:eastAsia="MS Mincho"/>
          <w:i/>
          <w:w w:val="98"/>
        </w:rPr>
        <w:t>Georgia</w:t>
      </w:r>
      <w:r w:rsidRPr="00AC72B5">
        <w:rPr>
          <w:rFonts w:eastAsia="MS Mincho"/>
          <w:w w:val="98"/>
        </w:rPr>
        <w:t xml:space="preserve">, </w:t>
      </w:r>
      <w:r w:rsidRPr="00AC72B5">
        <w:rPr>
          <w:w w:val="98"/>
        </w:rPr>
        <w:t>¶</w:t>
      </w:r>
      <w:r w:rsidRPr="00AC72B5">
        <w:rPr>
          <w:rFonts w:eastAsia="MS Mincho"/>
          <w:w w:val="98"/>
        </w:rPr>
        <w:t xml:space="preserve"> </w:t>
      </w:r>
      <w:r w:rsidRPr="00AC72B5">
        <w:rPr>
          <w:w w:val="98"/>
        </w:rPr>
        <w:t>30</w:t>
      </w:r>
      <w:r w:rsidRPr="00AC72B5">
        <w:rPr>
          <w:rFonts w:eastAsia="MS Mincho"/>
          <w:w w:val="98"/>
        </w:rPr>
        <w:t xml:space="preserve">, Doc. ONU CEDAW/C/GEO/CO/4-5 (2014); </w:t>
      </w:r>
      <w:r w:rsidRPr="00AC72B5">
        <w:rPr>
          <w:rFonts w:eastAsia="MS Mincho"/>
          <w:i/>
          <w:w w:val="98"/>
        </w:rPr>
        <w:t>República de Macedonia</w:t>
      </w:r>
      <w:r w:rsidRPr="00AC72B5">
        <w:rPr>
          <w:rFonts w:eastAsia="MS Mincho"/>
          <w:w w:val="98"/>
        </w:rPr>
        <w:t xml:space="preserve">, </w:t>
      </w:r>
      <w:r w:rsidRPr="00AC72B5">
        <w:rPr>
          <w:w w:val="98"/>
        </w:rPr>
        <w:t xml:space="preserve">¶ 33, </w:t>
      </w:r>
      <w:r w:rsidRPr="00AC72B5">
        <w:rPr>
          <w:rFonts w:eastAsia="MS Mincho"/>
          <w:w w:val="98"/>
        </w:rPr>
        <w:t xml:space="preserve">Doc. ONU </w:t>
      </w:r>
      <w:r w:rsidRPr="00AC72B5">
        <w:rPr>
          <w:w w:val="98"/>
        </w:rPr>
        <w:t xml:space="preserve">CEDAW/C/MKD/CO/4-5 (2013); </w:t>
      </w:r>
      <w:r w:rsidRPr="00AC72B5">
        <w:rPr>
          <w:rFonts w:eastAsia="MS Mincho"/>
          <w:i/>
          <w:w w:val="98"/>
        </w:rPr>
        <w:t>Serbia</w:t>
      </w:r>
      <w:r w:rsidRPr="00AC72B5">
        <w:rPr>
          <w:rFonts w:eastAsia="MS Mincho"/>
          <w:w w:val="98"/>
        </w:rPr>
        <w:t xml:space="preserve">, </w:t>
      </w:r>
      <w:r w:rsidRPr="00AC72B5">
        <w:rPr>
          <w:w w:val="98"/>
        </w:rPr>
        <w:t xml:space="preserve">¶ 32, </w:t>
      </w:r>
      <w:r w:rsidRPr="00AC72B5">
        <w:rPr>
          <w:rFonts w:eastAsia="MS Mincho"/>
          <w:w w:val="98"/>
        </w:rPr>
        <w:t xml:space="preserve">Doc. ONU </w:t>
      </w:r>
      <w:r w:rsidRPr="00AC72B5">
        <w:rPr>
          <w:w w:val="98"/>
        </w:rPr>
        <w:t xml:space="preserve">CEDAW/C/SRB/CO/2-3 (2013); </w:t>
      </w:r>
      <w:r w:rsidRPr="00AC72B5">
        <w:rPr>
          <w:rFonts w:eastAsia="MS Mincho"/>
          <w:i/>
          <w:w w:val="98"/>
        </w:rPr>
        <w:t>Grecia</w:t>
      </w:r>
      <w:r w:rsidRPr="00AC72B5">
        <w:rPr>
          <w:rFonts w:eastAsia="MS Mincho"/>
          <w:w w:val="98"/>
        </w:rPr>
        <w:t xml:space="preserve">, </w:t>
      </w:r>
      <w:r w:rsidRPr="00AC72B5">
        <w:rPr>
          <w:w w:val="98"/>
        </w:rPr>
        <w:t>¶ 30</w:t>
      </w:r>
      <w:r w:rsidRPr="00AC72B5">
        <w:rPr>
          <w:rFonts w:eastAsia="MS Mincho"/>
          <w:w w:val="98"/>
        </w:rPr>
        <w:t xml:space="preserve">, Doc. ONU </w:t>
      </w:r>
      <w:r w:rsidRPr="00AC72B5">
        <w:rPr>
          <w:w w:val="98"/>
        </w:rPr>
        <w:t xml:space="preserve">CEDAW/C/GRC/CO/7 (2013); </w:t>
      </w:r>
      <w:r w:rsidRPr="00AC72B5">
        <w:rPr>
          <w:rFonts w:eastAsia="MS Mincho"/>
          <w:i/>
          <w:w w:val="98"/>
        </w:rPr>
        <w:t>Bulgaria</w:t>
      </w:r>
      <w:r w:rsidRPr="00AC72B5">
        <w:rPr>
          <w:rFonts w:eastAsia="MS Mincho"/>
          <w:w w:val="98"/>
        </w:rPr>
        <w:t xml:space="preserve">, </w:t>
      </w:r>
      <w:r w:rsidRPr="00AC72B5">
        <w:rPr>
          <w:w w:val="98"/>
        </w:rPr>
        <w:t>¶</w:t>
      </w:r>
      <w:r w:rsidRPr="00AC72B5">
        <w:rPr>
          <w:rFonts w:eastAsia="MS Mincho"/>
          <w:w w:val="98"/>
        </w:rPr>
        <w:t xml:space="preserve"> </w:t>
      </w:r>
      <w:r w:rsidRPr="00AC72B5">
        <w:rPr>
          <w:w w:val="98"/>
        </w:rPr>
        <w:t>35</w:t>
      </w:r>
      <w:r w:rsidRPr="00AC72B5">
        <w:rPr>
          <w:rFonts w:eastAsia="MS Mincho"/>
          <w:w w:val="98"/>
        </w:rPr>
        <w:t xml:space="preserve">, Doc. ONU CEDAW/C/BGR/CO/4-7 (2012); </w:t>
      </w:r>
      <w:r w:rsidRPr="00AC72B5">
        <w:rPr>
          <w:rFonts w:eastAsia="MS Mincho"/>
          <w:i/>
          <w:w w:val="98"/>
        </w:rPr>
        <w:t>Bielorrusia</w:t>
      </w:r>
      <w:r w:rsidRPr="00AC72B5">
        <w:rPr>
          <w:rFonts w:eastAsia="MS Mincho"/>
          <w:w w:val="98"/>
        </w:rPr>
        <w:t xml:space="preserve">, </w:t>
      </w:r>
      <w:r w:rsidRPr="00AC72B5">
        <w:rPr>
          <w:w w:val="98"/>
        </w:rPr>
        <w:t xml:space="preserve">¶ 35, </w:t>
      </w:r>
      <w:r w:rsidRPr="00AC72B5">
        <w:rPr>
          <w:rFonts w:eastAsia="MS Mincho"/>
          <w:w w:val="98"/>
        </w:rPr>
        <w:t xml:space="preserve">Doc. ONU </w:t>
      </w:r>
      <w:r w:rsidRPr="00AC72B5">
        <w:rPr>
          <w:w w:val="98"/>
        </w:rPr>
        <w:t xml:space="preserve">CEDAW/C/BLR/CO/7 (2011); </w:t>
      </w:r>
      <w:r w:rsidRPr="00AC72B5">
        <w:rPr>
          <w:i/>
          <w:w w:val="98"/>
        </w:rPr>
        <w:t>Armenia</w:t>
      </w:r>
      <w:r w:rsidRPr="00AC72B5">
        <w:rPr>
          <w:w w:val="98"/>
        </w:rPr>
        <w:t xml:space="preserve">, ¶ 34, Doc. ONU Armenia (CEDAW/C/ARM/CO/4/Rev.1)1 (2009); </w:t>
      </w:r>
      <w:r w:rsidRPr="00AC72B5">
        <w:rPr>
          <w:i/>
          <w:w w:val="98"/>
        </w:rPr>
        <w:t>Kazajistán</w:t>
      </w:r>
      <w:r w:rsidRPr="00AC72B5">
        <w:rPr>
          <w:w w:val="98"/>
        </w:rPr>
        <w:t xml:space="preserve">, ¶ 25, Doc. ONU CEDAW/C/KAZ/CO/2 (2007); </w:t>
      </w:r>
      <w:r w:rsidRPr="00AC72B5">
        <w:rPr>
          <w:rFonts w:eastAsia="MS Mincho"/>
          <w:i/>
          <w:w w:val="98"/>
        </w:rPr>
        <w:t>República de Macedonia</w:t>
      </w:r>
      <w:r w:rsidRPr="00AC72B5">
        <w:rPr>
          <w:rFonts w:eastAsia="MS Mincho"/>
          <w:w w:val="98"/>
        </w:rPr>
        <w:t xml:space="preserve">, </w:t>
      </w:r>
      <w:r w:rsidRPr="00AC72B5">
        <w:rPr>
          <w:w w:val="98"/>
        </w:rPr>
        <w:t>¶</w:t>
      </w:r>
      <w:r w:rsidRPr="00AC72B5">
        <w:rPr>
          <w:rFonts w:eastAsia="MS Mincho"/>
          <w:w w:val="98"/>
        </w:rPr>
        <w:t xml:space="preserve"> </w:t>
      </w:r>
      <w:r w:rsidRPr="00AC72B5">
        <w:rPr>
          <w:w w:val="98"/>
        </w:rPr>
        <w:t>31</w:t>
      </w:r>
      <w:r w:rsidRPr="00AC72B5">
        <w:rPr>
          <w:rFonts w:eastAsia="MS Mincho"/>
          <w:w w:val="98"/>
        </w:rPr>
        <w:t xml:space="preserve">, Doc. ONU CEDAW/C/MKD/CO/3 (2006); </w:t>
      </w:r>
      <w:r w:rsidRPr="00AC72B5">
        <w:rPr>
          <w:rFonts w:eastAsia="MS Mincho"/>
          <w:i/>
          <w:w w:val="98"/>
        </w:rPr>
        <w:t>Cuba</w:t>
      </w:r>
      <w:r w:rsidRPr="00AC72B5">
        <w:rPr>
          <w:rFonts w:eastAsia="MS Mincho"/>
          <w:w w:val="98"/>
        </w:rPr>
        <w:t xml:space="preserve">, </w:t>
      </w:r>
      <w:r w:rsidRPr="00AC72B5">
        <w:rPr>
          <w:w w:val="98"/>
        </w:rPr>
        <w:t xml:space="preserve">¶ 27, </w:t>
      </w:r>
      <w:r w:rsidRPr="00AC72B5">
        <w:rPr>
          <w:rFonts w:eastAsia="MS Mincho"/>
          <w:w w:val="98"/>
        </w:rPr>
        <w:t xml:space="preserve">Doc. ONU </w:t>
      </w:r>
      <w:r w:rsidRPr="00AC72B5">
        <w:rPr>
          <w:w w:val="98"/>
        </w:rPr>
        <w:t xml:space="preserve">CEDAW/C/CUB/CO/6 (2006); </w:t>
      </w:r>
      <w:r w:rsidRPr="00AC72B5">
        <w:rPr>
          <w:rFonts w:eastAsia="MS Mincho"/>
          <w:i/>
          <w:w w:val="98"/>
        </w:rPr>
        <w:t>Moldavia</w:t>
      </w:r>
      <w:r w:rsidRPr="00AC72B5">
        <w:rPr>
          <w:rFonts w:eastAsia="MS Mincho"/>
          <w:w w:val="98"/>
        </w:rPr>
        <w:t xml:space="preserve">, </w:t>
      </w:r>
      <w:r w:rsidRPr="00AC72B5">
        <w:rPr>
          <w:w w:val="98"/>
        </w:rPr>
        <w:t>¶ 30</w:t>
      </w:r>
      <w:r w:rsidRPr="00AC72B5">
        <w:rPr>
          <w:rFonts w:eastAsia="MS Mincho"/>
          <w:w w:val="98"/>
        </w:rPr>
        <w:t xml:space="preserve">, Doc. ONU </w:t>
      </w:r>
      <w:r w:rsidRPr="00AC72B5">
        <w:rPr>
          <w:w w:val="98"/>
        </w:rPr>
        <w:t>CEDAW/C/MDA/CO/3 (2006).</w:t>
      </w:r>
    </w:p>
  </w:endnote>
  <w:endnote w:id="705">
    <w:p w14:paraId="34F671A4" w14:textId="541CE13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Japón</w:t>
      </w:r>
      <w:r w:rsidRPr="00AC72B5">
        <w:rPr>
          <w:w w:val="98"/>
        </w:rPr>
        <w:t xml:space="preserve">, ¶ 38, Doc. ONU </w:t>
      </w:r>
      <w:r w:rsidRPr="00AC72B5">
        <w:rPr>
          <w:rFonts w:eastAsia="MS Mincho"/>
          <w:w w:val="98"/>
        </w:rPr>
        <w:t xml:space="preserve">CEDAW/C/JPN/CO/7-8 (2016); </w:t>
      </w:r>
      <w:r w:rsidRPr="00AC72B5">
        <w:rPr>
          <w:i/>
          <w:w w:val="98"/>
        </w:rPr>
        <w:t>Vietnam</w:t>
      </w:r>
      <w:r w:rsidRPr="00AC72B5">
        <w:rPr>
          <w:w w:val="98"/>
        </w:rPr>
        <w:t xml:space="preserve">, ¶ 32, Doc. ONU CEDAW/C/VNM/CO/7-8 (2015); </w:t>
      </w:r>
      <w:r w:rsidRPr="00AC72B5">
        <w:rPr>
          <w:rFonts w:eastAsia="MS Mincho"/>
          <w:i/>
          <w:w w:val="98"/>
        </w:rPr>
        <w:t>Bulgaria</w:t>
      </w:r>
      <w:r w:rsidRPr="00AC72B5">
        <w:rPr>
          <w:rFonts w:eastAsia="MS Mincho"/>
          <w:w w:val="98"/>
        </w:rPr>
        <w:t xml:space="preserve">, </w:t>
      </w:r>
      <w:r w:rsidRPr="00AC72B5">
        <w:rPr>
          <w:w w:val="98"/>
        </w:rPr>
        <w:t>¶</w:t>
      </w:r>
      <w:r w:rsidRPr="00AC72B5">
        <w:rPr>
          <w:rFonts w:eastAsia="MS Mincho"/>
          <w:w w:val="98"/>
        </w:rPr>
        <w:t xml:space="preserve"> </w:t>
      </w:r>
      <w:r w:rsidRPr="00AC72B5">
        <w:rPr>
          <w:w w:val="98"/>
        </w:rPr>
        <w:t>35</w:t>
      </w:r>
      <w:r w:rsidRPr="00AC72B5">
        <w:rPr>
          <w:rFonts w:eastAsia="MS Mincho"/>
          <w:w w:val="98"/>
        </w:rPr>
        <w:t xml:space="preserve">, Doc. ONU CEDAW/C/BGR/CO/4-7 (2012); </w:t>
      </w:r>
      <w:r w:rsidRPr="00AC72B5">
        <w:rPr>
          <w:i/>
          <w:w w:val="98"/>
        </w:rPr>
        <w:t>Vietnam</w:t>
      </w:r>
      <w:r w:rsidRPr="00AC72B5">
        <w:rPr>
          <w:w w:val="98"/>
        </w:rPr>
        <w:t>, ¶ 24, Doc. ONU CEDAW/C/VNM/CO/6 (2007).</w:t>
      </w:r>
    </w:p>
  </w:endnote>
  <w:endnote w:id="706">
    <w:p w14:paraId="6D72813C" w14:textId="7409FD1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Federación de Rusia</w:t>
      </w:r>
      <w:r w:rsidRPr="00AC72B5">
        <w:rPr>
          <w:w w:val="98"/>
        </w:rPr>
        <w:t xml:space="preserve">, ¶ 35, Doc. ONU CEDAW/C/RUS/CO/8 (2015); </w:t>
      </w:r>
      <w:r w:rsidRPr="00AC72B5">
        <w:rPr>
          <w:i/>
          <w:w w:val="98"/>
        </w:rPr>
        <w:t>Georgia</w:t>
      </w:r>
      <w:r w:rsidRPr="00AC72B5">
        <w:rPr>
          <w:w w:val="98"/>
        </w:rPr>
        <w:t xml:space="preserve">, ¶ 30, Doc. ONU CEDAW/C/GEO/CO/4-5 (2014); </w:t>
      </w:r>
      <w:r w:rsidRPr="00AC72B5">
        <w:rPr>
          <w:i/>
          <w:w w:val="98"/>
        </w:rPr>
        <w:t>Grecia</w:t>
      </w:r>
      <w:r w:rsidRPr="00AC72B5">
        <w:rPr>
          <w:w w:val="98"/>
        </w:rPr>
        <w:t xml:space="preserve">, ¶ 30, Doc. ONU CEDAW/C/GRC/CO/7 (2013); </w:t>
      </w:r>
      <w:r w:rsidRPr="00AC72B5">
        <w:rPr>
          <w:i/>
          <w:w w:val="98"/>
        </w:rPr>
        <w:t>Cuba</w:t>
      </w:r>
      <w:r w:rsidRPr="00AC72B5">
        <w:rPr>
          <w:w w:val="98"/>
        </w:rPr>
        <w:t>, ¶ 27, Doc. ONU CEDAW/C/CUB/CO/6 (2006).</w:t>
      </w:r>
    </w:p>
  </w:endnote>
  <w:endnote w:id="707">
    <w:p w14:paraId="5CD4C0C6" w14:textId="0D973ED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Albania</w:t>
      </w:r>
      <w:r w:rsidRPr="00AC72B5">
        <w:rPr>
          <w:w w:val="98"/>
        </w:rPr>
        <w:t xml:space="preserve">, ¶ 33, Doc. ONU CEDAW/C/ALBA/CO/4 (2016); </w:t>
      </w:r>
      <w:r w:rsidRPr="00AC72B5">
        <w:rPr>
          <w:i/>
          <w:w w:val="98"/>
        </w:rPr>
        <w:t>Haití</w:t>
      </w:r>
      <w:r w:rsidRPr="00AC72B5">
        <w:rPr>
          <w:w w:val="98"/>
        </w:rPr>
        <w:t xml:space="preserve">, ¶ 34, Doc. ONU </w:t>
      </w:r>
      <w:r w:rsidRPr="00AC72B5">
        <w:rPr>
          <w:rFonts w:eastAsia="MS Mincho"/>
          <w:w w:val="98"/>
        </w:rPr>
        <w:t>CEDAW/C/HTI/CO/8-9 (2016).</w:t>
      </w:r>
    </w:p>
  </w:endnote>
  <w:endnote w:id="708">
    <w:p w14:paraId="68F44E02" w14:textId="64D3C85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Albania</w:t>
      </w:r>
      <w:r w:rsidRPr="00AC72B5">
        <w:rPr>
          <w:w w:val="98"/>
        </w:rPr>
        <w:t xml:space="preserve">, ¶ 33, Doc. ONU CEDAW/C/ALBA/CO/4 (2016); </w:t>
      </w:r>
      <w:r w:rsidRPr="00AC72B5">
        <w:rPr>
          <w:rFonts w:eastAsia="MS Mincho"/>
          <w:i/>
          <w:w w:val="98"/>
        </w:rPr>
        <w:t>Georgia</w:t>
      </w:r>
      <w:r w:rsidRPr="00AC72B5">
        <w:rPr>
          <w:rFonts w:eastAsia="MS Mincho"/>
          <w:w w:val="98"/>
        </w:rPr>
        <w:t xml:space="preserve">, </w:t>
      </w:r>
      <w:r w:rsidRPr="00AC72B5">
        <w:rPr>
          <w:w w:val="98"/>
        </w:rPr>
        <w:t>¶</w:t>
      </w:r>
      <w:r w:rsidRPr="00AC72B5">
        <w:rPr>
          <w:rFonts w:eastAsia="MS Mincho"/>
          <w:w w:val="98"/>
        </w:rPr>
        <w:t xml:space="preserve"> </w:t>
      </w:r>
      <w:r w:rsidRPr="00AC72B5">
        <w:rPr>
          <w:w w:val="98"/>
        </w:rPr>
        <w:t>31</w:t>
      </w:r>
      <w:r w:rsidRPr="00AC72B5">
        <w:rPr>
          <w:rFonts w:eastAsia="MS Mincho"/>
          <w:w w:val="98"/>
        </w:rPr>
        <w:t xml:space="preserve">, Doc. ONU CEDAW/C/GEO/CO/4-5 (2014); </w:t>
      </w:r>
      <w:r w:rsidRPr="00AC72B5">
        <w:rPr>
          <w:rFonts w:eastAsia="MS Mincho"/>
          <w:i/>
          <w:w w:val="98"/>
        </w:rPr>
        <w:t>India</w:t>
      </w:r>
      <w:r w:rsidRPr="00AC72B5">
        <w:rPr>
          <w:rFonts w:eastAsia="MS Mincho"/>
          <w:w w:val="98"/>
        </w:rPr>
        <w:t xml:space="preserve">, </w:t>
      </w:r>
      <w:r w:rsidRPr="00AC72B5">
        <w:rPr>
          <w:w w:val="98"/>
        </w:rPr>
        <w:t>¶ 31</w:t>
      </w:r>
      <w:r w:rsidRPr="00AC72B5">
        <w:rPr>
          <w:rFonts w:eastAsia="MS Mincho"/>
          <w:w w:val="98"/>
        </w:rPr>
        <w:t xml:space="preserve">, Doc. ONU CEDAW/C/IND/CO/4-5 (2014); </w:t>
      </w:r>
      <w:r w:rsidRPr="00AC72B5">
        <w:rPr>
          <w:rFonts w:eastAsia="MS Mincho"/>
          <w:i/>
          <w:w w:val="98"/>
        </w:rPr>
        <w:t>Grecia</w:t>
      </w:r>
      <w:r w:rsidRPr="00AC72B5">
        <w:rPr>
          <w:rFonts w:eastAsia="MS Mincho"/>
          <w:w w:val="98"/>
        </w:rPr>
        <w:t xml:space="preserve">, </w:t>
      </w:r>
      <w:r w:rsidRPr="00AC72B5">
        <w:rPr>
          <w:w w:val="98"/>
        </w:rPr>
        <w:t xml:space="preserve">¶ 31, </w:t>
      </w:r>
      <w:r w:rsidRPr="00AC72B5">
        <w:rPr>
          <w:rFonts w:eastAsia="MS Mincho"/>
          <w:w w:val="98"/>
        </w:rPr>
        <w:t xml:space="preserve">Doc. ONU </w:t>
      </w:r>
      <w:r w:rsidRPr="00AC72B5">
        <w:rPr>
          <w:w w:val="98"/>
        </w:rPr>
        <w:t xml:space="preserve">CEDAW/C/GRC/CO/7 (2013); </w:t>
      </w:r>
      <w:r w:rsidRPr="00AC72B5">
        <w:rPr>
          <w:rFonts w:eastAsia="MS Mincho"/>
          <w:i/>
          <w:w w:val="98"/>
        </w:rPr>
        <w:t>Serbia</w:t>
      </w:r>
      <w:r w:rsidRPr="00AC72B5">
        <w:rPr>
          <w:rFonts w:eastAsia="MS Mincho"/>
          <w:w w:val="98"/>
        </w:rPr>
        <w:t>,</w:t>
      </w:r>
      <w:r w:rsidRPr="00AC72B5">
        <w:rPr>
          <w:rFonts w:eastAsia="MS Mincho"/>
          <w:i/>
          <w:w w:val="98"/>
        </w:rPr>
        <w:t xml:space="preserve"> </w:t>
      </w:r>
      <w:r w:rsidRPr="00AC72B5">
        <w:rPr>
          <w:w w:val="98"/>
        </w:rPr>
        <w:t>¶ 33</w:t>
      </w:r>
      <w:r w:rsidRPr="00AC72B5">
        <w:rPr>
          <w:rFonts w:eastAsia="MS Mincho"/>
          <w:w w:val="98"/>
        </w:rPr>
        <w:t xml:space="preserve">, Doc. ONU </w:t>
      </w:r>
      <w:r w:rsidRPr="00AC72B5">
        <w:rPr>
          <w:w w:val="98"/>
        </w:rPr>
        <w:t xml:space="preserve">CEDAW/C/SRB/CO/2-3 (2013); </w:t>
      </w:r>
      <w:r w:rsidRPr="00AC72B5">
        <w:rPr>
          <w:i/>
          <w:w w:val="98"/>
        </w:rPr>
        <w:t>Vietnam</w:t>
      </w:r>
      <w:r w:rsidRPr="00AC72B5">
        <w:rPr>
          <w:w w:val="98"/>
        </w:rPr>
        <w:t xml:space="preserve">, ¶ 25, Doc. ONU CEDAW/C/VNM/CO/6 (2007); </w:t>
      </w:r>
      <w:r w:rsidRPr="00AC72B5">
        <w:rPr>
          <w:rFonts w:eastAsia="MS Mincho"/>
          <w:i/>
          <w:w w:val="98"/>
        </w:rPr>
        <w:t>República de Macedonia</w:t>
      </w:r>
      <w:r w:rsidRPr="00AC72B5">
        <w:rPr>
          <w:rFonts w:eastAsia="MS Mincho"/>
          <w:w w:val="98"/>
        </w:rPr>
        <w:t>,</w:t>
      </w:r>
      <w:r w:rsidRPr="00AC72B5">
        <w:rPr>
          <w:rFonts w:eastAsia="MS Mincho"/>
          <w:i/>
          <w:w w:val="98"/>
        </w:rPr>
        <w:t xml:space="preserve"> </w:t>
      </w:r>
      <w:r w:rsidRPr="00AC72B5">
        <w:rPr>
          <w:w w:val="98"/>
        </w:rPr>
        <w:t>¶</w:t>
      </w:r>
      <w:r w:rsidRPr="00AC72B5">
        <w:rPr>
          <w:rFonts w:eastAsia="MS Mincho"/>
          <w:w w:val="98"/>
        </w:rPr>
        <w:t xml:space="preserve"> </w:t>
      </w:r>
      <w:r w:rsidRPr="00AC72B5">
        <w:rPr>
          <w:w w:val="98"/>
        </w:rPr>
        <w:t>32</w:t>
      </w:r>
      <w:r w:rsidRPr="00AC72B5">
        <w:rPr>
          <w:rFonts w:eastAsia="MS Mincho"/>
          <w:w w:val="98"/>
        </w:rPr>
        <w:t xml:space="preserve">, Doc. ONU CEDAW/C/MKD/CO/3 (2006); </w:t>
      </w:r>
      <w:r w:rsidRPr="00AC72B5">
        <w:rPr>
          <w:rFonts w:eastAsia="MS Mincho"/>
          <w:i/>
          <w:w w:val="98"/>
        </w:rPr>
        <w:t>Cuba</w:t>
      </w:r>
      <w:r w:rsidRPr="00AC72B5">
        <w:rPr>
          <w:rFonts w:eastAsia="MS Mincho"/>
          <w:w w:val="98"/>
        </w:rPr>
        <w:t xml:space="preserve">, </w:t>
      </w:r>
      <w:r w:rsidRPr="00AC72B5">
        <w:rPr>
          <w:w w:val="98"/>
        </w:rPr>
        <w:t>¶ 28</w:t>
      </w:r>
      <w:r w:rsidRPr="00AC72B5">
        <w:rPr>
          <w:rFonts w:eastAsia="MS Mincho"/>
          <w:w w:val="98"/>
        </w:rPr>
        <w:t xml:space="preserve"> Doc. ONU </w:t>
      </w:r>
      <w:r w:rsidRPr="00AC72B5">
        <w:rPr>
          <w:w w:val="98"/>
        </w:rPr>
        <w:t xml:space="preserve">CEDAW/C/CUB/CO/6 (2006); </w:t>
      </w:r>
      <w:r w:rsidRPr="00AC72B5">
        <w:rPr>
          <w:rFonts w:eastAsia="MS Mincho"/>
          <w:i/>
          <w:w w:val="98"/>
        </w:rPr>
        <w:t>Moldavia</w:t>
      </w:r>
      <w:r w:rsidRPr="00AC72B5">
        <w:rPr>
          <w:rFonts w:eastAsia="MS Mincho"/>
          <w:w w:val="98"/>
        </w:rPr>
        <w:t xml:space="preserve">, </w:t>
      </w:r>
      <w:r w:rsidRPr="00AC72B5">
        <w:rPr>
          <w:w w:val="98"/>
        </w:rPr>
        <w:t>¶ 30</w:t>
      </w:r>
      <w:r w:rsidRPr="00AC72B5">
        <w:rPr>
          <w:rFonts w:eastAsia="MS Mincho"/>
          <w:w w:val="98"/>
        </w:rPr>
        <w:t xml:space="preserve">, Doc. ONU </w:t>
      </w:r>
      <w:r w:rsidRPr="00AC72B5">
        <w:rPr>
          <w:w w:val="98"/>
        </w:rPr>
        <w:t>CEDAW/C/MDA/CO/3 (2006).</w:t>
      </w:r>
    </w:p>
  </w:endnote>
  <w:endnote w:id="709">
    <w:p w14:paraId="7F619A02" w14:textId="7F8283B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Haití</w:t>
      </w:r>
      <w:r w:rsidRPr="00AC72B5">
        <w:rPr>
          <w:w w:val="98"/>
        </w:rPr>
        <w:t xml:space="preserve">, ¶ 34, Doc. ONU </w:t>
      </w:r>
      <w:r w:rsidRPr="00AC72B5">
        <w:rPr>
          <w:rFonts w:eastAsia="MS Mincho"/>
          <w:w w:val="98"/>
        </w:rPr>
        <w:t>CEDAW/C/HTI/CO/8-9 (2016).</w:t>
      </w:r>
    </w:p>
  </w:endnote>
  <w:endnote w:id="710">
    <w:p w14:paraId="5E5E4585" w14:textId="4591E7B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Haití</w:t>
      </w:r>
      <w:r w:rsidRPr="00AC72B5">
        <w:rPr>
          <w:w w:val="98"/>
        </w:rPr>
        <w:t xml:space="preserve">, ¶ 34, Doc. ONU </w:t>
      </w:r>
      <w:r w:rsidRPr="00AC72B5">
        <w:rPr>
          <w:rFonts w:eastAsia="MS Mincho"/>
          <w:w w:val="98"/>
        </w:rPr>
        <w:t>CEDAW/C/HTI/CO/8-9 (2016).</w:t>
      </w:r>
    </w:p>
  </w:endnote>
  <w:endnote w:id="711">
    <w:p w14:paraId="619DF6D3" w14:textId="5A75D5C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Republica de Macedonia</w:t>
      </w:r>
      <w:r w:rsidRPr="00AC72B5">
        <w:rPr>
          <w:w w:val="98"/>
        </w:rPr>
        <w:t>, ¶ 34, Doc. ONU CEDAW/C/MKD/CO/4-5</w:t>
      </w:r>
    </w:p>
  </w:endnote>
  <w:endnote w:id="712">
    <w:p w14:paraId="0412F1FE" w14:textId="33F3514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República de Macedonia</w:t>
      </w:r>
      <w:r w:rsidRPr="00AC72B5">
        <w:rPr>
          <w:w w:val="98"/>
        </w:rPr>
        <w:t>, ¶ 31, Doc. ONU CEDAW/C/MKD/CO/3 (2006).</w:t>
      </w:r>
    </w:p>
  </w:endnote>
  <w:endnote w:id="713">
    <w:p w14:paraId="1C407118" w14:textId="5A2311A1" w:rsidR="005E3DDD" w:rsidRPr="00AC72B5" w:rsidRDefault="005E3DDD" w:rsidP="00AC72B5">
      <w:pPr>
        <w:pStyle w:val="EndnoteText"/>
        <w:rPr>
          <w:i/>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Francia</w:t>
      </w:r>
      <w:r w:rsidRPr="00AC72B5">
        <w:rPr>
          <w:w w:val="98"/>
        </w:rPr>
        <w:t xml:space="preserve">, ¶ 36, Doc. ONU </w:t>
      </w:r>
      <w:r w:rsidRPr="00AC72B5">
        <w:rPr>
          <w:rFonts w:eastAsia="MS Mincho"/>
          <w:w w:val="98"/>
        </w:rPr>
        <w:t xml:space="preserve">CEDAW/C/FRA/CO/7-8 (2016); </w:t>
      </w:r>
      <w:r w:rsidRPr="00AC72B5">
        <w:rPr>
          <w:i/>
          <w:w w:val="98"/>
        </w:rPr>
        <w:t>Ucrania</w:t>
      </w:r>
      <w:r w:rsidRPr="00AC72B5">
        <w:rPr>
          <w:w w:val="98"/>
        </w:rPr>
        <w:t>, ¶ 38, Doc. ONU CEDAW/C/UKR/CO/7 (2010).</w:t>
      </w:r>
    </w:p>
  </w:endnote>
  <w:endnote w:id="714">
    <w:p w14:paraId="197FEAE8" w14:textId="291ED03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w:t>
      </w:r>
      <w:r>
        <w:rPr>
          <w:w w:val="98"/>
        </w:rPr>
        <w:t xml:space="preserve"> </w:t>
      </w:r>
      <w:r w:rsidRPr="00AC72B5">
        <w:rPr>
          <w:w w:val="98"/>
        </w:rPr>
        <w:t xml:space="preserve">CEDAW, </w:t>
      </w:r>
      <w:r w:rsidRPr="00AC72B5">
        <w:rPr>
          <w:i/>
          <w:w w:val="98"/>
        </w:rPr>
        <w:t>Observaciones Finales: Santa Lucía</w:t>
      </w:r>
      <w:r w:rsidRPr="00AC72B5">
        <w:rPr>
          <w:w w:val="98"/>
        </w:rPr>
        <w:t>, ¶ 31, Doc. ONU CEDAW/C/LCA/CO/6 (2006).</w:t>
      </w:r>
    </w:p>
  </w:endnote>
  <w:endnote w:id="715">
    <w:p w14:paraId="40DA261E" w14:textId="50E8F4F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Kirguistán</w:t>
      </w:r>
      <w:r w:rsidRPr="00AC72B5">
        <w:rPr>
          <w:w w:val="98"/>
        </w:rPr>
        <w:t xml:space="preserve">, ¶ 29, Doc. ONU CEDAW/C/KGZ/CO/4 (2015); </w:t>
      </w:r>
      <w:r w:rsidRPr="00AC72B5">
        <w:rPr>
          <w:rFonts w:eastAsia="MS Mincho"/>
          <w:i/>
          <w:w w:val="98"/>
        </w:rPr>
        <w:t>Islas Salomón</w:t>
      </w:r>
      <w:r w:rsidRPr="00AC72B5">
        <w:rPr>
          <w:rFonts w:eastAsia="MS Mincho"/>
          <w:w w:val="98"/>
        </w:rPr>
        <w:t>,</w:t>
      </w:r>
      <w:r w:rsidRPr="00AC72B5">
        <w:rPr>
          <w:rFonts w:eastAsia="MS Mincho"/>
          <w:i/>
          <w:w w:val="98"/>
        </w:rPr>
        <w:t xml:space="preserve"> </w:t>
      </w:r>
      <w:r w:rsidRPr="00AC72B5">
        <w:rPr>
          <w:w w:val="98"/>
        </w:rPr>
        <w:t>¶ 36</w:t>
      </w:r>
      <w:r w:rsidRPr="00AC72B5">
        <w:rPr>
          <w:rFonts w:eastAsia="MS Mincho"/>
          <w:w w:val="98"/>
        </w:rPr>
        <w:t xml:space="preserve">, Doc. ONU </w:t>
      </w:r>
      <w:r w:rsidRPr="00AC72B5">
        <w:rPr>
          <w:w w:val="98"/>
        </w:rPr>
        <w:t xml:space="preserve">CEDAW/C/SLB/CO/1-3 (2014); </w:t>
      </w:r>
      <w:r w:rsidRPr="00AC72B5">
        <w:rPr>
          <w:rFonts w:eastAsia="MS Mincho"/>
          <w:i/>
          <w:w w:val="98"/>
        </w:rPr>
        <w:t>Afganistán</w:t>
      </w:r>
      <w:r w:rsidRPr="00AC72B5">
        <w:rPr>
          <w:rFonts w:eastAsia="MS Mincho"/>
          <w:w w:val="98"/>
        </w:rPr>
        <w:t>,</w:t>
      </w:r>
      <w:r w:rsidRPr="00AC72B5">
        <w:rPr>
          <w:rFonts w:eastAsia="MS Mincho"/>
          <w:i/>
          <w:w w:val="98"/>
        </w:rPr>
        <w:t xml:space="preserve"> </w:t>
      </w:r>
      <w:r w:rsidRPr="00AC72B5">
        <w:rPr>
          <w:w w:val="98"/>
        </w:rPr>
        <w:t>¶ 36</w:t>
      </w:r>
      <w:r w:rsidRPr="00AC72B5">
        <w:rPr>
          <w:rFonts w:eastAsia="MS Mincho"/>
          <w:w w:val="98"/>
        </w:rPr>
        <w:t xml:space="preserve">, Doc. ONU </w:t>
      </w:r>
      <w:r w:rsidRPr="00AC72B5">
        <w:rPr>
          <w:w w:val="98"/>
        </w:rPr>
        <w:t xml:space="preserve">CEDAW/C/AFG/CO/1-2 (2013); </w:t>
      </w:r>
      <w:r w:rsidRPr="00AC72B5">
        <w:rPr>
          <w:i/>
          <w:w w:val="98"/>
        </w:rPr>
        <w:t>Yibuti</w:t>
      </w:r>
      <w:r w:rsidRPr="00AC72B5">
        <w:rPr>
          <w:w w:val="98"/>
        </w:rPr>
        <w:t xml:space="preserve">, ¶ 30, Doc. ONU CEDAW/C/DJI/CO/1-3 (2011); </w:t>
      </w:r>
      <w:r w:rsidRPr="00AC72B5">
        <w:rPr>
          <w:i/>
          <w:w w:val="98"/>
        </w:rPr>
        <w:t>Nepal</w:t>
      </w:r>
      <w:r w:rsidRPr="00AC72B5">
        <w:rPr>
          <w:w w:val="98"/>
        </w:rPr>
        <w:t>, ¶ 31, Doc. ONU CEDAW/C/NPL/CO/4-5 (2011).</w:t>
      </w:r>
    </w:p>
  </w:endnote>
  <w:endnote w:id="716">
    <w:p w14:paraId="678AA913" w14:textId="11602AB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Kirguistán</w:t>
      </w:r>
      <w:r w:rsidRPr="00AC72B5">
        <w:rPr>
          <w:w w:val="98"/>
        </w:rPr>
        <w:t xml:space="preserve">, ¶ 29, Doc. ONU CEDAW/C/KGZ/CO/4 (2015); </w:t>
      </w:r>
      <w:r w:rsidRPr="00AC72B5">
        <w:rPr>
          <w:rFonts w:eastAsia="MS Mincho"/>
          <w:i/>
          <w:w w:val="98"/>
        </w:rPr>
        <w:t>Islas Salomón</w:t>
      </w:r>
      <w:r w:rsidRPr="00AC72B5">
        <w:rPr>
          <w:rFonts w:eastAsia="MS Mincho"/>
          <w:w w:val="98"/>
        </w:rPr>
        <w:t>,</w:t>
      </w:r>
      <w:r w:rsidRPr="00AC72B5">
        <w:rPr>
          <w:w w:val="98"/>
        </w:rPr>
        <w:t xml:space="preserve"> ¶ 36</w:t>
      </w:r>
      <w:r w:rsidRPr="00AC72B5">
        <w:rPr>
          <w:rFonts w:eastAsia="MS Mincho"/>
          <w:w w:val="98"/>
        </w:rPr>
        <w:t xml:space="preserve">, Doc. ONU </w:t>
      </w:r>
      <w:r w:rsidRPr="00AC72B5">
        <w:rPr>
          <w:w w:val="98"/>
        </w:rPr>
        <w:t>CEDAW/C/SLB/CO/1-3 (2014).</w:t>
      </w:r>
    </w:p>
  </w:endnote>
  <w:endnote w:id="717">
    <w:p w14:paraId="00A72317" w14:textId="1D909B1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Haití</w:t>
      </w:r>
      <w:r w:rsidRPr="00AC72B5">
        <w:rPr>
          <w:w w:val="98"/>
        </w:rPr>
        <w:t xml:space="preserve">, ¶ 33, Doc. ONU </w:t>
      </w:r>
      <w:r w:rsidRPr="00AC72B5">
        <w:rPr>
          <w:rFonts w:eastAsia="MS Mincho"/>
          <w:w w:val="98"/>
        </w:rPr>
        <w:t>CEDAW/C/HTI/CO/8-9 (2016).</w:t>
      </w:r>
    </w:p>
  </w:endnote>
  <w:endnote w:id="718">
    <w:p w14:paraId="69B4EF80" w14:textId="2ECCD67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Haití</w:t>
      </w:r>
      <w:r w:rsidRPr="00AC72B5">
        <w:rPr>
          <w:w w:val="98"/>
        </w:rPr>
        <w:t xml:space="preserve">, ¶ 33, Doc. ONU </w:t>
      </w:r>
      <w:r w:rsidRPr="00AC72B5">
        <w:rPr>
          <w:rFonts w:eastAsia="MS Mincho"/>
          <w:w w:val="98"/>
        </w:rPr>
        <w:t>CEDAW/C/HTI/CO/8-9 (2016);</w:t>
      </w:r>
      <w:r w:rsidRPr="00AC72B5">
        <w:rPr>
          <w:w w:val="98"/>
        </w:rPr>
        <w:t xml:space="preserve"> </w:t>
      </w:r>
      <w:r w:rsidRPr="00AC72B5">
        <w:rPr>
          <w:i/>
          <w:w w:val="98"/>
        </w:rPr>
        <w:t>Tuvalu</w:t>
      </w:r>
      <w:r w:rsidRPr="00AC72B5">
        <w:rPr>
          <w:w w:val="98"/>
        </w:rPr>
        <w:t>, ¶ 30, Doc. ONU</w:t>
      </w:r>
      <w:r w:rsidRPr="00AC72B5">
        <w:rPr>
          <w:i/>
          <w:w w:val="98"/>
        </w:rPr>
        <w:t xml:space="preserve"> </w:t>
      </w:r>
      <w:r w:rsidRPr="00AC72B5">
        <w:rPr>
          <w:w w:val="98"/>
        </w:rPr>
        <w:t xml:space="preserve">CEDAW/C/TUV/CO/3-4 (2015); </w:t>
      </w:r>
      <w:r w:rsidRPr="00AC72B5">
        <w:rPr>
          <w:rFonts w:eastAsia="MS Mincho"/>
          <w:i/>
          <w:w w:val="98"/>
        </w:rPr>
        <w:t>India</w:t>
      </w:r>
      <w:r w:rsidRPr="00AC72B5">
        <w:rPr>
          <w:rFonts w:eastAsia="MS Mincho"/>
          <w:w w:val="98"/>
        </w:rPr>
        <w:t>,</w:t>
      </w:r>
      <w:r w:rsidRPr="00AC72B5">
        <w:rPr>
          <w:rFonts w:eastAsia="MS Mincho"/>
          <w:i/>
          <w:w w:val="98"/>
        </w:rPr>
        <w:t xml:space="preserve"> </w:t>
      </w:r>
      <w:r w:rsidRPr="00AC72B5">
        <w:rPr>
          <w:w w:val="98"/>
        </w:rPr>
        <w:t>¶</w:t>
      </w:r>
      <w:r w:rsidRPr="00AC72B5">
        <w:rPr>
          <w:rFonts w:eastAsia="MS Mincho"/>
          <w:w w:val="98"/>
        </w:rPr>
        <w:t xml:space="preserve"> </w:t>
      </w:r>
      <w:r w:rsidRPr="00AC72B5">
        <w:rPr>
          <w:w w:val="98"/>
        </w:rPr>
        <w:t>30</w:t>
      </w:r>
      <w:r w:rsidRPr="00AC72B5">
        <w:rPr>
          <w:rFonts w:eastAsia="MS Mincho"/>
          <w:w w:val="98"/>
        </w:rPr>
        <w:t>, Doc. ONU CEDAW/C/IND/CO/4-5 (2014).</w:t>
      </w:r>
    </w:p>
  </w:endnote>
  <w:endnote w:id="719">
    <w:p w14:paraId="514B0E7B" w14:textId="3E99507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India</w:t>
      </w:r>
      <w:r w:rsidRPr="00AC72B5">
        <w:rPr>
          <w:w w:val="98"/>
        </w:rPr>
        <w:t>, ¶ 30, Doc. ONU CEDAW/C/IND/CO/4-5 (2014).</w:t>
      </w:r>
    </w:p>
  </w:endnote>
  <w:endnote w:id="720">
    <w:p w14:paraId="2CD1FD14" w14:textId="7206E2B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Nepal</w:t>
      </w:r>
      <w:r w:rsidRPr="00AC72B5">
        <w:rPr>
          <w:w w:val="98"/>
        </w:rPr>
        <w:t>, ¶ 31, Doc. ONU CEDAW/C/NPL/CO/4-5 (2011).</w:t>
      </w:r>
    </w:p>
  </w:endnote>
  <w:endnote w:id="721">
    <w:p w14:paraId="6FCF7EBE" w14:textId="4F89146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Francia</w:t>
      </w:r>
      <w:r w:rsidRPr="00AC72B5">
        <w:rPr>
          <w:w w:val="98"/>
        </w:rPr>
        <w:t xml:space="preserve">, ¶ 37, Doc. ONU </w:t>
      </w:r>
      <w:r w:rsidRPr="00AC72B5">
        <w:rPr>
          <w:rFonts w:eastAsia="MS Mincho"/>
          <w:w w:val="98"/>
        </w:rPr>
        <w:t>CEDAW/C/FRA/CO/7-8 (2016).</w:t>
      </w:r>
    </w:p>
  </w:endnote>
  <w:endnote w:id="722">
    <w:p w14:paraId="063E3F4E" w14:textId="3057151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Tuvalu</w:t>
      </w:r>
      <w:r w:rsidRPr="00AC72B5">
        <w:rPr>
          <w:w w:val="98"/>
        </w:rPr>
        <w:t>, ¶ 31, Doc. ONU</w:t>
      </w:r>
      <w:r w:rsidRPr="00AC72B5">
        <w:rPr>
          <w:i/>
          <w:w w:val="98"/>
        </w:rPr>
        <w:t xml:space="preserve"> </w:t>
      </w:r>
      <w:r w:rsidRPr="00AC72B5">
        <w:rPr>
          <w:w w:val="98"/>
        </w:rPr>
        <w:t xml:space="preserve">CEDAW/C/TUV/CO/3-4 (2015); </w:t>
      </w:r>
      <w:r w:rsidRPr="00AC72B5">
        <w:rPr>
          <w:rFonts w:eastAsia="MS Mincho"/>
          <w:i/>
          <w:w w:val="98"/>
        </w:rPr>
        <w:t>Islas Salomón</w:t>
      </w:r>
      <w:r w:rsidRPr="00AC72B5">
        <w:rPr>
          <w:rFonts w:eastAsia="MS Mincho"/>
          <w:w w:val="98"/>
        </w:rPr>
        <w:t xml:space="preserve">, </w:t>
      </w:r>
      <w:r w:rsidRPr="00AC72B5">
        <w:rPr>
          <w:w w:val="98"/>
        </w:rPr>
        <w:t xml:space="preserve">¶ 37, </w:t>
      </w:r>
      <w:r w:rsidRPr="00AC72B5">
        <w:rPr>
          <w:rFonts w:eastAsia="MS Mincho"/>
          <w:w w:val="98"/>
        </w:rPr>
        <w:t xml:space="preserve">Doc. ONU </w:t>
      </w:r>
      <w:r w:rsidRPr="00AC72B5">
        <w:rPr>
          <w:w w:val="98"/>
        </w:rPr>
        <w:t>CEDAW/C/SLB/CO/1-3 (2014).</w:t>
      </w:r>
    </w:p>
  </w:endnote>
  <w:endnote w:id="723">
    <w:p w14:paraId="1D0F459E" w14:textId="3EC9E81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Haití</w:t>
      </w:r>
      <w:r w:rsidRPr="00AC72B5">
        <w:rPr>
          <w:w w:val="98"/>
        </w:rPr>
        <w:t xml:space="preserve">, ¶ 34, Doc. ONU </w:t>
      </w:r>
      <w:r w:rsidRPr="00AC72B5">
        <w:rPr>
          <w:rFonts w:eastAsia="MS Mincho"/>
          <w:w w:val="98"/>
        </w:rPr>
        <w:t>CEDAW/C/HTI/CO/8-9 (2016).</w:t>
      </w:r>
    </w:p>
  </w:endnote>
  <w:endnote w:id="724">
    <w:p w14:paraId="6DEE6D4D" w14:textId="1941B64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India</w:t>
      </w:r>
      <w:r w:rsidRPr="00AC72B5">
        <w:rPr>
          <w:w w:val="98"/>
        </w:rPr>
        <w:t>, ¶ 31, Doc. ONU CEDAW/C/IND/CO/4-5 (2014).</w:t>
      </w:r>
    </w:p>
  </w:endnote>
  <w:endnote w:id="725">
    <w:p w14:paraId="5FA48B5E" w14:textId="5439491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Nepal</w:t>
      </w:r>
      <w:r w:rsidRPr="00AC72B5">
        <w:rPr>
          <w:w w:val="98"/>
        </w:rPr>
        <w:t>, ¶ 32, Doc. ONU CEDAW/C/NPL/CO/4-5 (2011).</w:t>
      </w:r>
    </w:p>
  </w:endnote>
  <w:endnote w:id="726">
    <w:p w14:paraId="74DECA16" w14:textId="4EB2818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Grecia</w:t>
      </w:r>
      <w:r w:rsidRPr="00AC72B5">
        <w:rPr>
          <w:rFonts w:eastAsia="MS Mincho"/>
          <w:w w:val="98"/>
        </w:rPr>
        <w:t>,</w:t>
      </w:r>
      <w:r w:rsidRPr="00AC72B5">
        <w:rPr>
          <w:rFonts w:eastAsia="MS Mincho"/>
          <w:i/>
          <w:w w:val="98"/>
        </w:rPr>
        <w:t xml:space="preserve"> </w:t>
      </w:r>
      <w:r w:rsidRPr="00AC72B5">
        <w:rPr>
          <w:w w:val="98"/>
        </w:rPr>
        <w:t>¶ 30</w:t>
      </w:r>
      <w:r w:rsidRPr="00AC72B5">
        <w:rPr>
          <w:rFonts w:eastAsia="MS Mincho"/>
          <w:w w:val="98"/>
        </w:rPr>
        <w:t xml:space="preserve">, Doc. ONU </w:t>
      </w:r>
      <w:r w:rsidRPr="00AC72B5">
        <w:rPr>
          <w:w w:val="98"/>
        </w:rPr>
        <w:t>CEDAW/C/GRC/CO/7 (2013).</w:t>
      </w:r>
    </w:p>
  </w:endnote>
  <w:endnote w:id="727">
    <w:p w14:paraId="70014840" w14:textId="3EC4806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República Checa</w:t>
      </w:r>
      <w:r w:rsidRPr="00AC72B5">
        <w:rPr>
          <w:w w:val="98"/>
        </w:rPr>
        <w:t>, ¶ 30, Doc. ONU</w:t>
      </w:r>
      <w:r w:rsidRPr="00AC72B5">
        <w:rPr>
          <w:i/>
          <w:w w:val="98"/>
        </w:rPr>
        <w:t xml:space="preserve"> </w:t>
      </w:r>
      <w:r w:rsidRPr="00AC72B5">
        <w:rPr>
          <w:rFonts w:eastAsia="MS Mincho"/>
          <w:w w:val="98"/>
        </w:rPr>
        <w:t xml:space="preserve">CEDAW/C/CZE/CO/6 (2016); </w:t>
      </w:r>
      <w:r w:rsidRPr="00AC72B5">
        <w:rPr>
          <w:i/>
          <w:w w:val="98"/>
        </w:rPr>
        <w:t>Eslovaquia</w:t>
      </w:r>
      <w:r w:rsidRPr="00AC72B5">
        <w:rPr>
          <w:w w:val="98"/>
        </w:rPr>
        <w:t xml:space="preserve">, ¶ 30, Doc. ONU </w:t>
      </w:r>
      <w:r w:rsidRPr="00AC72B5">
        <w:rPr>
          <w:rFonts w:eastAsia="MS Mincho"/>
          <w:w w:val="98"/>
        </w:rPr>
        <w:t xml:space="preserve">CEDAW/C/SVK/CO/5-6 (2015); </w:t>
      </w:r>
      <w:r w:rsidRPr="00AC72B5">
        <w:rPr>
          <w:rFonts w:eastAsia="MS Mincho"/>
          <w:i/>
          <w:w w:val="98"/>
        </w:rPr>
        <w:t>Portugal</w:t>
      </w:r>
      <w:r w:rsidRPr="00AC72B5">
        <w:rPr>
          <w:rFonts w:eastAsia="MS Mincho"/>
          <w:w w:val="98"/>
        </w:rPr>
        <w:t xml:space="preserve">, </w:t>
      </w:r>
      <w:r w:rsidRPr="00AC72B5">
        <w:rPr>
          <w:w w:val="98"/>
        </w:rPr>
        <w:t>¶ 36</w:t>
      </w:r>
      <w:r w:rsidRPr="00AC72B5">
        <w:rPr>
          <w:rFonts w:eastAsia="MS Mincho"/>
          <w:w w:val="98"/>
        </w:rPr>
        <w:t xml:space="preserve">, Doc. ONU CEDAW/C/PRT/CO/8-9 (2015); </w:t>
      </w:r>
      <w:r w:rsidRPr="00AC72B5">
        <w:rPr>
          <w:i/>
          <w:w w:val="98"/>
        </w:rPr>
        <w:t>Croacia</w:t>
      </w:r>
      <w:r w:rsidRPr="00AC72B5">
        <w:rPr>
          <w:w w:val="98"/>
        </w:rPr>
        <w:t>, ¶ 30, Doc. ONU CEDAW/C/HRV/CO/4-5 (2015).</w:t>
      </w:r>
    </w:p>
  </w:endnote>
  <w:endnote w:id="728">
    <w:p w14:paraId="60D86BD5" w14:textId="0A31919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República Checa</w:t>
      </w:r>
      <w:r w:rsidRPr="00AC72B5">
        <w:rPr>
          <w:w w:val="98"/>
        </w:rPr>
        <w:t>, ¶ 30, Doc. ONU</w:t>
      </w:r>
      <w:r w:rsidRPr="00AC72B5">
        <w:rPr>
          <w:i/>
          <w:w w:val="98"/>
        </w:rPr>
        <w:t xml:space="preserve"> </w:t>
      </w:r>
      <w:r w:rsidRPr="00AC72B5">
        <w:rPr>
          <w:rFonts w:eastAsia="MS Mincho"/>
          <w:w w:val="98"/>
        </w:rPr>
        <w:t xml:space="preserve">CEDAW/C/CZE/CO/6 (2016); </w:t>
      </w:r>
      <w:r w:rsidRPr="00AC72B5">
        <w:rPr>
          <w:i/>
          <w:w w:val="98"/>
        </w:rPr>
        <w:t>Hungría</w:t>
      </w:r>
      <w:r w:rsidRPr="00AC72B5">
        <w:rPr>
          <w:w w:val="98"/>
        </w:rPr>
        <w:t>, ¶ 30, Doc. ONU CEDAW/C/HUN/CO/7-8 (2013).</w:t>
      </w:r>
    </w:p>
  </w:endnote>
  <w:endnote w:id="729">
    <w:p w14:paraId="15E30189" w14:textId="6539127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w:t>
      </w:r>
      <w:r>
        <w:rPr>
          <w:w w:val="98"/>
        </w:rPr>
        <w:t xml:space="preserve"> </w:t>
      </w:r>
      <w:r w:rsidRPr="00AC72B5">
        <w:rPr>
          <w:w w:val="98"/>
        </w:rPr>
        <w:t xml:space="preserve">CEDAW, </w:t>
      </w:r>
      <w:r w:rsidRPr="00AC72B5">
        <w:rPr>
          <w:i/>
          <w:w w:val="98"/>
        </w:rPr>
        <w:t>Observaciones Finales: Portugal</w:t>
      </w:r>
      <w:r w:rsidRPr="00AC72B5">
        <w:rPr>
          <w:w w:val="98"/>
        </w:rPr>
        <w:t>, ¶ 36, Doc. ONU CEDAW/C/PRT/CO/8-9 (2015).</w:t>
      </w:r>
    </w:p>
  </w:endnote>
  <w:endnote w:id="730">
    <w:p w14:paraId="25B9CA1B" w14:textId="6061820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República Checa</w:t>
      </w:r>
      <w:r w:rsidRPr="00AC72B5">
        <w:rPr>
          <w:w w:val="98"/>
        </w:rPr>
        <w:t>, ¶ 30, Doc. ONU</w:t>
      </w:r>
      <w:r w:rsidRPr="00AC72B5">
        <w:rPr>
          <w:i/>
          <w:w w:val="98"/>
        </w:rPr>
        <w:t xml:space="preserve"> </w:t>
      </w:r>
      <w:r w:rsidRPr="00AC72B5">
        <w:rPr>
          <w:rFonts w:eastAsia="MS Mincho"/>
          <w:w w:val="98"/>
        </w:rPr>
        <w:t>CEDAW/C/CZE/CO/6 (2016).</w:t>
      </w:r>
    </w:p>
  </w:endnote>
  <w:endnote w:id="731">
    <w:p w14:paraId="37D467A4" w14:textId="7BFFF13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Grecia</w:t>
      </w:r>
      <w:r w:rsidRPr="00AC72B5">
        <w:rPr>
          <w:rFonts w:eastAsia="MS Mincho"/>
          <w:w w:val="98"/>
        </w:rPr>
        <w:t xml:space="preserve">, </w:t>
      </w:r>
      <w:r w:rsidRPr="00AC72B5">
        <w:rPr>
          <w:w w:val="98"/>
        </w:rPr>
        <w:t xml:space="preserve">¶ 31, </w:t>
      </w:r>
      <w:r w:rsidRPr="00AC72B5">
        <w:rPr>
          <w:rFonts w:eastAsia="MS Mincho"/>
          <w:w w:val="98"/>
        </w:rPr>
        <w:t xml:space="preserve">Doc. ONU </w:t>
      </w:r>
      <w:r w:rsidRPr="00AC72B5">
        <w:rPr>
          <w:w w:val="98"/>
        </w:rPr>
        <w:t>CEDAW/C/GRC/CO/7 (2013).</w:t>
      </w:r>
    </w:p>
  </w:endnote>
  <w:endnote w:id="732">
    <w:p w14:paraId="60EBC8CD" w14:textId="49AE15D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República Checa</w:t>
      </w:r>
      <w:r w:rsidRPr="00AC72B5">
        <w:rPr>
          <w:w w:val="98"/>
        </w:rPr>
        <w:t>, ¶ 31, Doc. ONU</w:t>
      </w:r>
      <w:r w:rsidRPr="00AC72B5">
        <w:rPr>
          <w:i/>
          <w:w w:val="98"/>
        </w:rPr>
        <w:t xml:space="preserve"> </w:t>
      </w:r>
      <w:r w:rsidRPr="00AC72B5">
        <w:rPr>
          <w:rFonts w:eastAsia="MS Mincho"/>
          <w:w w:val="98"/>
        </w:rPr>
        <w:t>CEDAW/C/CZE/CO/6 (2016).</w:t>
      </w:r>
    </w:p>
  </w:endnote>
  <w:endnote w:id="733">
    <w:p w14:paraId="0E323CE4" w14:textId="27525DA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República Checa</w:t>
      </w:r>
      <w:r w:rsidRPr="00AC72B5">
        <w:rPr>
          <w:w w:val="98"/>
        </w:rPr>
        <w:t>, ¶ 31, Doc. ONU</w:t>
      </w:r>
      <w:r w:rsidRPr="00AC72B5">
        <w:rPr>
          <w:i/>
          <w:w w:val="98"/>
        </w:rPr>
        <w:t xml:space="preserve"> </w:t>
      </w:r>
      <w:r w:rsidRPr="00AC72B5">
        <w:rPr>
          <w:rFonts w:eastAsia="MS Mincho"/>
          <w:w w:val="98"/>
        </w:rPr>
        <w:t xml:space="preserve">CEDAW/C/CZE/CO/6 (2016); </w:t>
      </w:r>
      <w:r w:rsidRPr="00AC72B5">
        <w:rPr>
          <w:i/>
          <w:w w:val="98"/>
        </w:rPr>
        <w:t>Croacia</w:t>
      </w:r>
      <w:r w:rsidRPr="00AC72B5">
        <w:rPr>
          <w:w w:val="98"/>
        </w:rPr>
        <w:t xml:space="preserve">, ¶ 31, Doc. ONU CEDAW/C/HRV/CO/4-5 (2015); </w:t>
      </w:r>
      <w:r w:rsidRPr="00AC72B5">
        <w:rPr>
          <w:rFonts w:eastAsia="MS Mincho"/>
          <w:i/>
          <w:w w:val="98"/>
        </w:rPr>
        <w:t>Hungría</w:t>
      </w:r>
      <w:r w:rsidRPr="00AC72B5">
        <w:rPr>
          <w:rFonts w:eastAsia="MS Mincho"/>
          <w:w w:val="98"/>
        </w:rPr>
        <w:t xml:space="preserve">, </w:t>
      </w:r>
      <w:r w:rsidRPr="00AC72B5">
        <w:rPr>
          <w:w w:val="98"/>
        </w:rPr>
        <w:t xml:space="preserve">¶ 31, </w:t>
      </w:r>
      <w:r w:rsidRPr="00AC72B5">
        <w:rPr>
          <w:rFonts w:eastAsia="MS Mincho"/>
          <w:w w:val="98"/>
        </w:rPr>
        <w:t xml:space="preserve">Doc. ONU </w:t>
      </w:r>
      <w:r w:rsidRPr="00AC72B5">
        <w:rPr>
          <w:w w:val="98"/>
        </w:rPr>
        <w:t>CEDAW/C/HUN/CO/7-8</w:t>
      </w:r>
      <w:r w:rsidRPr="00AC72B5">
        <w:rPr>
          <w:rFonts w:eastAsia="MS Mincho"/>
          <w:w w:val="98"/>
        </w:rPr>
        <w:t xml:space="preserve"> (2013).</w:t>
      </w:r>
    </w:p>
  </w:endnote>
  <w:endnote w:id="734">
    <w:p w14:paraId="1D275CD1" w14:textId="5523F91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Croacia</w:t>
      </w:r>
      <w:r w:rsidRPr="00AC72B5">
        <w:rPr>
          <w:w w:val="98"/>
        </w:rPr>
        <w:t>, ¶ 31, Doc. ONU CEDAW/C/HRV/CO/4-5 (2015).</w:t>
      </w:r>
    </w:p>
  </w:endnote>
  <w:endnote w:id="735">
    <w:p w14:paraId="5153B106" w14:textId="06794C7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w:t>
      </w:r>
      <w:r w:rsidRPr="00AC72B5">
        <w:rPr>
          <w:i/>
          <w:w w:val="98"/>
        </w:rPr>
        <w:t xml:space="preserve"> </w:t>
      </w:r>
      <w:r w:rsidRPr="00AC72B5">
        <w:rPr>
          <w:w w:val="98"/>
        </w:rPr>
        <w:t xml:space="preserve">Comité CEDAW, </w:t>
      </w:r>
      <w:r w:rsidRPr="00AC72B5">
        <w:rPr>
          <w:i/>
          <w:w w:val="98"/>
        </w:rPr>
        <w:t>Observaciones Finales: Haití</w:t>
      </w:r>
      <w:r w:rsidRPr="00AC72B5">
        <w:rPr>
          <w:w w:val="98"/>
        </w:rPr>
        <w:t xml:space="preserve">, ¶ 33, Doc. ONU CEDAW/C/HTI/CO/8-9 (2016); </w:t>
      </w:r>
      <w:r w:rsidRPr="00AC72B5">
        <w:rPr>
          <w:i/>
          <w:w w:val="98"/>
        </w:rPr>
        <w:t>República Unida de Tanzania</w:t>
      </w:r>
      <w:r w:rsidRPr="00AC72B5">
        <w:rPr>
          <w:w w:val="98"/>
        </w:rPr>
        <w:t xml:space="preserve">, ¶ 34, Doc. ONU CEDAW/C/TZA/CO/7-8 (2016); </w:t>
      </w:r>
      <w:r w:rsidRPr="00AC72B5">
        <w:rPr>
          <w:i/>
          <w:w w:val="98"/>
        </w:rPr>
        <w:t>Bolivia</w:t>
      </w:r>
      <w:r w:rsidRPr="00AC72B5">
        <w:rPr>
          <w:w w:val="98"/>
        </w:rPr>
        <w:t xml:space="preserve">, ¶ 28, Doc. ONU CEDAW/C/BOL/CO/5-6 (2015); </w:t>
      </w:r>
      <w:r w:rsidRPr="00AC72B5">
        <w:rPr>
          <w:i/>
          <w:w w:val="98"/>
        </w:rPr>
        <w:t>Gabón</w:t>
      </w:r>
      <w:r w:rsidRPr="00AC72B5">
        <w:rPr>
          <w:w w:val="98"/>
        </w:rPr>
        <w:t xml:space="preserve">, ¶ 34, Doc. ONU CEDAW/C/GAB/CO/6 (2015); </w:t>
      </w:r>
      <w:r w:rsidRPr="00AC72B5">
        <w:rPr>
          <w:i/>
          <w:w w:val="98"/>
        </w:rPr>
        <w:t>Gambia</w:t>
      </w:r>
      <w:r w:rsidRPr="00AC72B5">
        <w:rPr>
          <w:w w:val="98"/>
        </w:rPr>
        <w:t xml:space="preserve">, ¶ 36, Doc. ONU CEDAW/C/GMB/CO/4-5 (2015); </w:t>
      </w:r>
      <w:r w:rsidRPr="00AC72B5">
        <w:rPr>
          <w:i/>
          <w:w w:val="98"/>
        </w:rPr>
        <w:t>India</w:t>
      </w:r>
      <w:r w:rsidRPr="00AC72B5">
        <w:rPr>
          <w:w w:val="98"/>
        </w:rPr>
        <w:t xml:space="preserve">, ¶ 30, Doc. ONU CEDAW/C/IND/CO/4-5 (2014); </w:t>
      </w:r>
      <w:r w:rsidRPr="00AC72B5">
        <w:rPr>
          <w:i/>
          <w:w w:val="98"/>
        </w:rPr>
        <w:t>República Dominicana</w:t>
      </w:r>
      <w:r w:rsidRPr="00AC72B5">
        <w:rPr>
          <w:w w:val="98"/>
        </w:rPr>
        <w:t xml:space="preserve">, ¶ 36, Doc. ONU CEDAW/C/DOM/CO/6-7 (2014); </w:t>
      </w:r>
      <w:r w:rsidRPr="00AC72B5">
        <w:rPr>
          <w:i/>
          <w:w w:val="98"/>
        </w:rPr>
        <w:t>República Centroafricana</w:t>
      </w:r>
      <w:r w:rsidRPr="00AC72B5">
        <w:rPr>
          <w:w w:val="98"/>
        </w:rPr>
        <w:t xml:space="preserve">, ¶ 39, Doc. ONU CEDAW/C/CAF/CO/1-5 (2014); </w:t>
      </w:r>
      <w:r w:rsidRPr="00AC72B5">
        <w:rPr>
          <w:i/>
          <w:w w:val="98"/>
        </w:rPr>
        <w:t>Venezuela</w:t>
      </w:r>
      <w:r w:rsidRPr="00AC72B5">
        <w:rPr>
          <w:w w:val="98"/>
        </w:rPr>
        <w:t xml:space="preserve">, 30, Doc. ONU CEDAW/C/VEN/CO/7-8 (2014); </w:t>
      </w:r>
      <w:r w:rsidRPr="00AC72B5">
        <w:rPr>
          <w:i/>
          <w:w w:val="98"/>
        </w:rPr>
        <w:t>Afganistán</w:t>
      </w:r>
      <w:r w:rsidRPr="00AC72B5">
        <w:rPr>
          <w:w w:val="98"/>
        </w:rPr>
        <w:t xml:space="preserve">, ¶ 36, Doc. ONU CEDAW/C/AFG/CO/1-2 (2013); </w:t>
      </w:r>
      <w:r w:rsidRPr="00AC72B5">
        <w:rPr>
          <w:i/>
          <w:w w:val="98"/>
        </w:rPr>
        <w:t>Yibuti</w:t>
      </w:r>
      <w:r w:rsidRPr="00AC72B5">
        <w:rPr>
          <w:w w:val="98"/>
        </w:rPr>
        <w:t xml:space="preserve">, ¶ 30, Doc. ONU CEDAW/C/DJI/CO/1-3 (2011); </w:t>
      </w:r>
      <w:r w:rsidRPr="00AC72B5">
        <w:rPr>
          <w:i/>
          <w:w w:val="98"/>
        </w:rPr>
        <w:t>Uganda</w:t>
      </w:r>
      <w:r w:rsidRPr="00AC72B5">
        <w:rPr>
          <w:w w:val="98"/>
        </w:rPr>
        <w:t xml:space="preserve">, ¶ 35, Doc. ONU CEDAW/C/UGA/CO/7 (2010); </w:t>
      </w:r>
      <w:r w:rsidRPr="00AC72B5">
        <w:rPr>
          <w:i/>
          <w:w w:val="98"/>
        </w:rPr>
        <w:t>Indonesia</w:t>
      </w:r>
      <w:r w:rsidRPr="00AC72B5">
        <w:rPr>
          <w:w w:val="98"/>
        </w:rPr>
        <w:t xml:space="preserve">, ¶ 36, Doc. ONU CEDAW/C/IDN/CO/5 (2007); </w:t>
      </w:r>
      <w:r w:rsidRPr="00AC72B5">
        <w:rPr>
          <w:i/>
          <w:w w:val="98"/>
        </w:rPr>
        <w:t>Nicaragua</w:t>
      </w:r>
      <w:r w:rsidRPr="00AC72B5">
        <w:rPr>
          <w:w w:val="98"/>
        </w:rPr>
        <w:t xml:space="preserve">, ¶ 17, Doc. ONU CEDAW/C/NIC/CO/6 (2007); </w:t>
      </w:r>
      <w:r w:rsidRPr="00AC72B5">
        <w:rPr>
          <w:i/>
          <w:w w:val="98"/>
        </w:rPr>
        <w:t>Moldavia</w:t>
      </w:r>
      <w:r w:rsidRPr="00AC72B5">
        <w:rPr>
          <w:w w:val="98"/>
        </w:rPr>
        <w:t>, ¶ 30, Doc. ONU CEDAW/C/MDA/CO/3 (2006).</w:t>
      </w:r>
    </w:p>
  </w:endnote>
  <w:endnote w:id="736">
    <w:p w14:paraId="10BB7216" w14:textId="2CC2A77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Mali</w:t>
      </w:r>
      <w:r w:rsidRPr="00AC72B5">
        <w:rPr>
          <w:w w:val="98"/>
        </w:rPr>
        <w:t xml:space="preserve">, ¶ 33, Doc. ONU </w:t>
      </w:r>
      <w:r w:rsidRPr="00AC72B5">
        <w:rPr>
          <w:rFonts w:eastAsia="MS Mincho"/>
          <w:w w:val="98"/>
        </w:rPr>
        <w:t xml:space="preserve">CEDAW/C/MLI/CO/6-7 (2016); </w:t>
      </w:r>
      <w:r w:rsidRPr="00AC72B5">
        <w:rPr>
          <w:i/>
          <w:w w:val="98"/>
        </w:rPr>
        <w:t>Vietnam</w:t>
      </w:r>
      <w:r w:rsidRPr="00AC72B5">
        <w:rPr>
          <w:w w:val="98"/>
        </w:rPr>
        <w:t xml:space="preserve">, ¶ 32, Doc. ONU CEDAW/C/VNM/CO/7-8 (2015); </w:t>
      </w:r>
      <w:r w:rsidRPr="00AC72B5">
        <w:rPr>
          <w:i/>
          <w:w w:val="98"/>
        </w:rPr>
        <w:t>Nepal</w:t>
      </w:r>
      <w:r w:rsidRPr="00AC72B5">
        <w:rPr>
          <w:w w:val="98"/>
        </w:rPr>
        <w:t>, ¶ 31, Doc. ONU CEDAW/C/NPL/CO/4-5 (2011).</w:t>
      </w:r>
    </w:p>
  </w:endnote>
  <w:endnote w:id="737">
    <w:p w14:paraId="6C5F8FAC" w14:textId="4FBEADA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w:t>
      </w:r>
      <w:r w:rsidRPr="00AC72B5">
        <w:rPr>
          <w:i/>
          <w:w w:val="98"/>
        </w:rPr>
        <w:t xml:space="preserve"> </w:t>
      </w:r>
      <w:r w:rsidRPr="00AC72B5">
        <w:rPr>
          <w:w w:val="98"/>
        </w:rPr>
        <w:t xml:space="preserve">Comité CEDAW, </w:t>
      </w:r>
      <w:r w:rsidRPr="00AC72B5">
        <w:rPr>
          <w:i/>
          <w:w w:val="98"/>
        </w:rPr>
        <w:t>Observaciones Finales: Vietnam</w:t>
      </w:r>
      <w:r w:rsidRPr="00AC72B5">
        <w:rPr>
          <w:w w:val="98"/>
        </w:rPr>
        <w:t xml:space="preserve">, ¶ 32, Doc. ONU CEDAW/C/VNM/CO/7-8 (2015); </w:t>
      </w:r>
      <w:r w:rsidRPr="00AC72B5">
        <w:rPr>
          <w:i/>
          <w:w w:val="98"/>
        </w:rPr>
        <w:t>Kirguistán</w:t>
      </w:r>
      <w:r w:rsidRPr="00AC72B5">
        <w:rPr>
          <w:w w:val="98"/>
        </w:rPr>
        <w:t xml:space="preserve">, ¶ 29, Doc. ONU CEDAW/C/KGZ/CO/4 (2015); </w:t>
      </w:r>
      <w:r w:rsidRPr="00AC72B5">
        <w:rPr>
          <w:i/>
          <w:w w:val="98"/>
        </w:rPr>
        <w:t>Indonesia</w:t>
      </w:r>
      <w:r w:rsidRPr="00AC72B5">
        <w:rPr>
          <w:w w:val="98"/>
        </w:rPr>
        <w:t xml:space="preserve">, ¶ 41, Doc. ONU CEDAW/C/IDN/CO/6-7 (2012); </w:t>
      </w:r>
      <w:r w:rsidRPr="00AC72B5">
        <w:rPr>
          <w:i/>
          <w:w w:val="98"/>
        </w:rPr>
        <w:t>Nepal</w:t>
      </w:r>
      <w:r w:rsidRPr="00AC72B5">
        <w:rPr>
          <w:w w:val="98"/>
        </w:rPr>
        <w:t xml:space="preserve">, ¶ 31, Doc. ONU CEDAW/C/NPL/CO/4-5 (2011); </w:t>
      </w:r>
      <w:r w:rsidRPr="00AC72B5">
        <w:rPr>
          <w:i/>
          <w:w w:val="98"/>
        </w:rPr>
        <w:t>India</w:t>
      </w:r>
      <w:r w:rsidRPr="00AC72B5">
        <w:rPr>
          <w:w w:val="98"/>
        </w:rPr>
        <w:t xml:space="preserve">, ¶ 40, Doc. ONU CEDAW/C/IND/CO/3 (2007); </w:t>
      </w:r>
      <w:r w:rsidRPr="00AC72B5">
        <w:rPr>
          <w:rFonts w:eastAsia="MS Mincho"/>
          <w:i/>
          <w:w w:val="98"/>
        </w:rPr>
        <w:t>Moldavia</w:t>
      </w:r>
      <w:r w:rsidRPr="00AC72B5">
        <w:rPr>
          <w:rFonts w:eastAsia="MS Mincho"/>
          <w:w w:val="98"/>
        </w:rPr>
        <w:t>,</w:t>
      </w:r>
      <w:r w:rsidRPr="00AC72B5">
        <w:rPr>
          <w:rFonts w:eastAsia="MS Mincho"/>
          <w:i/>
          <w:w w:val="98"/>
        </w:rPr>
        <w:t xml:space="preserve"> </w:t>
      </w:r>
      <w:r w:rsidRPr="00AC72B5">
        <w:rPr>
          <w:w w:val="98"/>
        </w:rPr>
        <w:t>¶ 30</w:t>
      </w:r>
      <w:r w:rsidRPr="00AC72B5">
        <w:rPr>
          <w:rFonts w:eastAsia="MS Mincho"/>
          <w:w w:val="98"/>
        </w:rPr>
        <w:t xml:space="preserve">, Doc. ONU </w:t>
      </w:r>
      <w:r w:rsidRPr="00AC72B5">
        <w:rPr>
          <w:w w:val="98"/>
        </w:rPr>
        <w:t>CEDAW/C/MDA/CO/3 (2006).</w:t>
      </w:r>
    </w:p>
  </w:endnote>
  <w:endnote w:id="738">
    <w:p w14:paraId="2F0734C1" w14:textId="6FC3199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w:t>
      </w:r>
      <w:r w:rsidRPr="00AC72B5">
        <w:rPr>
          <w:i/>
          <w:w w:val="98"/>
        </w:rPr>
        <w:t xml:space="preserve"> </w:t>
      </w:r>
      <w:r w:rsidRPr="00AC72B5">
        <w:rPr>
          <w:w w:val="98"/>
        </w:rPr>
        <w:t xml:space="preserve">Comité CEDAW, </w:t>
      </w:r>
      <w:r w:rsidRPr="00AC72B5">
        <w:rPr>
          <w:i/>
          <w:w w:val="98"/>
        </w:rPr>
        <w:t>Observaciones Finales: Trinidad y Tobago</w:t>
      </w:r>
      <w:r w:rsidRPr="00AC72B5">
        <w:rPr>
          <w:w w:val="98"/>
        </w:rPr>
        <w:t xml:space="preserve">, ¶ 32, Doc. ONU CEDAW/C/TTO/CO/4-7 (2016); </w:t>
      </w:r>
      <w:r w:rsidRPr="00AC72B5">
        <w:rPr>
          <w:i/>
          <w:w w:val="98"/>
        </w:rPr>
        <w:t>Myanmar</w:t>
      </w:r>
      <w:r w:rsidRPr="00AC72B5">
        <w:rPr>
          <w:w w:val="98"/>
        </w:rPr>
        <w:t xml:space="preserve">, ¶ 38, Doc. ONU </w:t>
      </w:r>
      <w:r w:rsidRPr="00AC72B5">
        <w:rPr>
          <w:rFonts w:eastAsia="MS Mincho"/>
          <w:w w:val="98"/>
        </w:rPr>
        <w:t xml:space="preserve">CEDAW/C/MMR/CO/4-5 (2016); </w:t>
      </w:r>
      <w:r w:rsidRPr="00AC72B5">
        <w:rPr>
          <w:rFonts w:eastAsia="MS Mincho"/>
          <w:i/>
          <w:w w:val="98"/>
        </w:rPr>
        <w:t>India</w:t>
      </w:r>
      <w:r w:rsidRPr="00AC72B5">
        <w:rPr>
          <w:rFonts w:eastAsia="MS Mincho"/>
          <w:w w:val="98"/>
        </w:rPr>
        <w:t xml:space="preserve">, </w:t>
      </w:r>
      <w:r w:rsidRPr="00AC72B5">
        <w:rPr>
          <w:w w:val="98"/>
        </w:rPr>
        <w:t>¶ 30</w:t>
      </w:r>
      <w:r w:rsidRPr="00AC72B5">
        <w:rPr>
          <w:rFonts w:eastAsia="MS Mincho"/>
          <w:w w:val="98"/>
        </w:rPr>
        <w:t xml:space="preserve">, Doc. ONU CEDAW/C/IND/CO/4-5 (2014); </w:t>
      </w:r>
      <w:r w:rsidRPr="00AC72B5">
        <w:rPr>
          <w:rFonts w:eastAsia="MS Mincho"/>
          <w:i/>
          <w:w w:val="98"/>
        </w:rPr>
        <w:t>Swazilandia</w:t>
      </w:r>
      <w:r w:rsidRPr="00AC72B5">
        <w:rPr>
          <w:rFonts w:eastAsia="MS Mincho"/>
          <w:w w:val="98"/>
        </w:rPr>
        <w:t xml:space="preserve">, </w:t>
      </w:r>
      <w:r w:rsidRPr="00AC72B5">
        <w:rPr>
          <w:w w:val="98"/>
        </w:rPr>
        <w:t>¶ 34</w:t>
      </w:r>
      <w:r w:rsidRPr="00AC72B5">
        <w:rPr>
          <w:rFonts w:eastAsia="MS Mincho"/>
          <w:w w:val="98"/>
        </w:rPr>
        <w:t xml:space="preserve">, Doc. ONU CEDAW/C/SWZ/CO/1-2 (2014); </w:t>
      </w:r>
      <w:r w:rsidRPr="00AC72B5">
        <w:rPr>
          <w:rFonts w:eastAsia="MS Mincho"/>
          <w:i/>
          <w:w w:val="98"/>
        </w:rPr>
        <w:t>Sri Lanka</w:t>
      </w:r>
      <w:r w:rsidRPr="00AC72B5">
        <w:rPr>
          <w:rFonts w:eastAsia="MS Mincho"/>
          <w:w w:val="98"/>
        </w:rPr>
        <w:t xml:space="preserve">, </w:t>
      </w:r>
      <w:r w:rsidRPr="00AC72B5">
        <w:rPr>
          <w:w w:val="98"/>
        </w:rPr>
        <w:t xml:space="preserve">¶ 36, </w:t>
      </w:r>
      <w:r w:rsidRPr="00AC72B5">
        <w:rPr>
          <w:rFonts w:eastAsia="MS Mincho"/>
          <w:w w:val="98"/>
        </w:rPr>
        <w:t xml:space="preserve">Doc. ONU </w:t>
      </w:r>
      <w:r w:rsidRPr="00AC72B5">
        <w:rPr>
          <w:w w:val="98"/>
        </w:rPr>
        <w:t xml:space="preserve">CEDAW/C/LKA/CO/7 (2011); </w:t>
      </w:r>
      <w:r w:rsidRPr="00AC72B5">
        <w:rPr>
          <w:i/>
          <w:w w:val="98"/>
        </w:rPr>
        <w:t>Yibuti</w:t>
      </w:r>
      <w:r w:rsidRPr="00AC72B5">
        <w:rPr>
          <w:w w:val="98"/>
        </w:rPr>
        <w:t xml:space="preserve">, ¶ 30, Doc. ONU CEDAW/C/DJI/CO/1-3 (2011); </w:t>
      </w:r>
      <w:r w:rsidRPr="00AC72B5">
        <w:rPr>
          <w:i/>
          <w:w w:val="98"/>
        </w:rPr>
        <w:t>Paraguay</w:t>
      </w:r>
      <w:r w:rsidRPr="00AC72B5">
        <w:rPr>
          <w:w w:val="98"/>
        </w:rPr>
        <w:t xml:space="preserve">, ¶ 30, Doc. ONU CEDAW/C/PRY/CO/6 (2011); </w:t>
      </w:r>
      <w:r w:rsidRPr="00AC72B5">
        <w:rPr>
          <w:i/>
          <w:w w:val="98"/>
        </w:rPr>
        <w:t>Kenia</w:t>
      </w:r>
      <w:r w:rsidRPr="00AC72B5">
        <w:rPr>
          <w:w w:val="98"/>
        </w:rPr>
        <w:t xml:space="preserve">, ¶ 37, Doc. ONU CEDAW/C/KEN/CO/7 (2011); </w:t>
      </w:r>
      <w:r w:rsidRPr="00AC72B5">
        <w:rPr>
          <w:i/>
          <w:w w:val="98"/>
        </w:rPr>
        <w:t>Uganda</w:t>
      </w:r>
      <w:r w:rsidRPr="00AC72B5">
        <w:rPr>
          <w:w w:val="98"/>
        </w:rPr>
        <w:t xml:space="preserve">, ¶ 35, Doc. ONU CEDAW/C/UGA/CO/7 (2010); </w:t>
      </w:r>
      <w:r w:rsidRPr="00AC72B5">
        <w:rPr>
          <w:i/>
          <w:w w:val="98"/>
        </w:rPr>
        <w:t>Tuvalu</w:t>
      </w:r>
      <w:r w:rsidRPr="00AC72B5">
        <w:rPr>
          <w:w w:val="98"/>
        </w:rPr>
        <w:t xml:space="preserve">, ¶ 43, Doc. ONU CEDAW/C/TUV/CO/2 (2009); </w:t>
      </w:r>
      <w:r w:rsidRPr="00AC72B5">
        <w:rPr>
          <w:rFonts w:eastAsia="MS Mincho"/>
          <w:i/>
          <w:w w:val="98"/>
        </w:rPr>
        <w:t>Nicaragua</w:t>
      </w:r>
      <w:r w:rsidRPr="00AC72B5">
        <w:rPr>
          <w:rFonts w:eastAsia="MS Mincho"/>
          <w:w w:val="98"/>
        </w:rPr>
        <w:t xml:space="preserve">, </w:t>
      </w:r>
      <w:r w:rsidRPr="00AC72B5">
        <w:rPr>
          <w:w w:val="98"/>
        </w:rPr>
        <w:t>¶ 17</w:t>
      </w:r>
      <w:r w:rsidRPr="00AC72B5">
        <w:rPr>
          <w:rFonts w:eastAsia="MS Mincho"/>
          <w:w w:val="98"/>
        </w:rPr>
        <w:t xml:space="preserve">, Doc. ONU </w:t>
      </w:r>
      <w:r w:rsidRPr="00AC72B5">
        <w:rPr>
          <w:w w:val="98"/>
        </w:rPr>
        <w:t xml:space="preserve">CEDAW/C/NIC/CO/6 (2007); </w:t>
      </w:r>
      <w:r w:rsidRPr="00AC72B5">
        <w:rPr>
          <w:rFonts w:eastAsia="MS Mincho"/>
          <w:i/>
          <w:w w:val="98"/>
        </w:rPr>
        <w:t>Moldavia</w:t>
      </w:r>
      <w:r w:rsidRPr="00AC72B5">
        <w:rPr>
          <w:rFonts w:eastAsia="MS Mincho"/>
          <w:w w:val="98"/>
        </w:rPr>
        <w:t xml:space="preserve">, </w:t>
      </w:r>
      <w:r w:rsidRPr="00AC72B5">
        <w:rPr>
          <w:w w:val="98"/>
        </w:rPr>
        <w:t>¶ 30</w:t>
      </w:r>
      <w:r w:rsidRPr="00AC72B5">
        <w:rPr>
          <w:rFonts w:eastAsia="MS Mincho"/>
          <w:w w:val="98"/>
        </w:rPr>
        <w:t xml:space="preserve">, Doc. ONU </w:t>
      </w:r>
      <w:r w:rsidRPr="00AC72B5">
        <w:rPr>
          <w:w w:val="98"/>
        </w:rPr>
        <w:t xml:space="preserve">CEDAW/C/MDA/CO/3 (2006); </w:t>
      </w:r>
      <w:r w:rsidRPr="00AC72B5">
        <w:rPr>
          <w:i/>
          <w:w w:val="98"/>
        </w:rPr>
        <w:t>Filipinas</w:t>
      </w:r>
      <w:r w:rsidRPr="00AC72B5">
        <w:rPr>
          <w:w w:val="98"/>
        </w:rPr>
        <w:t>, ¶ 27, Doc. ONU CEDAW/C/PHI/CO/6 (2006).</w:t>
      </w:r>
    </w:p>
  </w:endnote>
  <w:endnote w:id="739">
    <w:p w14:paraId="72F822B9" w14:textId="50FEE0F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Yibuti</w:t>
      </w:r>
      <w:r w:rsidRPr="00AC72B5">
        <w:rPr>
          <w:w w:val="98"/>
        </w:rPr>
        <w:t>, ¶ 30, Doc. ONU CEDAW/C/DJI/CO/1-3 (2011).</w:t>
      </w:r>
    </w:p>
  </w:endnote>
  <w:endnote w:id="740">
    <w:p w14:paraId="378DE25F" w14:textId="7855B5D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Kirguistán</w:t>
      </w:r>
      <w:r w:rsidRPr="00AC72B5">
        <w:rPr>
          <w:w w:val="98"/>
        </w:rPr>
        <w:t xml:space="preserve">, ¶ 29, Doc. ONU CEDAW/C/KGZ/CO/4 (2015); </w:t>
      </w:r>
      <w:r w:rsidRPr="00AC72B5">
        <w:rPr>
          <w:i/>
          <w:w w:val="98"/>
        </w:rPr>
        <w:t>Ecuador</w:t>
      </w:r>
      <w:r w:rsidRPr="00AC72B5">
        <w:rPr>
          <w:w w:val="98"/>
        </w:rPr>
        <w:t xml:space="preserve">, ¶ 32, Doc. ONU CEDAW/C/ECU/CO/8-9 (2015); </w:t>
      </w:r>
      <w:r w:rsidRPr="00AC72B5">
        <w:rPr>
          <w:i/>
          <w:w w:val="98"/>
        </w:rPr>
        <w:t>Yibuti</w:t>
      </w:r>
      <w:r w:rsidRPr="00AC72B5">
        <w:rPr>
          <w:w w:val="98"/>
        </w:rPr>
        <w:t>, ¶ 30, Doc. ONU CEDAW/C/DJI/CO/1-3 (2011).</w:t>
      </w:r>
    </w:p>
  </w:endnote>
  <w:endnote w:id="741">
    <w:p w14:paraId="75DE0E91" w14:textId="6489B98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Kirguistán</w:t>
      </w:r>
      <w:r w:rsidRPr="00AC72B5">
        <w:rPr>
          <w:w w:val="98"/>
        </w:rPr>
        <w:t>, ¶ 29, Doc. ONU CEDAW/C/KGZ/CO/4 (2015).</w:t>
      </w:r>
    </w:p>
  </w:endnote>
  <w:endnote w:id="742">
    <w:p w14:paraId="42910FA3" w14:textId="298C710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Kenia</w:t>
      </w:r>
      <w:r w:rsidRPr="00AC72B5">
        <w:rPr>
          <w:w w:val="98"/>
        </w:rPr>
        <w:t>, ¶ 37, Doc. ONU CEDAW/C/KEN/CO/7 (2011).</w:t>
      </w:r>
    </w:p>
  </w:endnote>
  <w:endnote w:id="743">
    <w:p w14:paraId="6CECB7D6" w14:textId="22BC611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Nepal</w:t>
      </w:r>
      <w:r w:rsidRPr="00AC72B5">
        <w:rPr>
          <w:w w:val="98"/>
        </w:rPr>
        <w:t>, ¶ 31, Doc. ONU CEDAW/C/NPL/CO/4-5 (2011).</w:t>
      </w:r>
    </w:p>
  </w:endnote>
  <w:endnote w:id="744">
    <w:p w14:paraId="3483714E" w14:textId="5B2574F2" w:rsidR="005E3DDD" w:rsidRPr="00AC72B5" w:rsidRDefault="005E3DDD" w:rsidP="00AC72B5">
      <w:pPr>
        <w:pStyle w:val="EndnoteText"/>
        <w:rPr>
          <w:i/>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India</w:t>
      </w:r>
      <w:r w:rsidRPr="00AC72B5">
        <w:rPr>
          <w:w w:val="98"/>
        </w:rPr>
        <w:t>, ¶ 30, Doc. ONU CEDAW/C/IND/CO/4-5 (2014).</w:t>
      </w:r>
    </w:p>
  </w:endnote>
  <w:endnote w:id="745">
    <w:p w14:paraId="60031C57" w14:textId="5F95EA6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Liberia</w:t>
      </w:r>
      <w:r w:rsidRPr="00AC72B5">
        <w:rPr>
          <w:w w:val="98"/>
        </w:rPr>
        <w:t>, ¶ 39, Doc. ONU CEDAW/C/LBR/CO/7-8 (2015).</w:t>
      </w:r>
    </w:p>
  </w:endnote>
  <w:endnote w:id="746">
    <w:p w14:paraId="1CEBF9DD" w14:textId="60CC30D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India</w:t>
      </w:r>
      <w:r w:rsidRPr="00AC72B5">
        <w:rPr>
          <w:w w:val="98"/>
        </w:rPr>
        <w:t>, ¶ 30, Doc. ONU CEDAW/C/IND/CO/4-5 (2014).</w:t>
      </w:r>
    </w:p>
  </w:endnote>
  <w:endnote w:id="747">
    <w:p w14:paraId="6BDD5099" w14:textId="2E5697E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Azerbaiyán</w:t>
      </w:r>
      <w:r w:rsidRPr="00AC72B5">
        <w:rPr>
          <w:w w:val="98"/>
        </w:rPr>
        <w:t>, ¶ 32, Doc. ONU CEDAW/C/AZE/CO/5 (2015).</w:t>
      </w:r>
    </w:p>
  </w:endnote>
  <w:endnote w:id="748">
    <w:p w14:paraId="184A2EB4" w14:textId="7A755EC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Ucrania</w:t>
      </w:r>
      <w:r w:rsidRPr="00AC72B5">
        <w:rPr>
          <w:w w:val="98"/>
        </w:rPr>
        <w:t xml:space="preserve">, ¶ 39, Doc. ONU CEDAW/C/UKR/CO/7 (2010); </w:t>
      </w:r>
      <w:r w:rsidRPr="00AC72B5">
        <w:rPr>
          <w:i/>
          <w:w w:val="98"/>
        </w:rPr>
        <w:t>Armenia</w:t>
      </w:r>
      <w:r w:rsidRPr="00AC72B5">
        <w:rPr>
          <w:w w:val="98"/>
        </w:rPr>
        <w:t>, ¶ 34, Doc. ONU CEDAW/C/ARM/CO/4/Rev.1 (2009).</w:t>
      </w:r>
    </w:p>
  </w:endnote>
  <w:endnote w:id="749">
    <w:p w14:paraId="0D15A74C" w14:textId="0537321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Armenia</w:t>
      </w:r>
      <w:r w:rsidRPr="00AC72B5">
        <w:rPr>
          <w:w w:val="98"/>
        </w:rPr>
        <w:t>, ¶ 34, Doc. ONU CEDAW/C/ARM/CO/4/Rev.1 (2009).</w:t>
      </w:r>
    </w:p>
  </w:endnote>
  <w:endnote w:id="750">
    <w:p w14:paraId="728A053B" w14:textId="3F22A77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Indonesia</w:t>
      </w:r>
      <w:r w:rsidRPr="00AC72B5">
        <w:rPr>
          <w:w w:val="98"/>
        </w:rPr>
        <w:t>, ¶ 41, Doc. ONU CEDAW/C/IDN/CO/6-7 (2012).</w:t>
      </w:r>
    </w:p>
  </w:endnote>
  <w:endnote w:id="751">
    <w:p w14:paraId="7F22F2DA" w14:textId="0F474EC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w:t>
      </w:r>
      <w:r w:rsidRPr="00AC72B5">
        <w:rPr>
          <w:i/>
          <w:w w:val="98"/>
        </w:rPr>
        <w:t xml:space="preserve"> </w:t>
      </w:r>
      <w:r w:rsidRPr="00AC72B5">
        <w:rPr>
          <w:w w:val="98"/>
        </w:rPr>
        <w:t xml:space="preserve">Comité CEDAW, </w:t>
      </w:r>
      <w:r w:rsidRPr="00AC72B5">
        <w:rPr>
          <w:i/>
          <w:w w:val="98"/>
        </w:rPr>
        <w:t>Observaciones Finales: Mali</w:t>
      </w:r>
      <w:r w:rsidRPr="00AC72B5">
        <w:rPr>
          <w:w w:val="98"/>
        </w:rPr>
        <w:t xml:space="preserve">, ¶ 34, Doc. ONU </w:t>
      </w:r>
      <w:r w:rsidRPr="00AC72B5">
        <w:rPr>
          <w:rFonts w:eastAsia="MS Mincho"/>
          <w:w w:val="98"/>
        </w:rPr>
        <w:t xml:space="preserve">CEDAW/C/MLI/CO/6-7 (2016); </w:t>
      </w:r>
      <w:r w:rsidRPr="00AC72B5">
        <w:rPr>
          <w:i/>
          <w:w w:val="98"/>
        </w:rPr>
        <w:t>Haití</w:t>
      </w:r>
      <w:r w:rsidRPr="00AC72B5">
        <w:rPr>
          <w:w w:val="98"/>
        </w:rPr>
        <w:t xml:space="preserve">, ¶ 34, Doc. ONU </w:t>
      </w:r>
      <w:r w:rsidRPr="00AC72B5">
        <w:rPr>
          <w:rFonts w:eastAsia="MS Mincho"/>
          <w:w w:val="98"/>
        </w:rPr>
        <w:t xml:space="preserve">CEDAW/C/HTI/CO/8-9 (2016); </w:t>
      </w:r>
      <w:r w:rsidRPr="00AC72B5">
        <w:rPr>
          <w:rFonts w:eastAsia="MS Mincho"/>
          <w:i/>
          <w:w w:val="98"/>
        </w:rPr>
        <w:t>República Unida de Tanzania</w:t>
      </w:r>
      <w:r w:rsidRPr="00AC72B5">
        <w:rPr>
          <w:rFonts w:eastAsia="MS Mincho"/>
          <w:w w:val="98"/>
        </w:rPr>
        <w:t xml:space="preserve">, </w:t>
      </w:r>
      <w:r w:rsidRPr="00AC72B5">
        <w:rPr>
          <w:w w:val="98"/>
        </w:rPr>
        <w:t>¶ 35</w:t>
      </w:r>
      <w:r w:rsidRPr="00AC72B5">
        <w:rPr>
          <w:rFonts w:eastAsia="MS Mincho"/>
          <w:w w:val="98"/>
        </w:rPr>
        <w:t xml:space="preserve">, Doc. ONU CEDAW/C/TZA/CO/7-8 (2016); </w:t>
      </w:r>
      <w:r w:rsidRPr="00AC72B5">
        <w:rPr>
          <w:i/>
          <w:w w:val="98"/>
        </w:rPr>
        <w:t>Azerbaiyán</w:t>
      </w:r>
      <w:r w:rsidRPr="00AC72B5">
        <w:rPr>
          <w:w w:val="98"/>
        </w:rPr>
        <w:t xml:space="preserve">, ¶ 33, Doc. ONU CEDAW/C/AZE/CO/5 (2015); </w:t>
      </w:r>
      <w:r w:rsidRPr="00AC72B5">
        <w:rPr>
          <w:rFonts w:eastAsia="MS Mincho"/>
          <w:i/>
          <w:w w:val="98"/>
        </w:rPr>
        <w:t>Gambia</w:t>
      </w:r>
      <w:r w:rsidRPr="00AC72B5">
        <w:rPr>
          <w:rFonts w:eastAsia="MS Mincho"/>
          <w:w w:val="98"/>
        </w:rPr>
        <w:t xml:space="preserve">, </w:t>
      </w:r>
      <w:r w:rsidRPr="00AC72B5">
        <w:rPr>
          <w:w w:val="98"/>
        </w:rPr>
        <w:t xml:space="preserve">¶ 37, </w:t>
      </w:r>
      <w:r w:rsidRPr="00AC72B5">
        <w:rPr>
          <w:rFonts w:eastAsia="MS Mincho"/>
          <w:w w:val="98"/>
        </w:rPr>
        <w:t xml:space="preserve">Doc. ONU </w:t>
      </w:r>
      <w:r w:rsidRPr="00AC72B5">
        <w:rPr>
          <w:w w:val="98"/>
        </w:rPr>
        <w:t xml:space="preserve">CEDAW/C/GMB/CO/4-5 (2015); </w:t>
      </w:r>
      <w:r w:rsidRPr="00AC72B5">
        <w:rPr>
          <w:rFonts w:eastAsia="MS Mincho"/>
          <w:i/>
          <w:w w:val="98"/>
        </w:rPr>
        <w:t>Malawi</w:t>
      </w:r>
      <w:r w:rsidRPr="00AC72B5">
        <w:rPr>
          <w:rFonts w:eastAsia="MS Mincho"/>
          <w:w w:val="98"/>
        </w:rPr>
        <w:t xml:space="preserve">, </w:t>
      </w:r>
      <w:r w:rsidRPr="00AC72B5">
        <w:rPr>
          <w:w w:val="98"/>
        </w:rPr>
        <w:t>¶ 34</w:t>
      </w:r>
      <w:r w:rsidRPr="00AC72B5">
        <w:rPr>
          <w:rFonts w:eastAsia="MS Mincho"/>
          <w:w w:val="98"/>
        </w:rPr>
        <w:t xml:space="preserve">, Doc. ONU CEDAW/C/MWI/CO/7 (2015); </w:t>
      </w:r>
      <w:r w:rsidRPr="00AC72B5">
        <w:rPr>
          <w:i/>
          <w:w w:val="98"/>
        </w:rPr>
        <w:t>Vietnam</w:t>
      </w:r>
      <w:r w:rsidRPr="00AC72B5">
        <w:rPr>
          <w:w w:val="98"/>
        </w:rPr>
        <w:t xml:space="preserve">, ¶ 33, Doc. ONU CEDAW/C/VNM/CO/7-8 (2015); </w:t>
      </w:r>
      <w:r w:rsidRPr="00AC72B5">
        <w:rPr>
          <w:rFonts w:eastAsia="MS Mincho"/>
          <w:i/>
          <w:w w:val="98"/>
        </w:rPr>
        <w:t>Islas Salomón</w:t>
      </w:r>
      <w:r w:rsidRPr="00AC72B5">
        <w:rPr>
          <w:rFonts w:eastAsia="MS Mincho"/>
          <w:w w:val="98"/>
        </w:rPr>
        <w:t xml:space="preserve">, </w:t>
      </w:r>
      <w:r w:rsidRPr="00AC72B5">
        <w:rPr>
          <w:w w:val="98"/>
        </w:rPr>
        <w:t xml:space="preserve">¶ 37 </w:t>
      </w:r>
      <w:r w:rsidRPr="00AC72B5">
        <w:rPr>
          <w:rFonts w:eastAsia="MS Mincho"/>
          <w:w w:val="98"/>
        </w:rPr>
        <w:t xml:space="preserve">Doc. ONU </w:t>
      </w:r>
      <w:r w:rsidRPr="00AC72B5">
        <w:rPr>
          <w:w w:val="98"/>
        </w:rPr>
        <w:t xml:space="preserve">CEDAW/C/SLB/CO/1-3 (2014); </w:t>
      </w:r>
      <w:r w:rsidRPr="00AC72B5">
        <w:rPr>
          <w:rFonts w:eastAsia="MS Mincho"/>
          <w:i/>
          <w:w w:val="98"/>
        </w:rPr>
        <w:t>Venezuela</w:t>
      </w:r>
      <w:r w:rsidRPr="00AC72B5">
        <w:rPr>
          <w:rFonts w:eastAsia="MS Mincho"/>
          <w:w w:val="98"/>
        </w:rPr>
        <w:t xml:space="preserve">, </w:t>
      </w:r>
      <w:r w:rsidRPr="00AC72B5">
        <w:rPr>
          <w:w w:val="98"/>
        </w:rPr>
        <w:t xml:space="preserve">¶ 31, </w:t>
      </w:r>
      <w:r w:rsidRPr="00AC72B5">
        <w:rPr>
          <w:rFonts w:eastAsia="MS Mincho"/>
          <w:w w:val="98"/>
        </w:rPr>
        <w:t xml:space="preserve">Doc. ONU </w:t>
      </w:r>
      <w:r w:rsidRPr="00AC72B5">
        <w:rPr>
          <w:w w:val="98"/>
        </w:rPr>
        <w:t xml:space="preserve">CEDAW/C/VEN/CO/7-8 (2014); </w:t>
      </w:r>
      <w:r w:rsidRPr="00AC72B5">
        <w:rPr>
          <w:rFonts w:eastAsia="MS Mincho"/>
          <w:i/>
          <w:w w:val="98"/>
        </w:rPr>
        <w:t>Afganistán</w:t>
      </w:r>
      <w:r w:rsidRPr="00AC72B5">
        <w:rPr>
          <w:rFonts w:eastAsia="MS Mincho"/>
          <w:w w:val="98"/>
        </w:rPr>
        <w:t xml:space="preserve">, </w:t>
      </w:r>
      <w:r w:rsidRPr="00AC72B5">
        <w:rPr>
          <w:w w:val="98"/>
        </w:rPr>
        <w:t xml:space="preserve">¶ 37, </w:t>
      </w:r>
      <w:r w:rsidRPr="00AC72B5">
        <w:rPr>
          <w:rFonts w:eastAsia="MS Mincho"/>
          <w:w w:val="98"/>
        </w:rPr>
        <w:t xml:space="preserve">Doc. ONU </w:t>
      </w:r>
      <w:r w:rsidRPr="00AC72B5">
        <w:rPr>
          <w:w w:val="98"/>
        </w:rPr>
        <w:t xml:space="preserve">CEDAW/C/AFG/CO/1-2 (2013); </w:t>
      </w:r>
      <w:r w:rsidRPr="00AC72B5">
        <w:rPr>
          <w:i/>
          <w:w w:val="98"/>
        </w:rPr>
        <w:t>Nepal</w:t>
      </w:r>
      <w:r w:rsidRPr="00AC72B5">
        <w:rPr>
          <w:w w:val="98"/>
        </w:rPr>
        <w:t xml:space="preserve">, ¶ 32, Doc. ONU CEDAW/C/NPL/CO/4-5 (2011); </w:t>
      </w:r>
      <w:r w:rsidRPr="00AC72B5">
        <w:rPr>
          <w:i/>
          <w:w w:val="98"/>
        </w:rPr>
        <w:t>India</w:t>
      </w:r>
      <w:r w:rsidRPr="00AC72B5">
        <w:rPr>
          <w:w w:val="98"/>
        </w:rPr>
        <w:t>, ¶ 41, Doc. ONU CEDAW/C/IND/CO/3 (2007).</w:t>
      </w:r>
    </w:p>
  </w:endnote>
  <w:endnote w:id="752">
    <w:p w14:paraId="1594C751" w14:textId="03A4480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Swazilandia</w:t>
      </w:r>
      <w:r w:rsidRPr="00AC72B5">
        <w:rPr>
          <w:rFonts w:eastAsia="MS Mincho"/>
          <w:w w:val="98"/>
        </w:rPr>
        <w:t>,</w:t>
      </w:r>
      <w:r w:rsidRPr="00AC72B5">
        <w:rPr>
          <w:rFonts w:eastAsia="MS Mincho"/>
          <w:i/>
          <w:w w:val="98"/>
        </w:rPr>
        <w:t xml:space="preserve"> </w:t>
      </w:r>
      <w:r w:rsidRPr="00AC72B5">
        <w:rPr>
          <w:w w:val="98"/>
        </w:rPr>
        <w:t>¶</w:t>
      </w:r>
      <w:r w:rsidRPr="00AC72B5">
        <w:rPr>
          <w:rFonts w:eastAsia="MS Mincho"/>
          <w:w w:val="98"/>
        </w:rPr>
        <w:t xml:space="preserve"> </w:t>
      </w:r>
      <w:r w:rsidRPr="00AC72B5">
        <w:rPr>
          <w:w w:val="98"/>
        </w:rPr>
        <w:t>35</w:t>
      </w:r>
      <w:r w:rsidRPr="00AC72B5">
        <w:rPr>
          <w:rFonts w:eastAsia="MS Mincho"/>
          <w:w w:val="98"/>
        </w:rPr>
        <w:t xml:space="preserve">, Doc. ONU CEDAW/C/SWZ/CO/1-2 (2014); </w:t>
      </w:r>
      <w:r w:rsidRPr="00AC72B5">
        <w:rPr>
          <w:i/>
          <w:w w:val="98"/>
        </w:rPr>
        <w:t>India</w:t>
      </w:r>
      <w:r w:rsidRPr="00AC72B5">
        <w:rPr>
          <w:w w:val="98"/>
        </w:rPr>
        <w:t xml:space="preserve">, ¶ 41, Doc. ONU CEDAW/C/IND/CO/3 (2007); </w:t>
      </w:r>
      <w:r w:rsidRPr="00AC72B5">
        <w:rPr>
          <w:rFonts w:eastAsia="MS Mincho"/>
          <w:i/>
          <w:w w:val="98"/>
        </w:rPr>
        <w:t>Moldavia</w:t>
      </w:r>
      <w:r w:rsidRPr="00AC72B5">
        <w:rPr>
          <w:rFonts w:eastAsia="MS Mincho"/>
          <w:w w:val="98"/>
        </w:rPr>
        <w:t xml:space="preserve">, </w:t>
      </w:r>
      <w:r w:rsidRPr="00AC72B5">
        <w:rPr>
          <w:w w:val="98"/>
        </w:rPr>
        <w:t xml:space="preserve">¶ 31, </w:t>
      </w:r>
      <w:r w:rsidRPr="00AC72B5">
        <w:rPr>
          <w:rFonts w:eastAsia="MS Mincho"/>
          <w:w w:val="98"/>
        </w:rPr>
        <w:t xml:space="preserve">Doc. ONU </w:t>
      </w:r>
      <w:r w:rsidRPr="00AC72B5">
        <w:rPr>
          <w:w w:val="98"/>
        </w:rPr>
        <w:t>CEDAW/C/MDA/CO/3 (2006).</w:t>
      </w:r>
    </w:p>
  </w:endnote>
  <w:endnote w:id="753">
    <w:p w14:paraId="188F7010" w14:textId="4CAAC67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Swazilandia</w:t>
      </w:r>
      <w:r w:rsidRPr="00AC72B5">
        <w:rPr>
          <w:w w:val="98"/>
        </w:rPr>
        <w:t>, ¶ 35, Doc. ONU CEDAW/C/SWZ/CO/1-2 (2014).</w:t>
      </w:r>
    </w:p>
  </w:endnote>
  <w:endnote w:id="754">
    <w:p w14:paraId="144DF796" w14:textId="57280C3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Venezuela</w:t>
      </w:r>
      <w:r w:rsidRPr="00AC72B5">
        <w:rPr>
          <w:rFonts w:eastAsia="MS Mincho"/>
          <w:w w:val="98"/>
        </w:rPr>
        <w:t xml:space="preserve">, </w:t>
      </w:r>
      <w:r w:rsidRPr="00AC72B5">
        <w:rPr>
          <w:w w:val="98"/>
        </w:rPr>
        <w:t xml:space="preserve">¶ 31, </w:t>
      </w:r>
      <w:r w:rsidRPr="00AC72B5">
        <w:rPr>
          <w:rFonts w:eastAsia="MS Mincho"/>
          <w:w w:val="98"/>
        </w:rPr>
        <w:t xml:space="preserve">Doc. ONU </w:t>
      </w:r>
      <w:r w:rsidRPr="00AC72B5">
        <w:rPr>
          <w:w w:val="98"/>
        </w:rPr>
        <w:t xml:space="preserve">CEDAW/C/VEN/CO/7-8 (2014); </w:t>
      </w:r>
      <w:r w:rsidRPr="00AC72B5">
        <w:rPr>
          <w:i/>
          <w:w w:val="98"/>
        </w:rPr>
        <w:t>India</w:t>
      </w:r>
      <w:r w:rsidRPr="00AC72B5">
        <w:rPr>
          <w:w w:val="98"/>
        </w:rPr>
        <w:t>, ¶ 41, Doc. ONU CEDAW/C/IND/CO/3 (2007).</w:t>
      </w:r>
    </w:p>
  </w:endnote>
  <w:endnote w:id="755">
    <w:p w14:paraId="3BB83AB5" w14:textId="3D0F45D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Mali</w:t>
      </w:r>
      <w:r w:rsidRPr="00AC72B5">
        <w:rPr>
          <w:w w:val="98"/>
        </w:rPr>
        <w:t xml:space="preserve">, ¶ 34, Doc. ONU CEDAW/C/MLI/CO/6-7 (2016); </w:t>
      </w:r>
      <w:r w:rsidRPr="00AC72B5">
        <w:rPr>
          <w:i/>
          <w:w w:val="98"/>
        </w:rPr>
        <w:t>Haití</w:t>
      </w:r>
      <w:r w:rsidRPr="00AC72B5">
        <w:rPr>
          <w:w w:val="98"/>
        </w:rPr>
        <w:t xml:space="preserve">, ¶ 34, Doc. ONU CEDAW/C/HTI/CO/8-9 (2016); </w:t>
      </w:r>
      <w:r w:rsidRPr="00AC72B5">
        <w:rPr>
          <w:i/>
          <w:w w:val="98"/>
        </w:rPr>
        <w:t>República Unida de Tanzania</w:t>
      </w:r>
      <w:r w:rsidRPr="00AC72B5">
        <w:rPr>
          <w:w w:val="98"/>
        </w:rPr>
        <w:t xml:space="preserve">, ¶ 35, Doc. ONU CEDAW/C/TZA/CO/7-8 (2016); </w:t>
      </w:r>
      <w:r w:rsidRPr="00AC72B5">
        <w:rPr>
          <w:i/>
          <w:w w:val="98"/>
        </w:rPr>
        <w:t>Gambia</w:t>
      </w:r>
      <w:r w:rsidRPr="00AC72B5">
        <w:rPr>
          <w:w w:val="98"/>
        </w:rPr>
        <w:t xml:space="preserve">, ¶ 37, Doc. ONU CEDAW/C/GMB/CO/4-5 (2015); </w:t>
      </w:r>
      <w:r w:rsidRPr="00AC72B5">
        <w:rPr>
          <w:i/>
          <w:w w:val="98"/>
        </w:rPr>
        <w:t>Vietnam</w:t>
      </w:r>
      <w:r w:rsidRPr="00AC72B5">
        <w:rPr>
          <w:w w:val="98"/>
        </w:rPr>
        <w:t xml:space="preserve">, ¶ 33, Doc. ONU CEDAW/C/VNM/CO/7-8 (2015); </w:t>
      </w:r>
      <w:r w:rsidRPr="00AC72B5">
        <w:rPr>
          <w:i/>
          <w:w w:val="98"/>
        </w:rPr>
        <w:t>Malawi</w:t>
      </w:r>
      <w:r w:rsidRPr="00AC72B5">
        <w:rPr>
          <w:w w:val="98"/>
        </w:rPr>
        <w:t xml:space="preserve">, ¶ 35, Doc. ONU CEDAW/C/MWI/CO/7 (2015); </w:t>
      </w:r>
      <w:r w:rsidRPr="00AC72B5">
        <w:rPr>
          <w:i/>
          <w:w w:val="98"/>
        </w:rPr>
        <w:t>Venezuela</w:t>
      </w:r>
      <w:r w:rsidRPr="00AC72B5">
        <w:rPr>
          <w:w w:val="98"/>
        </w:rPr>
        <w:t>, ¶ 31, Doc. ONU CEDAW/C/VEN/CO/7-8 (2014).</w:t>
      </w:r>
    </w:p>
  </w:endnote>
  <w:endnote w:id="756">
    <w:p w14:paraId="6DE8B7B4" w14:textId="4EFB513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República Dominicana</w:t>
      </w:r>
      <w:r w:rsidRPr="00AC72B5">
        <w:rPr>
          <w:rFonts w:eastAsia="MS Mincho"/>
          <w:w w:val="98"/>
        </w:rPr>
        <w:t xml:space="preserve">, </w:t>
      </w:r>
      <w:r w:rsidRPr="00AC72B5">
        <w:rPr>
          <w:w w:val="98"/>
        </w:rPr>
        <w:t xml:space="preserve">¶ 37, </w:t>
      </w:r>
      <w:r w:rsidRPr="00AC72B5">
        <w:rPr>
          <w:rFonts w:eastAsia="MS Mincho"/>
          <w:w w:val="98"/>
        </w:rPr>
        <w:t xml:space="preserve">Doc. ONU </w:t>
      </w:r>
      <w:r w:rsidRPr="00AC72B5">
        <w:rPr>
          <w:w w:val="98"/>
        </w:rPr>
        <w:t xml:space="preserve">CEDAW/C/DOM/CO/6-7 (2014); </w:t>
      </w:r>
      <w:r w:rsidRPr="00AC72B5">
        <w:rPr>
          <w:rFonts w:eastAsia="MS Mincho"/>
          <w:i/>
          <w:w w:val="98"/>
        </w:rPr>
        <w:t>Venezuela</w:t>
      </w:r>
      <w:r w:rsidRPr="00AC72B5">
        <w:rPr>
          <w:rFonts w:eastAsia="MS Mincho"/>
          <w:w w:val="98"/>
        </w:rPr>
        <w:t xml:space="preserve">, </w:t>
      </w:r>
      <w:r w:rsidRPr="00AC72B5">
        <w:rPr>
          <w:w w:val="98"/>
        </w:rPr>
        <w:t xml:space="preserve">¶ 31, </w:t>
      </w:r>
      <w:r w:rsidRPr="00AC72B5">
        <w:rPr>
          <w:rFonts w:eastAsia="MS Mincho"/>
          <w:w w:val="98"/>
        </w:rPr>
        <w:t xml:space="preserve">Doc. ONU </w:t>
      </w:r>
      <w:r w:rsidRPr="00AC72B5">
        <w:rPr>
          <w:w w:val="98"/>
        </w:rPr>
        <w:t>CEDAW/C/VEN/CO/7-8 (2014).</w:t>
      </w:r>
    </w:p>
  </w:endnote>
  <w:endnote w:id="757">
    <w:p w14:paraId="49BD59B3" w14:textId="200B990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India</w:t>
      </w:r>
      <w:r w:rsidRPr="00AC72B5">
        <w:rPr>
          <w:w w:val="98"/>
        </w:rPr>
        <w:t>, ¶ 31, Doc. ONU CEDAW/C/IND/CO/4-5 (2014).</w:t>
      </w:r>
    </w:p>
  </w:endnote>
  <w:endnote w:id="758">
    <w:p w14:paraId="4C45B759" w14:textId="3A7EBF3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Azerbaiyán</w:t>
      </w:r>
      <w:r w:rsidRPr="00AC72B5">
        <w:rPr>
          <w:w w:val="98"/>
        </w:rPr>
        <w:t>, ¶ 33, Doc. ONU CEDAW/C/AZE/CO/5 (2015).</w:t>
      </w:r>
    </w:p>
  </w:endnote>
  <w:endnote w:id="759">
    <w:p w14:paraId="2EA45C70" w14:textId="132DD2E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Chile</w:t>
      </w:r>
      <w:r w:rsidRPr="00AC72B5">
        <w:rPr>
          <w:w w:val="98"/>
        </w:rPr>
        <w:t>, ¶ 35, Doc. ONU CEDAW/C/CHL/CO/5-6 (2012).</w:t>
      </w:r>
    </w:p>
  </w:endnote>
  <w:endnote w:id="760">
    <w:p w14:paraId="2A02FE8F" w14:textId="1BD1650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Egipto</w:t>
      </w:r>
      <w:r w:rsidRPr="00AC72B5">
        <w:rPr>
          <w:w w:val="98"/>
        </w:rPr>
        <w:t>, ¶ 40, Doc. ONU CEDAW/C/EGY/CO/7 (2010).</w:t>
      </w:r>
    </w:p>
  </w:endnote>
  <w:endnote w:id="761">
    <w:p w14:paraId="78646634" w14:textId="218EC4B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w:t>
      </w:r>
      <w:r w:rsidRPr="00AC72B5">
        <w:rPr>
          <w:i/>
          <w:w w:val="98"/>
        </w:rPr>
        <w:t xml:space="preserve"> </w:t>
      </w:r>
      <w:r w:rsidRPr="00AC72B5">
        <w:rPr>
          <w:w w:val="98"/>
        </w:rPr>
        <w:t xml:space="preserve">Comité CEDAW, </w:t>
      </w:r>
      <w:r w:rsidRPr="00AC72B5">
        <w:rPr>
          <w:i/>
          <w:w w:val="98"/>
        </w:rPr>
        <w:t>Observaciones Finales: Francia</w:t>
      </w:r>
      <w:r w:rsidRPr="00AC72B5">
        <w:rPr>
          <w:w w:val="98"/>
        </w:rPr>
        <w:t xml:space="preserve">, ¶ 36, Doc. ONU </w:t>
      </w:r>
      <w:r w:rsidRPr="00AC72B5">
        <w:rPr>
          <w:rFonts w:eastAsia="MS Mincho"/>
          <w:w w:val="98"/>
        </w:rPr>
        <w:t xml:space="preserve">CEDAW/C/FRA/CO/7-8 (2016); </w:t>
      </w:r>
      <w:r w:rsidRPr="00AC72B5">
        <w:rPr>
          <w:rFonts w:eastAsia="MS Mincho"/>
          <w:i/>
          <w:w w:val="98"/>
        </w:rPr>
        <w:t>República Unida de Tanzania</w:t>
      </w:r>
      <w:r w:rsidRPr="00AC72B5">
        <w:rPr>
          <w:rFonts w:eastAsia="MS Mincho"/>
          <w:w w:val="98"/>
        </w:rPr>
        <w:t xml:space="preserve">, </w:t>
      </w:r>
      <w:r w:rsidRPr="00AC72B5">
        <w:rPr>
          <w:w w:val="98"/>
        </w:rPr>
        <w:t>¶ 34</w:t>
      </w:r>
      <w:r w:rsidRPr="00AC72B5">
        <w:rPr>
          <w:rFonts w:eastAsia="MS Mincho"/>
          <w:w w:val="98"/>
        </w:rPr>
        <w:t xml:space="preserve">, Doc. ONU CEDAW/C/TZA/CO/7-8 (2016); </w:t>
      </w:r>
      <w:r w:rsidRPr="00AC72B5">
        <w:rPr>
          <w:i/>
          <w:w w:val="98"/>
        </w:rPr>
        <w:t>Mali</w:t>
      </w:r>
      <w:r w:rsidRPr="00AC72B5">
        <w:rPr>
          <w:w w:val="98"/>
        </w:rPr>
        <w:t xml:space="preserve">, ¶ 33, Doc. ONU </w:t>
      </w:r>
      <w:r w:rsidRPr="00AC72B5">
        <w:rPr>
          <w:rFonts w:eastAsia="MS Mincho"/>
          <w:w w:val="98"/>
        </w:rPr>
        <w:t xml:space="preserve">CEDAW/C/MLI/CO/6-7 (2016); </w:t>
      </w:r>
      <w:r w:rsidRPr="00AC72B5">
        <w:rPr>
          <w:i/>
          <w:w w:val="98"/>
        </w:rPr>
        <w:t>Haití</w:t>
      </w:r>
      <w:r w:rsidRPr="00AC72B5">
        <w:rPr>
          <w:w w:val="98"/>
        </w:rPr>
        <w:t xml:space="preserve">, ¶ 33, Doc. ONU </w:t>
      </w:r>
      <w:r w:rsidRPr="00AC72B5">
        <w:rPr>
          <w:rFonts w:eastAsia="MS Mincho"/>
          <w:w w:val="98"/>
        </w:rPr>
        <w:t xml:space="preserve">CEDAW/C/HTI/CO/8-9 (2016); </w:t>
      </w:r>
      <w:r w:rsidRPr="00AC72B5">
        <w:rPr>
          <w:rFonts w:eastAsia="MS Mincho"/>
          <w:i/>
          <w:w w:val="98"/>
        </w:rPr>
        <w:t>Gabón</w:t>
      </w:r>
      <w:r w:rsidRPr="00AC72B5">
        <w:rPr>
          <w:rFonts w:eastAsia="MS Mincho"/>
          <w:w w:val="98"/>
        </w:rPr>
        <w:t xml:space="preserve">, </w:t>
      </w:r>
      <w:r w:rsidRPr="00AC72B5">
        <w:rPr>
          <w:w w:val="98"/>
        </w:rPr>
        <w:t xml:space="preserve">¶ 34, </w:t>
      </w:r>
      <w:r w:rsidRPr="00AC72B5">
        <w:rPr>
          <w:rFonts w:eastAsia="MS Mincho"/>
          <w:w w:val="98"/>
        </w:rPr>
        <w:t xml:space="preserve">Doc. ONU </w:t>
      </w:r>
      <w:r w:rsidRPr="00AC72B5">
        <w:rPr>
          <w:w w:val="98"/>
        </w:rPr>
        <w:t xml:space="preserve">CEDAW/C/GAB/CO/6 (2015); </w:t>
      </w:r>
      <w:r w:rsidRPr="00AC72B5">
        <w:rPr>
          <w:i/>
          <w:w w:val="98"/>
        </w:rPr>
        <w:t>Eslovaquia</w:t>
      </w:r>
      <w:r w:rsidRPr="00AC72B5">
        <w:rPr>
          <w:w w:val="98"/>
        </w:rPr>
        <w:t xml:space="preserve">, ¶ 30, Doc. ONU CEDAW/C/SVK/CO/5-6 </w:t>
      </w:r>
      <w:r w:rsidRPr="00AC72B5">
        <w:rPr>
          <w:rFonts w:eastAsia="MS Mincho"/>
          <w:w w:val="98"/>
        </w:rPr>
        <w:t xml:space="preserve">(2015); </w:t>
      </w:r>
      <w:r w:rsidRPr="00AC72B5">
        <w:rPr>
          <w:rFonts w:eastAsia="MS Mincho"/>
          <w:i/>
          <w:w w:val="98"/>
        </w:rPr>
        <w:t>Gambia</w:t>
      </w:r>
      <w:r w:rsidRPr="00AC72B5">
        <w:rPr>
          <w:rFonts w:eastAsia="MS Mincho"/>
          <w:w w:val="98"/>
        </w:rPr>
        <w:t xml:space="preserve">, </w:t>
      </w:r>
      <w:r w:rsidRPr="00AC72B5">
        <w:rPr>
          <w:w w:val="98"/>
        </w:rPr>
        <w:t xml:space="preserve">¶ 36, </w:t>
      </w:r>
      <w:r w:rsidRPr="00AC72B5">
        <w:rPr>
          <w:rFonts w:eastAsia="MS Mincho"/>
          <w:w w:val="98"/>
        </w:rPr>
        <w:t xml:space="preserve">Doc. ONU </w:t>
      </w:r>
      <w:r w:rsidRPr="00AC72B5">
        <w:rPr>
          <w:w w:val="98"/>
        </w:rPr>
        <w:t xml:space="preserve">CEDAW/C/GMB/CO/4-5 (2015); </w:t>
      </w:r>
      <w:r w:rsidRPr="00AC72B5">
        <w:rPr>
          <w:rFonts w:eastAsia="MS Mincho"/>
          <w:i/>
          <w:w w:val="98"/>
        </w:rPr>
        <w:t>Venezuela</w:t>
      </w:r>
      <w:r w:rsidRPr="00AC72B5">
        <w:rPr>
          <w:rFonts w:eastAsia="MS Mincho"/>
          <w:w w:val="98"/>
        </w:rPr>
        <w:t xml:space="preserve">, </w:t>
      </w:r>
      <w:r w:rsidRPr="00AC72B5">
        <w:rPr>
          <w:w w:val="98"/>
        </w:rPr>
        <w:t xml:space="preserve">¶ 30, </w:t>
      </w:r>
      <w:r w:rsidRPr="00AC72B5">
        <w:rPr>
          <w:rFonts w:eastAsia="MS Mincho"/>
          <w:w w:val="98"/>
        </w:rPr>
        <w:t xml:space="preserve">Doc. ONU </w:t>
      </w:r>
      <w:r w:rsidRPr="00AC72B5">
        <w:rPr>
          <w:w w:val="98"/>
        </w:rPr>
        <w:t xml:space="preserve">CEDAW/C/VEN/CO/7-8 (2014); </w:t>
      </w:r>
      <w:r w:rsidRPr="00AC72B5">
        <w:rPr>
          <w:rFonts w:eastAsia="MS Mincho"/>
          <w:i/>
          <w:w w:val="98"/>
        </w:rPr>
        <w:t>Bulgaria</w:t>
      </w:r>
      <w:r w:rsidRPr="00AC72B5">
        <w:rPr>
          <w:rFonts w:eastAsia="MS Mincho"/>
          <w:w w:val="98"/>
        </w:rPr>
        <w:t>,</w:t>
      </w:r>
      <w:r w:rsidRPr="00AC72B5">
        <w:rPr>
          <w:rFonts w:eastAsia="MS Mincho"/>
          <w:i/>
          <w:w w:val="98"/>
        </w:rPr>
        <w:t xml:space="preserve"> </w:t>
      </w:r>
      <w:r w:rsidRPr="00AC72B5">
        <w:rPr>
          <w:w w:val="98"/>
        </w:rPr>
        <w:t>¶</w:t>
      </w:r>
      <w:r w:rsidRPr="00AC72B5">
        <w:rPr>
          <w:rFonts w:eastAsia="MS Mincho"/>
          <w:w w:val="98"/>
        </w:rPr>
        <w:t xml:space="preserve"> </w:t>
      </w:r>
      <w:r w:rsidRPr="00AC72B5">
        <w:rPr>
          <w:w w:val="98"/>
        </w:rPr>
        <w:t>35</w:t>
      </w:r>
      <w:r w:rsidRPr="00AC72B5">
        <w:rPr>
          <w:rFonts w:eastAsia="MS Mincho"/>
          <w:w w:val="98"/>
        </w:rPr>
        <w:t xml:space="preserve">, Doc. ONU CEDAW/C/BGR/CO/4-7 (2012); </w:t>
      </w:r>
      <w:r w:rsidRPr="00AC72B5">
        <w:rPr>
          <w:i/>
          <w:w w:val="98"/>
        </w:rPr>
        <w:t>Chile</w:t>
      </w:r>
      <w:r w:rsidRPr="00AC72B5">
        <w:rPr>
          <w:w w:val="98"/>
        </w:rPr>
        <w:t xml:space="preserve">, ¶ 34, Doc. ONU CEDAW/C/CHL/CO/5-6 (2012); </w:t>
      </w:r>
      <w:r w:rsidRPr="00AC72B5">
        <w:rPr>
          <w:i/>
          <w:w w:val="98"/>
        </w:rPr>
        <w:t>Uganda</w:t>
      </w:r>
      <w:r w:rsidRPr="00AC72B5">
        <w:rPr>
          <w:w w:val="98"/>
        </w:rPr>
        <w:t xml:space="preserve">, ¶ 35, Doc. ONU CEDAW/C/UGA/CO/7 (2010); </w:t>
      </w:r>
      <w:r w:rsidRPr="00AC72B5">
        <w:rPr>
          <w:i/>
          <w:w w:val="98"/>
        </w:rPr>
        <w:t>Armenia</w:t>
      </w:r>
      <w:r w:rsidRPr="00AC72B5">
        <w:rPr>
          <w:w w:val="98"/>
        </w:rPr>
        <w:t xml:space="preserve">, ¶ 34, Doc. ONU Armenia (CEDAW/C/ARM/CO/4/Rev.1)1 (2009); </w:t>
      </w:r>
      <w:r w:rsidRPr="00AC72B5">
        <w:rPr>
          <w:i/>
          <w:w w:val="98"/>
        </w:rPr>
        <w:t>Kazajistán</w:t>
      </w:r>
      <w:r w:rsidRPr="00AC72B5">
        <w:rPr>
          <w:w w:val="98"/>
        </w:rPr>
        <w:t xml:space="preserve">, ¶ 25, Doc. ONU CEDAW/C/KAZ/CO/2 (2007); </w:t>
      </w:r>
      <w:r w:rsidRPr="00AC72B5">
        <w:rPr>
          <w:i/>
          <w:w w:val="98"/>
        </w:rPr>
        <w:t>Honduras</w:t>
      </w:r>
      <w:r w:rsidRPr="00AC72B5">
        <w:rPr>
          <w:w w:val="98"/>
        </w:rPr>
        <w:t xml:space="preserve">, ¶ 24, Doc. ONU CEDAW/C/HON/CO/6 (2007); </w:t>
      </w:r>
      <w:r w:rsidRPr="00AC72B5">
        <w:rPr>
          <w:rFonts w:eastAsia="MS Mincho"/>
          <w:i/>
          <w:w w:val="98"/>
        </w:rPr>
        <w:t>Nicaragua</w:t>
      </w:r>
      <w:r w:rsidRPr="00AC72B5">
        <w:rPr>
          <w:rFonts w:eastAsia="MS Mincho"/>
          <w:w w:val="98"/>
        </w:rPr>
        <w:t xml:space="preserve">, </w:t>
      </w:r>
      <w:r w:rsidRPr="00AC72B5">
        <w:rPr>
          <w:w w:val="98"/>
        </w:rPr>
        <w:t>¶ 17</w:t>
      </w:r>
      <w:r w:rsidRPr="00AC72B5">
        <w:rPr>
          <w:rFonts w:eastAsia="MS Mincho"/>
          <w:w w:val="98"/>
        </w:rPr>
        <w:t xml:space="preserve">, Doc. ONU </w:t>
      </w:r>
      <w:r w:rsidRPr="00AC72B5">
        <w:rPr>
          <w:w w:val="98"/>
        </w:rPr>
        <w:t>CEDAW/C/NIC/CO/6 (2007).</w:t>
      </w:r>
    </w:p>
  </w:endnote>
  <w:endnote w:id="762">
    <w:p w14:paraId="5CF0F00F" w14:textId="0E469AA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Francia</w:t>
      </w:r>
      <w:r w:rsidRPr="00AC72B5">
        <w:rPr>
          <w:w w:val="98"/>
        </w:rPr>
        <w:t xml:space="preserve">, ¶ 36, Doc. ONU </w:t>
      </w:r>
      <w:r w:rsidRPr="00AC72B5">
        <w:rPr>
          <w:rFonts w:eastAsia="MS Mincho"/>
          <w:w w:val="98"/>
        </w:rPr>
        <w:t>CEDAW/C/FRA/CO/7-8 (2016).</w:t>
      </w:r>
    </w:p>
  </w:endnote>
  <w:endnote w:id="763">
    <w:p w14:paraId="62F01923" w14:textId="3495D78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Sri Lanka</w:t>
      </w:r>
      <w:r w:rsidRPr="00AC72B5">
        <w:rPr>
          <w:rFonts w:eastAsia="MS Mincho"/>
          <w:w w:val="98"/>
        </w:rPr>
        <w:t xml:space="preserve">, </w:t>
      </w:r>
      <w:r w:rsidRPr="00AC72B5">
        <w:rPr>
          <w:w w:val="98"/>
        </w:rPr>
        <w:t>¶ 36</w:t>
      </w:r>
      <w:r w:rsidRPr="00AC72B5">
        <w:rPr>
          <w:rFonts w:eastAsia="MS Mincho"/>
          <w:w w:val="98"/>
        </w:rPr>
        <w:t xml:space="preserve">, Doc. ONU </w:t>
      </w:r>
      <w:r w:rsidRPr="00AC72B5">
        <w:rPr>
          <w:w w:val="98"/>
        </w:rPr>
        <w:t>CEDAW/C/LKA/CO/7 (2011).</w:t>
      </w:r>
    </w:p>
  </w:endnote>
  <w:endnote w:id="764">
    <w:p w14:paraId="09C99574" w14:textId="4781E9B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Indonesia</w:t>
      </w:r>
      <w:r w:rsidRPr="00AC72B5">
        <w:rPr>
          <w:rFonts w:eastAsia="MS Mincho"/>
          <w:w w:val="98"/>
        </w:rPr>
        <w:t xml:space="preserve">, </w:t>
      </w:r>
      <w:r w:rsidRPr="00AC72B5">
        <w:rPr>
          <w:w w:val="98"/>
        </w:rPr>
        <w:t>¶ 36</w:t>
      </w:r>
      <w:r w:rsidRPr="00AC72B5">
        <w:rPr>
          <w:rFonts w:eastAsia="MS Mincho"/>
          <w:w w:val="98"/>
        </w:rPr>
        <w:t xml:space="preserve">, Doc. ONU </w:t>
      </w:r>
      <w:r w:rsidRPr="00AC72B5">
        <w:rPr>
          <w:w w:val="98"/>
        </w:rPr>
        <w:t>CEDAW/C/IDN/CO/5 (2007).</w:t>
      </w:r>
    </w:p>
  </w:endnote>
  <w:endnote w:id="765">
    <w:p w14:paraId="12927214" w14:textId="3FDF067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República Unida de Tanzania</w:t>
      </w:r>
      <w:r w:rsidRPr="00AC72B5">
        <w:rPr>
          <w:w w:val="98"/>
        </w:rPr>
        <w:t>, ¶ 34, Doc. ONU CEDAW/C/TZA/CO/7-8 (2016).</w:t>
      </w:r>
    </w:p>
  </w:endnote>
  <w:endnote w:id="766">
    <w:p w14:paraId="3EDC0E9A" w14:textId="78B4B73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Chile</w:t>
      </w:r>
      <w:r w:rsidRPr="00AC72B5">
        <w:rPr>
          <w:w w:val="98"/>
        </w:rPr>
        <w:t>, ¶ 34, Doc. ONU CEDAW/C/CHL/CO/5-6 (2012).</w:t>
      </w:r>
    </w:p>
  </w:endnote>
  <w:endnote w:id="767">
    <w:p w14:paraId="70B3367B" w14:textId="0C8FDAE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Bolivia</w:t>
      </w:r>
      <w:r w:rsidRPr="00AC72B5">
        <w:rPr>
          <w:rFonts w:eastAsia="MS Mincho"/>
          <w:w w:val="98"/>
        </w:rPr>
        <w:t xml:space="preserve">, </w:t>
      </w:r>
      <w:r w:rsidRPr="00AC72B5">
        <w:rPr>
          <w:w w:val="98"/>
        </w:rPr>
        <w:t xml:space="preserve">¶ 28, </w:t>
      </w:r>
      <w:r w:rsidRPr="00AC72B5">
        <w:rPr>
          <w:rFonts w:eastAsia="MS Mincho"/>
          <w:w w:val="98"/>
        </w:rPr>
        <w:t xml:space="preserve">Doc. ONU </w:t>
      </w:r>
      <w:r w:rsidRPr="00AC72B5">
        <w:rPr>
          <w:w w:val="98"/>
        </w:rPr>
        <w:t xml:space="preserve">CEDAW/C/BOL/CO/5-6 (2015); </w:t>
      </w:r>
      <w:r w:rsidRPr="00AC72B5">
        <w:rPr>
          <w:rFonts w:eastAsia="MS Mincho"/>
          <w:i/>
          <w:w w:val="98"/>
        </w:rPr>
        <w:t>Venezuela</w:t>
      </w:r>
      <w:r w:rsidRPr="00AC72B5">
        <w:rPr>
          <w:rFonts w:eastAsia="MS Mincho"/>
          <w:w w:val="98"/>
        </w:rPr>
        <w:t xml:space="preserve">, </w:t>
      </w:r>
      <w:r w:rsidRPr="00AC72B5">
        <w:rPr>
          <w:w w:val="98"/>
        </w:rPr>
        <w:t xml:space="preserve">¶ 30, </w:t>
      </w:r>
      <w:r w:rsidRPr="00AC72B5">
        <w:rPr>
          <w:rFonts w:eastAsia="MS Mincho"/>
          <w:w w:val="98"/>
        </w:rPr>
        <w:t xml:space="preserve">Doc. ONU </w:t>
      </w:r>
      <w:r w:rsidRPr="00AC72B5">
        <w:rPr>
          <w:w w:val="98"/>
        </w:rPr>
        <w:t>CEDAW/C/VEN/CO/7-8 (2014).</w:t>
      </w:r>
    </w:p>
  </w:endnote>
  <w:endnote w:id="768">
    <w:p w14:paraId="507A540F" w14:textId="1F4F0DF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Turquía</w:t>
      </w:r>
      <w:r w:rsidRPr="00AC72B5">
        <w:rPr>
          <w:w w:val="98"/>
        </w:rPr>
        <w:t>, ¶ 47, Doc. ONU CEDAW/C/TUR/CO/7 (2016).</w:t>
      </w:r>
    </w:p>
  </w:endnote>
  <w:endnote w:id="769">
    <w:p w14:paraId="0FEB1F2A" w14:textId="77A9813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Mali</w:t>
      </w:r>
      <w:r w:rsidRPr="00AC72B5">
        <w:rPr>
          <w:w w:val="98"/>
        </w:rPr>
        <w:t xml:space="preserve">, ¶ 33, Doc. ONU </w:t>
      </w:r>
      <w:r w:rsidRPr="00AC72B5">
        <w:rPr>
          <w:rFonts w:eastAsia="MS Mincho"/>
          <w:w w:val="98"/>
        </w:rPr>
        <w:t>CEDAW/C/MLI/CO/6-7 (2016).</w:t>
      </w:r>
    </w:p>
  </w:endnote>
  <w:endnote w:id="770">
    <w:p w14:paraId="7FDF5E86" w14:textId="2BA4271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Francia</w:t>
      </w:r>
      <w:r w:rsidRPr="00AC72B5">
        <w:rPr>
          <w:w w:val="98"/>
        </w:rPr>
        <w:t xml:space="preserve">, ¶ 37, Doc. ONU </w:t>
      </w:r>
      <w:r w:rsidRPr="00AC72B5">
        <w:rPr>
          <w:rFonts w:eastAsia="MS Mincho"/>
          <w:w w:val="98"/>
        </w:rPr>
        <w:t>CEDAW/C/FRA/CO/7-8 (2016).</w:t>
      </w:r>
    </w:p>
  </w:endnote>
  <w:endnote w:id="771">
    <w:p w14:paraId="0EB95CAB" w14:textId="1EA1161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Francia</w:t>
      </w:r>
      <w:r w:rsidRPr="00AC72B5">
        <w:rPr>
          <w:w w:val="98"/>
        </w:rPr>
        <w:t xml:space="preserve">, ¶ 37, Doc. ONU </w:t>
      </w:r>
      <w:r w:rsidRPr="00AC72B5">
        <w:rPr>
          <w:rFonts w:eastAsia="MS Mincho"/>
          <w:w w:val="98"/>
        </w:rPr>
        <w:t xml:space="preserve">CEDAW/C/FRA/CO/7-8 (2016); </w:t>
      </w:r>
      <w:r w:rsidRPr="00AC72B5">
        <w:rPr>
          <w:i/>
          <w:w w:val="98"/>
        </w:rPr>
        <w:t>Haití</w:t>
      </w:r>
      <w:r w:rsidRPr="00AC72B5">
        <w:rPr>
          <w:w w:val="98"/>
        </w:rPr>
        <w:t xml:space="preserve">, ¶ 34, Doc. ONU </w:t>
      </w:r>
      <w:r w:rsidRPr="00AC72B5">
        <w:rPr>
          <w:rFonts w:eastAsia="MS Mincho"/>
          <w:w w:val="98"/>
        </w:rPr>
        <w:t>CEDAW/C/HTI/CO/8-9 (2016).</w:t>
      </w:r>
    </w:p>
  </w:endnote>
  <w:endnote w:id="772">
    <w:p w14:paraId="03908C12" w14:textId="1DDF49D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Haití</w:t>
      </w:r>
      <w:r w:rsidRPr="00AC72B5">
        <w:rPr>
          <w:w w:val="98"/>
        </w:rPr>
        <w:t xml:space="preserve">, ¶ 34, Doc. ONU </w:t>
      </w:r>
      <w:r w:rsidRPr="00AC72B5">
        <w:rPr>
          <w:rFonts w:eastAsia="MS Mincho"/>
          <w:w w:val="98"/>
        </w:rPr>
        <w:t>CEDAW/C/HTI/CO/8-9 (2016).</w:t>
      </w:r>
    </w:p>
  </w:endnote>
  <w:endnote w:id="773">
    <w:p w14:paraId="5C4DC42B" w14:textId="5D3140C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República Unida de Tanzania</w:t>
      </w:r>
      <w:r w:rsidRPr="00AC72B5">
        <w:rPr>
          <w:w w:val="98"/>
        </w:rPr>
        <w:t>, ¶ 35, Doc. ONU CEDAW/C/TZA/CO/7-8 (2016).</w:t>
      </w:r>
    </w:p>
  </w:endnote>
  <w:endnote w:id="774">
    <w:p w14:paraId="48885FC7" w14:textId="12E1320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Haití</w:t>
      </w:r>
      <w:r w:rsidRPr="00AC72B5">
        <w:rPr>
          <w:w w:val="98"/>
        </w:rPr>
        <w:t xml:space="preserve">, ¶ 34, Doc. ONU </w:t>
      </w:r>
      <w:r w:rsidRPr="00AC72B5">
        <w:rPr>
          <w:rFonts w:eastAsia="MS Mincho"/>
          <w:w w:val="98"/>
        </w:rPr>
        <w:t xml:space="preserve">CEDAW/C/HTI/CO/8-9 (2016); </w:t>
      </w:r>
      <w:r w:rsidRPr="00AC72B5">
        <w:rPr>
          <w:rFonts w:eastAsia="MS Mincho"/>
          <w:i/>
          <w:w w:val="98"/>
        </w:rPr>
        <w:t>Gambia</w:t>
      </w:r>
      <w:r w:rsidRPr="00AC72B5">
        <w:rPr>
          <w:rFonts w:eastAsia="MS Mincho"/>
          <w:w w:val="98"/>
        </w:rPr>
        <w:t xml:space="preserve">, </w:t>
      </w:r>
      <w:r w:rsidRPr="00AC72B5">
        <w:rPr>
          <w:w w:val="98"/>
        </w:rPr>
        <w:t xml:space="preserve">¶ 37, </w:t>
      </w:r>
      <w:r w:rsidRPr="00AC72B5">
        <w:rPr>
          <w:rFonts w:eastAsia="MS Mincho"/>
          <w:w w:val="98"/>
        </w:rPr>
        <w:t xml:space="preserve">Doc. ONU </w:t>
      </w:r>
      <w:r w:rsidRPr="00AC72B5">
        <w:rPr>
          <w:w w:val="98"/>
        </w:rPr>
        <w:t>CEDAW/C/GMB/CO/4-5 (2015).</w:t>
      </w:r>
    </w:p>
  </w:endnote>
  <w:endnote w:id="775">
    <w:p w14:paraId="55BD002C" w14:textId="7863E04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Eslovaquia</w:t>
      </w:r>
      <w:r w:rsidRPr="00AC72B5">
        <w:rPr>
          <w:w w:val="98"/>
        </w:rPr>
        <w:t xml:space="preserve">, ¶ 31, Doc. ONU </w:t>
      </w:r>
      <w:r w:rsidRPr="00AC72B5">
        <w:rPr>
          <w:rFonts w:eastAsia="MS Mincho"/>
          <w:w w:val="98"/>
        </w:rPr>
        <w:t>CEDAW/C/SVK/CO/5-6 (2015).</w:t>
      </w:r>
    </w:p>
  </w:endnote>
  <w:endnote w:id="776">
    <w:p w14:paraId="6E1B9142" w14:textId="0473B4E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Honduras</w:t>
      </w:r>
      <w:r w:rsidRPr="00AC72B5">
        <w:rPr>
          <w:w w:val="98"/>
        </w:rPr>
        <w:t xml:space="preserve">, ¶ 24, Doc. ONU CEDAW/C/HON/CO/6 (2007); </w:t>
      </w:r>
      <w:r w:rsidRPr="00AC72B5">
        <w:rPr>
          <w:i/>
          <w:w w:val="98"/>
        </w:rPr>
        <w:t>Filipinas</w:t>
      </w:r>
      <w:r w:rsidRPr="00AC72B5">
        <w:rPr>
          <w:w w:val="98"/>
        </w:rPr>
        <w:t>, ¶ 27, Doc. ONU CEDAW/C/PHI/CO/6 (2006).</w:t>
      </w:r>
    </w:p>
  </w:endnote>
  <w:endnote w:id="777">
    <w:p w14:paraId="32A07921" w14:textId="181DAA7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Uruguay</w:t>
      </w:r>
      <w:r w:rsidRPr="00AC72B5">
        <w:rPr>
          <w:w w:val="98"/>
        </w:rPr>
        <w:t xml:space="preserve">, ¶ 31, Doc. ONU </w:t>
      </w:r>
      <w:r w:rsidRPr="00AC72B5">
        <w:rPr>
          <w:rFonts w:eastAsia="MS Mincho"/>
          <w:w w:val="98"/>
        </w:rPr>
        <w:t xml:space="preserve">CEDAW/C/URY/CO/8-9 (2016); </w:t>
      </w:r>
      <w:r w:rsidRPr="00AC72B5">
        <w:rPr>
          <w:i/>
          <w:w w:val="98"/>
        </w:rPr>
        <w:t>Trinidad y Tobago</w:t>
      </w:r>
      <w:r w:rsidRPr="00AC72B5">
        <w:rPr>
          <w:w w:val="98"/>
        </w:rPr>
        <w:t xml:space="preserve">, ¶ 28, Doc. ONU CEDAW/C/TTO/CO/4-7 (2016); </w:t>
      </w:r>
      <w:r w:rsidRPr="00AC72B5">
        <w:rPr>
          <w:rFonts w:eastAsia="MS Mincho"/>
          <w:i/>
          <w:w w:val="98"/>
        </w:rPr>
        <w:t>Liberia</w:t>
      </w:r>
      <w:r w:rsidRPr="00AC72B5">
        <w:rPr>
          <w:rFonts w:eastAsia="MS Mincho"/>
          <w:w w:val="98"/>
        </w:rPr>
        <w:t>,</w:t>
      </w:r>
      <w:r w:rsidRPr="00AC72B5">
        <w:rPr>
          <w:rFonts w:eastAsia="MS Mincho"/>
          <w:i/>
          <w:w w:val="98"/>
        </w:rPr>
        <w:t xml:space="preserve"> </w:t>
      </w:r>
      <w:r w:rsidRPr="00AC72B5">
        <w:rPr>
          <w:w w:val="98"/>
        </w:rPr>
        <w:t>¶</w:t>
      </w:r>
      <w:r w:rsidRPr="00AC72B5">
        <w:rPr>
          <w:rFonts w:eastAsia="MS Mincho"/>
          <w:w w:val="98"/>
        </w:rPr>
        <w:t xml:space="preserve"> </w:t>
      </w:r>
      <w:r w:rsidRPr="00AC72B5">
        <w:rPr>
          <w:w w:val="98"/>
        </w:rPr>
        <w:t>35</w:t>
      </w:r>
      <w:r w:rsidRPr="00AC72B5">
        <w:rPr>
          <w:rFonts w:eastAsia="MS Mincho"/>
          <w:w w:val="98"/>
        </w:rPr>
        <w:t xml:space="preserve">, Doc. ONU CEDAW/C/LBR/CO/7-8 (2015); </w:t>
      </w:r>
      <w:r w:rsidRPr="00AC72B5">
        <w:rPr>
          <w:i/>
          <w:w w:val="98"/>
        </w:rPr>
        <w:t>Costa Rica</w:t>
      </w:r>
      <w:r w:rsidRPr="00AC72B5">
        <w:rPr>
          <w:w w:val="98"/>
        </w:rPr>
        <w:t>, ¶ 26, Doc. ONU CEDAW/C/CRI/CO/5-6 (2011).</w:t>
      </w:r>
    </w:p>
  </w:endnote>
  <w:endnote w:id="778">
    <w:p w14:paraId="5153AD0C" w14:textId="111B2B2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Uruguay</w:t>
      </w:r>
      <w:r w:rsidRPr="00AC72B5">
        <w:rPr>
          <w:w w:val="98"/>
        </w:rPr>
        <w:t xml:space="preserve">, ¶ 31, Doc. ONU </w:t>
      </w:r>
      <w:r w:rsidRPr="00AC72B5">
        <w:rPr>
          <w:rFonts w:eastAsia="MS Mincho"/>
          <w:w w:val="98"/>
        </w:rPr>
        <w:t xml:space="preserve">CEDAW/C/URY/CO/8-9 (2016); </w:t>
      </w:r>
      <w:r w:rsidRPr="00AC72B5">
        <w:rPr>
          <w:i/>
          <w:w w:val="98"/>
        </w:rPr>
        <w:t>Turquía</w:t>
      </w:r>
      <w:r w:rsidRPr="00AC72B5">
        <w:rPr>
          <w:w w:val="98"/>
        </w:rPr>
        <w:t>, ¶ 47, Doc. ONU CEDAW/C/TUR/CO/7 (2016).</w:t>
      </w:r>
    </w:p>
  </w:endnote>
  <w:endnote w:id="779">
    <w:p w14:paraId="122278D5" w14:textId="718C9AB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República Unida de Tanzania</w:t>
      </w:r>
      <w:r w:rsidRPr="00AC72B5">
        <w:rPr>
          <w:w w:val="98"/>
        </w:rPr>
        <w:t xml:space="preserve">, ¶ 30, Doc. ONU </w:t>
      </w:r>
      <w:r w:rsidRPr="00AC72B5">
        <w:rPr>
          <w:rFonts w:eastAsia="MS Mincho"/>
          <w:w w:val="98"/>
        </w:rPr>
        <w:t>CEDAW/C/TZA/CO/7-8 (2016).</w:t>
      </w:r>
    </w:p>
  </w:endnote>
  <w:endnote w:id="780">
    <w:p w14:paraId="570F410E" w14:textId="01C8017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Uruguay</w:t>
      </w:r>
      <w:r w:rsidRPr="00AC72B5">
        <w:rPr>
          <w:w w:val="98"/>
        </w:rPr>
        <w:t xml:space="preserve">, ¶ 32, Doc. ONU </w:t>
      </w:r>
      <w:r w:rsidRPr="00AC72B5">
        <w:rPr>
          <w:rFonts w:eastAsia="MS Mincho"/>
          <w:w w:val="98"/>
        </w:rPr>
        <w:t xml:space="preserve">CEDAW/C/URY/CO/8-9 (2016); </w:t>
      </w:r>
      <w:r w:rsidRPr="00AC72B5">
        <w:rPr>
          <w:i/>
          <w:w w:val="98"/>
        </w:rPr>
        <w:t>Trinidad y Tobago</w:t>
      </w:r>
      <w:r w:rsidRPr="00AC72B5">
        <w:rPr>
          <w:w w:val="98"/>
        </w:rPr>
        <w:t xml:space="preserve">, ¶ 29, Doc. ONU CEDAW/C/TTO/CO/4-7 (2016); </w:t>
      </w:r>
      <w:r w:rsidRPr="00AC72B5">
        <w:rPr>
          <w:rFonts w:eastAsia="MS Mincho"/>
          <w:i/>
          <w:w w:val="98"/>
        </w:rPr>
        <w:t>Liberia</w:t>
      </w:r>
      <w:r w:rsidRPr="00AC72B5">
        <w:rPr>
          <w:rFonts w:eastAsia="MS Mincho"/>
          <w:w w:val="98"/>
        </w:rPr>
        <w:t>,</w:t>
      </w:r>
      <w:r w:rsidRPr="00AC72B5">
        <w:rPr>
          <w:rFonts w:eastAsia="MS Mincho"/>
          <w:i/>
          <w:w w:val="98"/>
        </w:rPr>
        <w:t xml:space="preserve"> </w:t>
      </w:r>
      <w:r w:rsidRPr="00AC72B5">
        <w:rPr>
          <w:w w:val="98"/>
        </w:rPr>
        <w:t>¶</w:t>
      </w:r>
      <w:r w:rsidRPr="00AC72B5">
        <w:rPr>
          <w:rFonts w:eastAsia="MS Mincho"/>
          <w:w w:val="98"/>
        </w:rPr>
        <w:t xml:space="preserve"> </w:t>
      </w:r>
      <w:r w:rsidRPr="00AC72B5">
        <w:rPr>
          <w:w w:val="98"/>
        </w:rPr>
        <w:t>36</w:t>
      </w:r>
      <w:r w:rsidRPr="00AC72B5">
        <w:rPr>
          <w:rFonts w:eastAsia="MS Mincho"/>
          <w:w w:val="98"/>
        </w:rPr>
        <w:t xml:space="preserve">, Doc. ONU CEDAW/C/LBR/CO/7-8 (2015); </w:t>
      </w:r>
      <w:r w:rsidRPr="00AC72B5">
        <w:rPr>
          <w:rFonts w:eastAsia="MS Mincho"/>
          <w:i/>
          <w:w w:val="98"/>
        </w:rPr>
        <w:t>India</w:t>
      </w:r>
      <w:r w:rsidRPr="00AC72B5">
        <w:rPr>
          <w:rFonts w:eastAsia="MS Mincho"/>
          <w:w w:val="98"/>
        </w:rPr>
        <w:t xml:space="preserve">, </w:t>
      </w:r>
      <w:r w:rsidRPr="00AC72B5">
        <w:rPr>
          <w:w w:val="98"/>
        </w:rPr>
        <w:t>27</w:t>
      </w:r>
      <w:r w:rsidRPr="00AC72B5">
        <w:rPr>
          <w:rFonts w:eastAsia="MS Mincho"/>
          <w:w w:val="98"/>
        </w:rPr>
        <w:t xml:space="preserve">, Doc. ONU CEDAW/C/IND/CO/4-5 (2014); </w:t>
      </w:r>
      <w:r w:rsidRPr="00AC72B5">
        <w:rPr>
          <w:i/>
          <w:w w:val="98"/>
        </w:rPr>
        <w:t>Cabo Verde</w:t>
      </w:r>
      <w:r w:rsidRPr="00AC72B5">
        <w:rPr>
          <w:w w:val="98"/>
        </w:rPr>
        <w:t xml:space="preserve">, ¶ 25, Doc. ONU CEDAW/C/CPV/CO/7-8 (2013); </w:t>
      </w:r>
      <w:r w:rsidRPr="00AC72B5">
        <w:rPr>
          <w:i/>
          <w:w w:val="98"/>
        </w:rPr>
        <w:t>Chile</w:t>
      </w:r>
      <w:r w:rsidRPr="00AC72B5">
        <w:rPr>
          <w:w w:val="98"/>
        </w:rPr>
        <w:t>, ¶ 29, Doc. ONU CEDAW/C/CHL/CO/5-6 (2012).</w:t>
      </w:r>
    </w:p>
  </w:endnote>
  <w:endnote w:id="781">
    <w:p w14:paraId="7F3F9E3C" w14:textId="57655B1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República Unida de Tanzania</w:t>
      </w:r>
      <w:r w:rsidRPr="00AC72B5">
        <w:rPr>
          <w:w w:val="98"/>
        </w:rPr>
        <w:t xml:space="preserve">, ¶ 31, Doc. ONU </w:t>
      </w:r>
      <w:r w:rsidRPr="00AC72B5">
        <w:rPr>
          <w:rFonts w:eastAsia="MS Mincho"/>
          <w:w w:val="98"/>
        </w:rPr>
        <w:t xml:space="preserve">CEDAW/C/TZA/CO/7-8 (2016); </w:t>
      </w:r>
      <w:r w:rsidRPr="00AC72B5">
        <w:rPr>
          <w:rFonts w:eastAsia="MS Mincho"/>
          <w:i/>
          <w:w w:val="98"/>
        </w:rPr>
        <w:t>India</w:t>
      </w:r>
      <w:r w:rsidRPr="00AC72B5">
        <w:rPr>
          <w:rFonts w:eastAsia="MS Mincho"/>
          <w:w w:val="98"/>
        </w:rPr>
        <w:t xml:space="preserve">, </w:t>
      </w:r>
      <w:r w:rsidRPr="00AC72B5">
        <w:rPr>
          <w:w w:val="98"/>
        </w:rPr>
        <w:t>¶ 27</w:t>
      </w:r>
      <w:r w:rsidRPr="00AC72B5">
        <w:rPr>
          <w:rFonts w:eastAsia="MS Mincho"/>
          <w:w w:val="98"/>
        </w:rPr>
        <w:t xml:space="preserve">, Doc. ONU CEDAW/C/IND/CO/4-5 (2014); </w:t>
      </w:r>
      <w:r w:rsidRPr="00AC72B5">
        <w:rPr>
          <w:i/>
          <w:w w:val="98"/>
        </w:rPr>
        <w:t>Cabo Verde</w:t>
      </w:r>
      <w:r w:rsidRPr="00AC72B5">
        <w:rPr>
          <w:w w:val="98"/>
        </w:rPr>
        <w:t>, ¶ 25, Doc. ONU CEDAW/C/CPV/CO/7-8 (2013).</w:t>
      </w:r>
    </w:p>
  </w:endnote>
  <w:endnote w:id="782">
    <w:p w14:paraId="46A65011" w14:textId="4EF8EA8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Cabo Verde</w:t>
      </w:r>
      <w:r w:rsidRPr="00AC72B5">
        <w:rPr>
          <w:w w:val="98"/>
        </w:rPr>
        <w:t xml:space="preserve">, ¶ 25, Doc. ONU CEDAW/C/CPV/CO/7-8 (2013); </w:t>
      </w:r>
      <w:r w:rsidRPr="00AC72B5">
        <w:rPr>
          <w:i/>
          <w:w w:val="98"/>
        </w:rPr>
        <w:t>Chile</w:t>
      </w:r>
      <w:r w:rsidRPr="00AC72B5">
        <w:rPr>
          <w:w w:val="98"/>
        </w:rPr>
        <w:t>, ¶ 29, Doc. ONU CEDAW/C/CHL/CO/5-6 (2012).</w:t>
      </w:r>
    </w:p>
  </w:endnote>
  <w:endnote w:id="783">
    <w:p w14:paraId="755A8825" w14:textId="456FC1F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República Unida de Tanzania</w:t>
      </w:r>
      <w:r w:rsidRPr="00AC72B5">
        <w:rPr>
          <w:w w:val="98"/>
        </w:rPr>
        <w:t xml:space="preserve">, ¶ 31, Doc. ONU </w:t>
      </w:r>
      <w:r w:rsidRPr="00AC72B5">
        <w:rPr>
          <w:rFonts w:eastAsia="MS Mincho"/>
          <w:w w:val="98"/>
        </w:rPr>
        <w:t>CEDAW/C/TZA/CO/7-8 (2016).</w:t>
      </w:r>
    </w:p>
  </w:endnote>
  <w:endnote w:id="784">
    <w:p w14:paraId="2D25E9D4" w14:textId="637EC60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República Unida de Tanzania</w:t>
      </w:r>
      <w:r w:rsidRPr="00AC72B5">
        <w:rPr>
          <w:w w:val="98"/>
        </w:rPr>
        <w:t xml:space="preserve">, ¶ 31, Doc. ONU </w:t>
      </w:r>
      <w:r w:rsidRPr="00AC72B5">
        <w:rPr>
          <w:rFonts w:eastAsia="MS Mincho"/>
          <w:w w:val="98"/>
        </w:rPr>
        <w:t>CEDAW/C/TZA/CO/7-8 (2016).</w:t>
      </w:r>
    </w:p>
  </w:endnote>
  <w:endnote w:id="785">
    <w:p w14:paraId="1AE2D25D" w14:textId="4697CF3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 xml:space="preserve">, Comité CEDAW, </w:t>
      </w:r>
      <w:r w:rsidRPr="00AC72B5">
        <w:rPr>
          <w:i/>
          <w:w w:val="98"/>
        </w:rPr>
        <w:t>Observaciones Finales: República Unida de Tanzania</w:t>
      </w:r>
      <w:r w:rsidRPr="00AC72B5">
        <w:rPr>
          <w:w w:val="98"/>
        </w:rPr>
        <w:t xml:space="preserve">, ¶ 31, Doc. ONU </w:t>
      </w:r>
      <w:r w:rsidRPr="00AC72B5">
        <w:rPr>
          <w:rFonts w:eastAsia="MS Mincho"/>
          <w:w w:val="98"/>
        </w:rPr>
        <w:t xml:space="preserve">CEDAW/C/TZA/CO/7-8 (2016); </w:t>
      </w:r>
      <w:r w:rsidRPr="00AC72B5">
        <w:rPr>
          <w:i/>
          <w:w w:val="98"/>
        </w:rPr>
        <w:t>Albania</w:t>
      </w:r>
      <w:r w:rsidRPr="00AC72B5">
        <w:rPr>
          <w:w w:val="98"/>
        </w:rPr>
        <w:t xml:space="preserve">, ¶ 33, Doc. ONU CEDAW/C/ALBA/CO/4 (2016); </w:t>
      </w:r>
      <w:r w:rsidRPr="00AC72B5">
        <w:rPr>
          <w:i/>
          <w:w w:val="98"/>
        </w:rPr>
        <w:t>Haití</w:t>
      </w:r>
      <w:r w:rsidRPr="00AC72B5">
        <w:rPr>
          <w:w w:val="98"/>
        </w:rPr>
        <w:t xml:space="preserve">, ¶ 30, Doc. ONU </w:t>
      </w:r>
      <w:r w:rsidRPr="00AC72B5">
        <w:rPr>
          <w:rFonts w:eastAsia="MS Mincho"/>
          <w:w w:val="98"/>
        </w:rPr>
        <w:t xml:space="preserve">CEDAW/C/HTI/CO/8-9 (2016); </w:t>
      </w:r>
      <w:r w:rsidRPr="00AC72B5">
        <w:rPr>
          <w:rFonts w:eastAsia="MS Mincho"/>
          <w:i/>
          <w:w w:val="98"/>
        </w:rPr>
        <w:t>Federación de Rusia</w:t>
      </w:r>
      <w:r w:rsidRPr="00AC72B5">
        <w:rPr>
          <w:rFonts w:eastAsia="MS Mincho"/>
          <w:w w:val="98"/>
        </w:rPr>
        <w:t xml:space="preserve">, </w:t>
      </w:r>
      <w:r w:rsidRPr="00AC72B5">
        <w:rPr>
          <w:w w:val="98"/>
        </w:rPr>
        <w:t>¶ 32</w:t>
      </w:r>
      <w:r w:rsidRPr="00AC72B5">
        <w:rPr>
          <w:rFonts w:eastAsia="MS Mincho"/>
          <w:w w:val="98"/>
        </w:rPr>
        <w:t xml:space="preserve">, Doc. ONU CEDAW/C/RUS/CO/8 (2015); </w:t>
      </w:r>
      <w:r w:rsidRPr="00AC72B5">
        <w:rPr>
          <w:rFonts w:eastAsia="MS Mincho"/>
          <w:i/>
          <w:w w:val="98"/>
        </w:rPr>
        <w:t>Kirguistán</w:t>
      </w:r>
      <w:r w:rsidRPr="00AC72B5">
        <w:rPr>
          <w:rFonts w:eastAsia="MS Mincho"/>
          <w:w w:val="98"/>
        </w:rPr>
        <w:t xml:space="preserve">, </w:t>
      </w:r>
      <w:r w:rsidRPr="00AC72B5">
        <w:rPr>
          <w:w w:val="98"/>
        </w:rPr>
        <w:t xml:space="preserve">¶ 30, </w:t>
      </w:r>
      <w:r w:rsidRPr="00AC72B5">
        <w:rPr>
          <w:rFonts w:eastAsia="MS Mincho"/>
          <w:w w:val="98"/>
        </w:rPr>
        <w:t xml:space="preserve">Doc. ONU </w:t>
      </w:r>
      <w:r w:rsidRPr="00AC72B5">
        <w:rPr>
          <w:w w:val="98"/>
        </w:rPr>
        <w:t>CEDAW/C/KGZ/CO/4</w:t>
      </w:r>
      <w:r w:rsidRPr="00AC72B5">
        <w:rPr>
          <w:rFonts w:eastAsia="MS Mincho"/>
          <w:w w:val="98"/>
        </w:rPr>
        <w:t xml:space="preserve"> (2015); </w:t>
      </w:r>
      <w:r w:rsidRPr="00AC72B5">
        <w:rPr>
          <w:rFonts w:eastAsia="MS Mincho"/>
          <w:i/>
          <w:w w:val="98"/>
        </w:rPr>
        <w:t>Líbano</w:t>
      </w:r>
      <w:r w:rsidRPr="00AC72B5">
        <w:rPr>
          <w:rFonts w:eastAsia="MS Mincho"/>
          <w:w w:val="98"/>
        </w:rPr>
        <w:t xml:space="preserve">, </w:t>
      </w:r>
      <w:r w:rsidRPr="00AC72B5">
        <w:rPr>
          <w:w w:val="98"/>
        </w:rPr>
        <w:t>¶ 42</w:t>
      </w:r>
      <w:r w:rsidRPr="00AC72B5">
        <w:rPr>
          <w:rFonts w:eastAsia="MS Mincho"/>
          <w:w w:val="98"/>
        </w:rPr>
        <w:t xml:space="preserve">, Doc. ONU CEDAW/C/LBN/CO/4-5 (2015); </w:t>
      </w:r>
      <w:r w:rsidRPr="00AC72B5">
        <w:rPr>
          <w:rFonts w:eastAsia="MS Mincho"/>
          <w:i/>
          <w:w w:val="98"/>
        </w:rPr>
        <w:t>Eslovaquia</w:t>
      </w:r>
      <w:r w:rsidRPr="00AC72B5">
        <w:rPr>
          <w:rFonts w:eastAsia="MS Mincho"/>
          <w:w w:val="98"/>
        </w:rPr>
        <w:t xml:space="preserve">, </w:t>
      </w:r>
      <w:r w:rsidRPr="00AC72B5">
        <w:rPr>
          <w:w w:val="98"/>
        </w:rPr>
        <w:t>¶ 27</w:t>
      </w:r>
      <w:r w:rsidRPr="00AC72B5">
        <w:rPr>
          <w:rFonts w:eastAsia="MS Mincho"/>
          <w:w w:val="98"/>
        </w:rPr>
        <w:t xml:space="preserve">, Doc. ONU CEDAW/C/SVK/CO/5-6 (2015); </w:t>
      </w:r>
      <w:r w:rsidRPr="00AC72B5">
        <w:rPr>
          <w:i/>
          <w:w w:val="98"/>
        </w:rPr>
        <w:t>Azerbaiyán</w:t>
      </w:r>
      <w:r w:rsidRPr="00AC72B5">
        <w:rPr>
          <w:w w:val="98"/>
        </w:rPr>
        <w:t xml:space="preserve">, ¶ 33, Doc. ONU CEDAW/C/AZE/CO/5 (2015); </w:t>
      </w:r>
      <w:r w:rsidRPr="00AC72B5">
        <w:rPr>
          <w:rFonts w:eastAsia="MS Mincho"/>
          <w:i/>
          <w:w w:val="98"/>
        </w:rPr>
        <w:t>Georgia</w:t>
      </w:r>
      <w:r w:rsidRPr="00AC72B5">
        <w:rPr>
          <w:rFonts w:eastAsia="MS Mincho"/>
          <w:w w:val="98"/>
        </w:rPr>
        <w:t xml:space="preserve">, </w:t>
      </w:r>
      <w:r w:rsidRPr="00AC72B5">
        <w:rPr>
          <w:w w:val="98"/>
        </w:rPr>
        <w:t>¶</w:t>
      </w:r>
      <w:r w:rsidRPr="00AC72B5">
        <w:rPr>
          <w:rFonts w:eastAsia="MS Mincho"/>
          <w:w w:val="98"/>
        </w:rPr>
        <w:t xml:space="preserve"> </w:t>
      </w:r>
      <w:r w:rsidRPr="00AC72B5">
        <w:rPr>
          <w:w w:val="98"/>
        </w:rPr>
        <w:t>27</w:t>
      </w:r>
      <w:r w:rsidRPr="00AC72B5">
        <w:rPr>
          <w:rFonts w:eastAsia="MS Mincho"/>
          <w:w w:val="98"/>
        </w:rPr>
        <w:t xml:space="preserve">, Doc. ONU CEDAW/C/GEO/CO/4-5 (2014); </w:t>
      </w:r>
      <w:r w:rsidRPr="00AC72B5">
        <w:rPr>
          <w:rFonts w:eastAsia="MS Mincho"/>
          <w:i/>
          <w:w w:val="98"/>
        </w:rPr>
        <w:t>Serbia</w:t>
      </w:r>
      <w:r w:rsidRPr="00AC72B5">
        <w:rPr>
          <w:rFonts w:eastAsia="MS Mincho"/>
          <w:w w:val="98"/>
        </w:rPr>
        <w:t xml:space="preserve">, </w:t>
      </w:r>
      <w:r w:rsidRPr="00AC72B5">
        <w:rPr>
          <w:w w:val="98"/>
        </w:rPr>
        <w:t xml:space="preserve">¶ 29, </w:t>
      </w:r>
      <w:r w:rsidRPr="00AC72B5">
        <w:rPr>
          <w:rFonts w:eastAsia="MS Mincho"/>
          <w:w w:val="98"/>
        </w:rPr>
        <w:t xml:space="preserve">Doc. ONU </w:t>
      </w:r>
      <w:r w:rsidRPr="00AC72B5">
        <w:rPr>
          <w:w w:val="98"/>
        </w:rPr>
        <w:t xml:space="preserve">CEDAW/C/SRB/CO/2-3 (2013); </w:t>
      </w:r>
      <w:r w:rsidRPr="00AC72B5">
        <w:rPr>
          <w:i/>
          <w:w w:val="98"/>
        </w:rPr>
        <w:t>Hungría</w:t>
      </w:r>
      <w:r w:rsidRPr="00AC72B5">
        <w:rPr>
          <w:w w:val="98"/>
        </w:rPr>
        <w:t xml:space="preserve">, ¶ 33, Doc. ONU CEDAW/C/HUN/CO/7-8 (2013); </w:t>
      </w:r>
      <w:r w:rsidRPr="00AC72B5">
        <w:rPr>
          <w:rFonts w:eastAsia="MS Mincho"/>
          <w:i/>
          <w:w w:val="98"/>
        </w:rPr>
        <w:t>Bulgaria</w:t>
      </w:r>
      <w:r w:rsidRPr="00AC72B5">
        <w:rPr>
          <w:rFonts w:eastAsia="MS Mincho"/>
          <w:w w:val="98"/>
        </w:rPr>
        <w:t>,</w:t>
      </w:r>
      <w:r w:rsidRPr="00AC72B5">
        <w:rPr>
          <w:rFonts w:eastAsia="MS Mincho"/>
          <w:i/>
          <w:w w:val="98"/>
        </w:rPr>
        <w:t xml:space="preserve"> </w:t>
      </w:r>
      <w:r w:rsidRPr="00AC72B5">
        <w:rPr>
          <w:w w:val="98"/>
        </w:rPr>
        <w:t>¶</w:t>
      </w:r>
      <w:r w:rsidRPr="00AC72B5">
        <w:rPr>
          <w:rFonts w:eastAsia="MS Mincho"/>
          <w:w w:val="98"/>
        </w:rPr>
        <w:t xml:space="preserve"> </w:t>
      </w:r>
      <w:r w:rsidRPr="00AC72B5">
        <w:rPr>
          <w:w w:val="98"/>
        </w:rPr>
        <w:t>36</w:t>
      </w:r>
      <w:r w:rsidRPr="00AC72B5">
        <w:rPr>
          <w:rFonts w:eastAsia="MS Mincho"/>
          <w:w w:val="98"/>
        </w:rPr>
        <w:t xml:space="preserve">, Doc. ONU CEDAW/C/BGR/CO/4-7 (2012); </w:t>
      </w:r>
      <w:r w:rsidRPr="00AC72B5">
        <w:rPr>
          <w:i/>
          <w:w w:val="98"/>
        </w:rPr>
        <w:t>Montenegro</w:t>
      </w:r>
      <w:r w:rsidRPr="00AC72B5">
        <w:rPr>
          <w:w w:val="98"/>
        </w:rPr>
        <w:t xml:space="preserve">, ¶ 31, Doc. ONU CEDAW/C/MNE/CO/1 (2011); </w:t>
      </w:r>
      <w:r w:rsidRPr="00AC72B5">
        <w:rPr>
          <w:rFonts w:eastAsia="MS Mincho"/>
          <w:i/>
          <w:w w:val="98"/>
        </w:rPr>
        <w:t>Bielorrusia</w:t>
      </w:r>
      <w:r w:rsidRPr="00AC72B5">
        <w:rPr>
          <w:rFonts w:eastAsia="MS Mincho"/>
          <w:w w:val="98"/>
        </w:rPr>
        <w:t xml:space="preserve">, </w:t>
      </w:r>
      <w:r w:rsidRPr="00AC72B5">
        <w:rPr>
          <w:w w:val="98"/>
        </w:rPr>
        <w:t>¶ 36</w:t>
      </w:r>
      <w:r w:rsidRPr="00AC72B5">
        <w:rPr>
          <w:rFonts w:eastAsia="MS Mincho"/>
          <w:w w:val="98"/>
        </w:rPr>
        <w:t xml:space="preserve">, Doc. ONU </w:t>
      </w:r>
      <w:r w:rsidRPr="00AC72B5">
        <w:rPr>
          <w:w w:val="98"/>
        </w:rPr>
        <w:t xml:space="preserve">CEDAW/C/BLR/CO/7 (2011); </w:t>
      </w:r>
      <w:r w:rsidRPr="00AC72B5">
        <w:rPr>
          <w:i/>
          <w:w w:val="98"/>
        </w:rPr>
        <w:t>Haití</w:t>
      </w:r>
      <w:r w:rsidRPr="00AC72B5">
        <w:rPr>
          <w:w w:val="98"/>
        </w:rPr>
        <w:t xml:space="preserve">, ¶ 37, Doc. ONU CEDAW/C/HTI/CO/7 (2009); </w:t>
      </w:r>
      <w:r w:rsidRPr="00AC72B5">
        <w:rPr>
          <w:i/>
          <w:w w:val="98"/>
        </w:rPr>
        <w:t>Vietnam</w:t>
      </w:r>
      <w:r w:rsidRPr="00AC72B5">
        <w:rPr>
          <w:w w:val="98"/>
        </w:rPr>
        <w:t xml:space="preserve">, ¶ 25, Doc. ONU CEDAW/C/VNM/CO/6 (2007); </w:t>
      </w:r>
      <w:r w:rsidRPr="00AC72B5">
        <w:rPr>
          <w:rFonts w:eastAsia="MS Mincho"/>
          <w:i/>
          <w:w w:val="98"/>
        </w:rPr>
        <w:t>Nicaragua</w:t>
      </w:r>
      <w:r w:rsidRPr="00AC72B5">
        <w:rPr>
          <w:rFonts w:eastAsia="MS Mincho"/>
          <w:w w:val="98"/>
        </w:rPr>
        <w:t>,</w:t>
      </w:r>
      <w:r w:rsidRPr="00AC72B5">
        <w:rPr>
          <w:rFonts w:eastAsia="MS Mincho"/>
          <w:i/>
          <w:w w:val="98"/>
        </w:rPr>
        <w:t xml:space="preserve"> </w:t>
      </w:r>
      <w:r w:rsidRPr="00AC72B5">
        <w:rPr>
          <w:w w:val="98"/>
        </w:rPr>
        <w:t>¶ 18</w:t>
      </w:r>
      <w:r w:rsidRPr="00AC72B5">
        <w:rPr>
          <w:rFonts w:eastAsia="MS Mincho"/>
          <w:w w:val="98"/>
        </w:rPr>
        <w:t xml:space="preserve">, Doc. ONU </w:t>
      </w:r>
      <w:r w:rsidRPr="00AC72B5">
        <w:rPr>
          <w:w w:val="98"/>
        </w:rPr>
        <w:t>CEDAW/C/NIC/CO/6 (2007).</w:t>
      </w:r>
    </w:p>
  </w:endnote>
  <w:endnote w:id="786">
    <w:p w14:paraId="70EACA4F" w14:textId="12F4476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Cabo Verde</w:t>
      </w:r>
      <w:r w:rsidRPr="00AC72B5">
        <w:rPr>
          <w:w w:val="98"/>
        </w:rPr>
        <w:t xml:space="preserve">, ¶ 25, Doc. ONU CEDAW/C/CPV/CO/7-8 (2013); </w:t>
      </w:r>
      <w:r w:rsidRPr="00AC72B5">
        <w:rPr>
          <w:i/>
          <w:w w:val="98"/>
        </w:rPr>
        <w:t>Chile</w:t>
      </w:r>
      <w:r w:rsidRPr="00AC72B5">
        <w:rPr>
          <w:w w:val="98"/>
        </w:rPr>
        <w:t xml:space="preserve">, ¶ 29, Doc. ONU CEDAW/C/CHL/CO/5-6 (2012); </w:t>
      </w:r>
      <w:r w:rsidRPr="00AC72B5">
        <w:rPr>
          <w:i/>
          <w:w w:val="98"/>
        </w:rPr>
        <w:t>Ucrania</w:t>
      </w:r>
      <w:r w:rsidRPr="00AC72B5">
        <w:rPr>
          <w:w w:val="98"/>
        </w:rPr>
        <w:t xml:space="preserve">, ¶ 39, Doc. ONU CEDAW/C/UKR/CO/7 (2010); </w:t>
      </w:r>
      <w:r w:rsidRPr="00AC72B5">
        <w:rPr>
          <w:rFonts w:eastAsia="MS Mincho"/>
          <w:i/>
          <w:w w:val="98"/>
        </w:rPr>
        <w:t>Moldavia</w:t>
      </w:r>
      <w:r w:rsidRPr="00AC72B5">
        <w:rPr>
          <w:rFonts w:eastAsia="MS Mincho"/>
          <w:w w:val="98"/>
        </w:rPr>
        <w:t xml:space="preserve">, </w:t>
      </w:r>
      <w:r w:rsidRPr="00AC72B5">
        <w:rPr>
          <w:w w:val="98"/>
        </w:rPr>
        <w:t xml:space="preserve">¶ 31, </w:t>
      </w:r>
      <w:r w:rsidRPr="00AC72B5">
        <w:rPr>
          <w:rFonts w:eastAsia="MS Mincho"/>
          <w:w w:val="98"/>
        </w:rPr>
        <w:t xml:space="preserve">Doc. ONU </w:t>
      </w:r>
      <w:r w:rsidRPr="00AC72B5">
        <w:rPr>
          <w:w w:val="98"/>
        </w:rPr>
        <w:t>CEDAW/C/MDA/CO/3 (2006).</w:t>
      </w:r>
    </w:p>
  </w:endnote>
  <w:endnote w:id="787">
    <w:p w14:paraId="3AA9252B" w14:textId="73517B3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Trinidad y Tobago</w:t>
      </w:r>
      <w:r w:rsidRPr="00AC72B5">
        <w:rPr>
          <w:w w:val="98"/>
        </w:rPr>
        <w:t>, ¶ 29, Doc. ONU CEDAW/C/TTO/CO/4-7 (2016).</w:t>
      </w:r>
    </w:p>
  </w:endnote>
  <w:endnote w:id="788">
    <w:p w14:paraId="37C376D4" w14:textId="5968AA92" w:rsidR="005E3DDD" w:rsidRPr="00AC72B5" w:rsidRDefault="005E3DDD" w:rsidP="00AC72B5">
      <w:pPr>
        <w:pStyle w:val="EndnoteText"/>
        <w:rPr>
          <w:rFonts w:eastAsia="MS Mincho"/>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 xml:space="preserve">, Comité CEDAW, </w:t>
      </w:r>
      <w:r w:rsidRPr="00AC72B5">
        <w:rPr>
          <w:rFonts w:eastAsia="MS Mincho"/>
          <w:i/>
          <w:w w:val="98"/>
        </w:rPr>
        <w:t>Observaciones Finales: Malawi</w:t>
      </w:r>
      <w:r w:rsidRPr="00AC72B5">
        <w:rPr>
          <w:rFonts w:eastAsia="MS Mincho"/>
          <w:w w:val="98"/>
        </w:rPr>
        <w:t>,</w:t>
      </w:r>
      <w:r w:rsidRPr="00AC72B5">
        <w:rPr>
          <w:rFonts w:eastAsia="MS Mincho"/>
          <w:i/>
          <w:w w:val="98"/>
        </w:rPr>
        <w:t xml:space="preserve"> </w:t>
      </w:r>
      <w:r w:rsidRPr="00AC72B5">
        <w:rPr>
          <w:w w:val="98"/>
        </w:rPr>
        <w:t>¶</w:t>
      </w:r>
      <w:r w:rsidRPr="00AC72B5">
        <w:rPr>
          <w:rFonts w:eastAsia="MS Mincho"/>
          <w:w w:val="98"/>
        </w:rPr>
        <w:t xml:space="preserve"> </w:t>
      </w:r>
      <w:r w:rsidRPr="00AC72B5">
        <w:rPr>
          <w:w w:val="98"/>
        </w:rPr>
        <w:t>35</w:t>
      </w:r>
      <w:r w:rsidRPr="00AC72B5">
        <w:rPr>
          <w:rFonts w:eastAsia="MS Mincho"/>
          <w:w w:val="98"/>
        </w:rPr>
        <w:t xml:space="preserve">, Doc. ONU CEDAW/C/MWI/CO/7 (2015); </w:t>
      </w:r>
      <w:r w:rsidRPr="00AC72B5">
        <w:rPr>
          <w:i/>
          <w:w w:val="98"/>
        </w:rPr>
        <w:t>Tuvalu</w:t>
      </w:r>
      <w:r w:rsidRPr="00AC72B5">
        <w:rPr>
          <w:w w:val="98"/>
        </w:rPr>
        <w:t>, ¶ 31, Doc. ONU</w:t>
      </w:r>
      <w:r w:rsidRPr="00AC72B5">
        <w:rPr>
          <w:i/>
          <w:w w:val="98"/>
        </w:rPr>
        <w:t xml:space="preserve"> </w:t>
      </w:r>
      <w:r w:rsidRPr="00AC72B5">
        <w:rPr>
          <w:w w:val="98"/>
        </w:rPr>
        <w:t xml:space="preserve">CEDAW/C/TUV/CO/3-4 (2015); </w:t>
      </w:r>
      <w:r w:rsidRPr="00AC72B5">
        <w:rPr>
          <w:rFonts w:eastAsia="MS Mincho"/>
          <w:i/>
          <w:w w:val="98"/>
        </w:rPr>
        <w:t>Congo</w:t>
      </w:r>
      <w:r w:rsidRPr="00AC72B5">
        <w:rPr>
          <w:rFonts w:eastAsia="MS Mincho"/>
          <w:w w:val="98"/>
        </w:rPr>
        <w:t xml:space="preserve">, </w:t>
      </w:r>
      <w:r w:rsidRPr="00AC72B5">
        <w:rPr>
          <w:w w:val="98"/>
        </w:rPr>
        <w:t>¶ 36</w:t>
      </w:r>
      <w:r w:rsidRPr="00AC72B5">
        <w:rPr>
          <w:rFonts w:eastAsia="MS Mincho"/>
          <w:w w:val="98"/>
        </w:rPr>
        <w:t xml:space="preserve">, Doc. ONU </w:t>
      </w:r>
      <w:r w:rsidRPr="00AC72B5">
        <w:rPr>
          <w:w w:val="98"/>
        </w:rPr>
        <w:t xml:space="preserve">CEDAW/C/COG/CO/6 (2012); </w:t>
      </w:r>
      <w:r w:rsidRPr="00AC72B5">
        <w:rPr>
          <w:i/>
          <w:w w:val="98"/>
        </w:rPr>
        <w:t>Indonesia</w:t>
      </w:r>
      <w:r w:rsidRPr="00AC72B5">
        <w:rPr>
          <w:w w:val="98"/>
        </w:rPr>
        <w:t>, ¶ 42, Doc. ONU CEDAW/C/IDN/CO/6-7 (2012).</w:t>
      </w:r>
    </w:p>
  </w:endnote>
  <w:endnote w:id="789">
    <w:p w14:paraId="0FF04A5D" w14:textId="6225C6D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Serbia</w:t>
      </w:r>
      <w:r w:rsidRPr="00AC72B5">
        <w:rPr>
          <w:rFonts w:eastAsia="MS Mincho"/>
          <w:w w:val="98"/>
        </w:rPr>
        <w:t>,</w:t>
      </w:r>
      <w:r w:rsidRPr="00AC72B5">
        <w:rPr>
          <w:rFonts w:eastAsia="MS Mincho"/>
          <w:i/>
          <w:w w:val="98"/>
        </w:rPr>
        <w:t xml:space="preserve"> </w:t>
      </w:r>
      <w:r w:rsidRPr="00AC72B5">
        <w:rPr>
          <w:w w:val="98"/>
        </w:rPr>
        <w:t>¶ 29</w:t>
      </w:r>
      <w:r w:rsidRPr="00AC72B5">
        <w:rPr>
          <w:rFonts w:eastAsia="MS Mincho"/>
          <w:w w:val="98"/>
        </w:rPr>
        <w:t xml:space="preserve">, Doc. ONU </w:t>
      </w:r>
      <w:r w:rsidRPr="00AC72B5">
        <w:rPr>
          <w:w w:val="98"/>
        </w:rPr>
        <w:t xml:space="preserve">CEDAW/C/SRB/CO/2-3 (2013); </w:t>
      </w:r>
      <w:r w:rsidRPr="00AC72B5">
        <w:rPr>
          <w:i/>
          <w:w w:val="98"/>
        </w:rPr>
        <w:t>Cabo Verde</w:t>
      </w:r>
      <w:r w:rsidRPr="00AC72B5">
        <w:rPr>
          <w:w w:val="98"/>
        </w:rPr>
        <w:t>, ¶ 25, Doc. ONU CEDAW/C/CPV/CO/7-8 (2013).</w:t>
      </w:r>
    </w:p>
  </w:endnote>
  <w:endnote w:id="790">
    <w:p w14:paraId="71F7CCB8" w14:textId="46E21A0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w:t>
      </w:r>
      <w:r w:rsidRPr="00AC72B5">
        <w:rPr>
          <w:i/>
          <w:w w:val="98"/>
        </w:rPr>
        <w:t xml:space="preserve"> </w:t>
      </w:r>
      <w:r w:rsidRPr="00AC72B5">
        <w:rPr>
          <w:w w:val="98"/>
        </w:rPr>
        <w:t xml:space="preserve">Comité CEDAW, </w:t>
      </w:r>
      <w:r w:rsidRPr="00AC72B5">
        <w:rPr>
          <w:i/>
          <w:w w:val="98"/>
        </w:rPr>
        <w:t>Observaciones Finales: Haití</w:t>
      </w:r>
      <w:r w:rsidRPr="00AC72B5">
        <w:rPr>
          <w:w w:val="98"/>
        </w:rPr>
        <w:t xml:space="preserve">, ¶ 34, Doc. ONU </w:t>
      </w:r>
      <w:r w:rsidRPr="00AC72B5">
        <w:rPr>
          <w:rFonts w:eastAsia="MS Mincho"/>
          <w:w w:val="98"/>
        </w:rPr>
        <w:t xml:space="preserve">CEDAW/C/HTI/CO/8-9 (2016); </w:t>
      </w:r>
      <w:r w:rsidRPr="00AC72B5">
        <w:rPr>
          <w:rFonts w:eastAsia="MS Mincho"/>
          <w:i/>
          <w:w w:val="98"/>
        </w:rPr>
        <w:t>Eslovaquia</w:t>
      </w:r>
      <w:r w:rsidRPr="00AC72B5">
        <w:rPr>
          <w:rFonts w:eastAsia="MS Mincho"/>
          <w:w w:val="98"/>
        </w:rPr>
        <w:t xml:space="preserve">, </w:t>
      </w:r>
      <w:r w:rsidRPr="00AC72B5">
        <w:rPr>
          <w:w w:val="98"/>
        </w:rPr>
        <w:t>¶ 27</w:t>
      </w:r>
      <w:r w:rsidRPr="00AC72B5">
        <w:rPr>
          <w:rFonts w:eastAsia="MS Mincho"/>
          <w:w w:val="98"/>
        </w:rPr>
        <w:t xml:space="preserve">, Doc. ONU CEDAW/C/SVK/CO/5-6 (2015); </w:t>
      </w:r>
      <w:r w:rsidRPr="00AC72B5">
        <w:rPr>
          <w:rFonts w:eastAsia="MS Mincho"/>
          <w:i/>
          <w:w w:val="98"/>
        </w:rPr>
        <w:t>Georgia</w:t>
      </w:r>
      <w:r w:rsidRPr="00AC72B5">
        <w:rPr>
          <w:rFonts w:eastAsia="MS Mincho"/>
          <w:w w:val="98"/>
        </w:rPr>
        <w:t xml:space="preserve">, </w:t>
      </w:r>
      <w:r w:rsidRPr="00AC72B5">
        <w:rPr>
          <w:w w:val="98"/>
        </w:rPr>
        <w:t>¶ 27</w:t>
      </w:r>
      <w:r w:rsidRPr="00AC72B5">
        <w:rPr>
          <w:rFonts w:eastAsia="MS Mincho"/>
          <w:w w:val="98"/>
        </w:rPr>
        <w:t xml:space="preserve">, Doc. ONU CEDAW/C/GEO/CO/4-5 (2014); </w:t>
      </w:r>
      <w:r w:rsidRPr="00AC72B5">
        <w:rPr>
          <w:i/>
          <w:w w:val="98"/>
        </w:rPr>
        <w:t>Cabo Verde</w:t>
      </w:r>
      <w:r w:rsidRPr="00AC72B5">
        <w:rPr>
          <w:w w:val="98"/>
        </w:rPr>
        <w:t xml:space="preserve">, ¶ 25, Doc. ONU CEDAW/C/CPV/CO/7-8 (2013); </w:t>
      </w:r>
      <w:r w:rsidRPr="00AC72B5">
        <w:rPr>
          <w:rFonts w:eastAsia="MS Mincho"/>
          <w:i/>
          <w:w w:val="98"/>
        </w:rPr>
        <w:t>Grecia</w:t>
      </w:r>
      <w:r w:rsidRPr="00AC72B5">
        <w:rPr>
          <w:rFonts w:eastAsia="MS Mincho"/>
          <w:w w:val="98"/>
        </w:rPr>
        <w:t xml:space="preserve">, </w:t>
      </w:r>
      <w:r w:rsidRPr="00AC72B5">
        <w:rPr>
          <w:w w:val="98"/>
        </w:rPr>
        <w:t xml:space="preserve">¶ 31, </w:t>
      </w:r>
      <w:r w:rsidRPr="00AC72B5">
        <w:rPr>
          <w:rFonts w:eastAsia="MS Mincho"/>
          <w:w w:val="98"/>
        </w:rPr>
        <w:t xml:space="preserve">Doc. ONU </w:t>
      </w:r>
      <w:r w:rsidRPr="00AC72B5">
        <w:rPr>
          <w:w w:val="98"/>
        </w:rPr>
        <w:t xml:space="preserve">CEDAW/C/GRC/CO/7 (2013); </w:t>
      </w:r>
      <w:r w:rsidRPr="00AC72B5">
        <w:rPr>
          <w:rFonts w:eastAsia="MS Mincho"/>
          <w:i/>
          <w:w w:val="98"/>
        </w:rPr>
        <w:t>Serbia</w:t>
      </w:r>
      <w:r w:rsidRPr="00AC72B5">
        <w:rPr>
          <w:rFonts w:eastAsia="MS Mincho"/>
          <w:w w:val="98"/>
        </w:rPr>
        <w:t xml:space="preserve">, </w:t>
      </w:r>
      <w:r w:rsidRPr="00AC72B5">
        <w:rPr>
          <w:w w:val="98"/>
        </w:rPr>
        <w:t xml:space="preserve">¶ 29, </w:t>
      </w:r>
      <w:r w:rsidRPr="00AC72B5">
        <w:rPr>
          <w:rFonts w:eastAsia="MS Mincho"/>
          <w:w w:val="98"/>
        </w:rPr>
        <w:t xml:space="preserve">Doc. ONU </w:t>
      </w:r>
      <w:r w:rsidRPr="00AC72B5">
        <w:rPr>
          <w:w w:val="98"/>
        </w:rPr>
        <w:t xml:space="preserve">CEDAW/C/SRB/CO/2-3 (2013); </w:t>
      </w:r>
      <w:r w:rsidRPr="00AC72B5">
        <w:rPr>
          <w:i/>
          <w:w w:val="98"/>
        </w:rPr>
        <w:t>Haití</w:t>
      </w:r>
      <w:r w:rsidRPr="00AC72B5">
        <w:rPr>
          <w:w w:val="98"/>
        </w:rPr>
        <w:t xml:space="preserve">, ¶ 38, Doc. ONU CEDAW/C/HTI/CO/7 (2009); </w:t>
      </w:r>
      <w:r w:rsidRPr="00AC72B5">
        <w:rPr>
          <w:i/>
          <w:w w:val="98"/>
        </w:rPr>
        <w:t>Grecia</w:t>
      </w:r>
      <w:r w:rsidRPr="00AC72B5">
        <w:rPr>
          <w:w w:val="98"/>
        </w:rPr>
        <w:t>, ¶ 28, Doc. ONU CEDAW/C/GRC/CO/6 (2007).</w:t>
      </w:r>
    </w:p>
  </w:endnote>
  <w:endnote w:id="791">
    <w:p w14:paraId="3258517F" w14:textId="2390EE0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Francia</w:t>
      </w:r>
      <w:r w:rsidRPr="00AC72B5">
        <w:rPr>
          <w:w w:val="98"/>
        </w:rPr>
        <w:t xml:space="preserve">, ¶ 33, Doc. ONU </w:t>
      </w:r>
      <w:r w:rsidRPr="00AC72B5">
        <w:rPr>
          <w:rFonts w:eastAsia="MS Mincho"/>
          <w:w w:val="98"/>
        </w:rPr>
        <w:t xml:space="preserve">CEDAW/C/FRA/CO/7-8 (2016); </w:t>
      </w:r>
      <w:r w:rsidRPr="00AC72B5">
        <w:rPr>
          <w:i/>
          <w:w w:val="98"/>
        </w:rPr>
        <w:t>Turquía</w:t>
      </w:r>
      <w:r w:rsidRPr="00AC72B5">
        <w:rPr>
          <w:w w:val="98"/>
        </w:rPr>
        <w:t>, ¶ 44, Doc. ONU CEDAW/C/TUR/CO/7 (2016).</w:t>
      </w:r>
    </w:p>
  </w:endnote>
  <w:endnote w:id="792">
    <w:p w14:paraId="05C1C164" w14:textId="2D65599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Eslovaquia</w:t>
      </w:r>
      <w:r w:rsidRPr="00AC72B5">
        <w:rPr>
          <w:w w:val="98"/>
        </w:rPr>
        <w:t>, ¶ 27, Doc. ONU CEDAW/C/SVK/CO/5-6 (2015).</w:t>
      </w:r>
    </w:p>
  </w:endnote>
  <w:endnote w:id="793">
    <w:p w14:paraId="376FBEF8" w14:textId="73EA1E8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Filipinas</w:t>
      </w:r>
      <w:r w:rsidRPr="00AC72B5">
        <w:rPr>
          <w:w w:val="98"/>
        </w:rPr>
        <w:t>, ¶ 34, Doc. ONU CEDAW/C/PHL/CO/7-8 (2016).</w:t>
      </w:r>
    </w:p>
  </w:endnote>
  <w:endnote w:id="794">
    <w:p w14:paraId="482054AB" w14:textId="6D61449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Haití</w:t>
      </w:r>
      <w:r w:rsidRPr="00AC72B5">
        <w:rPr>
          <w:w w:val="98"/>
        </w:rPr>
        <w:t xml:space="preserve">, ¶ 30, Doc. ONU </w:t>
      </w:r>
      <w:r w:rsidRPr="00AC72B5">
        <w:rPr>
          <w:rFonts w:eastAsia="MS Mincho"/>
          <w:w w:val="98"/>
        </w:rPr>
        <w:t>CEDAW/C/HTI/CO/8-9 (2016).</w:t>
      </w:r>
    </w:p>
  </w:endnote>
  <w:endnote w:id="795">
    <w:p w14:paraId="1E74C0D9" w14:textId="152B574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Mali</w:t>
      </w:r>
      <w:r w:rsidRPr="00AC72B5">
        <w:rPr>
          <w:w w:val="98"/>
        </w:rPr>
        <w:t xml:space="preserve">, ¶ 34, Doc. ONU </w:t>
      </w:r>
      <w:r w:rsidRPr="00AC72B5">
        <w:rPr>
          <w:rFonts w:eastAsia="MS Mincho"/>
          <w:w w:val="98"/>
        </w:rPr>
        <w:t xml:space="preserve">CEDAW/C/MLI/CO/6-7 (2016); </w:t>
      </w:r>
      <w:r w:rsidRPr="00AC72B5">
        <w:rPr>
          <w:i/>
          <w:w w:val="98"/>
        </w:rPr>
        <w:t>Paraguay</w:t>
      </w:r>
      <w:r w:rsidRPr="00AC72B5">
        <w:rPr>
          <w:w w:val="98"/>
        </w:rPr>
        <w:t>, ¶ 19, Doc. ONU CEDAW/C/PRY/CO/6 (2011).</w:t>
      </w:r>
    </w:p>
  </w:endnote>
  <w:endnote w:id="796">
    <w:p w14:paraId="113B1EF2" w14:textId="39A83A1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w:t>
      </w:r>
      <w:r>
        <w:rPr>
          <w:w w:val="98"/>
        </w:rPr>
        <w:t xml:space="preserve"> </w:t>
      </w:r>
      <w:r w:rsidRPr="00AC72B5">
        <w:rPr>
          <w:w w:val="98"/>
        </w:rPr>
        <w:t xml:space="preserve">CEDAW, </w:t>
      </w:r>
      <w:r w:rsidRPr="00AC72B5">
        <w:rPr>
          <w:i/>
          <w:w w:val="98"/>
        </w:rPr>
        <w:t>Observaciones Finales: Omán</w:t>
      </w:r>
      <w:r w:rsidRPr="00AC72B5">
        <w:rPr>
          <w:w w:val="98"/>
        </w:rPr>
        <w:t>, ¶ 41, Doc. ONU CEDAW/C/OMN/CO/1 (2011).</w:t>
      </w:r>
    </w:p>
  </w:endnote>
  <w:endnote w:id="797">
    <w:p w14:paraId="67B10C4D" w14:textId="0A50064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Japón</w:t>
      </w:r>
      <w:r w:rsidRPr="00AC72B5">
        <w:rPr>
          <w:w w:val="98"/>
        </w:rPr>
        <w:t xml:space="preserve">, ¶ 24, Doc. ONU </w:t>
      </w:r>
      <w:r w:rsidRPr="00AC72B5">
        <w:rPr>
          <w:rFonts w:eastAsia="MS Mincho"/>
          <w:w w:val="98"/>
        </w:rPr>
        <w:t xml:space="preserve">CEDAW/C/JPN/CO/7-8 (2016); </w:t>
      </w:r>
      <w:r w:rsidRPr="00AC72B5">
        <w:rPr>
          <w:i/>
          <w:w w:val="98"/>
        </w:rPr>
        <w:t>Bélgica</w:t>
      </w:r>
      <w:r w:rsidRPr="00AC72B5">
        <w:rPr>
          <w:w w:val="98"/>
        </w:rPr>
        <w:t xml:space="preserve">, ¶ 34, Doc. ONU CEDAW/C/BEL/CO/7 (2014); </w:t>
      </w:r>
      <w:r w:rsidRPr="00AC72B5">
        <w:rPr>
          <w:i/>
          <w:w w:val="98"/>
        </w:rPr>
        <w:t>Cabo Verde</w:t>
      </w:r>
      <w:r w:rsidRPr="00AC72B5">
        <w:rPr>
          <w:w w:val="98"/>
        </w:rPr>
        <w:t>, ¶ 28, Doc. ONU CEDAW/C/CPV/CO/7-8 (2013).</w:t>
      </w:r>
    </w:p>
  </w:endnote>
  <w:endnote w:id="798">
    <w:p w14:paraId="169133F2" w14:textId="2CFC827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Japón</w:t>
      </w:r>
      <w:r w:rsidRPr="00AC72B5">
        <w:rPr>
          <w:w w:val="98"/>
        </w:rPr>
        <w:t xml:space="preserve">, ¶ 24, Doc. ONU </w:t>
      </w:r>
      <w:r w:rsidRPr="00AC72B5">
        <w:rPr>
          <w:rFonts w:eastAsia="MS Mincho"/>
          <w:w w:val="98"/>
        </w:rPr>
        <w:t>CEDAW/C/JPN/CO/7-8 (2016).</w:t>
      </w:r>
    </w:p>
  </w:endnote>
  <w:endnote w:id="799">
    <w:p w14:paraId="2E6EC209" w14:textId="5989CFF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Bélgica</w:t>
      </w:r>
      <w:r w:rsidRPr="00AC72B5">
        <w:rPr>
          <w:w w:val="98"/>
        </w:rPr>
        <w:t>, ¶ 34, Doc. ONU CEDAW/C/BEL/CO/7 (2014).</w:t>
      </w:r>
    </w:p>
  </w:endnote>
  <w:endnote w:id="800">
    <w:p w14:paraId="258E05E9" w14:textId="4679A56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rFonts w:eastAsia="MS Mincho"/>
          <w:i/>
          <w:w w:val="98"/>
        </w:rPr>
        <w:t>Observaciones Finales: India</w:t>
      </w:r>
      <w:r w:rsidRPr="00AC72B5">
        <w:rPr>
          <w:rFonts w:eastAsia="MS Mincho"/>
          <w:w w:val="98"/>
        </w:rPr>
        <w:t xml:space="preserve">, </w:t>
      </w:r>
      <w:r w:rsidRPr="00AC72B5">
        <w:rPr>
          <w:w w:val="98"/>
        </w:rPr>
        <w:t>¶ 37</w:t>
      </w:r>
      <w:r w:rsidRPr="00AC72B5">
        <w:rPr>
          <w:rFonts w:eastAsia="MS Mincho"/>
          <w:w w:val="98"/>
        </w:rPr>
        <w:t xml:space="preserve">, Doc. ONU CEDAW/C/IND/CO/4-5 (2014); </w:t>
      </w:r>
      <w:r w:rsidRPr="00AC72B5">
        <w:rPr>
          <w:i/>
          <w:w w:val="98"/>
        </w:rPr>
        <w:t>Kuwait</w:t>
      </w:r>
      <w:r w:rsidRPr="00AC72B5">
        <w:rPr>
          <w:w w:val="98"/>
        </w:rPr>
        <w:t>, ¶ 49, Doc. ONU CEDAW/C/KWT/CO/3-4 (2011).</w:t>
      </w:r>
    </w:p>
  </w:endnote>
  <w:endnote w:id="801">
    <w:p w14:paraId="4692605D" w14:textId="7B4AEB4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Myanmar</w:t>
      </w:r>
      <w:r w:rsidRPr="00AC72B5">
        <w:rPr>
          <w:w w:val="98"/>
        </w:rPr>
        <w:t xml:space="preserve">, ¶ 44, Doc. ONU </w:t>
      </w:r>
      <w:r w:rsidRPr="00AC72B5">
        <w:rPr>
          <w:rFonts w:eastAsia="MS Mincho"/>
          <w:w w:val="98"/>
        </w:rPr>
        <w:t xml:space="preserve">CEDAW/C/MMR/CO/4-5 (2016); </w:t>
      </w:r>
      <w:r w:rsidRPr="00AC72B5">
        <w:rPr>
          <w:i/>
          <w:w w:val="98"/>
        </w:rPr>
        <w:t>Perú</w:t>
      </w:r>
      <w:r w:rsidRPr="00AC72B5">
        <w:rPr>
          <w:w w:val="98"/>
        </w:rPr>
        <w:t xml:space="preserve">, ¶ 21, Doc. ONU </w:t>
      </w:r>
      <w:r w:rsidRPr="00AC72B5">
        <w:rPr>
          <w:rFonts w:eastAsia="MS Mincho"/>
          <w:w w:val="98"/>
        </w:rPr>
        <w:t>CEDAW/C/PER/CO/7-8 (2014).</w:t>
      </w:r>
    </w:p>
  </w:endnote>
  <w:endnote w:id="802">
    <w:p w14:paraId="5A6DCEBF" w14:textId="70F0420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Myanmar</w:t>
      </w:r>
      <w:r w:rsidRPr="00AC72B5">
        <w:rPr>
          <w:w w:val="98"/>
        </w:rPr>
        <w:t xml:space="preserve">, ¶ 44, Doc. ONU </w:t>
      </w:r>
      <w:r w:rsidRPr="00AC72B5">
        <w:rPr>
          <w:rFonts w:eastAsia="MS Mincho"/>
          <w:w w:val="98"/>
        </w:rPr>
        <w:t>CEDAW/C/MMR/CO/4-5 (2016).</w:t>
      </w:r>
    </w:p>
  </w:endnote>
  <w:endnote w:id="803">
    <w:p w14:paraId="5984E621" w14:textId="4F9BE76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Azerbaiyán</w:t>
      </w:r>
      <w:r w:rsidRPr="00AC72B5">
        <w:rPr>
          <w:w w:val="98"/>
        </w:rPr>
        <w:t>, ¶ 32, Doc. ONU CEDAW/C/AZE/CO/5 (2015).</w:t>
      </w:r>
    </w:p>
  </w:endnote>
  <w:endnote w:id="804">
    <w:p w14:paraId="31A73838" w14:textId="0F45C38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Uzbekistán</w:t>
      </w:r>
      <w:r w:rsidRPr="00AC72B5">
        <w:rPr>
          <w:w w:val="98"/>
        </w:rPr>
        <w:t>, ¶ 27, Doc. ONU</w:t>
      </w:r>
      <w:r w:rsidRPr="00AC72B5">
        <w:rPr>
          <w:i/>
          <w:w w:val="98"/>
        </w:rPr>
        <w:t xml:space="preserve"> </w:t>
      </w:r>
      <w:r w:rsidRPr="00AC72B5">
        <w:rPr>
          <w:rFonts w:eastAsia="MS Mincho"/>
          <w:w w:val="98"/>
        </w:rPr>
        <w:t>CEDAW/C/UZB/CO/5 (2015).</w:t>
      </w:r>
    </w:p>
  </w:endnote>
  <w:endnote w:id="805">
    <w:p w14:paraId="71E95414" w14:textId="7735DF1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Finlandia</w:t>
      </w:r>
      <w:r w:rsidRPr="00AC72B5">
        <w:rPr>
          <w:w w:val="98"/>
        </w:rPr>
        <w:t xml:space="preserve">, ¶ 28, Doc. ONU </w:t>
      </w:r>
      <w:r w:rsidRPr="00AC72B5">
        <w:rPr>
          <w:rFonts w:eastAsia="MS Mincho"/>
          <w:w w:val="98"/>
        </w:rPr>
        <w:t xml:space="preserve">CEDAW/C/FIN/CO/7 (2014); </w:t>
      </w:r>
      <w:r w:rsidRPr="00AC72B5">
        <w:rPr>
          <w:i/>
          <w:w w:val="98"/>
        </w:rPr>
        <w:t>Bélgica</w:t>
      </w:r>
      <w:r w:rsidRPr="00AC72B5">
        <w:rPr>
          <w:w w:val="98"/>
        </w:rPr>
        <w:t>, ¶ 44, Doc. ONU CEDAW/C/BEL/CO/7 (2014).</w:t>
      </w:r>
    </w:p>
  </w:endnote>
  <w:endnote w:id="806">
    <w:p w14:paraId="507EED9D" w14:textId="3E4E8A4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w:t>
      </w:r>
      <w:r>
        <w:rPr>
          <w:w w:val="98"/>
        </w:rPr>
        <w:t xml:space="preserve"> </w:t>
      </w:r>
      <w:r w:rsidRPr="00AC72B5">
        <w:rPr>
          <w:w w:val="98"/>
        </w:rPr>
        <w:t xml:space="preserve">CEDAW, </w:t>
      </w:r>
      <w:r w:rsidRPr="00AC72B5">
        <w:rPr>
          <w:i/>
          <w:w w:val="98"/>
        </w:rPr>
        <w:t>Observaciones Finales: Namibia</w:t>
      </w:r>
      <w:r w:rsidRPr="00AC72B5">
        <w:rPr>
          <w:w w:val="98"/>
        </w:rPr>
        <w:t xml:space="preserve">, ¶ 36, Doc. ONU CEDAW/C/NAM/CO/4-5 (2015); </w:t>
      </w:r>
      <w:r w:rsidRPr="00AC72B5">
        <w:rPr>
          <w:i/>
          <w:w w:val="98"/>
        </w:rPr>
        <w:t>Chile</w:t>
      </w:r>
      <w:r w:rsidRPr="00AC72B5">
        <w:rPr>
          <w:w w:val="98"/>
        </w:rPr>
        <w:t>, ¶ 34, Doc. ONU CEDAW/C/CHL/CO/5-6 (2012).</w:t>
      </w:r>
    </w:p>
  </w:endnote>
  <w:endnote w:id="807">
    <w:p w14:paraId="5F83458F" w14:textId="2B20E07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Kuwait</w:t>
      </w:r>
      <w:r w:rsidRPr="00AC72B5">
        <w:rPr>
          <w:w w:val="98"/>
        </w:rPr>
        <w:t>, ¶ 48, Doc. ONU CEDAW/C/KWT/CO/3-4 (2011).</w:t>
      </w:r>
    </w:p>
  </w:endnote>
  <w:endnote w:id="808">
    <w:p w14:paraId="36ABF16F" w14:textId="1BBBAD5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India</w:t>
      </w:r>
      <w:r w:rsidRPr="00AC72B5">
        <w:rPr>
          <w:w w:val="98"/>
        </w:rPr>
        <w:t>, ¶ 36, Doc. ONU CEDAW/C/IND/CO/4-5 (2014).</w:t>
      </w:r>
    </w:p>
  </w:endnote>
  <w:endnote w:id="809">
    <w:p w14:paraId="017BABF0" w14:textId="028D0E2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India</w:t>
      </w:r>
      <w:r w:rsidRPr="00AC72B5">
        <w:rPr>
          <w:w w:val="98"/>
        </w:rPr>
        <w:t xml:space="preserve">, ¶ 36, Doc. ONU CEDAW/C/IND/CO/4-5 (2014); </w:t>
      </w:r>
      <w:r w:rsidRPr="00AC72B5">
        <w:rPr>
          <w:i/>
          <w:w w:val="98"/>
        </w:rPr>
        <w:t>Hungría</w:t>
      </w:r>
      <w:r w:rsidRPr="00AC72B5">
        <w:rPr>
          <w:w w:val="98"/>
        </w:rPr>
        <w:t>, ¶ 32, Doc. ONU CEDAW/C/HUN/CO/7-8 (2013).</w:t>
      </w:r>
    </w:p>
  </w:endnote>
  <w:endnote w:id="810">
    <w:p w14:paraId="5ADDE9DB" w14:textId="635733D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República Checa</w:t>
      </w:r>
      <w:r w:rsidRPr="00AC72B5">
        <w:rPr>
          <w:w w:val="98"/>
        </w:rPr>
        <w:t>, ¶ 40, Doc. ONU</w:t>
      </w:r>
      <w:r w:rsidRPr="00AC72B5">
        <w:rPr>
          <w:i/>
          <w:w w:val="98"/>
        </w:rPr>
        <w:t xml:space="preserve"> </w:t>
      </w:r>
      <w:r w:rsidRPr="00AC72B5">
        <w:rPr>
          <w:rFonts w:eastAsia="MS Mincho"/>
          <w:w w:val="98"/>
        </w:rPr>
        <w:t>CEDAW/C/CZE/CO/6 (2016).</w:t>
      </w:r>
    </w:p>
  </w:endnote>
  <w:endnote w:id="811">
    <w:p w14:paraId="54B69D62" w14:textId="5524E43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Finlandia</w:t>
      </w:r>
      <w:r w:rsidRPr="00AC72B5">
        <w:rPr>
          <w:w w:val="98"/>
        </w:rPr>
        <w:t xml:space="preserve">, ¶ 28, Doc. ONU </w:t>
      </w:r>
      <w:r w:rsidRPr="00AC72B5">
        <w:rPr>
          <w:rFonts w:eastAsia="MS Mincho"/>
          <w:w w:val="98"/>
        </w:rPr>
        <w:t>CEDAW/C/FIN/CO/7 (2014).</w:t>
      </w:r>
    </w:p>
  </w:endnote>
  <w:endnote w:id="812">
    <w:p w14:paraId="09B31035" w14:textId="3143A60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Lituania</w:t>
      </w:r>
      <w:r w:rsidRPr="00AC72B5">
        <w:rPr>
          <w:w w:val="98"/>
        </w:rPr>
        <w:t xml:space="preserve">, ¶ 36, Doc. ONU </w:t>
      </w:r>
      <w:r w:rsidRPr="00AC72B5">
        <w:rPr>
          <w:rFonts w:eastAsia="MS Mincho"/>
          <w:w w:val="98"/>
        </w:rPr>
        <w:t>CEDAW/C/LTU/CO/5 (2014).</w:t>
      </w:r>
    </w:p>
  </w:endnote>
  <w:endnote w:id="813">
    <w:p w14:paraId="3E758F91" w14:textId="3586C43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Vietnam</w:t>
      </w:r>
      <w:r w:rsidRPr="00AC72B5">
        <w:rPr>
          <w:w w:val="98"/>
        </w:rPr>
        <w:t>, ¶ 33, Doc. ONU CEDAW/C/VNM/CO/7-8 (2015).</w:t>
      </w:r>
    </w:p>
  </w:endnote>
  <w:endnote w:id="814">
    <w:p w14:paraId="65363A06" w14:textId="6A6271C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Chile</w:t>
      </w:r>
      <w:r w:rsidRPr="00AC72B5">
        <w:rPr>
          <w:w w:val="98"/>
        </w:rPr>
        <w:t>, ¶ 35, Doc. ONU CEDAW/C/CHL/CO/5-6 (2012).</w:t>
      </w:r>
    </w:p>
  </w:endnote>
  <w:endnote w:id="815">
    <w:p w14:paraId="19B31ABB" w14:textId="26DF05A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Uzbekistán</w:t>
      </w:r>
      <w:r w:rsidRPr="00AC72B5">
        <w:rPr>
          <w:w w:val="98"/>
        </w:rPr>
        <w:t>, ¶ 28, Doc. ONU</w:t>
      </w:r>
      <w:r w:rsidRPr="00AC72B5">
        <w:rPr>
          <w:i/>
          <w:w w:val="98"/>
        </w:rPr>
        <w:t xml:space="preserve"> </w:t>
      </w:r>
      <w:r w:rsidRPr="00AC72B5">
        <w:rPr>
          <w:rFonts w:eastAsia="MS Mincho"/>
          <w:w w:val="98"/>
        </w:rPr>
        <w:t xml:space="preserve">CEDAW/C/UZB/CO/5 (2015); </w:t>
      </w:r>
      <w:r w:rsidRPr="00AC72B5">
        <w:rPr>
          <w:i/>
          <w:w w:val="98"/>
        </w:rPr>
        <w:t>Namibia</w:t>
      </w:r>
      <w:r w:rsidRPr="00AC72B5">
        <w:rPr>
          <w:w w:val="98"/>
        </w:rPr>
        <w:t>, ¶ 37, Doc. ONU CEDAW/C/NAM/CO/4-5 (2015).</w:t>
      </w:r>
    </w:p>
  </w:endnote>
  <w:endnote w:id="816">
    <w:p w14:paraId="6154E3DD" w14:textId="1A4F311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Uzbekistán</w:t>
      </w:r>
      <w:r w:rsidRPr="00AC72B5">
        <w:rPr>
          <w:w w:val="98"/>
        </w:rPr>
        <w:t>, ¶ 28, Doc. ONU</w:t>
      </w:r>
      <w:r w:rsidRPr="00AC72B5">
        <w:rPr>
          <w:i/>
          <w:w w:val="98"/>
        </w:rPr>
        <w:t xml:space="preserve"> </w:t>
      </w:r>
      <w:r w:rsidRPr="00AC72B5">
        <w:rPr>
          <w:rFonts w:eastAsia="MS Mincho"/>
          <w:w w:val="98"/>
        </w:rPr>
        <w:t>CEDAW/C/UZB/CO/5 (2015);</w:t>
      </w:r>
      <w:r w:rsidRPr="00AC72B5">
        <w:rPr>
          <w:w w:val="98"/>
        </w:rPr>
        <w:t xml:space="preserve"> </w:t>
      </w:r>
      <w:r w:rsidRPr="00AC72B5">
        <w:rPr>
          <w:i/>
          <w:w w:val="98"/>
        </w:rPr>
        <w:t>Namibia</w:t>
      </w:r>
      <w:r w:rsidRPr="00AC72B5">
        <w:rPr>
          <w:w w:val="98"/>
        </w:rPr>
        <w:t>, ¶ 37, Doc. ONU CEDAW/C/NAM/CO/4-5 (2015).</w:t>
      </w:r>
    </w:p>
  </w:endnote>
  <w:endnote w:id="817">
    <w:p w14:paraId="415D1251" w14:textId="5860115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Namibia</w:t>
      </w:r>
      <w:r w:rsidRPr="00AC72B5">
        <w:rPr>
          <w:w w:val="98"/>
        </w:rPr>
        <w:t>, ¶ 37, Doc. ONU CEDAW/C/NAM/CO/4-5 (2015).</w:t>
      </w:r>
    </w:p>
  </w:endnote>
  <w:endnote w:id="818">
    <w:p w14:paraId="62DE387C" w14:textId="385E4E6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Finlandia</w:t>
      </w:r>
      <w:r w:rsidRPr="00AC72B5">
        <w:rPr>
          <w:w w:val="98"/>
        </w:rPr>
        <w:t xml:space="preserve">, ¶ 29, Doc. ONU </w:t>
      </w:r>
      <w:r w:rsidRPr="00AC72B5">
        <w:rPr>
          <w:rFonts w:eastAsia="MS Mincho"/>
          <w:w w:val="98"/>
        </w:rPr>
        <w:t xml:space="preserve">CEDAW/C/aleta/CO/7 (2014); </w:t>
      </w:r>
      <w:r w:rsidRPr="00AC72B5">
        <w:rPr>
          <w:i/>
          <w:w w:val="98"/>
        </w:rPr>
        <w:t>Hungría</w:t>
      </w:r>
      <w:r w:rsidRPr="00AC72B5">
        <w:rPr>
          <w:w w:val="98"/>
        </w:rPr>
        <w:t>, ¶ 33, Doc. ONU CEDAW/C/HUN/CO/7-8 (2013).</w:t>
      </w:r>
    </w:p>
  </w:endnote>
  <w:endnote w:id="819">
    <w:p w14:paraId="1DAB6FE1" w14:textId="6C8EB07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Cabo Verde</w:t>
      </w:r>
      <w:r w:rsidRPr="00AC72B5">
        <w:rPr>
          <w:w w:val="98"/>
        </w:rPr>
        <w:t>, ¶ 29, Doc. ONU CEDAW/C/CPV/CO/7-8 (2013).</w:t>
      </w:r>
    </w:p>
  </w:endnote>
  <w:endnote w:id="820">
    <w:p w14:paraId="0D163EC0" w14:textId="555A512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Bélgica</w:t>
      </w:r>
      <w:r w:rsidRPr="00AC72B5">
        <w:rPr>
          <w:w w:val="98"/>
        </w:rPr>
        <w:t>, ¶ 35, Doc. ONU CEDAW/C/BEL/CO/7 (2014).</w:t>
      </w:r>
    </w:p>
  </w:endnote>
  <w:endnote w:id="821">
    <w:p w14:paraId="46B52DE9" w14:textId="738D308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Japón</w:t>
      </w:r>
      <w:r w:rsidRPr="00AC72B5">
        <w:rPr>
          <w:w w:val="98"/>
        </w:rPr>
        <w:t xml:space="preserve">, ¶ 39, Doc. ONU </w:t>
      </w:r>
      <w:r w:rsidRPr="00AC72B5">
        <w:rPr>
          <w:rFonts w:eastAsia="MS Mincho"/>
          <w:w w:val="98"/>
        </w:rPr>
        <w:t>CEDAW/C/JPN/CO/7-8 (2016).</w:t>
      </w:r>
    </w:p>
  </w:endnote>
  <w:endnote w:id="822">
    <w:p w14:paraId="48040D4B" w14:textId="73844C2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Eslovaquia</w:t>
      </w:r>
      <w:r w:rsidRPr="00AC72B5">
        <w:rPr>
          <w:w w:val="98"/>
        </w:rPr>
        <w:t xml:space="preserve">, ¶ 32, Doc. ONU </w:t>
      </w:r>
      <w:r w:rsidRPr="00AC72B5">
        <w:rPr>
          <w:rFonts w:eastAsia="MS Mincho"/>
          <w:w w:val="98"/>
        </w:rPr>
        <w:t>CEDAW/C/SVK/CO/5-6 (2015).</w:t>
      </w:r>
    </w:p>
  </w:endnote>
  <w:endnote w:id="823">
    <w:p w14:paraId="316CCF6A" w14:textId="2881111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Eslovaquia</w:t>
      </w:r>
      <w:r w:rsidRPr="00AC72B5">
        <w:rPr>
          <w:w w:val="98"/>
        </w:rPr>
        <w:t xml:space="preserve">, ¶ 32, Doc. ONU </w:t>
      </w:r>
      <w:r w:rsidRPr="00AC72B5">
        <w:rPr>
          <w:rFonts w:eastAsia="MS Mincho"/>
          <w:w w:val="98"/>
        </w:rPr>
        <w:t>CEDAW/C/SVK/CO/5-6 (2015).</w:t>
      </w:r>
    </w:p>
  </w:endnote>
  <w:endnote w:id="824">
    <w:p w14:paraId="2E4DDD87" w14:textId="73DB7FA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Perú</w:t>
      </w:r>
      <w:r w:rsidRPr="00AC72B5">
        <w:rPr>
          <w:w w:val="98"/>
        </w:rPr>
        <w:t xml:space="preserve">, ¶ 21, Doc. ONU </w:t>
      </w:r>
      <w:r w:rsidRPr="00AC72B5">
        <w:rPr>
          <w:rFonts w:eastAsia="MS Mincho"/>
          <w:w w:val="98"/>
        </w:rPr>
        <w:t>CEDAW/C/PER/CO/7-8 (2014).</w:t>
      </w:r>
    </w:p>
  </w:endnote>
  <w:endnote w:id="825">
    <w:p w14:paraId="3FD21F10" w14:textId="656929F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Eslovaquia</w:t>
      </w:r>
      <w:r w:rsidRPr="00AC72B5">
        <w:rPr>
          <w:w w:val="98"/>
        </w:rPr>
        <w:t xml:space="preserve">, ¶ 33, Doc. ONU </w:t>
      </w:r>
      <w:r w:rsidRPr="00AC72B5">
        <w:rPr>
          <w:rFonts w:eastAsia="MS Mincho"/>
          <w:w w:val="98"/>
        </w:rPr>
        <w:t xml:space="preserve">CEDAW/C/SVK/CO/5-6 (2015); </w:t>
      </w:r>
      <w:r w:rsidRPr="00AC72B5">
        <w:rPr>
          <w:i/>
          <w:w w:val="98"/>
        </w:rPr>
        <w:t>Namibia</w:t>
      </w:r>
      <w:r w:rsidRPr="00AC72B5">
        <w:rPr>
          <w:w w:val="98"/>
        </w:rPr>
        <w:t xml:space="preserve">, ¶ 37, Doc. ONU CEDAW/C/NAM/CO/4-5 (2015); </w:t>
      </w:r>
      <w:r w:rsidRPr="00AC72B5">
        <w:rPr>
          <w:i/>
          <w:w w:val="98"/>
        </w:rPr>
        <w:t>China</w:t>
      </w:r>
      <w:r w:rsidRPr="00AC72B5">
        <w:rPr>
          <w:w w:val="98"/>
        </w:rPr>
        <w:t>, ¶ 32, Doc. ONU CEDAW/C/CHN/CO/6 (2006).</w:t>
      </w:r>
    </w:p>
  </w:endnote>
  <w:endnote w:id="826">
    <w:p w14:paraId="6EFF2103" w14:textId="5461D96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Lituania</w:t>
      </w:r>
      <w:r w:rsidRPr="00AC72B5">
        <w:rPr>
          <w:w w:val="98"/>
        </w:rPr>
        <w:t xml:space="preserve">, ¶ 37, Doc. ONU </w:t>
      </w:r>
      <w:r w:rsidRPr="00AC72B5">
        <w:rPr>
          <w:rFonts w:eastAsia="MS Mincho"/>
          <w:w w:val="98"/>
        </w:rPr>
        <w:t xml:space="preserve">CEDAW/C/LTU/CO/5 (2014); </w:t>
      </w:r>
      <w:r w:rsidRPr="00AC72B5">
        <w:rPr>
          <w:i/>
          <w:w w:val="98"/>
        </w:rPr>
        <w:t>China</w:t>
      </w:r>
      <w:r w:rsidRPr="00AC72B5">
        <w:rPr>
          <w:w w:val="98"/>
        </w:rPr>
        <w:t>, ¶ 32, Doc. ONU CEDAW/C/CHN/CO/6 (2006).</w:t>
      </w:r>
    </w:p>
  </w:endnote>
  <w:endnote w:id="827">
    <w:p w14:paraId="5E21B3BF" w14:textId="7195B86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Lituania</w:t>
      </w:r>
      <w:r w:rsidRPr="00AC72B5">
        <w:rPr>
          <w:w w:val="98"/>
        </w:rPr>
        <w:t xml:space="preserve">, ¶ 37, Doc. ONU </w:t>
      </w:r>
      <w:r w:rsidRPr="00AC72B5">
        <w:rPr>
          <w:rFonts w:eastAsia="MS Mincho"/>
          <w:w w:val="98"/>
        </w:rPr>
        <w:t>CEDAW/C/LTU/CO/5 (2014).</w:t>
      </w:r>
    </w:p>
  </w:endnote>
  <w:endnote w:id="828">
    <w:p w14:paraId="709A975D" w14:textId="3478CD0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Eslovaquia</w:t>
      </w:r>
      <w:r w:rsidRPr="00AC72B5">
        <w:rPr>
          <w:w w:val="98"/>
        </w:rPr>
        <w:t xml:space="preserve">, ¶ 33, Doc. ONU </w:t>
      </w:r>
      <w:r w:rsidRPr="00AC72B5">
        <w:rPr>
          <w:rFonts w:eastAsia="MS Mincho"/>
          <w:w w:val="98"/>
        </w:rPr>
        <w:t>CEDAW/C/SVK/CO/5-6 (2015).</w:t>
      </w:r>
    </w:p>
  </w:endnote>
  <w:endnote w:id="829">
    <w:p w14:paraId="76F31ECA" w14:textId="34752D0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Japón</w:t>
      </w:r>
      <w:r w:rsidRPr="00AC72B5">
        <w:rPr>
          <w:w w:val="98"/>
        </w:rPr>
        <w:t xml:space="preserve">, ¶ 25, Doc. ONU </w:t>
      </w:r>
      <w:r w:rsidRPr="00AC72B5">
        <w:rPr>
          <w:rFonts w:eastAsia="MS Mincho"/>
          <w:w w:val="98"/>
        </w:rPr>
        <w:t>CEDAW/C/JPN/CO/7-8 (2016).</w:t>
      </w:r>
    </w:p>
  </w:endnote>
  <w:endnote w:id="830">
    <w:p w14:paraId="18EB3245" w14:textId="6110917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Namibia</w:t>
      </w:r>
      <w:r w:rsidRPr="00AC72B5">
        <w:rPr>
          <w:w w:val="98"/>
        </w:rPr>
        <w:t>, ¶ 37, Doc. ONU CEDAW/C/NAM/CO/4-5 (2015).</w:t>
      </w:r>
    </w:p>
  </w:endnote>
  <w:endnote w:id="831">
    <w:p w14:paraId="62AB0CD7" w14:textId="722E905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República Checa</w:t>
      </w:r>
      <w:r w:rsidRPr="00AC72B5">
        <w:rPr>
          <w:w w:val="98"/>
        </w:rPr>
        <w:t xml:space="preserve">, ¶ 29, Doc. ONU </w:t>
      </w:r>
      <w:r w:rsidRPr="00AC72B5">
        <w:rPr>
          <w:rFonts w:eastAsia="MS Mincho"/>
          <w:w w:val="98"/>
        </w:rPr>
        <w:t>CEDAW/C/CZE/CO/6 (2016).</w:t>
      </w:r>
    </w:p>
  </w:endnote>
  <w:endnote w:id="832">
    <w:p w14:paraId="0C15EC29" w14:textId="4CB05D9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Japón</w:t>
      </w:r>
      <w:r w:rsidRPr="00AC72B5">
        <w:rPr>
          <w:w w:val="98"/>
        </w:rPr>
        <w:t xml:space="preserve">, ¶ 25, Doc. ONU </w:t>
      </w:r>
      <w:r w:rsidRPr="00AC72B5">
        <w:rPr>
          <w:rFonts w:eastAsia="MS Mincho"/>
          <w:w w:val="98"/>
        </w:rPr>
        <w:t xml:space="preserve">CEDAW/C/JPN/CO/7-8 (2016); </w:t>
      </w:r>
      <w:r w:rsidRPr="00AC72B5">
        <w:rPr>
          <w:i/>
          <w:w w:val="98"/>
        </w:rPr>
        <w:t>República Checa</w:t>
      </w:r>
      <w:r w:rsidRPr="00AC72B5">
        <w:rPr>
          <w:w w:val="98"/>
        </w:rPr>
        <w:t xml:space="preserve">, ¶ 29, Doc. ONU </w:t>
      </w:r>
      <w:r w:rsidRPr="00AC72B5">
        <w:rPr>
          <w:rFonts w:eastAsia="MS Mincho"/>
          <w:w w:val="98"/>
        </w:rPr>
        <w:t xml:space="preserve">CEDAW/C/CZE/CO/6 (2016); </w:t>
      </w:r>
      <w:r w:rsidRPr="00AC72B5">
        <w:rPr>
          <w:i/>
          <w:w w:val="98"/>
        </w:rPr>
        <w:t>Uzbekistán</w:t>
      </w:r>
      <w:r w:rsidRPr="00AC72B5">
        <w:rPr>
          <w:w w:val="98"/>
        </w:rPr>
        <w:t>, ¶ 28, Doc. ONU</w:t>
      </w:r>
      <w:r w:rsidRPr="00AC72B5">
        <w:rPr>
          <w:i/>
          <w:w w:val="98"/>
        </w:rPr>
        <w:t xml:space="preserve"> </w:t>
      </w:r>
      <w:r w:rsidRPr="00AC72B5">
        <w:rPr>
          <w:rFonts w:eastAsia="MS Mincho"/>
          <w:w w:val="98"/>
        </w:rPr>
        <w:t xml:space="preserve">CEDAW/C/UZB/CO/5 (2015); </w:t>
      </w:r>
      <w:r w:rsidRPr="00AC72B5">
        <w:rPr>
          <w:i/>
          <w:w w:val="98"/>
        </w:rPr>
        <w:t>Eslovaquia</w:t>
      </w:r>
      <w:r w:rsidRPr="00AC72B5">
        <w:rPr>
          <w:w w:val="98"/>
        </w:rPr>
        <w:t xml:space="preserve">, ¶ 33, Doc. ONU </w:t>
      </w:r>
      <w:r w:rsidRPr="00AC72B5">
        <w:rPr>
          <w:rFonts w:eastAsia="MS Mincho"/>
          <w:w w:val="98"/>
        </w:rPr>
        <w:t xml:space="preserve">CEDAW/C/SVK/CO/5-6 (2015); </w:t>
      </w:r>
      <w:r w:rsidRPr="00AC72B5">
        <w:rPr>
          <w:i/>
          <w:w w:val="98"/>
        </w:rPr>
        <w:t>Namibia</w:t>
      </w:r>
      <w:r w:rsidRPr="00AC72B5">
        <w:rPr>
          <w:w w:val="98"/>
        </w:rPr>
        <w:t xml:space="preserve">, ¶ 37, Doc. ONU CEDAW/C/NAM/CO/4-5 (2015); </w:t>
      </w:r>
      <w:r w:rsidRPr="00AC72B5">
        <w:rPr>
          <w:i/>
          <w:w w:val="98"/>
        </w:rPr>
        <w:t>Lituania</w:t>
      </w:r>
      <w:r w:rsidRPr="00AC72B5">
        <w:rPr>
          <w:w w:val="98"/>
        </w:rPr>
        <w:t xml:space="preserve">, ¶ 37, Doc. ONU </w:t>
      </w:r>
      <w:r w:rsidRPr="00AC72B5">
        <w:rPr>
          <w:rFonts w:eastAsia="MS Mincho"/>
          <w:w w:val="98"/>
        </w:rPr>
        <w:t xml:space="preserve">CEDAW/C/LTU/CO/5 (2014); </w:t>
      </w:r>
      <w:r w:rsidRPr="00AC72B5">
        <w:rPr>
          <w:i/>
          <w:w w:val="98"/>
        </w:rPr>
        <w:t>Perú</w:t>
      </w:r>
      <w:r w:rsidRPr="00AC72B5">
        <w:rPr>
          <w:w w:val="98"/>
        </w:rPr>
        <w:t xml:space="preserve">, ¶ 22, Doc. ONU </w:t>
      </w:r>
      <w:r w:rsidRPr="00AC72B5">
        <w:rPr>
          <w:rFonts w:eastAsia="MS Mincho"/>
          <w:w w:val="98"/>
        </w:rPr>
        <w:t xml:space="preserve">CEDAW/C/PER/CO/7-8 (2014); </w:t>
      </w:r>
      <w:r w:rsidRPr="00AC72B5">
        <w:rPr>
          <w:i/>
          <w:w w:val="98"/>
        </w:rPr>
        <w:t>Cabo Verde</w:t>
      </w:r>
      <w:r w:rsidRPr="00AC72B5">
        <w:rPr>
          <w:w w:val="98"/>
        </w:rPr>
        <w:t xml:space="preserve">, ¶ 29, Doc. ONU CEDAW/C/CPV/CO/7-8 (2013); </w:t>
      </w:r>
      <w:r w:rsidRPr="00AC72B5">
        <w:rPr>
          <w:i/>
          <w:w w:val="98"/>
        </w:rPr>
        <w:t>Chile</w:t>
      </w:r>
      <w:r w:rsidRPr="00AC72B5">
        <w:rPr>
          <w:w w:val="98"/>
        </w:rPr>
        <w:t>, ¶ 35, Doc. ONU CEDAW/C/CHL/CO/5-6 (2012).</w:t>
      </w:r>
    </w:p>
  </w:endnote>
  <w:endnote w:id="833">
    <w:p w14:paraId="63CEC219" w14:textId="2F4528B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Eslovaquia</w:t>
      </w:r>
      <w:r w:rsidRPr="00AC72B5">
        <w:rPr>
          <w:w w:val="98"/>
        </w:rPr>
        <w:t xml:space="preserve">, ¶ 33, Doc. ONU </w:t>
      </w:r>
      <w:r w:rsidRPr="00AC72B5">
        <w:rPr>
          <w:rFonts w:eastAsia="MS Mincho"/>
          <w:w w:val="98"/>
        </w:rPr>
        <w:t>CEDAW/C/SVK/CO/5-6 (2015).</w:t>
      </w:r>
    </w:p>
  </w:endnote>
  <w:endnote w:id="834">
    <w:p w14:paraId="06489178" w14:textId="3D03280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Hungría</w:t>
      </w:r>
      <w:r w:rsidRPr="00AC72B5">
        <w:rPr>
          <w:w w:val="98"/>
        </w:rPr>
        <w:t>, ¶ 33, Doc. ONU CEDAW/C/HUN/CO/7-8 (2013).</w:t>
      </w:r>
    </w:p>
  </w:endnote>
  <w:endnote w:id="835">
    <w:p w14:paraId="7BBF3033" w14:textId="4651D4C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China</w:t>
      </w:r>
      <w:r w:rsidRPr="00AC72B5">
        <w:rPr>
          <w:w w:val="98"/>
        </w:rPr>
        <w:t>, ¶ 32, Doc. ONU CEDAW/C/CHN/CO/6 (2006).</w:t>
      </w:r>
    </w:p>
  </w:endnote>
  <w:endnote w:id="836">
    <w:p w14:paraId="7252E934" w14:textId="6AEAFB2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República Checa</w:t>
      </w:r>
      <w:r w:rsidRPr="00AC72B5">
        <w:rPr>
          <w:w w:val="98"/>
        </w:rPr>
        <w:t xml:space="preserve">, ¶ 28, Doc. ONU </w:t>
      </w:r>
      <w:r w:rsidRPr="00AC72B5">
        <w:rPr>
          <w:rFonts w:eastAsia="MS Mincho"/>
          <w:w w:val="98"/>
        </w:rPr>
        <w:t>CEDAW/C/CZE/CO/6 (2016).</w:t>
      </w:r>
    </w:p>
  </w:endnote>
  <w:endnote w:id="837">
    <w:p w14:paraId="432F313E" w14:textId="5F5A1BD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Eslovaquia</w:t>
      </w:r>
      <w:r w:rsidRPr="00AC72B5">
        <w:rPr>
          <w:w w:val="98"/>
        </w:rPr>
        <w:t xml:space="preserve">, ¶ 32, Doc. ONU </w:t>
      </w:r>
      <w:r w:rsidRPr="00AC72B5">
        <w:rPr>
          <w:rFonts w:eastAsia="MS Mincho"/>
          <w:w w:val="98"/>
        </w:rPr>
        <w:t>CEDAW/C/SVK/CO/5-6 (2015).</w:t>
      </w:r>
    </w:p>
  </w:endnote>
  <w:endnote w:id="838">
    <w:p w14:paraId="71B1A9E7" w14:textId="1FDBFBD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Eslovaquia</w:t>
      </w:r>
      <w:r w:rsidRPr="00AC72B5">
        <w:rPr>
          <w:w w:val="98"/>
        </w:rPr>
        <w:t xml:space="preserve">, ¶ 32, Doc. ONU </w:t>
      </w:r>
      <w:r w:rsidRPr="00AC72B5">
        <w:rPr>
          <w:rFonts w:eastAsia="MS Mincho"/>
          <w:w w:val="98"/>
        </w:rPr>
        <w:t>CEDAW/C/SVK/CO/5-6 (2015).</w:t>
      </w:r>
    </w:p>
  </w:endnote>
  <w:endnote w:id="839">
    <w:p w14:paraId="19869F3E" w14:textId="0CA7A74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Perú</w:t>
      </w:r>
      <w:r w:rsidRPr="00AC72B5">
        <w:rPr>
          <w:w w:val="98"/>
        </w:rPr>
        <w:t xml:space="preserve">, ¶ 21, Doc. ONU </w:t>
      </w:r>
      <w:r w:rsidRPr="00AC72B5">
        <w:rPr>
          <w:rFonts w:eastAsia="MS Mincho"/>
          <w:w w:val="98"/>
        </w:rPr>
        <w:t>CEDAW/C/PER/CO/7-8 (2014).</w:t>
      </w:r>
    </w:p>
  </w:endnote>
  <w:endnote w:id="840">
    <w:p w14:paraId="37E41C10" w14:textId="5E34416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Japón</w:t>
      </w:r>
      <w:r w:rsidRPr="00AC72B5">
        <w:rPr>
          <w:w w:val="98"/>
        </w:rPr>
        <w:t xml:space="preserve">, ¶ 25, Doc. ONU </w:t>
      </w:r>
      <w:r w:rsidRPr="00AC72B5">
        <w:rPr>
          <w:rFonts w:eastAsia="MS Mincho"/>
          <w:w w:val="98"/>
        </w:rPr>
        <w:t>CEDAW/C/JPN/CO/7-8 (2016).</w:t>
      </w:r>
    </w:p>
  </w:endnote>
  <w:endnote w:id="841">
    <w:p w14:paraId="06EA4769" w14:textId="6205FB0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Japón</w:t>
      </w:r>
      <w:r w:rsidRPr="00AC72B5">
        <w:rPr>
          <w:w w:val="98"/>
        </w:rPr>
        <w:t xml:space="preserve">, ¶ 25, Doc. ONU </w:t>
      </w:r>
      <w:r w:rsidRPr="00AC72B5">
        <w:rPr>
          <w:rFonts w:eastAsia="MS Mincho"/>
          <w:w w:val="98"/>
        </w:rPr>
        <w:t xml:space="preserve">CEDAW/C/JPN/CO/7-8 (2016); </w:t>
      </w:r>
      <w:r w:rsidRPr="00AC72B5">
        <w:rPr>
          <w:i/>
          <w:w w:val="98"/>
        </w:rPr>
        <w:t>Uzbekistán</w:t>
      </w:r>
      <w:r w:rsidRPr="00AC72B5">
        <w:rPr>
          <w:w w:val="98"/>
        </w:rPr>
        <w:t>, ¶ 28, Doc. ONU</w:t>
      </w:r>
      <w:r w:rsidRPr="00AC72B5">
        <w:rPr>
          <w:i/>
          <w:w w:val="98"/>
        </w:rPr>
        <w:t xml:space="preserve"> </w:t>
      </w:r>
      <w:r w:rsidRPr="00AC72B5">
        <w:rPr>
          <w:rFonts w:eastAsia="MS Mincho"/>
          <w:w w:val="98"/>
        </w:rPr>
        <w:t xml:space="preserve">CEDAW/C/UZB/CO/5 (2015); </w:t>
      </w:r>
      <w:r w:rsidRPr="00AC72B5">
        <w:rPr>
          <w:i/>
          <w:w w:val="98"/>
        </w:rPr>
        <w:t>Namibia</w:t>
      </w:r>
      <w:r w:rsidRPr="00AC72B5">
        <w:rPr>
          <w:w w:val="98"/>
        </w:rPr>
        <w:t xml:space="preserve">, ¶ 37, Doc. ONU CEDAW/C/NAM/CO/4-5 (2015); </w:t>
      </w:r>
      <w:r w:rsidRPr="00AC72B5">
        <w:rPr>
          <w:i/>
          <w:w w:val="98"/>
        </w:rPr>
        <w:t>Cabo Verde</w:t>
      </w:r>
      <w:r w:rsidRPr="00AC72B5">
        <w:rPr>
          <w:w w:val="98"/>
        </w:rPr>
        <w:t xml:space="preserve">, ¶ 29, Doc. ONU CEDAW/C/CPV/CO/7-8 (2013); </w:t>
      </w:r>
      <w:r w:rsidRPr="00AC72B5">
        <w:rPr>
          <w:i/>
          <w:w w:val="98"/>
        </w:rPr>
        <w:t>Chile</w:t>
      </w:r>
      <w:r w:rsidRPr="00AC72B5">
        <w:rPr>
          <w:w w:val="98"/>
        </w:rPr>
        <w:t>, ¶ 35, Doc. ONU CEDAW/C/CHL/CO/5-6 (2012).</w:t>
      </w:r>
    </w:p>
  </w:endnote>
  <w:endnote w:id="842">
    <w:p w14:paraId="009D6574" w14:textId="11281C3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República Checa</w:t>
      </w:r>
      <w:r w:rsidRPr="00AC72B5">
        <w:rPr>
          <w:w w:val="98"/>
        </w:rPr>
        <w:t xml:space="preserve">, ¶ 29, Doc. ONU </w:t>
      </w:r>
      <w:r w:rsidRPr="00AC72B5">
        <w:rPr>
          <w:rFonts w:eastAsia="MS Mincho"/>
          <w:w w:val="98"/>
        </w:rPr>
        <w:t>CEDAW/C/CZE/CO/6 (2016).</w:t>
      </w:r>
    </w:p>
  </w:endnote>
  <w:endnote w:id="843">
    <w:p w14:paraId="10A91A59" w14:textId="13FD4A5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República Checa</w:t>
      </w:r>
      <w:r w:rsidRPr="00AC72B5">
        <w:rPr>
          <w:w w:val="98"/>
        </w:rPr>
        <w:t xml:space="preserve">, ¶ 29, Doc. ONU </w:t>
      </w:r>
      <w:r w:rsidRPr="00AC72B5">
        <w:rPr>
          <w:rFonts w:eastAsia="MS Mincho"/>
          <w:w w:val="98"/>
        </w:rPr>
        <w:t>CEDAW/C/CZE/CO/6 (2016).</w:t>
      </w:r>
    </w:p>
  </w:endnote>
  <w:endnote w:id="844">
    <w:p w14:paraId="4F823552" w14:textId="3603F97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Eslovaquia</w:t>
      </w:r>
      <w:r w:rsidRPr="00AC72B5">
        <w:rPr>
          <w:w w:val="98"/>
        </w:rPr>
        <w:t xml:space="preserve">, ¶ 33, Doc. ONU </w:t>
      </w:r>
      <w:r w:rsidRPr="00AC72B5">
        <w:rPr>
          <w:rFonts w:eastAsia="MS Mincho"/>
          <w:w w:val="98"/>
        </w:rPr>
        <w:t>CEDAW/C/SVK/CO/5-6 (2015).</w:t>
      </w:r>
    </w:p>
  </w:endnote>
  <w:endnote w:id="845">
    <w:p w14:paraId="700316F6" w14:textId="1FEA409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CEDAW, </w:t>
      </w:r>
      <w:r w:rsidRPr="00AC72B5">
        <w:rPr>
          <w:i/>
          <w:w w:val="98"/>
        </w:rPr>
        <w:t>Observaciones Finales: Eslovaquia</w:t>
      </w:r>
      <w:r w:rsidRPr="00AC72B5">
        <w:rPr>
          <w:w w:val="98"/>
        </w:rPr>
        <w:t xml:space="preserve">, ¶ 33, Doc. ONU </w:t>
      </w:r>
      <w:r w:rsidRPr="00AC72B5">
        <w:rPr>
          <w:rFonts w:eastAsia="MS Mincho"/>
          <w:w w:val="98"/>
        </w:rPr>
        <w:t>CEDAW/C/SVK/CO/5-6 (2015).</w:t>
      </w:r>
    </w:p>
  </w:endnote>
  <w:endnote w:id="846">
    <w:p w14:paraId="76884523" w14:textId="21DA5D4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A.S. v. Hungría, Comité CEDAW, Comunicación Núm. 4/2004, ¶ 2.2, Doc. ONU CEDAW/C/D/36/4/2004 (2006).</w:t>
      </w:r>
    </w:p>
  </w:endnote>
  <w:endnote w:id="847">
    <w:p w14:paraId="27F3550D" w14:textId="40D00DF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A.S. v. Hungría, Comité CEDAW, Comunicación Núm.4/2004, ¶ 2.4, Doc. ONU CEDAW/C/D/36/4/2004 (2006).</w:t>
      </w:r>
    </w:p>
  </w:endnote>
  <w:endnote w:id="848">
    <w:p w14:paraId="688B3CC1" w14:textId="1B83C59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A.S. v. Hungría, Comité CEDAW, Comunicación Núm. 4/2004, ¶ 11.2, Doc. ONU CEDAW/C/D/36/4/2004 (2006).</w:t>
      </w:r>
    </w:p>
  </w:endnote>
  <w:endnote w:id="849">
    <w:p w14:paraId="34C2CE45" w14:textId="3B07B5F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A.S. v. Hungría, Comité CEDAW, Comunicación Núm. 4/2004, ¶ 11.3, Doc. ONU CEDAW/C/D/36/4/2004 (2006).</w:t>
      </w:r>
    </w:p>
  </w:endnote>
  <w:endnote w:id="850">
    <w:p w14:paraId="3B0AFE37" w14:textId="3339A5F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A.S. v. Hungría, Comité CEDAW, Comunicación Núm. 4/2004, ¶ 11.4, Doc. ONU CEDAW/C/D/36/4/2004 (2006).</w:t>
      </w:r>
    </w:p>
  </w:endnote>
  <w:endnote w:id="851">
    <w:p w14:paraId="00870D37" w14:textId="2D7BD91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A.S. v. Hungría, Comité CEDAW, Comunicación Núm. 4/2004, ¶ 11.5, Doc. ONU CEDAW/C/D/36/4/2004 (2006).</w:t>
      </w:r>
    </w:p>
  </w:endnote>
  <w:endnote w:id="852">
    <w:p w14:paraId="1D800688" w14:textId="4C3D896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L.C. v. Perú, Comité CEDAW, Comunicación Núm. 22/2009, ¶ 2.1, Doc. ONU CEDAW/C/50/D/22/2009 (2011).</w:t>
      </w:r>
    </w:p>
  </w:endnote>
  <w:endnote w:id="853">
    <w:p w14:paraId="7F964C34" w14:textId="44F5879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L.C. v. Perú, Comité CEDAW, Comunicación Núm. 22/2009, ¶ 2.1, Doc. ONU CEDAW/C/50/D/22/2009 (2011).</w:t>
      </w:r>
    </w:p>
  </w:endnote>
  <w:endnote w:id="854">
    <w:p w14:paraId="79DD2123" w14:textId="700E573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L.C. v. Perú, Comité CEDAW, Comunicación Núm. 22/2009, ¶¶ 2.2 y 2.4, Doc. ONU CEDAW/C/50/D/22/2009 (2011).</w:t>
      </w:r>
    </w:p>
  </w:endnote>
  <w:endnote w:id="855">
    <w:p w14:paraId="50876B2E" w14:textId="2B33A0B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L.C. v. Perú, Comité CEDAW, Comunicación Núm. 22/2009, ¶ 8.1, Doc. ONU CEDAW/C/50/D/22/2009 (2011).</w:t>
      </w:r>
    </w:p>
  </w:endnote>
  <w:endnote w:id="856">
    <w:p w14:paraId="4D628C0E" w14:textId="2F7E278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L.C. v. Perú, Comité CEDAW, Comunicación Núm. 22/2009, ¶ 8.17, Doc. ONU CEDAW/C/50/D/22/2009 (2011).</w:t>
      </w:r>
    </w:p>
  </w:endnote>
  <w:endnote w:id="857">
    <w:p w14:paraId="54C2484B" w14:textId="0AA2A21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L.C. v. Perú, Comité CEDAW, Comunicación Núm. 22/2009, ¶ 8.15, Doc. ONU CEDAW/C/50/D/22/2009 (2011).</w:t>
      </w:r>
    </w:p>
  </w:endnote>
  <w:endnote w:id="858">
    <w:p w14:paraId="2C389FA6" w14:textId="3BABF3D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L.C. v. Perú, Comité CEDAW, Comunicación Núm. 22/2009, ¶ 9(b), Doc. ONU CEDAW/C/50/D/22/2009 (2011).</w:t>
      </w:r>
    </w:p>
  </w:endnote>
  <w:endnote w:id="859">
    <w:p w14:paraId="34A43B76" w14:textId="3C75218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Alyne da Silva Pimentel v. Brasil, Comité CEDAW, Comunicación Núm. 17/2008, ¶ 2.12, Doc. ONU CEDAW/C/49/D/17/2008 (2011).</w:t>
      </w:r>
    </w:p>
  </w:endnote>
  <w:endnote w:id="860">
    <w:p w14:paraId="59DF2AED" w14:textId="055E60D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Alyne da Silva Pimentel v. Brasil, Comité CEDAW, Comunicación Núm. 17/2008, ¶ 2.12, Doc. ONU CEDAW/C/49/D/17/2008 (2011).</w:t>
      </w:r>
    </w:p>
  </w:endnote>
  <w:endnote w:id="861">
    <w:p w14:paraId="067E34D4" w14:textId="39082FB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Alyne da Silva Pimentel v. Brasil, Comité CEDAW, Comunicación Núm. 17/2008, ¶ 7.6, Doc. ONU CEDAW/C/49/D/17/2008 (2011).</w:t>
      </w:r>
    </w:p>
  </w:endnote>
  <w:endnote w:id="862">
    <w:p w14:paraId="035153E0" w14:textId="01EC396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Alyne da Silva Pimentel v. Brasil, Comité CEDAW, Comunicación Núm. 17/2008, ¶ 7.7, Doc. ONU CEDAW/C/49/D/17/2008 (2011).</w:t>
      </w:r>
    </w:p>
  </w:endnote>
  <w:endnote w:id="863">
    <w:p w14:paraId="3B625AEB" w14:textId="576CE0E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Alyne da Silva Pimentel v. Brasil, Comité</w:t>
      </w:r>
      <w:r>
        <w:rPr>
          <w:w w:val="98"/>
        </w:rPr>
        <w:t xml:space="preserve"> </w:t>
      </w:r>
      <w:r w:rsidRPr="00AC72B5">
        <w:rPr>
          <w:w w:val="98"/>
        </w:rPr>
        <w:t>CEDAW, Comunicación Núm. 17/2008, ¶ 8, Doc. ONU CEDAW/C/49/D/17/2008 (2011).</w:t>
      </w:r>
    </w:p>
  </w:endnote>
  <w:endnote w:id="864">
    <w:p w14:paraId="6B85B1F1" w14:textId="574AA15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Surinam</w:t>
      </w:r>
      <w:r w:rsidRPr="00AC72B5">
        <w:rPr>
          <w:w w:val="98"/>
        </w:rPr>
        <w:t xml:space="preserve">, ¶ 31, Doc. ONU CRC/C/SUR/CO/3-4 (2016); </w:t>
      </w:r>
      <w:r w:rsidRPr="00AC72B5">
        <w:rPr>
          <w:i/>
          <w:w w:val="98"/>
        </w:rPr>
        <w:t>Pakistán</w:t>
      </w:r>
      <w:r w:rsidRPr="00AC72B5">
        <w:rPr>
          <w:w w:val="98"/>
        </w:rPr>
        <w:t xml:space="preserve">, ¶ 51, Doc. ONU CRC/C/PAK/CO/5 (2016); </w:t>
      </w:r>
      <w:r w:rsidRPr="00AC72B5">
        <w:rPr>
          <w:i/>
          <w:w w:val="98"/>
        </w:rPr>
        <w:t>Sierra Leona</w:t>
      </w:r>
      <w:r w:rsidRPr="00AC72B5">
        <w:rPr>
          <w:w w:val="98"/>
        </w:rPr>
        <w:t xml:space="preserve">, ¶ 35, Doc. ONU </w:t>
      </w:r>
      <w:r w:rsidRPr="00AC72B5">
        <w:rPr>
          <w:rFonts w:eastAsia="Times New Roman"/>
          <w:w w:val="98"/>
        </w:rPr>
        <w:t>CRC/C/LES/CO/3-5 (2016).</w:t>
      </w:r>
    </w:p>
  </w:endnote>
  <w:endnote w:id="865">
    <w:p w14:paraId="3F13DD53" w14:textId="480C8FA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Observación General Núm. 3: El VIH/SIDA y los derechos del niño</w:t>
      </w:r>
      <w:r w:rsidRPr="00AC72B5">
        <w:rPr>
          <w:w w:val="98"/>
        </w:rPr>
        <w:t>, ¶ 20, Doc. ONU CRC/GC/2003/3 (2003).</w:t>
      </w:r>
    </w:p>
  </w:endnote>
  <w:endnote w:id="866">
    <w:p w14:paraId="4DD7B1F7" w14:textId="1E97C33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Observación General Núm. 3: El VIH/SIDA y los derechos del niño</w:t>
      </w:r>
      <w:r w:rsidRPr="00AC72B5">
        <w:rPr>
          <w:w w:val="98"/>
        </w:rPr>
        <w:t>, ¶ 20, Doc. ONU CRC/GC/2003/3 (2003).</w:t>
      </w:r>
    </w:p>
  </w:endnote>
  <w:endnote w:id="867">
    <w:p w14:paraId="48749718" w14:textId="6FF5498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Observación General Núm. 3: El VIH/SIDA y los derechos del niño</w:t>
      </w:r>
      <w:r w:rsidRPr="00AC72B5">
        <w:rPr>
          <w:w w:val="98"/>
        </w:rPr>
        <w:t>, ¶ 21, Doc. ONU CRC/GC/2003/3 (2003).</w:t>
      </w:r>
    </w:p>
  </w:endnote>
  <w:endnote w:id="868">
    <w:p w14:paraId="36DD8112" w14:textId="16F165C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Observación General Núm. 4: La salud y el desarrollo de los adolescentes en el contexto de la Convención sobre los Derechos del Niño</w:t>
      </w:r>
      <w:r w:rsidRPr="00AC72B5">
        <w:rPr>
          <w:w w:val="98"/>
        </w:rPr>
        <w:t>, ¶ 28, Doc. ONU CRC/GC/2003/4 (2003).</w:t>
      </w:r>
    </w:p>
  </w:endnote>
  <w:endnote w:id="869">
    <w:p w14:paraId="46D7BA11" w14:textId="4A8CE9F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Observación General</w:t>
      </w:r>
      <w:r>
        <w:rPr>
          <w:i/>
          <w:w w:val="98"/>
        </w:rPr>
        <w:t xml:space="preserve"> </w:t>
      </w:r>
      <w:r w:rsidRPr="00AC72B5">
        <w:rPr>
          <w:i/>
          <w:w w:val="98"/>
        </w:rPr>
        <w:t>Núm. 4: La salud y el desarrollo de los adolescentes en el contexto de la Convención sobre los Derechos del Niño</w:t>
      </w:r>
      <w:r w:rsidRPr="00AC72B5">
        <w:rPr>
          <w:w w:val="98"/>
        </w:rPr>
        <w:t>, ¶ 31, Doc. ONU CRC/GC/2003/4 (2003).</w:t>
      </w:r>
    </w:p>
  </w:endnote>
  <w:endnote w:id="870">
    <w:p w14:paraId="2605A6C7" w14:textId="2E516E8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Observación General Núm. 7: Realización de los derechos del niño en la primera infancia</w:t>
      </w:r>
      <w:r w:rsidRPr="00AC72B5">
        <w:rPr>
          <w:w w:val="98"/>
        </w:rPr>
        <w:t>, ¶ 10 y 27, Doc. ONU CRC/C/GC/7/Rev.1 (2006).</w:t>
      </w:r>
    </w:p>
  </w:endnote>
  <w:endnote w:id="871">
    <w:p w14:paraId="7B78DB48" w14:textId="72A5B45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Observación General Núm. 9: Los derechos de los niños con discapacidad</w:t>
      </w:r>
      <w:r w:rsidRPr="00AC72B5">
        <w:rPr>
          <w:w w:val="98"/>
        </w:rPr>
        <w:t>, ¶ 59, Doc. ONU CRC/C/GC/9 (2007).</w:t>
      </w:r>
    </w:p>
  </w:endnote>
  <w:endnote w:id="872">
    <w:p w14:paraId="6193338F" w14:textId="76BED25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Observación General Núm. 9: Los derechos de los niños con discapacidad</w:t>
      </w:r>
      <w:r w:rsidRPr="00AC72B5">
        <w:rPr>
          <w:w w:val="98"/>
        </w:rPr>
        <w:t>, ¶ 60, Doc. ONU CRC/C/GC/9 (2007).</w:t>
      </w:r>
    </w:p>
  </w:endnote>
  <w:endnote w:id="873">
    <w:p w14:paraId="7A4382CA" w14:textId="050024F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Observación General Núm. 9: Los derechos de los niños con discapacidad</w:t>
      </w:r>
      <w:r w:rsidRPr="00AC72B5">
        <w:rPr>
          <w:w w:val="98"/>
        </w:rPr>
        <w:t>, ¶ 59, Doc. ONU CRC/C/GC/9 (2007).</w:t>
      </w:r>
    </w:p>
  </w:endnote>
  <w:endnote w:id="874">
    <w:p w14:paraId="0C6E8747" w14:textId="22C17E3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Observación General Núm. 9: Los derechos de los niños con discapacidad</w:t>
      </w:r>
      <w:r w:rsidRPr="00AC72B5">
        <w:rPr>
          <w:w w:val="98"/>
        </w:rPr>
        <w:t>, ¶ 60, Doc. ONU CRC/C/GC/9 (2007).</w:t>
      </w:r>
    </w:p>
  </w:endnote>
  <w:endnote w:id="875">
    <w:p w14:paraId="33487AC2" w14:textId="23CAC97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Observación General Núm. 11: Los niños indígenas y sus derechos en virtud de la Convención</w:t>
      </w:r>
      <w:r w:rsidRPr="00AC72B5">
        <w:rPr>
          <w:w w:val="98"/>
        </w:rPr>
        <w:t>, ¶ 54, Doc. ONU CRC/C/GC/11 (2009).</w:t>
      </w:r>
    </w:p>
  </w:endnote>
  <w:endnote w:id="876">
    <w:p w14:paraId="5FFEC3BB" w14:textId="3DC57E3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Observación General Núm.</w:t>
      </w:r>
      <w:r w:rsidRPr="00AC72B5">
        <w:rPr>
          <w:w w:val="98"/>
        </w:rPr>
        <w:t xml:space="preserve"> </w:t>
      </w:r>
      <w:r w:rsidRPr="00AC72B5">
        <w:rPr>
          <w:i/>
          <w:w w:val="98"/>
        </w:rPr>
        <w:t>12: El derecho del niño a ser escuchado</w:t>
      </w:r>
      <w:r w:rsidRPr="00AC72B5">
        <w:rPr>
          <w:w w:val="98"/>
        </w:rPr>
        <w:t>, ¶¶ 98 y 100, Doc. ONU CRC/C/GC/9 (2009).</w:t>
      </w:r>
    </w:p>
  </w:endnote>
  <w:endnote w:id="877">
    <w:p w14:paraId="7247F5C7" w14:textId="780464B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Observación General Núm. 12: El derecho del niño a ser escuchado</w:t>
      </w:r>
      <w:r w:rsidRPr="00AC72B5">
        <w:rPr>
          <w:w w:val="98"/>
        </w:rPr>
        <w:t>, ¶ 100, Doc. ONU CRC/C/GC/9 (2009).</w:t>
      </w:r>
    </w:p>
  </w:endnote>
  <w:endnote w:id="878">
    <w:p w14:paraId="4230E69E" w14:textId="314FB64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Observación General Núm. 12: El derecho del niño a ser escuchado</w:t>
      </w:r>
      <w:r w:rsidRPr="00AC72B5">
        <w:rPr>
          <w:w w:val="98"/>
        </w:rPr>
        <w:t>, ¶ 101, Doc. ONU CRC/C/GC/9 (2009).</w:t>
      </w:r>
    </w:p>
  </w:endnote>
  <w:endnote w:id="879">
    <w:p w14:paraId="648D4A42" w14:textId="42DA5BF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Observación General Núm. 12: El derecho del niño a ser escuchado</w:t>
      </w:r>
      <w:r w:rsidRPr="00AC72B5">
        <w:rPr>
          <w:w w:val="98"/>
        </w:rPr>
        <w:t>, ¶ 102, Doc. ONU CRC/C/GC/9 (2009).</w:t>
      </w:r>
    </w:p>
  </w:endnote>
  <w:endnote w:id="880">
    <w:p w14:paraId="304C7863" w14:textId="06F4415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Observación General Núm. 13: Derecho del niño a no ser objeto de ninguna forma de violencia</w:t>
      </w:r>
      <w:r w:rsidRPr="00AC72B5">
        <w:rPr>
          <w:w w:val="98"/>
        </w:rPr>
        <w:t>, ¶ 23(a), Doc. ONU CRC/C/GC/13 (2011).</w:t>
      </w:r>
    </w:p>
  </w:endnote>
  <w:endnote w:id="881">
    <w:p w14:paraId="2AC44D73" w14:textId="2E4A581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Observación General Núm. 13: Derecho del niño a no ser objeto de ninguna forma de violencia</w:t>
      </w:r>
      <w:r w:rsidRPr="00AC72B5">
        <w:rPr>
          <w:w w:val="98"/>
        </w:rPr>
        <w:t>, ¶ 15 (a), Doc. ONU CRC/C/GC/13 (2011).</w:t>
      </w:r>
    </w:p>
  </w:endnote>
  <w:endnote w:id="882">
    <w:p w14:paraId="2E4C744E" w14:textId="2957D8E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lang w:val="es-CO"/>
        </w:rPr>
        <w:t xml:space="preserve"> Comité CDN, </w:t>
      </w:r>
      <w:r w:rsidRPr="00AC72B5">
        <w:rPr>
          <w:i/>
          <w:w w:val="98"/>
          <w:lang w:val="es-CO"/>
        </w:rPr>
        <w:t xml:space="preserve">Observación General </w:t>
      </w:r>
      <w:r w:rsidRPr="00AC72B5">
        <w:rPr>
          <w:i/>
          <w:w w:val="98"/>
        </w:rPr>
        <w:t>Núm.</w:t>
      </w:r>
      <w:r w:rsidRPr="00AC72B5">
        <w:rPr>
          <w:i/>
          <w:w w:val="98"/>
          <w:lang w:val="es-CO"/>
        </w:rPr>
        <w:t xml:space="preserve"> 14 (2013) sobre el derecho del niño a que su interés superior sea una consideración primordial (art</w:t>
      </w:r>
      <w:r w:rsidRPr="00AC72B5">
        <w:rPr>
          <w:i/>
          <w:w w:val="98"/>
        </w:rPr>
        <w:t>í</w:t>
      </w:r>
      <w:r w:rsidRPr="00AC72B5">
        <w:rPr>
          <w:i/>
          <w:w w:val="98"/>
          <w:lang w:val="es-CO"/>
        </w:rPr>
        <w:t>culo 3, p</w:t>
      </w:r>
      <w:r w:rsidRPr="00AC72B5">
        <w:rPr>
          <w:i/>
          <w:w w:val="98"/>
        </w:rPr>
        <w:t>á</w:t>
      </w:r>
      <w:r w:rsidRPr="00AC72B5">
        <w:rPr>
          <w:i/>
          <w:w w:val="98"/>
          <w:lang w:val="es-CO"/>
        </w:rPr>
        <w:t>rrafo 1)</w:t>
      </w:r>
      <w:r w:rsidRPr="00AC72B5">
        <w:rPr>
          <w:w w:val="98"/>
          <w:lang w:val="es-CO"/>
        </w:rPr>
        <w:t xml:space="preserve">, ¶ 78, Doc. </w:t>
      </w:r>
      <w:r w:rsidRPr="00AC72B5">
        <w:rPr>
          <w:w w:val="98"/>
        </w:rPr>
        <w:t>ONU CRC/C/GC/14 (2013).</w:t>
      </w:r>
    </w:p>
  </w:endnote>
  <w:endnote w:id="883">
    <w:p w14:paraId="0B545132" w14:textId="0872D03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Observación General Núm. 15 (2013) sobre el derecho del niño al disfrute del más alto nivel posible de salud (artí</w:t>
      </w:r>
      <w:r w:rsidRPr="00AC72B5">
        <w:rPr>
          <w:i/>
          <w:w w:val="98"/>
          <w:lang w:val="es-CO"/>
        </w:rPr>
        <w:t>culo</w:t>
      </w:r>
      <w:r w:rsidRPr="00AC72B5">
        <w:rPr>
          <w:i/>
          <w:w w:val="98"/>
        </w:rPr>
        <w:t xml:space="preserve"> 24)</w:t>
      </w:r>
      <w:r w:rsidRPr="00AC72B5">
        <w:rPr>
          <w:w w:val="98"/>
        </w:rPr>
        <w:t>, ¶ 24, Doc. ONU CRC/C/GC/15 (2013).</w:t>
      </w:r>
    </w:p>
  </w:endnote>
  <w:endnote w:id="884">
    <w:p w14:paraId="1EBFDBBD" w14:textId="1A78DBC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Observación General Núm. 15 (2013) sobre el derecho del niño al disfrute del más alto nivel posible de salud (artí</w:t>
      </w:r>
      <w:r w:rsidRPr="00AC72B5">
        <w:rPr>
          <w:i/>
          <w:w w:val="98"/>
          <w:lang w:val="es-CO"/>
        </w:rPr>
        <w:t>culo</w:t>
      </w:r>
      <w:r w:rsidRPr="00AC72B5">
        <w:rPr>
          <w:i/>
          <w:w w:val="98"/>
        </w:rPr>
        <w:t xml:space="preserve"> 24)</w:t>
      </w:r>
      <w:r w:rsidRPr="00AC72B5">
        <w:rPr>
          <w:w w:val="98"/>
        </w:rPr>
        <w:t>, ¶ 31, Doc. ONU CRC/C/GC/15 (2013).</w:t>
      </w:r>
    </w:p>
  </w:endnote>
  <w:endnote w:id="885">
    <w:p w14:paraId="043EE31C" w14:textId="4B286D2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Observación General Núm. 15 (2013) sobre el derecho del niño al disfrute del más alto nivel posible de salud (artí</w:t>
      </w:r>
      <w:r w:rsidRPr="00AC72B5">
        <w:rPr>
          <w:i/>
          <w:w w:val="98"/>
          <w:lang w:val="es-CO"/>
        </w:rPr>
        <w:t>culo</w:t>
      </w:r>
      <w:r w:rsidRPr="00AC72B5">
        <w:rPr>
          <w:i/>
          <w:w w:val="98"/>
        </w:rPr>
        <w:t xml:space="preserve"> 24)</w:t>
      </w:r>
      <w:r w:rsidRPr="00AC72B5">
        <w:rPr>
          <w:w w:val="98"/>
        </w:rPr>
        <w:t>, ¶ 31, Doc. ONU CRC/C/GC/15 (2013).</w:t>
      </w:r>
    </w:p>
  </w:endnote>
  <w:endnote w:id="886">
    <w:p w14:paraId="47586692" w14:textId="4906651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Observación General Núm. 15 (2013) sobre el derecho del niño al disfrute del más alto nivel posible de salud (artí</w:t>
      </w:r>
      <w:r w:rsidRPr="00AC72B5">
        <w:rPr>
          <w:i/>
          <w:w w:val="98"/>
          <w:lang w:val="es-CO"/>
        </w:rPr>
        <w:t>culo</w:t>
      </w:r>
      <w:r w:rsidRPr="00AC72B5">
        <w:rPr>
          <w:i/>
          <w:w w:val="98"/>
        </w:rPr>
        <w:t xml:space="preserve"> 24)</w:t>
      </w:r>
      <w:r w:rsidRPr="00AC72B5">
        <w:rPr>
          <w:w w:val="98"/>
        </w:rPr>
        <w:t>, ¶ 31, Doc. ONU CRC/C/GC/15 (2013).</w:t>
      </w:r>
    </w:p>
  </w:endnote>
  <w:endnote w:id="887">
    <w:p w14:paraId="2657673F" w14:textId="62BC60D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Observación General Núm. 20 (2016) sobre la efectividad de los derechos del niño durante la adolescencia</w:t>
      </w:r>
      <w:r w:rsidRPr="00AC72B5">
        <w:rPr>
          <w:w w:val="98"/>
        </w:rPr>
        <w:t>, ¶ 39, Doc. ONU CRC/C/GC/20 (2016).</w:t>
      </w:r>
    </w:p>
  </w:endnote>
  <w:endnote w:id="888">
    <w:p w14:paraId="19943248" w14:textId="540898E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Observación General Núm. 20 (2016) sobre la efectividad de los derechos del niño durante la adolescencia</w:t>
      </w:r>
      <w:r w:rsidRPr="00AC72B5">
        <w:rPr>
          <w:w w:val="98"/>
        </w:rPr>
        <w:t>, ¶ 39, Doc. ONU CRC/C/GC/20 (2016).</w:t>
      </w:r>
    </w:p>
  </w:endnote>
  <w:endnote w:id="889">
    <w:p w14:paraId="19246357" w14:textId="17C6813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Observación General Núm. 20 (2016) sobre la efectividad de los derechos del niño durante la adolescencia</w:t>
      </w:r>
      <w:r w:rsidRPr="00AC72B5">
        <w:rPr>
          <w:w w:val="98"/>
        </w:rPr>
        <w:t>, ¶ 31, Doc. ONU CRC/C/GC/20 (2016).</w:t>
      </w:r>
    </w:p>
  </w:endnote>
  <w:endnote w:id="890">
    <w:p w14:paraId="342ADD6E" w14:textId="5C657F2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Observación General Núm. 20 (2016) sobre la efectividad de los derechos del niño durante la adolescencia</w:t>
      </w:r>
      <w:r w:rsidRPr="00AC72B5">
        <w:rPr>
          <w:w w:val="98"/>
        </w:rPr>
        <w:t>, ¶¶ 32 y 61, Doc. ONU CRC/C/GC/20 (2016).</w:t>
      </w:r>
    </w:p>
  </w:endnote>
  <w:endnote w:id="891">
    <w:p w14:paraId="1B5A40CB" w14:textId="016D15F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Sierra Leona</w:t>
      </w:r>
      <w:r w:rsidRPr="00AC72B5">
        <w:rPr>
          <w:w w:val="98"/>
        </w:rPr>
        <w:t xml:space="preserve">, ¶ 31, Doc. ONU CRC/C/LES/CO/3-5 (2016); </w:t>
      </w:r>
      <w:r w:rsidRPr="00AC72B5">
        <w:rPr>
          <w:i/>
          <w:w w:val="98"/>
        </w:rPr>
        <w:t>Zimbabwe</w:t>
      </w:r>
      <w:r w:rsidRPr="00AC72B5">
        <w:rPr>
          <w:w w:val="98"/>
        </w:rPr>
        <w:t xml:space="preserve">, ¶ 60, Doc. ONU CRC/C/ZWE/CO/2 (2016); </w:t>
      </w:r>
      <w:r w:rsidRPr="00AC72B5">
        <w:rPr>
          <w:i/>
          <w:w w:val="98"/>
        </w:rPr>
        <w:t>Zambia</w:t>
      </w:r>
      <w:r w:rsidRPr="00AC72B5">
        <w:rPr>
          <w:w w:val="98"/>
        </w:rPr>
        <w:t xml:space="preserve">, ¶ 49, Doc. ONU CRC/C/ZMB/CO/2-4 (2016); </w:t>
      </w:r>
      <w:r w:rsidRPr="00AC72B5">
        <w:rPr>
          <w:i/>
          <w:w w:val="98"/>
        </w:rPr>
        <w:t>India</w:t>
      </w:r>
      <w:r w:rsidRPr="00AC72B5">
        <w:rPr>
          <w:w w:val="98"/>
        </w:rPr>
        <w:t>, ¶ 65, Doc. ONU CRC/C/IND/CO/3-4 (2014).</w:t>
      </w:r>
    </w:p>
  </w:endnote>
  <w:endnote w:id="892">
    <w:p w14:paraId="43075B1F" w14:textId="157E18E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Kazajistán</w:t>
      </w:r>
      <w:r w:rsidRPr="00AC72B5">
        <w:rPr>
          <w:w w:val="98"/>
        </w:rPr>
        <w:t xml:space="preserve">, </w:t>
      </w:r>
      <w:r w:rsidRPr="00AC72B5">
        <w:rPr>
          <w:i/>
          <w:w w:val="98"/>
        </w:rPr>
        <w:t>¶</w:t>
      </w:r>
      <w:r w:rsidRPr="00AC72B5">
        <w:rPr>
          <w:w w:val="98"/>
        </w:rPr>
        <w:t xml:space="preserve"> 46, Doc. ONU CRC/C/KAZ/CO/4 (2015).</w:t>
      </w:r>
    </w:p>
  </w:endnote>
  <w:endnote w:id="893">
    <w:p w14:paraId="57B78040" w14:textId="4DBA5E4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Pakistán</w:t>
      </w:r>
      <w:r w:rsidRPr="00AC72B5">
        <w:rPr>
          <w:w w:val="98"/>
        </w:rPr>
        <w:t xml:space="preserve">, ¶ 51, Doc. ONU CRC/C/PAK/CO/5 (2016); </w:t>
      </w:r>
      <w:r w:rsidRPr="00AC72B5">
        <w:rPr>
          <w:i/>
          <w:w w:val="98"/>
        </w:rPr>
        <w:t>Omán</w:t>
      </w:r>
      <w:r w:rsidRPr="00AC72B5">
        <w:rPr>
          <w:w w:val="98"/>
        </w:rPr>
        <w:t xml:space="preserve">, ¶ 53, Doc. ONU CRC/C/OMN/CO/3-4 (2016); </w:t>
      </w:r>
      <w:r w:rsidRPr="00AC72B5">
        <w:rPr>
          <w:i/>
          <w:w w:val="98"/>
        </w:rPr>
        <w:t>Afganistán</w:t>
      </w:r>
      <w:r w:rsidRPr="00AC72B5">
        <w:rPr>
          <w:w w:val="98"/>
        </w:rPr>
        <w:t>, ¶ 51, Doc. ONU CRC/C/AFG/CO/1 (2011).</w:t>
      </w:r>
    </w:p>
  </w:endnote>
  <w:endnote w:id="894">
    <w:p w14:paraId="74CEDB0E" w14:textId="1CDBCB8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Afganistán</w:t>
      </w:r>
      <w:r w:rsidRPr="00AC72B5">
        <w:rPr>
          <w:w w:val="98"/>
        </w:rPr>
        <w:t>, ¶ 51, Doc. ONU CRC/C/AFG/CO/1 (2011).</w:t>
      </w:r>
    </w:p>
  </w:endnote>
  <w:endnote w:id="895">
    <w:p w14:paraId="0DB1EA45" w14:textId="23372BD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Zimbabwe</w:t>
      </w:r>
      <w:r w:rsidRPr="00AC72B5">
        <w:rPr>
          <w:w w:val="98"/>
        </w:rPr>
        <w:t xml:space="preserve">, ¶ 60, Doc. ONU CRC/C/ZWE/CO/2 (2016); </w:t>
      </w:r>
      <w:r w:rsidRPr="00AC72B5">
        <w:rPr>
          <w:i/>
          <w:w w:val="98"/>
        </w:rPr>
        <w:t>Perú</w:t>
      </w:r>
      <w:r w:rsidRPr="00AC72B5">
        <w:rPr>
          <w:w w:val="98"/>
        </w:rPr>
        <w:t xml:space="preserve">, ¶ 55, Doc. ONU CRC/C/POR/CO/4-5 (2016); </w:t>
      </w:r>
      <w:r w:rsidRPr="00AC72B5">
        <w:rPr>
          <w:i/>
          <w:w w:val="98"/>
        </w:rPr>
        <w:t>Jamaica</w:t>
      </w:r>
      <w:r w:rsidRPr="00AC72B5">
        <w:rPr>
          <w:w w:val="98"/>
        </w:rPr>
        <w:t>, ¶ 48, Doc. ONU CRC/C/JAM/CO/3-4 (2015).</w:t>
      </w:r>
    </w:p>
  </w:endnote>
  <w:endnote w:id="896">
    <w:p w14:paraId="29807731" w14:textId="4103D68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Grecia</w:t>
      </w:r>
      <w:r w:rsidRPr="00AC72B5">
        <w:rPr>
          <w:w w:val="98"/>
        </w:rPr>
        <w:t xml:space="preserve">, ¶ 56, Doc. ONU CRC/C/GRC/CO/2-3 (2012); </w:t>
      </w:r>
      <w:r w:rsidRPr="00AC72B5">
        <w:rPr>
          <w:i/>
          <w:w w:val="98"/>
        </w:rPr>
        <w:t>Bar</w:t>
      </w:r>
      <w:r w:rsidRPr="00AC72B5">
        <w:rPr>
          <w:w w:val="98"/>
        </w:rPr>
        <w:t>é</w:t>
      </w:r>
      <w:r w:rsidRPr="00AC72B5">
        <w:rPr>
          <w:i/>
          <w:w w:val="98"/>
        </w:rPr>
        <w:t>in</w:t>
      </w:r>
      <w:r w:rsidRPr="00AC72B5">
        <w:rPr>
          <w:w w:val="98"/>
        </w:rPr>
        <w:t>, ¶ 59, Doc. ONU CRC/C/BHR/CO/2-3 (2011).</w:t>
      </w:r>
    </w:p>
  </w:endnote>
  <w:endnote w:id="897">
    <w:p w14:paraId="41786541" w14:textId="18E1DFC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 xml:space="preserve">, Comité CDN, </w:t>
      </w:r>
      <w:r w:rsidRPr="00AC72B5">
        <w:rPr>
          <w:i/>
          <w:w w:val="98"/>
        </w:rPr>
        <w:t>Observaciones Finales: Surinam</w:t>
      </w:r>
      <w:r w:rsidRPr="00AC72B5">
        <w:rPr>
          <w:w w:val="98"/>
        </w:rPr>
        <w:t xml:space="preserve">, ¶ 31(c), Doc. ONU CRC/C/SUR/CO/3-4 (2016); </w:t>
      </w:r>
      <w:r w:rsidRPr="00AC72B5">
        <w:rPr>
          <w:i/>
          <w:w w:val="98"/>
        </w:rPr>
        <w:t>Sudáfrica</w:t>
      </w:r>
      <w:r w:rsidRPr="00AC72B5">
        <w:rPr>
          <w:w w:val="98"/>
        </w:rPr>
        <w:t xml:space="preserve">, ¶ 50, Doc. ONU </w:t>
      </w:r>
      <w:r w:rsidRPr="00AC72B5">
        <w:rPr>
          <w:rFonts w:eastAsia="Times New Roman"/>
          <w:w w:val="98"/>
        </w:rPr>
        <w:t xml:space="preserve">CRC/C/ZAF/CO/2 (2016); </w:t>
      </w:r>
      <w:r w:rsidRPr="00AC72B5">
        <w:rPr>
          <w:i/>
          <w:w w:val="98"/>
        </w:rPr>
        <w:t>Bulgaria</w:t>
      </w:r>
      <w:r w:rsidRPr="00AC72B5">
        <w:rPr>
          <w:w w:val="98"/>
        </w:rPr>
        <w:t xml:space="preserve">, ¶ 45, Doc. ONU CRC/C/BGR/CO/3-5 (2016); </w:t>
      </w:r>
      <w:r w:rsidRPr="00AC72B5">
        <w:rPr>
          <w:rFonts w:eastAsia="Times New Roman"/>
          <w:i/>
          <w:w w:val="98"/>
        </w:rPr>
        <w:t>República Dominicana</w:t>
      </w:r>
      <w:r w:rsidRPr="00AC72B5">
        <w:rPr>
          <w:rFonts w:eastAsia="Times New Roman"/>
          <w:w w:val="98"/>
        </w:rPr>
        <w:t xml:space="preserve">, </w:t>
      </w:r>
      <w:r w:rsidRPr="00AC72B5">
        <w:rPr>
          <w:w w:val="98"/>
        </w:rPr>
        <w:t>¶</w:t>
      </w:r>
      <w:r w:rsidRPr="00AC72B5">
        <w:rPr>
          <w:rFonts w:eastAsia="Times New Roman"/>
          <w:w w:val="98"/>
        </w:rPr>
        <w:t xml:space="preserve"> </w:t>
      </w:r>
      <w:r w:rsidRPr="00AC72B5">
        <w:rPr>
          <w:w w:val="98"/>
        </w:rPr>
        <w:t xml:space="preserve">52, </w:t>
      </w:r>
      <w:r w:rsidRPr="00AC72B5">
        <w:rPr>
          <w:rFonts w:eastAsia="Times New Roman"/>
          <w:w w:val="98"/>
        </w:rPr>
        <w:t xml:space="preserve">Doc. ONU </w:t>
      </w:r>
      <w:r w:rsidRPr="00AC72B5">
        <w:rPr>
          <w:w w:val="98"/>
        </w:rPr>
        <w:t xml:space="preserve">CRC/C/DOM/CO/3-5 (2015); </w:t>
      </w:r>
      <w:r w:rsidRPr="00AC72B5">
        <w:rPr>
          <w:i/>
          <w:w w:val="98"/>
        </w:rPr>
        <w:t>India</w:t>
      </w:r>
      <w:r w:rsidRPr="00AC72B5">
        <w:rPr>
          <w:w w:val="98"/>
        </w:rPr>
        <w:t xml:space="preserve">, ¶ 66, Doc. ONU CRC/C/IND/CO/3-4 (2014); </w:t>
      </w:r>
      <w:r w:rsidRPr="00AC72B5">
        <w:rPr>
          <w:i/>
          <w:w w:val="98"/>
        </w:rPr>
        <w:t>China</w:t>
      </w:r>
      <w:r w:rsidRPr="00AC72B5">
        <w:rPr>
          <w:w w:val="98"/>
        </w:rPr>
        <w:t xml:space="preserve">, ¶ 70, Doc. ONU CRC/C/CHN/CO/3-4 (2013); </w:t>
      </w:r>
      <w:r w:rsidRPr="00AC72B5">
        <w:rPr>
          <w:i/>
          <w:w w:val="98"/>
        </w:rPr>
        <w:t>Andorra</w:t>
      </w:r>
      <w:r w:rsidRPr="00AC72B5">
        <w:rPr>
          <w:w w:val="98"/>
        </w:rPr>
        <w:t xml:space="preserve">, ¶ 42, Doc. ONU CRC/C/Y/CO/2 (2012); </w:t>
      </w:r>
      <w:r w:rsidRPr="00AC72B5">
        <w:rPr>
          <w:i/>
          <w:w w:val="98"/>
        </w:rPr>
        <w:t>Grecia</w:t>
      </w:r>
      <w:r w:rsidRPr="00AC72B5">
        <w:rPr>
          <w:w w:val="98"/>
        </w:rPr>
        <w:t xml:space="preserve">, ¶ 57, Doc. ONU CRC/C/GRC/CO/2-3 (2012); </w:t>
      </w:r>
      <w:r w:rsidRPr="00AC72B5">
        <w:rPr>
          <w:i/>
          <w:w w:val="98"/>
        </w:rPr>
        <w:t>Ecuador</w:t>
      </w:r>
      <w:r w:rsidRPr="00AC72B5">
        <w:rPr>
          <w:w w:val="98"/>
        </w:rPr>
        <w:t xml:space="preserve">, ¶ 61, Doc. ONU CRC/C/OPSC/ECU/CO/4 (2010); </w:t>
      </w:r>
      <w:r w:rsidRPr="00AC72B5">
        <w:rPr>
          <w:i/>
          <w:w w:val="98"/>
        </w:rPr>
        <w:t>Granada</w:t>
      </w:r>
      <w:r w:rsidRPr="00AC72B5">
        <w:rPr>
          <w:w w:val="98"/>
        </w:rPr>
        <w:t xml:space="preserve">, ¶ 46, Doc. ONU CRC/C/GRD/C/2 (2010); </w:t>
      </w:r>
      <w:r w:rsidRPr="00AC72B5">
        <w:rPr>
          <w:i/>
          <w:w w:val="98"/>
        </w:rPr>
        <w:t>Georgia</w:t>
      </w:r>
      <w:r w:rsidRPr="00AC72B5">
        <w:rPr>
          <w:w w:val="98"/>
        </w:rPr>
        <w:t xml:space="preserve">, ¶ 48, Doc. ONU CRC/C/GEO/CO/3 (2008); </w:t>
      </w:r>
      <w:r w:rsidRPr="00AC72B5">
        <w:rPr>
          <w:i/>
          <w:w w:val="98"/>
        </w:rPr>
        <w:t>Grecia</w:t>
      </w:r>
      <w:r w:rsidRPr="00AC72B5">
        <w:rPr>
          <w:w w:val="98"/>
        </w:rPr>
        <w:t xml:space="preserve">, ¶ 61, Doc. ONU CRC/C/15/Add.170 (2007); </w:t>
      </w:r>
      <w:r w:rsidRPr="00AC72B5">
        <w:rPr>
          <w:i/>
          <w:w w:val="98"/>
        </w:rPr>
        <w:t>Uruguay</w:t>
      </w:r>
      <w:r w:rsidRPr="00AC72B5">
        <w:rPr>
          <w:w w:val="98"/>
        </w:rPr>
        <w:t xml:space="preserve">, ¶ 52, Doc. ONU CRC/C/URY/CO/2 (2007); </w:t>
      </w:r>
      <w:r w:rsidRPr="00AC72B5">
        <w:rPr>
          <w:i/>
          <w:w w:val="98"/>
        </w:rPr>
        <w:t>Argelia</w:t>
      </w:r>
      <w:r w:rsidRPr="00AC72B5">
        <w:rPr>
          <w:w w:val="98"/>
        </w:rPr>
        <w:t xml:space="preserve">, ¶ 59, Doc. ONU CRC/C/15/Add.269 (2005); </w:t>
      </w:r>
      <w:r w:rsidRPr="00AC72B5">
        <w:rPr>
          <w:i/>
          <w:w w:val="98"/>
        </w:rPr>
        <w:t>Bosnia y Herzegovina</w:t>
      </w:r>
      <w:r w:rsidRPr="00AC72B5">
        <w:rPr>
          <w:w w:val="98"/>
        </w:rPr>
        <w:t>, ¶ 51, Doc. ONU CRC/C/15/Add.260 (2005);</w:t>
      </w:r>
      <w:r w:rsidRPr="00AC72B5">
        <w:rPr>
          <w:i/>
          <w:w w:val="98"/>
        </w:rPr>
        <w:t xml:space="preserve"> Antigua y Barbuda</w:t>
      </w:r>
      <w:r w:rsidRPr="00AC72B5">
        <w:rPr>
          <w:w w:val="98"/>
        </w:rPr>
        <w:t xml:space="preserve">, ¶ 54, Doc. ONU CRC/C/15/Add.247 (2004); </w:t>
      </w:r>
      <w:r w:rsidRPr="00AC72B5">
        <w:rPr>
          <w:i/>
          <w:w w:val="98"/>
        </w:rPr>
        <w:t>Bangladesh</w:t>
      </w:r>
      <w:r w:rsidRPr="00AC72B5">
        <w:rPr>
          <w:w w:val="98"/>
        </w:rPr>
        <w:t xml:space="preserve">, ¶ 60, Doc. ONU CRC/C/15/Add.221 (2003); </w:t>
      </w:r>
      <w:r w:rsidRPr="00AC72B5">
        <w:rPr>
          <w:i/>
          <w:w w:val="98"/>
        </w:rPr>
        <w:t>Brun</w:t>
      </w:r>
      <w:r w:rsidRPr="00AC72B5">
        <w:rPr>
          <w:w w:val="98"/>
        </w:rPr>
        <w:t>é</w:t>
      </w:r>
      <w:r w:rsidRPr="00AC72B5">
        <w:rPr>
          <w:i/>
          <w:w w:val="98"/>
        </w:rPr>
        <w:t>I Darussalam</w:t>
      </w:r>
      <w:r w:rsidRPr="00AC72B5">
        <w:rPr>
          <w:w w:val="98"/>
        </w:rPr>
        <w:t xml:space="preserve">, ¶ 46, Doc. ONU CRC/C/15/Add.219 (2003); </w:t>
      </w:r>
      <w:r w:rsidRPr="00AC72B5">
        <w:rPr>
          <w:i/>
          <w:w w:val="98"/>
        </w:rPr>
        <w:t>Argentina</w:t>
      </w:r>
      <w:r w:rsidRPr="00AC72B5">
        <w:rPr>
          <w:w w:val="98"/>
        </w:rPr>
        <w:t xml:space="preserve">, ¶ 51, Doc. ONU CRC/C/15/Add.187 (2002); </w:t>
      </w:r>
      <w:r w:rsidRPr="00AC72B5">
        <w:rPr>
          <w:i/>
          <w:w w:val="98"/>
        </w:rPr>
        <w:t>Burkina Faso</w:t>
      </w:r>
      <w:r w:rsidRPr="00AC72B5">
        <w:rPr>
          <w:w w:val="98"/>
        </w:rPr>
        <w:t xml:space="preserve">, ¶ 41, Doc. ONU CRC/C/15/Add.193 (2002); </w:t>
      </w:r>
      <w:r w:rsidRPr="00AC72B5">
        <w:rPr>
          <w:i/>
          <w:w w:val="98"/>
        </w:rPr>
        <w:t>Bielorrusia</w:t>
      </w:r>
      <w:r w:rsidRPr="00AC72B5">
        <w:rPr>
          <w:w w:val="98"/>
        </w:rPr>
        <w:t xml:space="preserve">, ¶ 44, Doc. ONU CRC/C/15/Add.180 (2002); </w:t>
      </w:r>
      <w:r w:rsidRPr="00AC72B5">
        <w:rPr>
          <w:i/>
          <w:w w:val="98"/>
        </w:rPr>
        <w:t>Guatemala</w:t>
      </w:r>
      <w:r w:rsidRPr="00AC72B5">
        <w:rPr>
          <w:w w:val="98"/>
        </w:rPr>
        <w:t xml:space="preserve">, ¶ 45, Doc. ONU CRC/C/15/Add.154 (2001); </w:t>
      </w:r>
      <w:r w:rsidRPr="00AC72B5">
        <w:rPr>
          <w:i/>
          <w:w w:val="98"/>
        </w:rPr>
        <w:t>Tajikistán</w:t>
      </w:r>
      <w:r w:rsidRPr="00AC72B5">
        <w:rPr>
          <w:w w:val="98"/>
        </w:rPr>
        <w:t>, ¶ 41, Doc. ONU CRC/C/15/Add.136 (2000).</w:t>
      </w:r>
    </w:p>
  </w:endnote>
  <w:endnote w:id="898">
    <w:p w14:paraId="285C6B93" w14:textId="7BBC358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Surinam</w:t>
      </w:r>
      <w:r w:rsidRPr="00AC72B5">
        <w:rPr>
          <w:w w:val="98"/>
        </w:rPr>
        <w:t xml:space="preserve">, ¶ 31(a), Doc. ONU CRC/C/SUR/CO/3-4 (2016); </w:t>
      </w:r>
      <w:r w:rsidRPr="00AC72B5">
        <w:rPr>
          <w:i/>
          <w:w w:val="98"/>
        </w:rPr>
        <w:t>Sudáfrica</w:t>
      </w:r>
      <w:r w:rsidRPr="00AC72B5">
        <w:rPr>
          <w:w w:val="98"/>
        </w:rPr>
        <w:t xml:space="preserve">, ¶ 50, Doc. ONU </w:t>
      </w:r>
      <w:r w:rsidRPr="00AC72B5">
        <w:rPr>
          <w:rFonts w:eastAsia="Times New Roman"/>
          <w:w w:val="98"/>
        </w:rPr>
        <w:t xml:space="preserve">CRC/C/ZAF/CO/2 (2016); </w:t>
      </w:r>
      <w:r w:rsidRPr="00AC72B5">
        <w:rPr>
          <w:i/>
          <w:w w:val="98"/>
        </w:rPr>
        <w:t>Arabia Saudita</w:t>
      </w:r>
      <w:r w:rsidRPr="00AC72B5">
        <w:rPr>
          <w:w w:val="98"/>
        </w:rPr>
        <w:t xml:space="preserve">, ¶ 35, Doc. ONU CRC/C/SAU/CO/3-4 (2016); </w:t>
      </w:r>
      <w:r w:rsidRPr="00AC72B5">
        <w:rPr>
          <w:i/>
          <w:w w:val="98"/>
        </w:rPr>
        <w:t>Reino Unido de Gran Bretaña e Irlanda del Norte</w:t>
      </w:r>
      <w:r w:rsidRPr="00AC72B5">
        <w:rPr>
          <w:w w:val="98"/>
        </w:rPr>
        <w:t xml:space="preserve">, ¶ 64, Doc. ONU CRC/C/GBR/CO/5 (2016); </w:t>
      </w:r>
      <w:r w:rsidRPr="00AC72B5">
        <w:rPr>
          <w:i/>
          <w:w w:val="98"/>
        </w:rPr>
        <w:t>Eslovaquia</w:t>
      </w:r>
      <w:r w:rsidRPr="00AC72B5">
        <w:rPr>
          <w:w w:val="98"/>
        </w:rPr>
        <w:t>, ¶ 41, Doc. ONU</w:t>
      </w:r>
      <w:r w:rsidRPr="00AC72B5">
        <w:rPr>
          <w:i/>
          <w:w w:val="98"/>
        </w:rPr>
        <w:t xml:space="preserve"> </w:t>
      </w:r>
      <w:r w:rsidRPr="00AC72B5">
        <w:rPr>
          <w:w w:val="98"/>
        </w:rPr>
        <w:t xml:space="preserve">CRC/C/SVK/CO/3-5 (2016); </w:t>
      </w:r>
      <w:r w:rsidRPr="00AC72B5">
        <w:rPr>
          <w:i/>
          <w:w w:val="98"/>
        </w:rPr>
        <w:t>Samoa</w:t>
      </w:r>
      <w:r w:rsidRPr="00AC72B5">
        <w:rPr>
          <w:w w:val="98"/>
        </w:rPr>
        <w:t xml:space="preserve">, ¶ 47, Doc. ONU CRC/C/WSM/CO/2-4 (2016); </w:t>
      </w:r>
      <w:r w:rsidRPr="00AC72B5">
        <w:rPr>
          <w:i/>
          <w:w w:val="98"/>
        </w:rPr>
        <w:t>Pakistán</w:t>
      </w:r>
      <w:r w:rsidRPr="00AC72B5">
        <w:rPr>
          <w:w w:val="98"/>
        </w:rPr>
        <w:t xml:space="preserve">, ¶ 52, Doc. ONU CRC/C/PAK/CO/5 (2016); </w:t>
      </w:r>
      <w:r w:rsidRPr="00AC72B5">
        <w:rPr>
          <w:i/>
          <w:w w:val="98"/>
        </w:rPr>
        <w:t>Nepal</w:t>
      </w:r>
      <w:r w:rsidRPr="00AC72B5">
        <w:rPr>
          <w:w w:val="98"/>
        </w:rPr>
        <w:t xml:space="preserve">, ¶ 54, Doc. ONU </w:t>
      </w:r>
      <w:r w:rsidRPr="00AC72B5">
        <w:rPr>
          <w:rFonts w:eastAsia="Times New Roman"/>
          <w:w w:val="98"/>
        </w:rPr>
        <w:t xml:space="preserve">CRC/C/NPL/CO/3-5 (2016); </w:t>
      </w:r>
      <w:r w:rsidRPr="00AC72B5">
        <w:rPr>
          <w:rFonts w:eastAsia="Times New Roman"/>
          <w:i/>
          <w:w w:val="98"/>
        </w:rPr>
        <w:t>Gabón</w:t>
      </w:r>
      <w:r w:rsidRPr="00AC72B5">
        <w:rPr>
          <w:rFonts w:eastAsia="Times New Roman"/>
          <w:w w:val="98"/>
        </w:rPr>
        <w:t xml:space="preserve">, </w:t>
      </w:r>
      <w:r w:rsidRPr="00AC72B5">
        <w:rPr>
          <w:w w:val="98"/>
        </w:rPr>
        <w:t xml:space="preserve">¶ 47, </w:t>
      </w:r>
      <w:r w:rsidRPr="00AC72B5">
        <w:rPr>
          <w:rFonts w:eastAsia="Times New Roman"/>
          <w:w w:val="98"/>
        </w:rPr>
        <w:t xml:space="preserve">Doc. ONU </w:t>
      </w:r>
      <w:r w:rsidRPr="00AC72B5">
        <w:rPr>
          <w:w w:val="98"/>
        </w:rPr>
        <w:t xml:space="preserve">CRC/C/GAB/CO/2 (2016); </w:t>
      </w:r>
      <w:r w:rsidRPr="00AC72B5">
        <w:rPr>
          <w:i/>
          <w:w w:val="98"/>
        </w:rPr>
        <w:t>Honduras</w:t>
      </w:r>
      <w:r w:rsidRPr="00AC72B5">
        <w:rPr>
          <w:w w:val="98"/>
        </w:rPr>
        <w:t xml:space="preserve">, ¶ 65, Doc. ONU </w:t>
      </w:r>
      <w:r w:rsidRPr="00AC72B5">
        <w:rPr>
          <w:rFonts w:eastAsia="MS Mincho"/>
          <w:w w:val="98"/>
        </w:rPr>
        <w:t xml:space="preserve">CRC/C/HND/CO/4-5 (2015); </w:t>
      </w:r>
      <w:r w:rsidRPr="00AC72B5">
        <w:rPr>
          <w:i/>
          <w:w w:val="98"/>
        </w:rPr>
        <w:t>Ghana</w:t>
      </w:r>
      <w:r w:rsidRPr="00AC72B5">
        <w:rPr>
          <w:w w:val="98"/>
        </w:rPr>
        <w:t xml:space="preserve">, ¶ 52, Doc. ONU </w:t>
      </w:r>
      <w:r w:rsidRPr="00AC72B5">
        <w:rPr>
          <w:rFonts w:eastAsia="Times New Roman"/>
          <w:w w:val="98"/>
        </w:rPr>
        <w:t xml:space="preserve">CRC/C/GHA/CO/3-5 (2015); </w:t>
      </w:r>
      <w:r w:rsidRPr="00AC72B5">
        <w:rPr>
          <w:i/>
          <w:w w:val="98"/>
        </w:rPr>
        <w:t>Bar</w:t>
      </w:r>
      <w:r w:rsidRPr="00AC72B5">
        <w:rPr>
          <w:w w:val="98"/>
        </w:rPr>
        <w:t>é</w:t>
      </w:r>
      <w:r w:rsidRPr="00AC72B5">
        <w:rPr>
          <w:i/>
          <w:w w:val="98"/>
        </w:rPr>
        <w:t>in</w:t>
      </w:r>
      <w:r w:rsidRPr="00AC72B5">
        <w:rPr>
          <w:w w:val="98"/>
        </w:rPr>
        <w:t xml:space="preserve">, ¶ 60, Doc. ONU CRC/C/BHR/CO/2-3 (2011); </w:t>
      </w:r>
      <w:r w:rsidRPr="00AC72B5">
        <w:rPr>
          <w:i/>
          <w:w w:val="98"/>
        </w:rPr>
        <w:t>Burundí</w:t>
      </w:r>
      <w:r w:rsidRPr="00AC72B5">
        <w:rPr>
          <w:w w:val="98"/>
        </w:rPr>
        <w:t xml:space="preserve">, ¶ 57, Doc. ONU CRC/C/BDI/CO/2 (2010); </w:t>
      </w:r>
      <w:r w:rsidRPr="00AC72B5">
        <w:rPr>
          <w:i/>
          <w:w w:val="98"/>
        </w:rPr>
        <w:t>Granada</w:t>
      </w:r>
      <w:r w:rsidRPr="00AC72B5">
        <w:rPr>
          <w:w w:val="98"/>
        </w:rPr>
        <w:t xml:space="preserve">, ¶ 46, Doc. ONU CRC/C/GRD/C/2 (2010); </w:t>
      </w:r>
      <w:r w:rsidRPr="00AC72B5">
        <w:rPr>
          <w:i/>
          <w:w w:val="98"/>
        </w:rPr>
        <w:t>Bangladesh</w:t>
      </w:r>
      <w:r w:rsidRPr="00AC72B5">
        <w:rPr>
          <w:w w:val="98"/>
        </w:rPr>
        <w:t>, ¶ 64, Doc. ONU CRC/C/BGD/CO/4 (2009).</w:t>
      </w:r>
    </w:p>
  </w:endnote>
  <w:endnote w:id="899">
    <w:p w14:paraId="38730F0C" w14:textId="7CED631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República de Sudáfrica</w:t>
      </w:r>
      <w:r w:rsidRPr="00AC72B5">
        <w:rPr>
          <w:w w:val="98"/>
        </w:rPr>
        <w:t xml:space="preserve">, ¶ 50, Doc. ONU </w:t>
      </w:r>
      <w:r w:rsidRPr="00AC72B5">
        <w:rPr>
          <w:rFonts w:eastAsia="Times New Roman"/>
          <w:w w:val="98"/>
        </w:rPr>
        <w:t xml:space="preserve">CRC/C/ZAF/CO/2 (2016); </w:t>
      </w:r>
      <w:r w:rsidRPr="00AC72B5">
        <w:rPr>
          <w:i/>
          <w:w w:val="98"/>
        </w:rPr>
        <w:t>Benin</w:t>
      </w:r>
      <w:r w:rsidRPr="00AC72B5">
        <w:rPr>
          <w:w w:val="98"/>
        </w:rPr>
        <w:t>, ¶ 56, Doc. ONU CRC/C/BEN/CO/2 (2006).</w:t>
      </w:r>
    </w:p>
  </w:endnote>
  <w:endnote w:id="900">
    <w:p w14:paraId="74C24C2B" w14:textId="1F1581E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 xml:space="preserve">Observaciones Finales: Ciudad del Vaticano, </w:t>
      </w:r>
      <w:r w:rsidRPr="00AC72B5">
        <w:rPr>
          <w:w w:val="98"/>
        </w:rPr>
        <w:t xml:space="preserve">¶ 57, Doc. ONU </w:t>
      </w:r>
      <w:r w:rsidRPr="00AC72B5">
        <w:rPr>
          <w:rFonts w:eastAsia="MS Mincho"/>
          <w:w w:val="98"/>
        </w:rPr>
        <w:t>CRC/C/VAT/CO/2 (2014).</w:t>
      </w:r>
    </w:p>
  </w:endnote>
  <w:endnote w:id="901">
    <w:p w14:paraId="4127D913" w14:textId="7D84C83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República de Sudáfrica</w:t>
      </w:r>
      <w:r w:rsidRPr="00AC72B5">
        <w:rPr>
          <w:w w:val="98"/>
        </w:rPr>
        <w:t xml:space="preserve">, ¶ 49, Doc. ONU </w:t>
      </w:r>
      <w:r w:rsidRPr="00AC72B5">
        <w:rPr>
          <w:rFonts w:eastAsia="Times New Roman"/>
          <w:w w:val="98"/>
        </w:rPr>
        <w:t xml:space="preserve">CRC/C/ZAF/CO/2 (2016); </w:t>
      </w:r>
      <w:r w:rsidRPr="00AC72B5">
        <w:rPr>
          <w:i/>
          <w:w w:val="98"/>
        </w:rPr>
        <w:t>República Unida de Tanzania</w:t>
      </w:r>
      <w:r w:rsidRPr="00AC72B5">
        <w:rPr>
          <w:w w:val="98"/>
        </w:rPr>
        <w:t>, ¶ 58, Doc. ONU CRC/C/TZA/CO/3-5 (2015).</w:t>
      </w:r>
    </w:p>
  </w:endnote>
  <w:endnote w:id="902">
    <w:p w14:paraId="650EE466" w14:textId="4658364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Georgia</w:t>
      </w:r>
      <w:r w:rsidRPr="00AC72B5">
        <w:rPr>
          <w:w w:val="98"/>
        </w:rPr>
        <w:t xml:space="preserve">, ¶ 47, Doc. ONU CRC/C/GEO/CO/3 (2008); </w:t>
      </w:r>
      <w:r w:rsidRPr="00AC72B5">
        <w:rPr>
          <w:i/>
          <w:w w:val="98"/>
        </w:rPr>
        <w:t>Belice</w:t>
      </w:r>
      <w:r w:rsidRPr="00AC72B5">
        <w:rPr>
          <w:w w:val="98"/>
        </w:rPr>
        <w:t>, ¶ 23, Doc. ONU CRC/C/15/Add. 252 (2005).</w:t>
      </w:r>
    </w:p>
  </w:endnote>
  <w:endnote w:id="903">
    <w:p w14:paraId="36A4C9D8" w14:textId="19D3C88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Sierra Leona</w:t>
      </w:r>
      <w:r w:rsidRPr="00AC72B5">
        <w:rPr>
          <w:w w:val="98"/>
        </w:rPr>
        <w:t xml:space="preserve">, ¶ 31, Doc. ONU CRC/C/LES/CO/3-5 (2016); </w:t>
      </w:r>
      <w:r w:rsidRPr="00AC72B5">
        <w:rPr>
          <w:i/>
          <w:w w:val="98"/>
        </w:rPr>
        <w:t>Argelia</w:t>
      </w:r>
      <w:r w:rsidRPr="00AC72B5">
        <w:rPr>
          <w:w w:val="98"/>
        </w:rPr>
        <w:t>, ¶ 33, Doc. ONU CRC/C/DZA/CO/3-4 (2012).</w:t>
      </w:r>
    </w:p>
  </w:endnote>
  <w:endnote w:id="904">
    <w:p w14:paraId="5C1E850A" w14:textId="4E39E88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Sierra Leona</w:t>
      </w:r>
      <w:r w:rsidRPr="00AC72B5">
        <w:rPr>
          <w:w w:val="98"/>
        </w:rPr>
        <w:t xml:space="preserve">, ¶ 32, Doc. ONU CRC/C/LES/CO/3-5 (2016); </w:t>
      </w:r>
      <w:r w:rsidRPr="00AC72B5">
        <w:rPr>
          <w:i/>
          <w:w w:val="98"/>
        </w:rPr>
        <w:t>Argelia</w:t>
      </w:r>
      <w:r w:rsidRPr="00AC72B5">
        <w:rPr>
          <w:w w:val="98"/>
        </w:rPr>
        <w:t>, ¶ 34, Doc. ONU CRC/C/DZA/CO/3-4 (2012).</w:t>
      </w:r>
    </w:p>
  </w:endnote>
  <w:endnote w:id="905">
    <w:p w14:paraId="2FEBA4F0" w14:textId="0B83A94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Argelia</w:t>
      </w:r>
      <w:r w:rsidRPr="00AC72B5">
        <w:rPr>
          <w:w w:val="98"/>
        </w:rPr>
        <w:t>, ¶¶ 33-34, Doc. ONU CRC/C/DZA/CO/3-4 (2012).</w:t>
      </w:r>
    </w:p>
  </w:endnote>
  <w:endnote w:id="906">
    <w:p w14:paraId="2B92ADC0" w14:textId="54CAB57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Zambia</w:t>
      </w:r>
      <w:r w:rsidRPr="00AC72B5">
        <w:rPr>
          <w:w w:val="98"/>
        </w:rPr>
        <w:t>, ¶ 29, Doc. ONU CRC/C/ZMB/CO/2-4 (2016).</w:t>
      </w:r>
    </w:p>
  </w:endnote>
  <w:endnote w:id="907">
    <w:p w14:paraId="695D1017" w14:textId="319D413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Australia</w:t>
      </w:r>
      <w:r w:rsidRPr="00AC72B5">
        <w:rPr>
          <w:w w:val="98"/>
        </w:rPr>
        <w:t>, ¶ 41, Doc. ONU CRC/C/OPSC/AUS/CO/1 (2012).</w:t>
      </w:r>
    </w:p>
  </w:endnote>
  <w:endnote w:id="908">
    <w:p w14:paraId="46CCCD38" w14:textId="16AD95F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Pakistán</w:t>
      </w:r>
      <w:r w:rsidRPr="00AC72B5">
        <w:rPr>
          <w:w w:val="98"/>
        </w:rPr>
        <w:t>, ¶ 64, Doc. ONU CRC/C/PAK/CO/3-4 (2009).</w:t>
      </w:r>
    </w:p>
  </w:endnote>
  <w:endnote w:id="909">
    <w:p w14:paraId="39E9C57F" w14:textId="5D2BB06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Filipinas</w:t>
      </w:r>
      <w:r w:rsidRPr="00AC72B5">
        <w:rPr>
          <w:w w:val="98"/>
        </w:rPr>
        <w:t xml:space="preserve">, ¶ 61, Doc. ONU </w:t>
      </w:r>
      <w:r w:rsidRPr="00AC72B5">
        <w:rPr>
          <w:w w:val="98"/>
        </w:rPr>
        <w:fldChar w:fldCharType="begin"/>
      </w:r>
      <w:r w:rsidRPr="00AC72B5">
        <w:rPr>
          <w:w w:val="98"/>
        </w:rPr>
        <w:instrText xml:space="preserve"> FILLIN  Symbol  \* MERGEFORMAT </w:instrText>
      </w:r>
      <w:r w:rsidRPr="00AC72B5">
        <w:rPr>
          <w:w w:val="98"/>
        </w:rPr>
        <w:fldChar w:fldCharType="separate"/>
      </w:r>
      <w:r w:rsidRPr="00AC72B5">
        <w:rPr>
          <w:w w:val="98"/>
        </w:rPr>
        <w:t>CRC/C/PHL/CO/</w:t>
      </w:r>
      <w:r w:rsidRPr="00AC72B5">
        <w:rPr>
          <w:w w:val="98"/>
        </w:rPr>
        <w:fldChar w:fldCharType="end"/>
      </w:r>
      <w:r w:rsidRPr="00AC72B5">
        <w:rPr>
          <w:w w:val="98"/>
        </w:rPr>
        <w:t>3-4 (2009).</w:t>
      </w:r>
    </w:p>
  </w:endnote>
  <w:endnote w:id="910">
    <w:p w14:paraId="2FE9970D" w14:textId="77B7130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Zimbabwe</w:t>
      </w:r>
      <w:r w:rsidRPr="00AC72B5">
        <w:rPr>
          <w:w w:val="98"/>
        </w:rPr>
        <w:t xml:space="preserve">, ¶ 61, Doc. ONU CRC/C/ZWE/CO/2 (2016); </w:t>
      </w:r>
      <w:r w:rsidRPr="00AC72B5">
        <w:rPr>
          <w:i/>
          <w:w w:val="98"/>
        </w:rPr>
        <w:t>Bielorrusia</w:t>
      </w:r>
      <w:r w:rsidRPr="00AC72B5">
        <w:rPr>
          <w:w w:val="98"/>
        </w:rPr>
        <w:t xml:space="preserve">, ¶ 48, Doc. ONU CRC/C/BGR/CO/2 (2008); </w:t>
      </w:r>
      <w:r w:rsidRPr="00AC72B5">
        <w:rPr>
          <w:i/>
          <w:w w:val="98"/>
        </w:rPr>
        <w:t>Georgia</w:t>
      </w:r>
      <w:r w:rsidRPr="00AC72B5">
        <w:rPr>
          <w:w w:val="98"/>
        </w:rPr>
        <w:t xml:space="preserve">, ¶ 48, Doc. ONU CRC/C/GEO/CO/3 (2008); </w:t>
      </w:r>
      <w:r w:rsidRPr="00AC72B5">
        <w:rPr>
          <w:i/>
          <w:w w:val="98"/>
        </w:rPr>
        <w:t>Argentina</w:t>
      </w:r>
      <w:r w:rsidRPr="00AC72B5">
        <w:rPr>
          <w:w w:val="98"/>
        </w:rPr>
        <w:t>, ¶ 51, Doc. ONU CRC/C/15/Add.187 (2002).</w:t>
      </w:r>
    </w:p>
  </w:endnote>
  <w:endnote w:id="911">
    <w:p w14:paraId="2F549116" w14:textId="6F54405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Bangladesh</w:t>
      </w:r>
      <w:r w:rsidRPr="00AC72B5">
        <w:rPr>
          <w:w w:val="98"/>
        </w:rPr>
        <w:t xml:space="preserve">, ¶ 60, Doc. ONU CRC/C/15/Add.221 (2003); </w:t>
      </w:r>
      <w:r w:rsidRPr="00AC72B5">
        <w:rPr>
          <w:i/>
          <w:w w:val="98"/>
        </w:rPr>
        <w:t>Bielorrusia</w:t>
      </w:r>
      <w:r w:rsidRPr="00AC72B5">
        <w:rPr>
          <w:w w:val="98"/>
        </w:rPr>
        <w:t xml:space="preserve">, ¶ 44, Doc. ONU CRC/C/15/Add.180 (2002); </w:t>
      </w:r>
      <w:r w:rsidRPr="00AC72B5">
        <w:rPr>
          <w:i/>
          <w:w w:val="98"/>
        </w:rPr>
        <w:t>Argentina</w:t>
      </w:r>
      <w:r w:rsidRPr="00AC72B5">
        <w:rPr>
          <w:w w:val="98"/>
        </w:rPr>
        <w:t xml:space="preserve">, ¶ 51, Doc. ONU CRC/C/15/Add.187 (2002); </w:t>
      </w:r>
      <w:r w:rsidRPr="00AC72B5">
        <w:rPr>
          <w:i/>
          <w:w w:val="98"/>
        </w:rPr>
        <w:t>Guatemala</w:t>
      </w:r>
      <w:r w:rsidRPr="00AC72B5">
        <w:rPr>
          <w:w w:val="98"/>
        </w:rPr>
        <w:t>, ¶ 45, Doc. ONU CRC/C/15/Add.154 (2001).</w:t>
      </w:r>
    </w:p>
  </w:endnote>
  <w:endnote w:id="912">
    <w:p w14:paraId="5A4EB7C8" w14:textId="2F5FE4D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Kenia</w:t>
      </w:r>
      <w:r w:rsidRPr="00AC72B5">
        <w:rPr>
          <w:w w:val="98"/>
        </w:rPr>
        <w:t>, ¶ 50, Doc. ONU CRC/C/KEN/CO/3-5 (2016).</w:t>
      </w:r>
    </w:p>
  </w:endnote>
  <w:endnote w:id="913">
    <w:p w14:paraId="18ED55BD" w14:textId="73674CB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Argelia</w:t>
      </w:r>
      <w:r w:rsidRPr="00AC72B5">
        <w:rPr>
          <w:w w:val="98"/>
        </w:rPr>
        <w:t>, ¶ 34, Doc. ONU CRC/C/DZA/CO/3-4 (2012).</w:t>
      </w:r>
    </w:p>
  </w:endnote>
  <w:endnote w:id="914">
    <w:p w14:paraId="63FF0495" w14:textId="0D59C4A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Antigua y Barbuda</w:t>
      </w:r>
      <w:r w:rsidRPr="00AC72B5">
        <w:rPr>
          <w:w w:val="98"/>
        </w:rPr>
        <w:t>, ¶ 54, Doc. ONU CRC/C/15/Add.247 (2004).</w:t>
      </w:r>
    </w:p>
  </w:endnote>
  <w:endnote w:id="915">
    <w:p w14:paraId="495FA890" w14:textId="13EC8F6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w:t>
      </w:r>
      <w:r w:rsidRPr="00AC72B5">
        <w:rPr>
          <w:i/>
          <w:w w:val="98"/>
        </w:rPr>
        <w:t xml:space="preserve"> </w:t>
      </w:r>
      <w:r w:rsidRPr="00AC72B5">
        <w:rPr>
          <w:w w:val="98"/>
        </w:rPr>
        <w:t xml:space="preserve">Comité CDN, </w:t>
      </w:r>
      <w:r w:rsidRPr="00AC72B5">
        <w:rPr>
          <w:i/>
          <w:w w:val="98"/>
        </w:rPr>
        <w:t>Observaciones Finales: Ghana</w:t>
      </w:r>
      <w:r w:rsidRPr="00AC72B5">
        <w:rPr>
          <w:w w:val="98"/>
        </w:rPr>
        <w:t xml:space="preserve">, ¶ 52, Doc. ONU </w:t>
      </w:r>
      <w:r w:rsidRPr="00AC72B5">
        <w:rPr>
          <w:rFonts w:eastAsia="Times New Roman"/>
          <w:w w:val="98"/>
        </w:rPr>
        <w:t>CRC/C/GHA/CO/3-5 (2015).</w:t>
      </w:r>
    </w:p>
  </w:endnote>
  <w:endnote w:id="916">
    <w:p w14:paraId="75D26D62" w14:textId="08ED222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Australia</w:t>
      </w:r>
      <w:r w:rsidRPr="00AC72B5">
        <w:rPr>
          <w:w w:val="98"/>
        </w:rPr>
        <w:t>, ¶ 42, Doc. ONU CRC/C/OPSC/AUS/CO/1 (2012).</w:t>
      </w:r>
    </w:p>
  </w:endnote>
  <w:endnote w:id="917">
    <w:p w14:paraId="2AAEFC81" w14:textId="05B82BC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Etiopía</w:t>
      </w:r>
      <w:r w:rsidRPr="00AC72B5">
        <w:rPr>
          <w:w w:val="98"/>
        </w:rPr>
        <w:t xml:space="preserve">, ¶ 60, Doc. ONU CRC/C/ETH/CO/4-5 (2015); </w:t>
      </w:r>
      <w:r w:rsidRPr="00AC72B5">
        <w:rPr>
          <w:i/>
          <w:w w:val="98"/>
        </w:rPr>
        <w:t>Uzbekistán</w:t>
      </w:r>
      <w:r w:rsidRPr="00AC72B5">
        <w:rPr>
          <w:w w:val="98"/>
        </w:rPr>
        <w:t xml:space="preserve">, ¶ 49, Doc. ONU CRC/C/UZB/CO/3-4 (2013); </w:t>
      </w:r>
      <w:r w:rsidRPr="00AC72B5">
        <w:rPr>
          <w:i/>
          <w:w w:val="98"/>
        </w:rPr>
        <w:t>Australia</w:t>
      </w:r>
      <w:r w:rsidRPr="00AC72B5">
        <w:rPr>
          <w:w w:val="98"/>
        </w:rPr>
        <w:t>, ¶ 67, Doc. ONU CRC/C/OPSC/AUS/CO/1 (2012).</w:t>
      </w:r>
    </w:p>
  </w:endnote>
  <w:endnote w:id="918">
    <w:p w14:paraId="043F04AE" w14:textId="5C1CD6E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Liberia</w:t>
      </w:r>
      <w:r w:rsidRPr="00AC72B5">
        <w:rPr>
          <w:w w:val="98"/>
        </w:rPr>
        <w:t xml:space="preserve">, ¶ 60, Doc. ONU </w:t>
      </w:r>
      <w:r w:rsidRPr="00AC72B5">
        <w:rPr>
          <w:rFonts w:eastAsia="MS Mincho"/>
          <w:w w:val="98"/>
        </w:rPr>
        <w:t>CRC/C/LBR/CO/2-4 (2012).</w:t>
      </w:r>
    </w:p>
  </w:endnote>
  <w:endnote w:id="919">
    <w:p w14:paraId="6107950D" w14:textId="17BFB1C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Eslovaquia</w:t>
      </w:r>
      <w:r w:rsidRPr="00AC72B5">
        <w:rPr>
          <w:w w:val="98"/>
        </w:rPr>
        <w:t>, ¶ 41, Doc. ONU</w:t>
      </w:r>
      <w:r w:rsidRPr="00AC72B5">
        <w:rPr>
          <w:i/>
          <w:w w:val="98"/>
        </w:rPr>
        <w:t xml:space="preserve"> </w:t>
      </w:r>
      <w:r w:rsidRPr="00AC72B5">
        <w:rPr>
          <w:w w:val="98"/>
        </w:rPr>
        <w:t>CRC/C/SVK/CO/3-5 (2016).</w:t>
      </w:r>
    </w:p>
  </w:endnote>
  <w:endnote w:id="920">
    <w:p w14:paraId="4004643D" w14:textId="4F8F91E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Ghana</w:t>
      </w:r>
      <w:r w:rsidRPr="00AC72B5">
        <w:rPr>
          <w:w w:val="98"/>
        </w:rPr>
        <w:t xml:space="preserve">, ¶ 51, Doc. ONU </w:t>
      </w:r>
      <w:r w:rsidRPr="00AC72B5">
        <w:rPr>
          <w:rFonts w:eastAsia="Times New Roman"/>
          <w:w w:val="98"/>
        </w:rPr>
        <w:t xml:space="preserve">CRC/C/GHA/CO/3-5 (2015); </w:t>
      </w:r>
      <w:r w:rsidRPr="00AC72B5">
        <w:rPr>
          <w:i/>
          <w:w w:val="98"/>
        </w:rPr>
        <w:t>India</w:t>
      </w:r>
      <w:r w:rsidRPr="00AC72B5">
        <w:rPr>
          <w:w w:val="98"/>
        </w:rPr>
        <w:t xml:space="preserve">, ¶ 65, Doc. ONU CRC/C/IND/CO/3-4 (2014); </w:t>
      </w:r>
      <w:r w:rsidRPr="00AC72B5">
        <w:rPr>
          <w:i/>
          <w:w w:val="98"/>
        </w:rPr>
        <w:t>República de Corea</w:t>
      </w:r>
      <w:r w:rsidRPr="00AC72B5">
        <w:rPr>
          <w:w w:val="98"/>
        </w:rPr>
        <w:t xml:space="preserve">, ¶ 10, Doc. ONU CRC/C/KOR/CO/3-4 (2012); </w:t>
      </w:r>
      <w:r w:rsidRPr="00AC72B5">
        <w:rPr>
          <w:i/>
          <w:w w:val="98"/>
        </w:rPr>
        <w:t>Costa Rica</w:t>
      </w:r>
      <w:r w:rsidRPr="00AC72B5">
        <w:rPr>
          <w:w w:val="98"/>
        </w:rPr>
        <w:t xml:space="preserve">, ¶ 63, Doc. ONU CRC/C/CRI/CO/4 (2011); </w:t>
      </w:r>
      <w:r w:rsidRPr="00AC72B5">
        <w:rPr>
          <w:i/>
          <w:w w:val="98"/>
        </w:rPr>
        <w:t>Armenia</w:t>
      </w:r>
      <w:r w:rsidRPr="00AC72B5">
        <w:rPr>
          <w:w w:val="98"/>
        </w:rPr>
        <w:t>, ¶ 38, Doc. ONU CRC/C/15/Add.119 (2000).</w:t>
      </w:r>
    </w:p>
  </w:endnote>
  <w:endnote w:id="921">
    <w:p w14:paraId="024EE32D" w14:textId="18C1540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Ucrania</w:t>
      </w:r>
      <w:r w:rsidRPr="00AC72B5">
        <w:rPr>
          <w:w w:val="98"/>
        </w:rPr>
        <w:t xml:space="preserve">, ¶ 56, Doc. ONU CRC/C/UKR/CO/3-4 (2011); </w:t>
      </w:r>
      <w:r w:rsidRPr="00AC72B5">
        <w:rPr>
          <w:i/>
          <w:w w:val="98"/>
        </w:rPr>
        <w:t>Pakistán</w:t>
      </w:r>
      <w:r w:rsidRPr="00AC72B5">
        <w:rPr>
          <w:w w:val="98"/>
        </w:rPr>
        <w:t xml:space="preserve">, ¶ 64, Doc. ONU CRC/C/PAK/CO/3-4 (2009); </w:t>
      </w:r>
      <w:r w:rsidRPr="00AC72B5">
        <w:rPr>
          <w:i/>
          <w:w w:val="98"/>
        </w:rPr>
        <w:t>Perú</w:t>
      </w:r>
      <w:r w:rsidRPr="00AC72B5">
        <w:rPr>
          <w:w w:val="98"/>
        </w:rPr>
        <w:t>, ¶ 52, Doc. ONU CRC/C/PER/CO/3 (2006).</w:t>
      </w:r>
    </w:p>
  </w:endnote>
  <w:endnote w:id="922">
    <w:p w14:paraId="39BC63F7" w14:textId="3157EAB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Argelia</w:t>
      </w:r>
      <w:r w:rsidRPr="00AC72B5">
        <w:rPr>
          <w:w w:val="98"/>
        </w:rPr>
        <w:t>, ¶ 33, Doc. ONU CRC/C/DZA/CO/3-4 (2012).</w:t>
      </w:r>
    </w:p>
  </w:endnote>
  <w:endnote w:id="923">
    <w:p w14:paraId="77BB5073" w14:textId="04DD27A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Argentina</w:t>
      </w:r>
      <w:r w:rsidRPr="00AC72B5">
        <w:rPr>
          <w:w w:val="98"/>
        </w:rPr>
        <w:t>, ¶ 59, Doc. ONU CRC/C/ARG/CO/3-4 (2010).</w:t>
      </w:r>
    </w:p>
  </w:endnote>
  <w:endnote w:id="924">
    <w:p w14:paraId="18DB813E" w14:textId="4E53BE0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Ghana</w:t>
      </w:r>
      <w:r w:rsidRPr="00AC72B5">
        <w:rPr>
          <w:w w:val="98"/>
        </w:rPr>
        <w:t xml:space="preserve">, ¶ 52, Doc. ONU </w:t>
      </w:r>
      <w:r w:rsidRPr="00AC72B5">
        <w:rPr>
          <w:rFonts w:eastAsia="Times New Roman"/>
          <w:w w:val="98"/>
        </w:rPr>
        <w:t>CRC/C/GHA/CO/3-5 (2015).</w:t>
      </w:r>
    </w:p>
  </w:endnote>
  <w:endnote w:id="925">
    <w:p w14:paraId="7E6B7310" w14:textId="2D289F3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Zimbabwe</w:t>
      </w:r>
      <w:r w:rsidRPr="00AC72B5">
        <w:rPr>
          <w:w w:val="98"/>
        </w:rPr>
        <w:t xml:space="preserve">, ¶ 60, Doc. ONU CRC/C/ZWE/CO/2 (2016); </w:t>
      </w:r>
      <w:r w:rsidRPr="00AC72B5">
        <w:rPr>
          <w:i/>
          <w:w w:val="98"/>
        </w:rPr>
        <w:t>Maldivas</w:t>
      </w:r>
      <w:r w:rsidRPr="00AC72B5">
        <w:rPr>
          <w:w w:val="98"/>
        </w:rPr>
        <w:t xml:space="preserve">, ¶ 56, Doc. ONU CRC/C/MDV/CO/4-5 (2016); </w:t>
      </w:r>
      <w:r w:rsidRPr="00AC72B5">
        <w:rPr>
          <w:i/>
          <w:w w:val="98"/>
        </w:rPr>
        <w:t>Irlanda</w:t>
      </w:r>
      <w:r w:rsidRPr="00AC72B5">
        <w:rPr>
          <w:w w:val="98"/>
        </w:rPr>
        <w:t xml:space="preserve">, ¶ 57, Doc. ONU CRC/C/IRL/CO/3-4 (2016); </w:t>
      </w:r>
      <w:r w:rsidRPr="00AC72B5">
        <w:rPr>
          <w:i/>
          <w:w w:val="98"/>
        </w:rPr>
        <w:t>Haití</w:t>
      </w:r>
      <w:r w:rsidRPr="00AC72B5">
        <w:rPr>
          <w:w w:val="98"/>
        </w:rPr>
        <w:t xml:space="preserve">, ¶ 50, Doc. ONU CRC/C/HTI/CO/2-3 (2016); </w:t>
      </w:r>
      <w:r w:rsidRPr="00AC72B5">
        <w:rPr>
          <w:i/>
          <w:w w:val="98"/>
        </w:rPr>
        <w:t>Brun</w:t>
      </w:r>
      <w:r w:rsidRPr="00AC72B5">
        <w:rPr>
          <w:w w:val="98"/>
        </w:rPr>
        <w:t>é</w:t>
      </w:r>
      <w:r w:rsidRPr="00AC72B5">
        <w:rPr>
          <w:i/>
          <w:w w:val="98"/>
        </w:rPr>
        <w:t>i Darrusalam</w:t>
      </w:r>
      <w:r w:rsidRPr="00AC72B5">
        <w:rPr>
          <w:w w:val="98"/>
        </w:rPr>
        <w:t xml:space="preserve">, ¶ 53, Doc. ONU CRC/C/BRN/CO/2-3 (2016); </w:t>
      </w:r>
      <w:r w:rsidRPr="00AC72B5">
        <w:rPr>
          <w:i/>
          <w:w w:val="98"/>
        </w:rPr>
        <w:t>Gambia</w:t>
      </w:r>
      <w:r w:rsidRPr="00AC72B5">
        <w:rPr>
          <w:w w:val="98"/>
        </w:rPr>
        <w:t xml:space="preserve">, ¶ 62, Doc. ONU CRC/C/GMB/CO/2-3 (2015); </w:t>
      </w:r>
      <w:r w:rsidRPr="00AC72B5">
        <w:rPr>
          <w:i/>
          <w:w w:val="98"/>
        </w:rPr>
        <w:t>Honduras</w:t>
      </w:r>
      <w:r w:rsidRPr="00AC72B5">
        <w:rPr>
          <w:w w:val="98"/>
        </w:rPr>
        <w:t xml:space="preserve">, ¶ 64, Doc. ONU </w:t>
      </w:r>
      <w:r w:rsidRPr="00AC72B5">
        <w:rPr>
          <w:rFonts w:eastAsia="MS Mincho"/>
          <w:w w:val="98"/>
        </w:rPr>
        <w:t xml:space="preserve">CRC/C/HND/CO/4-5 (2015); </w:t>
      </w:r>
      <w:r w:rsidRPr="00AC72B5">
        <w:rPr>
          <w:rFonts w:eastAsia="MS Mincho"/>
          <w:i/>
          <w:w w:val="98"/>
        </w:rPr>
        <w:t>Emiratos Árabes Unidos</w:t>
      </w:r>
      <w:r w:rsidRPr="00AC72B5">
        <w:rPr>
          <w:rFonts w:eastAsia="MS Mincho"/>
          <w:w w:val="98"/>
        </w:rPr>
        <w:t xml:space="preserve">, </w:t>
      </w:r>
      <w:r w:rsidRPr="00AC72B5">
        <w:rPr>
          <w:w w:val="98"/>
        </w:rPr>
        <w:t xml:space="preserve">¶ 57, </w:t>
      </w:r>
      <w:r w:rsidRPr="00AC72B5">
        <w:rPr>
          <w:rFonts w:eastAsia="MS Mincho"/>
          <w:w w:val="98"/>
        </w:rPr>
        <w:t xml:space="preserve">Doc. ONU </w:t>
      </w:r>
      <w:r w:rsidRPr="00AC72B5">
        <w:rPr>
          <w:w w:val="98"/>
        </w:rPr>
        <w:t xml:space="preserve">CRC/C/SON/CO/2 (2015); </w:t>
      </w:r>
      <w:r w:rsidRPr="00AC72B5">
        <w:rPr>
          <w:i/>
          <w:w w:val="98"/>
        </w:rPr>
        <w:t>Venezuela</w:t>
      </w:r>
      <w:r w:rsidRPr="00AC72B5">
        <w:rPr>
          <w:w w:val="98"/>
        </w:rPr>
        <w:t xml:space="preserve">, ¶ 56, Doc. ONU CRC/C/VEN/CO/3-5 (2014); </w:t>
      </w:r>
      <w:r w:rsidRPr="00AC72B5">
        <w:rPr>
          <w:i/>
          <w:w w:val="98"/>
        </w:rPr>
        <w:t>Andorra</w:t>
      </w:r>
      <w:r w:rsidRPr="00AC72B5">
        <w:rPr>
          <w:w w:val="98"/>
        </w:rPr>
        <w:t xml:space="preserve">, ¶ 41, Doc. ONU CRC/C/Y/CO/2 (2012); </w:t>
      </w:r>
      <w:r w:rsidRPr="00AC72B5">
        <w:rPr>
          <w:i/>
          <w:w w:val="98"/>
        </w:rPr>
        <w:t>República de Corea</w:t>
      </w:r>
      <w:r w:rsidRPr="00AC72B5">
        <w:rPr>
          <w:w w:val="98"/>
        </w:rPr>
        <w:t xml:space="preserve">, ¶ 10, Doc. ONU CRC/C/KOR/CO/3-4 (2012); </w:t>
      </w:r>
      <w:r w:rsidRPr="00AC72B5">
        <w:rPr>
          <w:i/>
          <w:w w:val="98"/>
        </w:rPr>
        <w:t>Uruguay</w:t>
      </w:r>
      <w:r w:rsidRPr="00AC72B5">
        <w:rPr>
          <w:w w:val="98"/>
        </w:rPr>
        <w:t xml:space="preserve">, ¶ 51, Doc. ONU CRC/C/URY/CO/2 (2007); </w:t>
      </w:r>
      <w:r w:rsidRPr="00AC72B5">
        <w:rPr>
          <w:i/>
          <w:w w:val="98"/>
        </w:rPr>
        <w:t>Palau</w:t>
      </w:r>
      <w:r w:rsidRPr="00AC72B5">
        <w:rPr>
          <w:w w:val="98"/>
        </w:rPr>
        <w:t>, ¶ 46, Doc. ONU CRC/C/15/Add.149 (2001).</w:t>
      </w:r>
    </w:p>
  </w:endnote>
  <w:endnote w:id="926">
    <w:p w14:paraId="66BEEE2B" w14:textId="177029C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Sierra Leona</w:t>
      </w:r>
      <w:r w:rsidRPr="00AC72B5">
        <w:rPr>
          <w:w w:val="98"/>
        </w:rPr>
        <w:t xml:space="preserve">, ¶ 31, Doc. ONU CRC/C/LES/CO/3-5 (2016); </w:t>
      </w:r>
      <w:r w:rsidRPr="00AC72B5">
        <w:rPr>
          <w:i/>
          <w:w w:val="98"/>
        </w:rPr>
        <w:t>Samoa</w:t>
      </w:r>
      <w:r w:rsidRPr="00AC72B5">
        <w:rPr>
          <w:w w:val="98"/>
        </w:rPr>
        <w:t xml:space="preserve">, ¶ 46, Doc. ONU CRC/C/WSM/CO/2-4 (2016); </w:t>
      </w:r>
      <w:r w:rsidRPr="00AC72B5">
        <w:rPr>
          <w:i/>
          <w:w w:val="98"/>
        </w:rPr>
        <w:t>Pakistán</w:t>
      </w:r>
      <w:r w:rsidRPr="00AC72B5">
        <w:rPr>
          <w:w w:val="98"/>
        </w:rPr>
        <w:t xml:space="preserve">, ¶ 51, Doc. ONU CRC/C/PAK/CO/5 (2016); </w:t>
      </w:r>
      <w:r w:rsidRPr="00AC72B5">
        <w:rPr>
          <w:i/>
          <w:w w:val="98"/>
        </w:rPr>
        <w:t>Zambia</w:t>
      </w:r>
      <w:r w:rsidRPr="00AC72B5">
        <w:rPr>
          <w:w w:val="98"/>
        </w:rPr>
        <w:t xml:space="preserve">, ¶ 49, Doc. ONU CRC/C/ZMB/CO/2-4 (2016); </w:t>
      </w:r>
      <w:r w:rsidRPr="00AC72B5">
        <w:rPr>
          <w:i/>
          <w:w w:val="98"/>
        </w:rPr>
        <w:t>Benin</w:t>
      </w:r>
      <w:r w:rsidRPr="00AC72B5">
        <w:rPr>
          <w:w w:val="98"/>
        </w:rPr>
        <w:t xml:space="preserve">, ¶ 56, Doc. ONU CRC/C/BEN/CO/3-5 (2016); </w:t>
      </w:r>
      <w:r w:rsidRPr="00AC72B5">
        <w:rPr>
          <w:i/>
          <w:w w:val="98"/>
        </w:rPr>
        <w:t>Uruguay</w:t>
      </w:r>
      <w:r w:rsidRPr="00AC72B5">
        <w:rPr>
          <w:w w:val="98"/>
        </w:rPr>
        <w:t>, ¶ 51, Doc. ONU CRC/C/URY/CO/2 (2007).</w:t>
      </w:r>
    </w:p>
  </w:endnote>
  <w:endnote w:id="927">
    <w:p w14:paraId="4575FFC9" w14:textId="7F9769B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Samoa</w:t>
      </w:r>
      <w:r w:rsidRPr="00AC72B5">
        <w:rPr>
          <w:w w:val="98"/>
        </w:rPr>
        <w:t xml:space="preserve">, ¶ 46, Doc. ONU CRC/C/WSM/CO/2-4 (2016); </w:t>
      </w:r>
      <w:r w:rsidRPr="00AC72B5">
        <w:rPr>
          <w:i/>
          <w:w w:val="98"/>
        </w:rPr>
        <w:t>Pakistán</w:t>
      </w:r>
      <w:r w:rsidRPr="00AC72B5">
        <w:rPr>
          <w:w w:val="98"/>
        </w:rPr>
        <w:t xml:space="preserve">, ¶ 51, Doc. ONU CRC/C/PAK/CO/5 (2016); </w:t>
      </w:r>
      <w:r w:rsidRPr="00AC72B5">
        <w:rPr>
          <w:i/>
          <w:w w:val="98"/>
        </w:rPr>
        <w:t>Zimbabwe</w:t>
      </w:r>
      <w:r w:rsidRPr="00AC72B5">
        <w:rPr>
          <w:w w:val="98"/>
        </w:rPr>
        <w:t xml:space="preserve">, ¶ 60, Doc. ONU CRC/C/ZWE/CO/2 (2016); </w:t>
      </w:r>
      <w:r w:rsidRPr="00AC72B5">
        <w:rPr>
          <w:i/>
          <w:w w:val="98"/>
        </w:rPr>
        <w:t>Haití</w:t>
      </w:r>
      <w:r w:rsidRPr="00AC72B5">
        <w:rPr>
          <w:w w:val="98"/>
        </w:rPr>
        <w:t xml:space="preserve">, ¶ 50, Doc. ONU CRC/C/HTI/CO/2-3 (2016); </w:t>
      </w:r>
      <w:r w:rsidRPr="00AC72B5">
        <w:rPr>
          <w:i/>
          <w:w w:val="98"/>
        </w:rPr>
        <w:t>Benin</w:t>
      </w:r>
      <w:r w:rsidRPr="00AC72B5">
        <w:rPr>
          <w:w w:val="98"/>
        </w:rPr>
        <w:t xml:space="preserve">, ¶ 56, Doc. ONU CRC/C/BEN/CO/3-5 (2016); </w:t>
      </w:r>
      <w:r w:rsidRPr="00AC72B5">
        <w:rPr>
          <w:rFonts w:eastAsia="Times New Roman"/>
          <w:i/>
          <w:w w:val="98"/>
        </w:rPr>
        <w:t>República Dominicana</w:t>
      </w:r>
      <w:r w:rsidRPr="00AC72B5">
        <w:rPr>
          <w:rFonts w:eastAsia="Times New Roman"/>
          <w:w w:val="98"/>
        </w:rPr>
        <w:t xml:space="preserve">, </w:t>
      </w:r>
      <w:r w:rsidRPr="00AC72B5">
        <w:rPr>
          <w:w w:val="98"/>
        </w:rPr>
        <w:t xml:space="preserve">¶ 51, </w:t>
      </w:r>
      <w:r w:rsidRPr="00AC72B5">
        <w:rPr>
          <w:rFonts w:eastAsia="Times New Roman"/>
          <w:w w:val="98"/>
        </w:rPr>
        <w:t xml:space="preserve">Doc. ONU </w:t>
      </w:r>
      <w:r w:rsidRPr="00AC72B5">
        <w:rPr>
          <w:w w:val="98"/>
        </w:rPr>
        <w:t xml:space="preserve">CRC/C/DOM/CO/3-5 (2015); </w:t>
      </w:r>
      <w:r w:rsidRPr="00AC72B5">
        <w:rPr>
          <w:i/>
          <w:w w:val="98"/>
        </w:rPr>
        <w:t>Gambia</w:t>
      </w:r>
      <w:r w:rsidRPr="00AC72B5">
        <w:rPr>
          <w:w w:val="98"/>
        </w:rPr>
        <w:t xml:space="preserve">, ¶ 62, Doc. ONU CRC/C/GMB/CO/2-3 (2015); </w:t>
      </w:r>
      <w:r w:rsidRPr="00AC72B5">
        <w:rPr>
          <w:i/>
          <w:w w:val="98"/>
        </w:rPr>
        <w:t>Honduras</w:t>
      </w:r>
      <w:r w:rsidRPr="00AC72B5">
        <w:rPr>
          <w:w w:val="98"/>
        </w:rPr>
        <w:t xml:space="preserve">, ¶ 64, Doc. ONU </w:t>
      </w:r>
      <w:r w:rsidRPr="00AC72B5">
        <w:rPr>
          <w:rFonts w:eastAsia="MS Mincho"/>
          <w:w w:val="98"/>
        </w:rPr>
        <w:t xml:space="preserve">CRC/C/HND/CO/4-5 (2015); </w:t>
      </w:r>
      <w:r w:rsidRPr="00AC72B5">
        <w:rPr>
          <w:i/>
          <w:w w:val="98"/>
        </w:rPr>
        <w:t>México</w:t>
      </w:r>
      <w:r w:rsidRPr="00AC72B5">
        <w:rPr>
          <w:w w:val="98"/>
        </w:rPr>
        <w:t>, ¶ 49, Doc. ONU CRC/C/MEX/CO/4-5 (2015).</w:t>
      </w:r>
    </w:p>
  </w:endnote>
  <w:endnote w:id="928">
    <w:p w14:paraId="274A5C8C" w14:textId="46799F8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Pakistán</w:t>
      </w:r>
      <w:r w:rsidRPr="00AC72B5">
        <w:rPr>
          <w:w w:val="98"/>
        </w:rPr>
        <w:t xml:space="preserve">, ¶ 51, Doc. ONU CRC/C/PAK/CO/5 (2016); </w:t>
      </w:r>
      <w:r w:rsidRPr="00AC72B5">
        <w:rPr>
          <w:i/>
          <w:w w:val="98"/>
        </w:rPr>
        <w:t>México</w:t>
      </w:r>
      <w:r w:rsidRPr="00AC72B5">
        <w:rPr>
          <w:w w:val="98"/>
        </w:rPr>
        <w:t>, ¶ 49, Doc. ONU CRC/C/MEX/CO/4-5 (2015).</w:t>
      </w:r>
    </w:p>
  </w:endnote>
  <w:endnote w:id="929">
    <w:p w14:paraId="3EA36ABA" w14:textId="3C358E1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Andorra</w:t>
      </w:r>
      <w:r w:rsidRPr="00AC72B5">
        <w:rPr>
          <w:w w:val="98"/>
        </w:rPr>
        <w:t>, ¶ 41, Doc. ONU CRC/C/AND/CO/2 (2012).</w:t>
      </w:r>
    </w:p>
  </w:endnote>
  <w:endnote w:id="930">
    <w:p w14:paraId="0FD49BE2" w14:textId="0FCE4C3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Maldivas</w:t>
      </w:r>
      <w:r w:rsidRPr="00AC72B5">
        <w:rPr>
          <w:w w:val="98"/>
        </w:rPr>
        <w:t>, ¶ 56, Doc. ONU CRC/C/MDV/CO/4-5 (2016).</w:t>
      </w:r>
    </w:p>
  </w:endnote>
  <w:endnote w:id="931">
    <w:p w14:paraId="037958D5" w14:textId="313D8D0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Gambia</w:t>
      </w:r>
      <w:r w:rsidRPr="00AC72B5">
        <w:rPr>
          <w:w w:val="98"/>
        </w:rPr>
        <w:t>, ¶ 53, Doc. ONU CRC/C/GMB/CO/2-3 (2015).</w:t>
      </w:r>
    </w:p>
  </w:endnote>
  <w:endnote w:id="932">
    <w:p w14:paraId="4E6C9FB2" w14:textId="6E6F527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Letonia</w:t>
      </w:r>
      <w:r w:rsidRPr="00AC72B5">
        <w:rPr>
          <w:w w:val="98"/>
        </w:rPr>
        <w:t>, ¶ 50, Doc. ONU CRC/C/LVA/CO/3-5 (2016).</w:t>
      </w:r>
    </w:p>
  </w:endnote>
  <w:endnote w:id="933">
    <w:p w14:paraId="0DF30EC4" w14:textId="3835A7C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w:t>
      </w:r>
      <w:r w:rsidRPr="00AC72B5">
        <w:rPr>
          <w:i/>
          <w:w w:val="98"/>
        </w:rPr>
        <w:t xml:space="preserve"> Observaciones Finales: Honduras</w:t>
      </w:r>
      <w:r w:rsidRPr="00AC72B5">
        <w:rPr>
          <w:w w:val="98"/>
        </w:rPr>
        <w:t xml:space="preserve">, ¶ 64, Doc. ONU </w:t>
      </w:r>
      <w:r w:rsidRPr="00AC72B5">
        <w:rPr>
          <w:rFonts w:eastAsia="MS Mincho"/>
          <w:w w:val="98"/>
        </w:rPr>
        <w:t>CRC/C/HND/CO/4-5 (2015).</w:t>
      </w:r>
    </w:p>
  </w:endnote>
  <w:endnote w:id="934">
    <w:p w14:paraId="4B678721" w14:textId="6072B03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Bulgaria</w:t>
      </w:r>
      <w:r w:rsidRPr="00AC72B5">
        <w:rPr>
          <w:w w:val="98"/>
        </w:rPr>
        <w:t xml:space="preserve">, ¶ 45, Doc. ONU CRC/C/BGR/CO/3-5 (2016); </w:t>
      </w:r>
      <w:r w:rsidRPr="00AC72B5">
        <w:rPr>
          <w:i/>
          <w:w w:val="98"/>
        </w:rPr>
        <w:t>Uruguay</w:t>
      </w:r>
      <w:r w:rsidRPr="00AC72B5">
        <w:rPr>
          <w:w w:val="98"/>
        </w:rPr>
        <w:t>, ¶ 52, Doc. ONU CRC/C/URY/CO/2 (2007).</w:t>
      </w:r>
    </w:p>
  </w:endnote>
  <w:endnote w:id="935">
    <w:p w14:paraId="30DE6078" w14:textId="2132E5C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Perú</w:t>
      </w:r>
      <w:r w:rsidRPr="00AC72B5">
        <w:rPr>
          <w:w w:val="98"/>
        </w:rPr>
        <w:t xml:space="preserve">, ¶ 56, Doc. ONU CRC/C/PER/CO/4-5 (2016); </w:t>
      </w:r>
      <w:r w:rsidRPr="00AC72B5">
        <w:rPr>
          <w:i/>
          <w:w w:val="98"/>
        </w:rPr>
        <w:t>México</w:t>
      </w:r>
      <w:r w:rsidRPr="00AC72B5">
        <w:rPr>
          <w:w w:val="98"/>
        </w:rPr>
        <w:t xml:space="preserve">, ¶ 50, Doc. ONU CRC/C/MEX/CO/4-5 (2015); </w:t>
      </w:r>
      <w:r w:rsidRPr="00AC72B5">
        <w:rPr>
          <w:i/>
          <w:w w:val="98"/>
        </w:rPr>
        <w:t>Venezuela</w:t>
      </w:r>
      <w:r w:rsidRPr="00AC72B5">
        <w:rPr>
          <w:w w:val="98"/>
        </w:rPr>
        <w:t xml:space="preserve">, ¶ 57, Doc. ONU CRC/C/VEN/CO/3-5 (2014); </w:t>
      </w:r>
      <w:r w:rsidRPr="00AC72B5">
        <w:rPr>
          <w:i/>
          <w:w w:val="98"/>
        </w:rPr>
        <w:t>Andorra</w:t>
      </w:r>
      <w:r w:rsidRPr="00AC72B5">
        <w:rPr>
          <w:w w:val="98"/>
        </w:rPr>
        <w:t xml:space="preserve">, ¶ 42, Doc. ONU CRC/C/Y/CO/2 (2012); </w:t>
      </w:r>
      <w:r w:rsidRPr="00AC72B5">
        <w:rPr>
          <w:i/>
          <w:w w:val="98"/>
        </w:rPr>
        <w:t>Costa Rica</w:t>
      </w:r>
      <w:r w:rsidRPr="00AC72B5">
        <w:rPr>
          <w:w w:val="98"/>
        </w:rPr>
        <w:t>, ¶ 64, Doc. ONU CRC/C/CRI/CO/4 (2011).</w:t>
      </w:r>
    </w:p>
  </w:endnote>
  <w:endnote w:id="936">
    <w:p w14:paraId="258033BC" w14:textId="272A067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Sierra Leona</w:t>
      </w:r>
      <w:r w:rsidRPr="00AC72B5">
        <w:rPr>
          <w:w w:val="98"/>
        </w:rPr>
        <w:t xml:space="preserve">, ¶ 32, Doc. ONU CRC/C/LES/CO/3-5 (2016); </w:t>
      </w:r>
      <w:r w:rsidRPr="00AC72B5">
        <w:rPr>
          <w:i/>
          <w:w w:val="98"/>
        </w:rPr>
        <w:t>Arabia Saudita</w:t>
      </w:r>
      <w:r w:rsidRPr="00AC72B5">
        <w:rPr>
          <w:w w:val="98"/>
        </w:rPr>
        <w:t xml:space="preserve">, ¶ 35, Doc. ONU CRC/C/SAU/CO/3-4 (2016); </w:t>
      </w:r>
      <w:r w:rsidRPr="00AC72B5">
        <w:rPr>
          <w:i/>
          <w:w w:val="98"/>
        </w:rPr>
        <w:t>Reino Unido de Gran Bretaña e Irlanda del Norte</w:t>
      </w:r>
      <w:r w:rsidRPr="00AC72B5">
        <w:rPr>
          <w:w w:val="98"/>
        </w:rPr>
        <w:t xml:space="preserve">, ¶ 65, Doc. ONU CRC/C/GBR/CO/5 (2016); </w:t>
      </w:r>
      <w:r w:rsidRPr="00AC72B5">
        <w:rPr>
          <w:i/>
          <w:w w:val="98"/>
        </w:rPr>
        <w:t>Senegal</w:t>
      </w:r>
      <w:r w:rsidRPr="00AC72B5">
        <w:rPr>
          <w:w w:val="98"/>
        </w:rPr>
        <w:t xml:space="preserve">, ¶ 54, Doc. ONU CRC/C/SEN/CO/3-5 (2016); </w:t>
      </w:r>
      <w:r w:rsidRPr="00AC72B5">
        <w:rPr>
          <w:i/>
          <w:w w:val="98"/>
        </w:rPr>
        <w:t>Maldivas</w:t>
      </w:r>
      <w:r w:rsidRPr="00AC72B5">
        <w:rPr>
          <w:w w:val="98"/>
        </w:rPr>
        <w:t xml:space="preserve">, ¶ 57, Doc. ONU CRC/C/MDV/CO/4-5 (2016); </w:t>
      </w:r>
      <w:r w:rsidRPr="00AC72B5">
        <w:rPr>
          <w:i/>
          <w:w w:val="98"/>
        </w:rPr>
        <w:t>Kenia</w:t>
      </w:r>
      <w:r w:rsidRPr="00AC72B5">
        <w:rPr>
          <w:w w:val="98"/>
        </w:rPr>
        <w:t xml:space="preserve">, ¶ 50, Doc. ONU CRC/C/KEN/CO/3-5 (2016); </w:t>
      </w:r>
      <w:r w:rsidRPr="00AC72B5">
        <w:rPr>
          <w:i/>
          <w:w w:val="98"/>
        </w:rPr>
        <w:t>Irlanda</w:t>
      </w:r>
      <w:r w:rsidRPr="00AC72B5">
        <w:rPr>
          <w:w w:val="98"/>
        </w:rPr>
        <w:t xml:space="preserve">, ¶ 57, Doc. ONU CRC/C/IRL/CO/3-4 (2016); </w:t>
      </w:r>
      <w:r w:rsidRPr="00AC72B5">
        <w:rPr>
          <w:i/>
          <w:w w:val="98"/>
        </w:rPr>
        <w:t>Haití</w:t>
      </w:r>
      <w:r w:rsidRPr="00AC72B5">
        <w:rPr>
          <w:w w:val="98"/>
        </w:rPr>
        <w:t xml:space="preserve">, ¶ 50, Doc. ONU CRC/C/HTI/CO/2-3 (2016); </w:t>
      </w:r>
      <w:r w:rsidRPr="00AC72B5">
        <w:rPr>
          <w:i/>
          <w:w w:val="98"/>
        </w:rPr>
        <w:t>Benin</w:t>
      </w:r>
      <w:r w:rsidRPr="00AC72B5">
        <w:rPr>
          <w:w w:val="98"/>
        </w:rPr>
        <w:t xml:space="preserve">, ¶ 57, Doc. ONU CRC/C/BEN/CO/3-5 (2016); </w:t>
      </w:r>
      <w:r w:rsidRPr="00AC72B5">
        <w:rPr>
          <w:i/>
          <w:w w:val="98"/>
        </w:rPr>
        <w:t>Chile</w:t>
      </w:r>
      <w:r w:rsidRPr="00AC72B5">
        <w:rPr>
          <w:w w:val="98"/>
        </w:rPr>
        <w:t xml:space="preserve">, ¶ 60, Doc. ONU CRC/C/CHL/CO/4-5 (2015); </w:t>
      </w:r>
      <w:r w:rsidRPr="00AC72B5">
        <w:rPr>
          <w:i/>
          <w:w w:val="98"/>
        </w:rPr>
        <w:t>Honduras</w:t>
      </w:r>
      <w:r w:rsidRPr="00AC72B5">
        <w:rPr>
          <w:w w:val="98"/>
        </w:rPr>
        <w:t xml:space="preserve">, ¶ 65, Doc. ONU </w:t>
      </w:r>
      <w:r w:rsidRPr="00AC72B5">
        <w:rPr>
          <w:rFonts w:eastAsia="MS Mincho"/>
          <w:w w:val="98"/>
        </w:rPr>
        <w:t xml:space="preserve">CRC/C/HND/CO/4-5 (2015); </w:t>
      </w:r>
      <w:r w:rsidRPr="00AC72B5">
        <w:rPr>
          <w:rFonts w:eastAsia="MS Mincho"/>
          <w:i/>
          <w:w w:val="98"/>
        </w:rPr>
        <w:t>Emiratos Árabes Unidos</w:t>
      </w:r>
      <w:r w:rsidRPr="00AC72B5">
        <w:rPr>
          <w:rFonts w:eastAsia="MS Mincho"/>
          <w:w w:val="98"/>
        </w:rPr>
        <w:t xml:space="preserve">, </w:t>
      </w:r>
      <w:r w:rsidRPr="00AC72B5">
        <w:rPr>
          <w:w w:val="98"/>
        </w:rPr>
        <w:t xml:space="preserve">¶ 58, </w:t>
      </w:r>
      <w:r w:rsidRPr="00AC72B5">
        <w:rPr>
          <w:rFonts w:eastAsia="MS Mincho"/>
          <w:w w:val="98"/>
        </w:rPr>
        <w:t xml:space="preserve">Doc. ONU </w:t>
      </w:r>
      <w:r w:rsidRPr="00AC72B5">
        <w:rPr>
          <w:w w:val="98"/>
        </w:rPr>
        <w:t>CRC/C/SON/CO/2 (2015).</w:t>
      </w:r>
    </w:p>
  </w:endnote>
  <w:endnote w:id="937">
    <w:p w14:paraId="7A77D729" w14:textId="63D3548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Arabia Saudita</w:t>
      </w:r>
      <w:r w:rsidRPr="00AC72B5">
        <w:rPr>
          <w:w w:val="98"/>
        </w:rPr>
        <w:t xml:space="preserve">, ¶ 35, Doc. ONU CRC/C/SAU/CO/3-4 (2016); </w:t>
      </w:r>
      <w:r w:rsidRPr="00AC72B5">
        <w:rPr>
          <w:i/>
          <w:w w:val="98"/>
        </w:rPr>
        <w:t>Reino Unido de Gran Bretaña e Irlanda del Norte</w:t>
      </w:r>
      <w:r w:rsidRPr="00AC72B5">
        <w:rPr>
          <w:w w:val="98"/>
        </w:rPr>
        <w:t xml:space="preserve">, ¶ 65, Doc. ONU CRC/C/GBR/CO/5 (2016); </w:t>
      </w:r>
      <w:r w:rsidRPr="00AC72B5">
        <w:rPr>
          <w:i/>
          <w:w w:val="98"/>
        </w:rPr>
        <w:t>Samoa</w:t>
      </w:r>
      <w:r w:rsidRPr="00AC72B5">
        <w:rPr>
          <w:w w:val="98"/>
        </w:rPr>
        <w:t xml:space="preserve">, ¶ 47, Doc. ONU CRC/C/WSM/CO/2-4 (2016); </w:t>
      </w:r>
      <w:r w:rsidRPr="00AC72B5">
        <w:rPr>
          <w:i/>
          <w:w w:val="98"/>
        </w:rPr>
        <w:t>Pakistán</w:t>
      </w:r>
      <w:r w:rsidRPr="00AC72B5">
        <w:rPr>
          <w:w w:val="98"/>
        </w:rPr>
        <w:t xml:space="preserve">, ¶ 52, Doc. ONU CRC/C/PAK/CO/5 (2016); </w:t>
      </w:r>
      <w:r w:rsidRPr="00AC72B5">
        <w:rPr>
          <w:i/>
          <w:w w:val="98"/>
        </w:rPr>
        <w:t>Zimbabwe</w:t>
      </w:r>
      <w:r w:rsidRPr="00AC72B5">
        <w:rPr>
          <w:w w:val="98"/>
        </w:rPr>
        <w:t xml:space="preserve">, ¶ 61, Doc. ONU CRC/C/ZWE/CO/2 (2016); </w:t>
      </w:r>
      <w:r w:rsidRPr="00AC72B5">
        <w:rPr>
          <w:i/>
          <w:w w:val="98"/>
        </w:rPr>
        <w:t>Maldivas</w:t>
      </w:r>
      <w:r w:rsidRPr="00AC72B5">
        <w:rPr>
          <w:w w:val="98"/>
        </w:rPr>
        <w:t xml:space="preserve">, ¶ 57, Doc. ONU CRC/C/MDV/CO/4-5 (2016); </w:t>
      </w:r>
      <w:r w:rsidRPr="00AC72B5">
        <w:rPr>
          <w:i/>
          <w:w w:val="98"/>
        </w:rPr>
        <w:t>Irlanda</w:t>
      </w:r>
      <w:r w:rsidRPr="00AC72B5">
        <w:rPr>
          <w:w w:val="98"/>
        </w:rPr>
        <w:t xml:space="preserve">, ¶ 57, Doc. ONU CRC/C/IRL/CO/3-4 (2016); </w:t>
      </w:r>
      <w:r w:rsidRPr="00AC72B5">
        <w:rPr>
          <w:rFonts w:eastAsia="MS Mincho"/>
          <w:i/>
          <w:w w:val="98"/>
        </w:rPr>
        <w:t>Emiratos Árabes Unidos</w:t>
      </w:r>
      <w:r w:rsidRPr="00AC72B5">
        <w:rPr>
          <w:rFonts w:eastAsia="MS Mincho"/>
          <w:w w:val="98"/>
        </w:rPr>
        <w:t>,</w:t>
      </w:r>
      <w:r w:rsidRPr="00AC72B5">
        <w:rPr>
          <w:rFonts w:eastAsia="MS Mincho"/>
          <w:i/>
          <w:w w:val="98"/>
        </w:rPr>
        <w:t xml:space="preserve"> </w:t>
      </w:r>
      <w:r w:rsidRPr="00AC72B5">
        <w:rPr>
          <w:w w:val="98"/>
        </w:rPr>
        <w:t>¶</w:t>
      </w:r>
      <w:r w:rsidRPr="00AC72B5">
        <w:rPr>
          <w:rFonts w:eastAsia="MS Mincho"/>
          <w:w w:val="98"/>
        </w:rPr>
        <w:t xml:space="preserve"> </w:t>
      </w:r>
      <w:r w:rsidRPr="00AC72B5">
        <w:rPr>
          <w:w w:val="98"/>
        </w:rPr>
        <w:t xml:space="preserve">58, </w:t>
      </w:r>
      <w:r w:rsidRPr="00AC72B5">
        <w:rPr>
          <w:rFonts w:eastAsia="MS Mincho"/>
          <w:w w:val="98"/>
        </w:rPr>
        <w:t xml:space="preserve">Doc. ONU </w:t>
      </w:r>
      <w:r w:rsidRPr="00AC72B5">
        <w:rPr>
          <w:w w:val="98"/>
        </w:rPr>
        <w:t xml:space="preserve">CRC/C/SON/CO/2 (2015); </w:t>
      </w:r>
      <w:r w:rsidRPr="00AC72B5">
        <w:rPr>
          <w:i/>
          <w:w w:val="98"/>
        </w:rPr>
        <w:t>República de Corea</w:t>
      </w:r>
      <w:r w:rsidRPr="00AC72B5">
        <w:rPr>
          <w:w w:val="98"/>
        </w:rPr>
        <w:t>, ¶ 11, Doc. ONU CRC/C/KOR/CO/3-4 (2012).</w:t>
      </w:r>
    </w:p>
  </w:endnote>
  <w:endnote w:id="938">
    <w:p w14:paraId="11A91455" w14:textId="08BBD7A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Senegal</w:t>
      </w:r>
      <w:r w:rsidRPr="00AC72B5">
        <w:rPr>
          <w:w w:val="98"/>
        </w:rPr>
        <w:t xml:space="preserve">, ¶ 54, Doc. ONU CRC/C/SEN/CO/3-5 (2016); </w:t>
      </w:r>
      <w:r w:rsidRPr="00AC72B5">
        <w:rPr>
          <w:i/>
          <w:w w:val="98"/>
        </w:rPr>
        <w:t>Ghana</w:t>
      </w:r>
      <w:r w:rsidRPr="00AC72B5">
        <w:rPr>
          <w:w w:val="98"/>
        </w:rPr>
        <w:t xml:space="preserve">, ¶ 52, Doc. ONU </w:t>
      </w:r>
      <w:r w:rsidRPr="00AC72B5">
        <w:rPr>
          <w:rFonts w:eastAsia="Times New Roman"/>
          <w:w w:val="98"/>
        </w:rPr>
        <w:t xml:space="preserve">CRC/C/GHA/CO/3-5 (2015); </w:t>
      </w:r>
      <w:r w:rsidRPr="00AC72B5">
        <w:rPr>
          <w:i/>
          <w:w w:val="98"/>
        </w:rPr>
        <w:t>República de Corea</w:t>
      </w:r>
      <w:r w:rsidRPr="00AC72B5">
        <w:rPr>
          <w:w w:val="98"/>
        </w:rPr>
        <w:t>, ¶ 11, Doc. ONU CRC/C/KOR/CO/3-4 (2012).</w:t>
      </w:r>
    </w:p>
  </w:endnote>
  <w:endnote w:id="939">
    <w:p w14:paraId="58CB35EF" w14:textId="03017B5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Sierra Leona</w:t>
      </w:r>
      <w:r w:rsidRPr="00AC72B5">
        <w:rPr>
          <w:w w:val="98"/>
        </w:rPr>
        <w:t xml:space="preserve">, ¶ 32, Doc. ONU CRC/C/LES/CO/3-5 (2016); </w:t>
      </w:r>
      <w:r w:rsidRPr="00AC72B5">
        <w:rPr>
          <w:i/>
          <w:w w:val="98"/>
        </w:rPr>
        <w:t>Reino Unido de Gran Bretaña e Irlanda del Norte</w:t>
      </w:r>
      <w:r w:rsidRPr="00AC72B5">
        <w:rPr>
          <w:w w:val="98"/>
        </w:rPr>
        <w:t xml:space="preserve">, ¶ 65, Doc. ONU CRC/C/GBR/CO/5 (2016); </w:t>
      </w:r>
      <w:r w:rsidRPr="00AC72B5">
        <w:rPr>
          <w:i/>
          <w:w w:val="98"/>
        </w:rPr>
        <w:t>Samoa</w:t>
      </w:r>
      <w:r w:rsidRPr="00AC72B5">
        <w:rPr>
          <w:w w:val="98"/>
        </w:rPr>
        <w:t xml:space="preserve">, ¶ 47, Doc. ONU CRC/C/WSM/CO/2-4 (2016); </w:t>
      </w:r>
      <w:r w:rsidRPr="00AC72B5">
        <w:rPr>
          <w:i/>
          <w:w w:val="98"/>
        </w:rPr>
        <w:t>Pakistán</w:t>
      </w:r>
      <w:r w:rsidRPr="00AC72B5">
        <w:rPr>
          <w:w w:val="98"/>
        </w:rPr>
        <w:t xml:space="preserve">, ¶ 52, Doc. ONU CRC/C/PAK/CO/5 (2016); </w:t>
      </w:r>
      <w:r w:rsidRPr="00AC72B5">
        <w:rPr>
          <w:i/>
          <w:w w:val="98"/>
        </w:rPr>
        <w:t>Maldivas</w:t>
      </w:r>
      <w:r w:rsidRPr="00AC72B5">
        <w:rPr>
          <w:w w:val="98"/>
        </w:rPr>
        <w:t xml:space="preserve">, ¶ 57, Doc. ONU CRC/C/MDV/CO/4-5 (2016); </w:t>
      </w:r>
      <w:r w:rsidRPr="00AC72B5">
        <w:rPr>
          <w:i/>
          <w:w w:val="98"/>
        </w:rPr>
        <w:t>Letonia</w:t>
      </w:r>
      <w:r w:rsidRPr="00AC72B5">
        <w:rPr>
          <w:w w:val="98"/>
        </w:rPr>
        <w:t xml:space="preserve">, ¶ 51, Doc. ONU CRC/C/LVA/CO/3-5 (2016); </w:t>
      </w:r>
      <w:r w:rsidRPr="00AC72B5">
        <w:rPr>
          <w:i/>
          <w:w w:val="98"/>
        </w:rPr>
        <w:t>Kenia</w:t>
      </w:r>
      <w:r w:rsidRPr="00AC72B5">
        <w:rPr>
          <w:w w:val="98"/>
        </w:rPr>
        <w:t xml:space="preserve">, ¶ 49, Doc. ONU CRC/C/KEN/CO/3-5 (2016); </w:t>
      </w:r>
      <w:r w:rsidRPr="00AC72B5">
        <w:rPr>
          <w:i/>
          <w:w w:val="98"/>
        </w:rPr>
        <w:t>Irlanda</w:t>
      </w:r>
      <w:r w:rsidRPr="00AC72B5">
        <w:rPr>
          <w:w w:val="98"/>
        </w:rPr>
        <w:t xml:space="preserve">, ¶ 57, Doc. ONU CRC/C/IRL/CO/3-4 (2016); </w:t>
      </w:r>
      <w:r w:rsidRPr="00AC72B5">
        <w:rPr>
          <w:i/>
          <w:w w:val="98"/>
        </w:rPr>
        <w:t>Haití</w:t>
      </w:r>
      <w:r w:rsidRPr="00AC72B5">
        <w:rPr>
          <w:w w:val="98"/>
        </w:rPr>
        <w:t xml:space="preserve">, ¶ 50, Doc. ONU CRC/C/HTI/CO/2-3 (2016); </w:t>
      </w:r>
      <w:r w:rsidRPr="00AC72B5">
        <w:rPr>
          <w:i/>
          <w:w w:val="98"/>
        </w:rPr>
        <w:t>Venezuela</w:t>
      </w:r>
      <w:r w:rsidRPr="00AC72B5">
        <w:rPr>
          <w:w w:val="98"/>
        </w:rPr>
        <w:t xml:space="preserve">, ¶ 57, Doc. ONU CRC/C/VEN/CO/3-5 (2014); </w:t>
      </w:r>
      <w:r w:rsidRPr="00AC72B5">
        <w:rPr>
          <w:i/>
          <w:w w:val="98"/>
        </w:rPr>
        <w:t>India</w:t>
      </w:r>
      <w:r w:rsidRPr="00AC72B5">
        <w:rPr>
          <w:w w:val="98"/>
        </w:rPr>
        <w:t xml:space="preserve">, ¶ 66, Doc. ONU CRC/C/IND/CO/3-4 (2014); </w:t>
      </w:r>
      <w:r w:rsidRPr="00AC72B5">
        <w:rPr>
          <w:i/>
          <w:w w:val="98"/>
        </w:rPr>
        <w:t>Ucrania</w:t>
      </w:r>
      <w:r w:rsidRPr="00AC72B5">
        <w:rPr>
          <w:w w:val="98"/>
        </w:rPr>
        <w:t>, ¶ 57, Doc. ONU CRC/C/UKR/CO/3-4 (2011).</w:t>
      </w:r>
    </w:p>
  </w:endnote>
  <w:endnote w:id="940">
    <w:p w14:paraId="414B273E" w14:textId="6DC111C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Zimbabwe</w:t>
      </w:r>
      <w:r w:rsidRPr="00AC72B5">
        <w:rPr>
          <w:w w:val="98"/>
        </w:rPr>
        <w:t>, ¶ 61, Doc. ONU CRC/C/ZWE/CO/2 (2016).</w:t>
      </w:r>
    </w:p>
  </w:endnote>
  <w:endnote w:id="941">
    <w:p w14:paraId="1216E019" w14:textId="30D650A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rFonts w:eastAsia="MS Mincho"/>
          <w:i/>
          <w:w w:val="98"/>
        </w:rPr>
        <w:t>Observaciones Finales: Uruguay</w:t>
      </w:r>
      <w:r w:rsidRPr="00AC72B5">
        <w:rPr>
          <w:rFonts w:eastAsia="MS Mincho"/>
          <w:w w:val="98"/>
        </w:rPr>
        <w:t xml:space="preserve">, </w:t>
      </w:r>
      <w:r w:rsidRPr="00AC72B5">
        <w:rPr>
          <w:w w:val="98"/>
        </w:rPr>
        <w:t>¶</w:t>
      </w:r>
      <w:r w:rsidRPr="00AC72B5">
        <w:rPr>
          <w:rFonts w:eastAsia="MS Mincho"/>
          <w:w w:val="98"/>
        </w:rPr>
        <w:t xml:space="preserve"> </w:t>
      </w:r>
      <w:r w:rsidRPr="00AC72B5">
        <w:rPr>
          <w:w w:val="98"/>
        </w:rPr>
        <w:t xml:space="preserve">50, </w:t>
      </w:r>
      <w:r w:rsidRPr="00AC72B5">
        <w:rPr>
          <w:rFonts w:eastAsia="MS Mincho"/>
          <w:w w:val="98"/>
        </w:rPr>
        <w:t xml:space="preserve">Doc. ONU </w:t>
      </w:r>
      <w:r w:rsidRPr="00AC72B5">
        <w:rPr>
          <w:w w:val="98"/>
        </w:rPr>
        <w:t>CRC/C/URY/CO/3-5 (2015).</w:t>
      </w:r>
    </w:p>
  </w:endnote>
  <w:endnote w:id="942">
    <w:p w14:paraId="5E87C285" w14:textId="4DC1384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Zimbabwe</w:t>
      </w:r>
      <w:r w:rsidRPr="00AC72B5">
        <w:rPr>
          <w:w w:val="98"/>
        </w:rPr>
        <w:t xml:space="preserve">, ¶ 60, Doc. ONU CRC/C/ZWE/CO/2 (2016); </w:t>
      </w:r>
      <w:r w:rsidRPr="00AC72B5">
        <w:rPr>
          <w:i/>
          <w:w w:val="98"/>
        </w:rPr>
        <w:t>Polonia</w:t>
      </w:r>
      <w:r w:rsidRPr="00AC72B5">
        <w:rPr>
          <w:w w:val="98"/>
        </w:rPr>
        <w:t xml:space="preserve">, ¶ 38, Doc. ONU CRC/C/POL/CO/3-4 (2015); </w:t>
      </w:r>
      <w:r w:rsidRPr="00AC72B5">
        <w:rPr>
          <w:i/>
          <w:w w:val="98"/>
        </w:rPr>
        <w:t>Costa Rica</w:t>
      </w:r>
      <w:r w:rsidRPr="00AC72B5">
        <w:rPr>
          <w:w w:val="98"/>
        </w:rPr>
        <w:t xml:space="preserve">, ¶ 63, Doc. ONU CRC/C/CRI/CO/4 (2011); </w:t>
      </w:r>
      <w:r w:rsidRPr="00AC72B5">
        <w:rPr>
          <w:i/>
          <w:w w:val="98"/>
        </w:rPr>
        <w:t>Argentina</w:t>
      </w:r>
      <w:r w:rsidRPr="00AC72B5">
        <w:rPr>
          <w:w w:val="98"/>
        </w:rPr>
        <w:t>, ¶ 58, Doc. ONU CRC/C/ARG/CO/3-4 (2010).</w:t>
      </w:r>
    </w:p>
  </w:endnote>
  <w:endnote w:id="943">
    <w:p w14:paraId="0820179A" w14:textId="673A9CB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Polonia</w:t>
      </w:r>
      <w:r w:rsidRPr="00AC72B5">
        <w:rPr>
          <w:w w:val="98"/>
        </w:rPr>
        <w:t>, ¶ 38, Doc. ONU CRC/C/POL/CO/3-4 (2015).</w:t>
      </w:r>
    </w:p>
  </w:endnote>
  <w:endnote w:id="944">
    <w:p w14:paraId="33FA2112" w14:textId="1380C09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Zimbabwe</w:t>
      </w:r>
      <w:r w:rsidRPr="00AC72B5">
        <w:rPr>
          <w:w w:val="98"/>
        </w:rPr>
        <w:t xml:space="preserve">, ¶ 60, Doc. ONU CRC/C/ZWE/CO/2 (2016); </w:t>
      </w:r>
      <w:r w:rsidRPr="00AC72B5">
        <w:rPr>
          <w:i/>
          <w:w w:val="98"/>
        </w:rPr>
        <w:t>Argentina</w:t>
      </w:r>
      <w:r w:rsidRPr="00AC72B5">
        <w:rPr>
          <w:w w:val="98"/>
        </w:rPr>
        <w:t>, ¶ 58, Doc. ONU CRC/C/ARG/CO/3-4 (2010).</w:t>
      </w:r>
    </w:p>
  </w:endnote>
  <w:endnote w:id="945">
    <w:p w14:paraId="12995AE5" w14:textId="79319D6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Eslovaquia</w:t>
      </w:r>
      <w:r w:rsidRPr="00AC72B5">
        <w:rPr>
          <w:w w:val="98"/>
        </w:rPr>
        <w:t>, ¶ 40, Doc. ONU</w:t>
      </w:r>
      <w:r w:rsidRPr="00AC72B5">
        <w:rPr>
          <w:i/>
          <w:w w:val="98"/>
        </w:rPr>
        <w:t xml:space="preserve"> </w:t>
      </w:r>
      <w:r w:rsidRPr="00AC72B5">
        <w:rPr>
          <w:w w:val="98"/>
        </w:rPr>
        <w:t xml:space="preserve">CRC/C/SVK/CO/3-5 (2016); </w:t>
      </w:r>
      <w:r w:rsidRPr="00AC72B5">
        <w:rPr>
          <w:i/>
          <w:w w:val="98"/>
        </w:rPr>
        <w:t>Ucrania</w:t>
      </w:r>
      <w:r w:rsidRPr="00AC72B5">
        <w:rPr>
          <w:w w:val="98"/>
        </w:rPr>
        <w:t>, ¶ 56, Doc. ONU CRC/C/UKR/CO/3-4 (2011).</w:t>
      </w:r>
    </w:p>
  </w:endnote>
  <w:endnote w:id="946">
    <w:p w14:paraId="4C354F8A" w14:textId="2394B09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Maldivas</w:t>
      </w:r>
      <w:r w:rsidRPr="00AC72B5">
        <w:rPr>
          <w:w w:val="98"/>
        </w:rPr>
        <w:t>, ¶ 56, Doc. ONU CRC/C/MDV/CO/4-5 (2016).</w:t>
      </w:r>
    </w:p>
  </w:endnote>
  <w:endnote w:id="947">
    <w:p w14:paraId="6C4A0DA0" w14:textId="2718A8C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México</w:t>
      </w:r>
      <w:r w:rsidRPr="00AC72B5">
        <w:rPr>
          <w:w w:val="98"/>
        </w:rPr>
        <w:t>, ¶ 50, Doc. ONU CRC/C/MEX/CO/4-5 (2015).</w:t>
      </w:r>
    </w:p>
  </w:endnote>
  <w:endnote w:id="948">
    <w:p w14:paraId="585C913A" w14:textId="6665505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Eslovaquia</w:t>
      </w:r>
      <w:r w:rsidRPr="00AC72B5">
        <w:rPr>
          <w:w w:val="98"/>
        </w:rPr>
        <w:t>, ¶ 41, Doc. ONU</w:t>
      </w:r>
      <w:r w:rsidRPr="00AC72B5">
        <w:rPr>
          <w:i/>
          <w:w w:val="98"/>
        </w:rPr>
        <w:t xml:space="preserve"> </w:t>
      </w:r>
      <w:r w:rsidRPr="00AC72B5">
        <w:rPr>
          <w:w w:val="98"/>
        </w:rPr>
        <w:t xml:space="preserve">CRC/C/SVK/CO/3-5 (2016); </w:t>
      </w:r>
      <w:r w:rsidRPr="00AC72B5">
        <w:rPr>
          <w:i/>
          <w:w w:val="98"/>
        </w:rPr>
        <w:t>Maldivas</w:t>
      </w:r>
      <w:r w:rsidRPr="00AC72B5">
        <w:rPr>
          <w:w w:val="98"/>
        </w:rPr>
        <w:t xml:space="preserve">, ¶ 57, Doc. ONU CRC/C/MDV/CO/4-5 (2016); </w:t>
      </w:r>
      <w:r w:rsidRPr="00AC72B5">
        <w:rPr>
          <w:i/>
          <w:w w:val="98"/>
        </w:rPr>
        <w:t>México</w:t>
      </w:r>
      <w:r w:rsidRPr="00AC72B5">
        <w:rPr>
          <w:w w:val="98"/>
        </w:rPr>
        <w:t>, ¶ 50, Doc. ONU CRC/C/MEX/CO/4-5 (2015).</w:t>
      </w:r>
    </w:p>
  </w:endnote>
  <w:endnote w:id="949">
    <w:p w14:paraId="543F3BA2" w14:textId="2B5A590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Argentina</w:t>
      </w:r>
      <w:r w:rsidRPr="00AC72B5">
        <w:rPr>
          <w:w w:val="98"/>
        </w:rPr>
        <w:t>, ¶ 59, Doc. ONU CRC/C/ARG/CO/3-4 (2010).</w:t>
      </w:r>
    </w:p>
  </w:endnote>
  <w:endnote w:id="950">
    <w:p w14:paraId="60CE1E69" w14:textId="5E60A84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Eslovaquia</w:t>
      </w:r>
      <w:r w:rsidRPr="00AC72B5">
        <w:rPr>
          <w:w w:val="98"/>
        </w:rPr>
        <w:t>, ¶ 40, Doc. ONU</w:t>
      </w:r>
      <w:r w:rsidRPr="00AC72B5">
        <w:rPr>
          <w:i/>
          <w:w w:val="98"/>
        </w:rPr>
        <w:t xml:space="preserve"> </w:t>
      </w:r>
      <w:r w:rsidRPr="00AC72B5">
        <w:rPr>
          <w:w w:val="98"/>
        </w:rPr>
        <w:t xml:space="preserve">CRC/C/SVK/CO/3-5 (2016); </w:t>
      </w:r>
      <w:r w:rsidRPr="00AC72B5">
        <w:rPr>
          <w:i/>
          <w:w w:val="98"/>
        </w:rPr>
        <w:t>Letonia</w:t>
      </w:r>
      <w:r w:rsidRPr="00AC72B5">
        <w:rPr>
          <w:w w:val="98"/>
        </w:rPr>
        <w:t>, ¶ 50, Doc. ONU CRC/C/LVA/CO/3-5 (2016).</w:t>
      </w:r>
    </w:p>
  </w:endnote>
  <w:endnote w:id="951">
    <w:p w14:paraId="3C6D583B" w14:textId="1B9A6BF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Eslovaquia</w:t>
      </w:r>
      <w:r w:rsidRPr="00AC72B5">
        <w:rPr>
          <w:w w:val="98"/>
        </w:rPr>
        <w:t>, ¶ 40, Doc. ONU</w:t>
      </w:r>
      <w:r w:rsidRPr="00AC72B5">
        <w:rPr>
          <w:i/>
          <w:w w:val="98"/>
        </w:rPr>
        <w:t xml:space="preserve"> </w:t>
      </w:r>
      <w:r w:rsidRPr="00AC72B5">
        <w:rPr>
          <w:w w:val="98"/>
        </w:rPr>
        <w:t>CRC/C/SVK/CO/3-5 (2016).</w:t>
      </w:r>
    </w:p>
  </w:endnote>
  <w:endnote w:id="952">
    <w:p w14:paraId="28D0A982" w14:textId="4E1849E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Eslovaquia</w:t>
      </w:r>
      <w:r w:rsidRPr="00AC72B5">
        <w:rPr>
          <w:w w:val="98"/>
        </w:rPr>
        <w:t>, ¶ 41, Doc. ONU</w:t>
      </w:r>
      <w:r w:rsidRPr="00AC72B5">
        <w:rPr>
          <w:i/>
          <w:w w:val="98"/>
        </w:rPr>
        <w:t xml:space="preserve"> </w:t>
      </w:r>
      <w:r w:rsidRPr="00AC72B5">
        <w:rPr>
          <w:w w:val="98"/>
        </w:rPr>
        <w:t>CRC/C/SVK/CO/3-5 (2016).</w:t>
      </w:r>
    </w:p>
  </w:endnote>
  <w:endnote w:id="953">
    <w:p w14:paraId="0AE5BCE7" w14:textId="1F51042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Argentina</w:t>
      </w:r>
      <w:r w:rsidRPr="00AC72B5">
        <w:rPr>
          <w:w w:val="98"/>
        </w:rPr>
        <w:t>, ¶ 59, Doc. ONU CRC/C/ARG/CO/3-4 (2010).</w:t>
      </w:r>
    </w:p>
  </w:endnote>
  <w:endnote w:id="954">
    <w:p w14:paraId="29B4FD89" w14:textId="19E4FC3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Costa Rica</w:t>
      </w:r>
      <w:r w:rsidRPr="00AC72B5">
        <w:rPr>
          <w:w w:val="98"/>
        </w:rPr>
        <w:t>, ¶ 64, Doc. ONU CRC/C/CRI/CO/4 (2011).</w:t>
      </w:r>
    </w:p>
  </w:endnote>
  <w:endnote w:id="955">
    <w:p w14:paraId="2F72FA25" w14:textId="384B284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Eslovaquia</w:t>
      </w:r>
      <w:r w:rsidRPr="00AC72B5">
        <w:rPr>
          <w:w w:val="98"/>
        </w:rPr>
        <w:t>, ¶¶ 40-41, Doc. ONU</w:t>
      </w:r>
      <w:r w:rsidRPr="00AC72B5">
        <w:rPr>
          <w:i/>
          <w:w w:val="98"/>
        </w:rPr>
        <w:t xml:space="preserve"> </w:t>
      </w:r>
      <w:r w:rsidRPr="00AC72B5">
        <w:rPr>
          <w:w w:val="98"/>
        </w:rPr>
        <w:t>CRC/C/SVK/CO/3-5 (2016).</w:t>
      </w:r>
    </w:p>
  </w:endnote>
  <w:endnote w:id="956">
    <w:p w14:paraId="14479692" w14:textId="4FDAE9C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Eslovaquia</w:t>
      </w:r>
      <w:r w:rsidRPr="00AC72B5">
        <w:rPr>
          <w:w w:val="98"/>
        </w:rPr>
        <w:t>, ¶¶ 40-41, Doc. ONU</w:t>
      </w:r>
      <w:r w:rsidRPr="00AC72B5">
        <w:rPr>
          <w:i/>
          <w:w w:val="98"/>
        </w:rPr>
        <w:t xml:space="preserve"> </w:t>
      </w:r>
      <w:r w:rsidRPr="00AC72B5">
        <w:rPr>
          <w:w w:val="98"/>
        </w:rPr>
        <w:t>CRC/C/SVK/CO/3-5 (2016).</w:t>
      </w:r>
    </w:p>
  </w:endnote>
  <w:endnote w:id="957">
    <w:p w14:paraId="3ADD9192" w14:textId="678D08F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Eslovaquia</w:t>
      </w:r>
      <w:r w:rsidRPr="00AC72B5">
        <w:rPr>
          <w:w w:val="98"/>
        </w:rPr>
        <w:t>, ¶ 40, Doc. ONU</w:t>
      </w:r>
      <w:r w:rsidRPr="00AC72B5">
        <w:rPr>
          <w:i/>
          <w:w w:val="98"/>
        </w:rPr>
        <w:t xml:space="preserve"> </w:t>
      </w:r>
      <w:r w:rsidRPr="00AC72B5">
        <w:rPr>
          <w:w w:val="98"/>
        </w:rPr>
        <w:t xml:space="preserve">CRC/C/SVK/CO/3-5 (2016); </w:t>
      </w:r>
      <w:r w:rsidRPr="00AC72B5">
        <w:rPr>
          <w:rFonts w:eastAsia="Times New Roman"/>
          <w:i/>
          <w:w w:val="98"/>
        </w:rPr>
        <w:t>Colombia</w:t>
      </w:r>
      <w:r w:rsidRPr="00AC72B5">
        <w:rPr>
          <w:rFonts w:eastAsia="Times New Roman"/>
          <w:w w:val="98"/>
        </w:rPr>
        <w:t xml:space="preserve">, </w:t>
      </w:r>
      <w:r w:rsidRPr="00AC72B5">
        <w:rPr>
          <w:w w:val="98"/>
        </w:rPr>
        <w:t>¶ 43</w:t>
      </w:r>
      <w:r w:rsidRPr="00AC72B5">
        <w:rPr>
          <w:rFonts w:eastAsia="Times New Roman"/>
          <w:w w:val="98"/>
        </w:rPr>
        <w:t>, Doc. ONU CRC/C/COL/CO/4-5 (2015).</w:t>
      </w:r>
    </w:p>
  </w:endnote>
  <w:endnote w:id="958">
    <w:p w14:paraId="72BDAC96" w14:textId="57CB4A4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Colombia</w:t>
      </w:r>
      <w:r w:rsidRPr="00AC72B5">
        <w:rPr>
          <w:w w:val="98"/>
        </w:rPr>
        <w:t>, ¶ 43, Doc. ONU CRC/C/COL/CO/4-5 (2015).</w:t>
      </w:r>
    </w:p>
  </w:endnote>
  <w:endnote w:id="959">
    <w:p w14:paraId="47A548F0" w14:textId="0C6B6A3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Eslovaquia</w:t>
      </w:r>
      <w:r w:rsidRPr="00AC72B5">
        <w:rPr>
          <w:w w:val="98"/>
        </w:rPr>
        <w:t>, ¶ 41, Doc. ONU</w:t>
      </w:r>
      <w:r w:rsidRPr="00AC72B5">
        <w:rPr>
          <w:i/>
          <w:w w:val="98"/>
        </w:rPr>
        <w:t xml:space="preserve"> </w:t>
      </w:r>
      <w:r w:rsidRPr="00AC72B5">
        <w:rPr>
          <w:w w:val="98"/>
        </w:rPr>
        <w:t>CRC/C/SVK/CO/3-5 (2016).</w:t>
      </w:r>
    </w:p>
  </w:endnote>
  <w:endnote w:id="960">
    <w:p w14:paraId="41A2240E" w14:textId="3C91DD0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Colombia</w:t>
      </w:r>
      <w:r w:rsidRPr="00AC72B5">
        <w:rPr>
          <w:w w:val="98"/>
        </w:rPr>
        <w:t>, ¶ 44, Doc. ONU CRC/C/COL/CO/4-5 (2015).</w:t>
      </w:r>
    </w:p>
  </w:endnote>
  <w:endnote w:id="961">
    <w:p w14:paraId="06C815DF" w14:textId="7FA8141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Sierra Leona</w:t>
      </w:r>
      <w:r w:rsidRPr="00AC72B5">
        <w:rPr>
          <w:w w:val="98"/>
        </w:rPr>
        <w:t xml:space="preserve">, ¶ 32, Doc. ONU CRC/C/LES/CO/3-5 (2016); </w:t>
      </w:r>
      <w:r w:rsidRPr="00AC72B5">
        <w:rPr>
          <w:i/>
          <w:w w:val="98"/>
        </w:rPr>
        <w:t>Reino Unido de Gran Bretaña e Irlanda del Norte</w:t>
      </w:r>
      <w:r w:rsidRPr="00AC72B5">
        <w:rPr>
          <w:w w:val="98"/>
        </w:rPr>
        <w:t xml:space="preserve">, ¶ 65, Doc. ONU CRC/C/GBR/CO/5 (2016); </w:t>
      </w:r>
      <w:r w:rsidRPr="00AC72B5">
        <w:rPr>
          <w:i/>
          <w:w w:val="98"/>
        </w:rPr>
        <w:t>Samoa</w:t>
      </w:r>
      <w:r w:rsidRPr="00AC72B5">
        <w:rPr>
          <w:w w:val="98"/>
        </w:rPr>
        <w:t xml:space="preserve">, ¶ 47, Doc. ONU CRC/C/WSM/CO/2-4 (2016); </w:t>
      </w:r>
      <w:r w:rsidRPr="00AC72B5">
        <w:rPr>
          <w:i/>
          <w:w w:val="98"/>
        </w:rPr>
        <w:t>Pakistán</w:t>
      </w:r>
      <w:r w:rsidRPr="00AC72B5">
        <w:rPr>
          <w:w w:val="98"/>
        </w:rPr>
        <w:t xml:space="preserve">, ¶ 52, Doc. ONU CRC/C/PAK/CO/5 (2016); </w:t>
      </w:r>
      <w:r w:rsidRPr="00AC72B5">
        <w:rPr>
          <w:i/>
          <w:w w:val="98"/>
        </w:rPr>
        <w:t>Perú</w:t>
      </w:r>
      <w:r w:rsidRPr="00AC72B5">
        <w:rPr>
          <w:w w:val="98"/>
        </w:rPr>
        <w:t xml:space="preserve">, ¶ 56, Doc. ONU CRC/C/POR/CO/4-5 (2016); </w:t>
      </w:r>
      <w:r w:rsidRPr="00AC72B5">
        <w:rPr>
          <w:i/>
          <w:w w:val="98"/>
        </w:rPr>
        <w:t>Honduras</w:t>
      </w:r>
      <w:r w:rsidRPr="00AC72B5">
        <w:rPr>
          <w:w w:val="98"/>
        </w:rPr>
        <w:t xml:space="preserve">, ¶ 65, Doc. ONU </w:t>
      </w:r>
      <w:r w:rsidRPr="00AC72B5">
        <w:rPr>
          <w:rFonts w:eastAsia="MS Mincho"/>
          <w:w w:val="98"/>
        </w:rPr>
        <w:t xml:space="preserve">CRC/C/HND/CO/4-5 (2015); </w:t>
      </w:r>
      <w:r w:rsidRPr="00AC72B5">
        <w:rPr>
          <w:i/>
          <w:w w:val="98"/>
        </w:rPr>
        <w:t>México</w:t>
      </w:r>
      <w:r w:rsidRPr="00AC72B5">
        <w:rPr>
          <w:w w:val="98"/>
        </w:rPr>
        <w:t xml:space="preserve">, ¶ 50, Doc. ONU CRC/C/MEX/CO/4-5 (2015); </w:t>
      </w:r>
      <w:r w:rsidRPr="00AC72B5">
        <w:rPr>
          <w:rFonts w:eastAsia="MS Mincho"/>
          <w:i/>
          <w:w w:val="98"/>
        </w:rPr>
        <w:t>Emiratos Árabes Unidos</w:t>
      </w:r>
      <w:r w:rsidRPr="00AC72B5">
        <w:rPr>
          <w:rFonts w:eastAsia="MS Mincho"/>
          <w:w w:val="98"/>
        </w:rPr>
        <w:t xml:space="preserve">, </w:t>
      </w:r>
      <w:r w:rsidRPr="00AC72B5">
        <w:rPr>
          <w:w w:val="98"/>
        </w:rPr>
        <w:t>¶</w:t>
      </w:r>
      <w:r w:rsidRPr="00AC72B5">
        <w:rPr>
          <w:rFonts w:eastAsia="MS Mincho"/>
          <w:w w:val="98"/>
        </w:rPr>
        <w:t xml:space="preserve"> </w:t>
      </w:r>
      <w:r w:rsidRPr="00AC72B5">
        <w:rPr>
          <w:w w:val="98"/>
        </w:rPr>
        <w:t xml:space="preserve">58, </w:t>
      </w:r>
      <w:r w:rsidRPr="00AC72B5">
        <w:rPr>
          <w:rFonts w:eastAsia="MS Mincho"/>
          <w:w w:val="98"/>
        </w:rPr>
        <w:t xml:space="preserve">Doc. ONU </w:t>
      </w:r>
      <w:r w:rsidRPr="00AC72B5">
        <w:rPr>
          <w:w w:val="98"/>
        </w:rPr>
        <w:t>CRC/C/SON/CO/2 (2015).</w:t>
      </w:r>
    </w:p>
  </w:endnote>
  <w:endnote w:id="962">
    <w:p w14:paraId="1937E10E" w14:textId="3A73DEC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Samoa</w:t>
      </w:r>
      <w:r w:rsidRPr="00AC72B5">
        <w:rPr>
          <w:w w:val="98"/>
        </w:rPr>
        <w:t xml:space="preserve">, ¶ 47, Doc. ONU CRC/C/WSM/CO/2-4 (2016); </w:t>
      </w:r>
      <w:r w:rsidRPr="00AC72B5">
        <w:rPr>
          <w:rFonts w:eastAsia="Times New Roman"/>
          <w:i/>
          <w:w w:val="98"/>
        </w:rPr>
        <w:t>República Dominicana</w:t>
      </w:r>
      <w:r w:rsidRPr="00AC72B5">
        <w:rPr>
          <w:rFonts w:eastAsia="Times New Roman"/>
          <w:w w:val="98"/>
        </w:rPr>
        <w:t>,</w:t>
      </w:r>
      <w:r w:rsidRPr="00AC72B5">
        <w:rPr>
          <w:rFonts w:eastAsia="Times New Roman"/>
          <w:i/>
          <w:w w:val="98"/>
        </w:rPr>
        <w:t xml:space="preserve"> </w:t>
      </w:r>
      <w:r w:rsidRPr="00AC72B5">
        <w:rPr>
          <w:w w:val="98"/>
        </w:rPr>
        <w:t>¶</w:t>
      </w:r>
      <w:r w:rsidRPr="00AC72B5">
        <w:rPr>
          <w:rFonts w:eastAsia="Times New Roman"/>
          <w:w w:val="98"/>
        </w:rPr>
        <w:t xml:space="preserve"> </w:t>
      </w:r>
      <w:r w:rsidRPr="00AC72B5">
        <w:rPr>
          <w:w w:val="98"/>
        </w:rPr>
        <w:t xml:space="preserve">52, </w:t>
      </w:r>
      <w:r w:rsidRPr="00AC72B5">
        <w:rPr>
          <w:rFonts w:eastAsia="Times New Roman"/>
          <w:w w:val="98"/>
        </w:rPr>
        <w:t xml:space="preserve">Doc. ONU </w:t>
      </w:r>
      <w:r w:rsidRPr="00AC72B5">
        <w:rPr>
          <w:w w:val="98"/>
        </w:rPr>
        <w:t xml:space="preserve">CRC/C/DOM/CO/3-5 (2015); </w:t>
      </w:r>
      <w:r w:rsidRPr="00AC72B5">
        <w:rPr>
          <w:i/>
          <w:w w:val="98"/>
        </w:rPr>
        <w:t>México</w:t>
      </w:r>
      <w:r w:rsidRPr="00AC72B5">
        <w:rPr>
          <w:w w:val="98"/>
        </w:rPr>
        <w:t>, ¶ 50, Doc. ONU CRC/C/MEX/CO/4-5 (2015).</w:t>
      </w:r>
    </w:p>
  </w:endnote>
  <w:endnote w:id="963">
    <w:p w14:paraId="431E3553" w14:textId="6286622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Costa Rica</w:t>
      </w:r>
      <w:r w:rsidRPr="00AC72B5">
        <w:rPr>
          <w:w w:val="98"/>
        </w:rPr>
        <w:t>, ¶ 64, Doc. ONU CRC/C/CRI/CO/4 (2011).</w:t>
      </w:r>
    </w:p>
  </w:endnote>
  <w:endnote w:id="964">
    <w:p w14:paraId="24CCD652" w14:textId="0A90A24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Nepal</w:t>
      </w:r>
      <w:r w:rsidRPr="00AC72B5">
        <w:rPr>
          <w:w w:val="98"/>
        </w:rPr>
        <w:t xml:space="preserve">, ¶ 53, Doc. ONU </w:t>
      </w:r>
      <w:r w:rsidRPr="00AC72B5">
        <w:rPr>
          <w:rFonts w:eastAsia="Times New Roman"/>
          <w:w w:val="98"/>
        </w:rPr>
        <w:t>CRC/C/NPL/CO/3-5 (2016).</w:t>
      </w:r>
    </w:p>
  </w:endnote>
  <w:endnote w:id="965">
    <w:p w14:paraId="48C5B581" w14:textId="3233079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Zambia</w:t>
      </w:r>
      <w:r w:rsidRPr="00AC72B5">
        <w:rPr>
          <w:w w:val="98"/>
        </w:rPr>
        <w:t>, ¶ 50, Doc. ONU CRC/C/ZMB/CO/2-4 (2016).</w:t>
      </w:r>
    </w:p>
  </w:endnote>
  <w:endnote w:id="966">
    <w:p w14:paraId="687A8754" w14:textId="6D309F9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Polonia</w:t>
      </w:r>
      <w:r w:rsidRPr="00AC72B5">
        <w:rPr>
          <w:w w:val="98"/>
        </w:rPr>
        <w:t xml:space="preserve">, ¶ 38, Doc. ONU CRC/C/POL/CO/3-4 (2015); </w:t>
      </w:r>
      <w:r w:rsidRPr="00AC72B5">
        <w:rPr>
          <w:i/>
          <w:w w:val="98"/>
        </w:rPr>
        <w:t>Costa Rica</w:t>
      </w:r>
      <w:r w:rsidRPr="00AC72B5">
        <w:rPr>
          <w:w w:val="98"/>
        </w:rPr>
        <w:t>, ¶ 63, Doc. ONU CRC/C/CRI/CO/4 (2011).</w:t>
      </w:r>
    </w:p>
  </w:endnote>
  <w:endnote w:id="967">
    <w:p w14:paraId="617F069C" w14:textId="72DAD8F5"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Perú</w:t>
      </w:r>
      <w:r w:rsidRPr="00AC72B5">
        <w:rPr>
          <w:w w:val="98"/>
        </w:rPr>
        <w:t xml:space="preserve">, ¶ 56, Doc. ONU CRC/C/POR/CO/4-5 (2016); </w:t>
      </w:r>
      <w:r w:rsidRPr="00AC72B5">
        <w:rPr>
          <w:i/>
          <w:w w:val="98"/>
        </w:rPr>
        <w:t>Kenia</w:t>
      </w:r>
      <w:r w:rsidRPr="00AC72B5">
        <w:rPr>
          <w:w w:val="98"/>
        </w:rPr>
        <w:t xml:space="preserve">, ¶ 50, Doc. ONU CRC/C/KEN/CO/3-5 (2016); </w:t>
      </w:r>
      <w:r w:rsidRPr="00AC72B5">
        <w:rPr>
          <w:i/>
          <w:w w:val="98"/>
        </w:rPr>
        <w:t>Costa Rica</w:t>
      </w:r>
      <w:r w:rsidRPr="00AC72B5">
        <w:rPr>
          <w:w w:val="98"/>
        </w:rPr>
        <w:t>, ¶ 64, Doc. ONU CRC/C/CRI/CO/4 (2011).</w:t>
      </w:r>
    </w:p>
  </w:endnote>
  <w:endnote w:id="968">
    <w:p w14:paraId="13A02BF1" w14:textId="41A8B7E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Polonia</w:t>
      </w:r>
      <w:r w:rsidRPr="00AC72B5">
        <w:rPr>
          <w:w w:val="98"/>
        </w:rPr>
        <w:t>, ¶ 39, Doc. ONU CRC/C/POL/CO/3-4 (2015).</w:t>
      </w:r>
    </w:p>
  </w:endnote>
  <w:endnote w:id="969">
    <w:p w14:paraId="397F94C6" w14:textId="11B4E46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Polonia</w:t>
      </w:r>
      <w:r w:rsidRPr="00AC72B5">
        <w:rPr>
          <w:w w:val="98"/>
        </w:rPr>
        <w:t>, ¶ 39, Doc. ONU CRC/C/POL/CO/3-4 (2015).</w:t>
      </w:r>
    </w:p>
  </w:endnote>
  <w:endnote w:id="970">
    <w:p w14:paraId="7F15B7FD" w14:textId="58A6535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India</w:t>
      </w:r>
      <w:r w:rsidRPr="00AC72B5">
        <w:rPr>
          <w:w w:val="98"/>
        </w:rPr>
        <w:t xml:space="preserve">, ¶ 33, Doc. ONU CRC/C/IND/CO/3-4 (2014); </w:t>
      </w:r>
      <w:r w:rsidRPr="00AC72B5">
        <w:rPr>
          <w:i/>
          <w:w w:val="98"/>
        </w:rPr>
        <w:t>China</w:t>
      </w:r>
      <w:r w:rsidRPr="00AC72B5">
        <w:rPr>
          <w:w w:val="98"/>
        </w:rPr>
        <w:t>, ¶ 27, Doc. ONU CRC/C/CHN/CO/3-4 (2013).</w:t>
      </w:r>
    </w:p>
  </w:endnote>
  <w:endnote w:id="971">
    <w:p w14:paraId="4D74F2BC" w14:textId="3ADF202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Armenia</w:t>
      </w:r>
      <w:r w:rsidRPr="00AC72B5">
        <w:rPr>
          <w:w w:val="98"/>
        </w:rPr>
        <w:t>, ¶ 18, Doc. ONU CRC/C/ARM/CO/3-4 (2013).</w:t>
      </w:r>
    </w:p>
  </w:endnote>
  <w:endnote w:id="972">
    <w:p w14:paraId="06446FBB" w14:textId="457EC60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India</w:t>
      </w:r>
      <w:r w:rsidRPr="00AC72B5">
        <w:rPr>
          <w:w w:val="98"/>
        </w:rPr>
        <w:t xml:space="preserve">, ¶ 33, Doc. ONU CRC/C/IND/CO/3-4 (2014); </w:t>
      </w:r>
      <w:r w:rsidRPr="00AC72B5">
        <w:rPr>
          <w:i/>
          <w:w w:val="98"/>
        </w:rPr>
        <w:t>India</w:t>
      </w:r>
      <w:r w:rsidRPr="00AC72B5">
        <w:rPr>
          <w:w w:val="98"/>
        </w:rPr>
        <w:t>, ¶ 33, Doc. ONU CRC/C/15/Add.228 (2004).</w:t>
      </w:r>
    </w:p>
  </w:endnote>
  <w:endnote w:id="973">
    <w:p w14:paraId="0561ACC6" w14:textId="314E40BC"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India</w:t>
      </w:r>
      <w:r w:rsidRPr="00AC72B5">
        <w:rPr>
          <w:w w:val="98"/>
        </w:rPr>
        <w:t xml:space="preserve">, ¶ 33, Doc. ONU CRC/C/IND/CO/3-4 (2014); </w:t>
      </w:r>
      <w:r w:rsidRPr="00AC72B5">
        <w:rPr>
          <w:i/>
          <w:w w:val="98"/>
        </w:rPr>
        <w:t>China</w:t>
      </w:r>
      <w:r w:rsidRPr="00AC72B5">
        <w:rPr>
          <w:w w:val="98"/>
        </w:rPr>
        <w:t>, ¶ 27, Doc. ONU CRC/C/CHN/CO/3-4 (2013).</w:t>
      </w:r>
    </w:p>
  </w:endnote>
  <w:endnote w:id="974">
    <w:p w14:paraId="35C0650A" w14:textId="665026B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Armenia</w:t>
      </w:r>
      <w:r w:rsidRPr="00AC72B5">
        <w:rPr>
          <w:w w:val="98"/>
        </w:rPr>
        <w:t>, ¶ 19, Doc. ONU CRC/C/ARM/CO/3-4 (2013).</w:t>
      </w:r>
    </w:p>
  </w:endnote>
  <w:endnote w:id="975">
    <w:p w14:paraId="7F081595" w14:textId="4FBEEA2F"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India</w:t>
      </w:r>
      <w:r w:rsidRPr="00AC72B5">
        <w:rPr>
          <w:w w:val="98"/>
        </w:rPr>
        <w:t xml:space="preserve">, ¶ 33, Doc. ONU CRC/C/IND/CO/3-4 (2014); </w:t>
      </w:r>
      <w:r w:rsidRPr="00AC72B5">
        <w:rPr>
          <w:i/>
          <w:w w:val="98"/>
        </w:rPr>
        <w:t>China</w:t>
      </w:r>
      <w:r w:rsidRPr="00AC72B5">
        <w:rPr>
          <w:w w:val="98"/>
        </w:rPr>
        <w:t>, ¶ 28, Doc. ONU CRC/C/CHN/CO/3-4 (2013).</w:t>
      </w:r>
    </w:p>
  </w:endnote>
  <w:endnote w:id="976">
    <w:p w14:paraId="41F861B9" w14:textId="71EF008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India</w:t>
      </w:r>
      <w:r w:rsidRPr="00AC72B5">
        <w:rPr>
          <w:w w:val="98"/>
        </w:rPr>
        <w:t xml:space="preserve">, ¶ 34, Doc. ONU CRC/C/IND/CO/3-4 (2014); </w:t>
      </w:r>
      <w:r w:rsidRPr="00AC72B5">
        <w:rPr>
          <w:i/>
          <w:w w:val="98"/>
        </w:rPr>
        <w:t>China</w:t>
      </w:r>
      <w:r w:rsidRPr="00AC72B5">
        <w:rPr>
          <w:w w:val="98"/>
        </w:rPr>
        <w:t>, ¶ 28, Doc. ONU CRC/C/CHN/CO/3-4 (2013).</w:t>
      </w:r>
    </w:p>
  </w:endnote>
  <w:endnote w:id="977">
    <w:p w14:paraId="2311FCEE" w14:textId="6154961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India</w:t>
      </w:r>
      <w:r w:rsidRPr="00AC72B5">
        <w:rPr>
          <w:w w:val="98"/>
        </w:rPr>
        <w:t>, ¶ 34, Doc. ONU CRC/C/IND/CO/3-4 (2014).</w:t>
      </w:r>
    </w:p>
  </w:endnote>
  <w:endnote w:id="978">
    <w:p w14:paraId="765F42CC" w14:textId="73131B2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Eslovaquia</w:t>
      </w:r>
      <w:r w:rsidRPr="00AC72B5">
        <w:rPr>
          <w:w w:val="98"/>
        </w:rPr>
        <w:t>, ¶ 40, Doc. ONU</w:t>
      </w:r>
      <w:r w:rsidRPr="00AC72B5">
        <w:rPr>
          <w:i/>
          <w:w w:val="98"/>
        </w:rPr>
        <w:t xml:space="preserve"> </w:t>
      </w:r>
      <w:r w:rsidRPr="00AC72B5">
        <w:rPr>
          <w:w w:val="98"/>
        </w:rPr>
        <w:t xml:space="preserve">CRC/C/SVK/CO/3-5 (2016); </w:t>
      </w:r>
      <w:r w:rsidRPr="00AC72B5">
        <w:rPr>
          <w:i/>
          <w:w w:val="98"/>
        </w:rPr>
        <w:t>Polonia</w:t>
      </w:r>
      <w:r w:rsidRPr="00AC72B5">
        <w:rPr>
          <w:w w:val="98"/>
        </w:rPr>
        <w:t xml:space="preserve">, ¶ 38, Doc. ONU CRC/C/POL/CO/3-4 (2015); </w:t>
      </w:r>
      <w:r w:rsidRPr="00AC72B5">
        <w:rPr>
          <w:i/>
          <w:w w:val="98"/>
        </w:rPr>
        <w:t>República Unida de Tanzania</w:t>
      </w:r>
      <w:r w:rsidRPr="00AC72B5">
        <w:rPr>
          <w:w w:val="98"/>
        </w:rPr>
        <w:t>, ¶ 48, Doc. ONU CRC/C/15/Add.156 (2001).</w:t>
      </w:r>
    </w:p>
  </w:endnote>
  <w:endnote w:id="979">
    <w:p w14:paraId="7606FA10" w14:textId="386AF8D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Polonia</w:t>
      </w:r>
      <w:r w:rsidRPr="00AC72B5">
        <w:rPr>
          <w:w w:val="98"/>
        </w:rPr>
        <w:t xml:space="preserve">, ¶ 38, Doc. ONU CRC/C/POL/CO/3-4 (2015); </w:t>
      </w:r>
      <w:r w:rsidRPr="00AC72B5">
        <w:rPr>
          <w:i/>
          <w:w w:val="98"/>
        </w:rPr>
        <w:t>República Unida de Tanzania</w:t>
      </w:r>
      <w:r w:rsidRPr="00AC72B5">
        <w:rPr>
          <w:w w:val="98"/>
        </w:rPr>
        <w:t>, ¶ 48, Doc. ONU CRC/C/15/Add.156 (2001).</w:t>
      </w:r>
    </w:p>
  </w:endnote>
  <w:endnote w:id="980">
    <w:p w14:paraId="055B5B1C" w14:textId="5BD0E122"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Ecuador</w:t>
      </w:r>
      <w:r w:rsidRPr="00AC72B5">
        <w:rPr>
          <w:w w:val="98"/>
        </w:rPr>
        <w:t>, ¶ 61, Doc. ONU CRC/C/OPSC/ECU/CO/4 (2010).</w:t>
      </w:r>
    </w:p>
  </w:endnote>
  <w:endnote w:id="981">
    <w:p w14:paraId="76D42C54" w14:textId="6AF57949"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w:t>
      </w:r>
      <w:r>
        <w:rPr>
          <w:w w:val="98"/>
        </w:rPr>
        <w:t xml:space="preserve"> </w:t>
      </w:r>
      <w:r w:rsidRPr="00AC72B5">
        <w:rPr>
          <w:w w:val="98"/>
        </w:rPr>
        <w:t xml:space="preserve">CRC, </w:t>
      </w:r>
      <w:r w:rsidRPr="00AC72B5">
        <w:rPr>
          <w:i/>
          <w:w w:val="98"/>
        </w:rPr>
        <w:t>Observaciones Finales: Eslovaquia</w:t>
      </w:r>
      <w:r w:rsidRPr="00AC72B5">
        <w:rPr>
          <w:w w:val="98"/>
        </w:rPr>
        <w:t>, ¶ 41, Doc. ONU</w:t>
      </w:r>
      <w:r w:rsidRPr="00AC72B5">
        <w:rPr>
          <w:i/>
          <w:w w:val="98"/>
        </w:rPr>
        <w:t xml:space="preserve"> </w:t>
      </w:r>
      <w:r w:rsidRPr="00AC72B5">
        <w:rPr>
          <w:w w:val="98"/>
        </w:rPr>
        <w:t>CRC/C/SVK/CO/3-5 (2016).</w:t>
      </w:r>
    </w:p>
  </w:endnote>
  <w:endnote w:id="982">
    <w:p w14:paraId="1CDFB638" w14:textId="187ED5D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Samoa</w:t>
      </w:r>
      <w:r w:rsidRPr="00AC72B5">
        <w:rPr>
          <w:w w:val="98"/>
        </w:rPr>
        <w:t xml:space="preserve">, ¶ 46, Doc. ONU CRC/C/WSM/CO/2-4 (2016); </w:t>
      </w:r>
      <w:r w:rsidRPr="00AC72B5">
        <w:rPr>
          <w:i/>
          <w:w w:val="98"/>
        </w:rPr>
        <w:t>Nepal</w:t>
      </w:r>
      <w:r w:rsidRPr="00AC72B5">
        <w:rPr>
          <w:w w:val="98"/>
        </w:rPr>
        <w:t xml:space="preserve">, ¶ 53, Doc. ONU </w:t>
      </w:r>
      <w:r w:rsidRPr="00AC72B5">
        <w:rPr>
          <w:rFonts w:eastAsia="Times New Roman"/>
          <w:w w:val="98"/>
        </w:rPr>
        <w:t xml:space="preserve">CRC/C/NPL/CO/3-5 (2016); </w:t>
      </w:r>
      <w:r w:rsidRPr="00AC72B5">
        <w:rPr>
          <w:rFonts w:eastAsia="Times New Roman"/>
          <w:i/>
          <w:w w:val="98"/>
        </w:rPr>
        <w:t>Gabón</w:t>
      </w:r>
      <w:r w:rsidRPr="00AC72B5">
        <w:rPr>
          <w:rFonts w:eastAsia="Times New Roman"/>
          <w:w w:val="98"/>
        </w:rPr>
        <w:t xml:space="preserve">, </w:t>
      </w:r>
      <w:r w:rsidRPr="00AC72B5">
        <w:rPr>
          <w:w w:val="98"/>
        </w:rPr>
        <w:t xml:space="preserve">¶ 47, </w:t>
      </w:r>
      <w:r w:rsidRPr="00AC72B5">
        <w:rPr>
          <w:rFonts w:eastAsia="Times New Roman"/>
          <w:w w:val="98"/>
        </w:rPr>
        <w:t xml:space="preserve">Doc. ONU </w:t>
      </w:r>
      <w:r w:rsidRPr="00AC72B5">
        <w:rPr>
          <w:w w:val="98"/>
        </w:rPr>
        <w:t xml:space="preserve">CRC/C/GAB/CO/2 (2016); </w:t>
      </w:r>
      <w:r w:rsidRPr="00AC72B5">
        <w:rPr>
          <w:i/>
          <w:w w:val="98"/>
        </w:rPr>
        <w:t>Senegal</w:t>
      </w:r>
      <w:r w:rsidRPr="00AC72B5">
        <w:rPr>
          <w:w w:val="98"/>
        </w:rPr>
        <w:t xml:space="preserve">, ¶ 53, Doc. ONU CRC/C/SEN/CO/3-5 (2016); </w:t>
      </w:r>
      <w:r w:rsidRPr="00AC72B5">
        <w:rPr>
          <w:rFonts w:eastAsia="Times New Roman"/>
          <w:i/>
          <w:w w:val="98"/>
        </w:rPr>
        <w:t>República Dominicana</w:t>
      </w:r>
      <w:r w:rsidRPr="00AC72B5">
        <w:rPr>
          <w:rFonts w:eastAsia="Times New Roman"/>
          <w:w w:val="98"/>
        </w:rPr>
        <w:t xml:space="preserve">, </w:t>
      </w:r>
      <w:r w:rsidRPr="00AC72B5">
        <w:rPr>
          <w:w w:val="98"/>
        </w:rPr>
        <w:t xml:space="preserve">¶ 51, </w:t>
      </w:r>
      <w:r w:rsidRPr="00AC72B5">
        <w:rPr>
          <w:rFonts w:eastAsia="Times New Roman"/>
          <w:w w:val="98"/>
        </w:rPr>
        <w:t xml:space="preserve">Doc. ONU </w:t>
      </w:r>
      <w:r w:rsidRPr="00AC72B5">
        <w:rPr>
          <w:w w:val="98"/>
        </w:rPr>
        <w:t xml:space="preserve">CRC/C/DOM/CO/3-5 (2015); </w:t>
      </w:r>
      <w:r w:rsidRPr="00AC72B5">
        <w:rPr>
          <w:i/>
          <w:w w:val="98"/>
        </w:rPr>
        <w:t>India</w:t>
      </w:r>
      <w:r w:rsidRPr="00AC72B5">
        <w:rPr>
          <w:w w:val="98"/>
        </w:rPr>
        <w:t>, ¶ 65, Doc. ONU CRC/C/IND/CO/3-4 (2014).</w:t>
      </w:r>
    </w:p>
  </w:endnote>
  <w:endnote w:id="983">
    <w:p w14:paraId="4D5E53DE" w14:textId="725BE77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Benin</w:t>
      </w:r>
      <w:r w:rsidRPr="00AC72B5">
        <w:rPr>
          <w:w w:val="98"/>
        </w:rPr>
        <w:t xml:space="preserve">, ¶ 56, Doc. ONU CRC/C/BEN/CO/3-5 (2016); </w:t>
      </w:r>
      <w:r w:rsidRPr="00AC72B5">
        <w:rPr>
          <w:i/>
          <w:w w:val="98"/>
        </w:rPr>
        <w:t>Angola</w:t>
      </w:r>
      <w:r w:rsidRPr="00AC72B5">
        <w:rPr>
          <w:w w:val="98"/>
        </w:rPr>
        <w:t xml:space="preserve">, ¶ 51, Doc. ONU CRC/C/HACE/CO/2-4 (2010); </w:t>
      </w:r>
      <w:r w:rsidRPr="00AC72B5">
        <w:rPr>
          <w:i/>
          <w:w w:val="98"/>
        </w:rPr>
        <w:t>Pakistán</w:t>
      </w:r>
      <w:r w:rsidRPr="00AC72B5">
        <w:rPr>
          <w:w w:val="98"/>
        </w:rPr>
        <w:t xml:space="preserve">, ¶ 64, Doc. ONU CRC/C/PAK/CO/3-4 (2009); </w:t>
      </w:r>
      <w:r w:rsidRPr="00AC72B5">
        <w:rPr>
          <w:i/>
          <w:w w:val="98"/>
        </w:rPr>
        <w:t>Filipinas</w:t>
      </w:r>
      <w:r w:rsidRPr="00AC72B5">
        <w:rPr>
          <w:w w:val="98"/>
        </w:rPr>
        <w:t xml:space="preserve">, ¶ 61, Doc. ONU </w:t>
      </w:r>
      <w:r w:rsidRPr="00AC72B5">
        <w:rPr>
          <w:w w:val="98"/>
        </w:rPr>
        <w:fldChar w:fldCharType="begin"/>
      </w:r>
      <w:r w:rsidRPr="00AC72B5">
        <w:rPr>
          <w:w w:val="98"/>
        </w:rPr>
        <w:instrText xml:space="preserve"> FILLIN  Symbol  \* MERGEFORMAT </w:instrText>
      </w:r>
      <w:r w:rsidRPr="00AC72B5">
        <w:rPr>
          <w:w w:val="98"/>
        </w:rPr>
        <w:fldChar w:fldCharType="separate"/>
      </w:r>
      <w:r w:rsidRPr="00AC72B5">
        <w:rPr>
          <w:w w:val="98"/>
        </w:rPr>
        <w:t>CRC/C/PHL/CO/</w:t>
      </w:r>
      <w:r w:rsidRPr="00AC72B5">
        <w:rPr>
          <w:w w:val="98"/>
        </w:rPr>
        <w:fldChar w:fldCharType="end"/>
      </w:r>
      <w:r w:rsidRPr="00AC72B5">
        <w:rPr>
          <w:w w:val="98"/>
        </w:rPr>
        <w:t>3-4 (2009).</w:t>
      </w:r>
    </w:p>
  </w:endnote>
  <w:endnote w:id="984">
    <w:p w14:paraId="36C4371A" w14:textId="1B7BF868"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Letonia</w:t>
      </w:r>
      <w:r w:rsidRPr="00AC72B5">
        <w:rPr>
          <w:w w:val="98"/>
        </w:rPr>
        <w:t>, ¶ 50, Doc. ONU CRC/C/LVA/CO/3-5 (2016).</w:t>
      </w:r>
    </w:p>
  </w:endnote>
  <w:endnote w:id="985">
    <w:p w14:paraId="2082B6EA" w14:textId="4A5BCA3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Samoa</w:t>
      </w:r>
      <w:r w:rsidRPr="00AC72B5">
        <w:rPr>
          <w:w w:val="98"/>
        </w:rPr>
        <w:t>, ¶ 46, Doc. ONU CRC/C/WSM/CO/2-4 (2016).</w:t>
      </w:r>
    </w:p>
  </w:endnote>
  <w:endnote w:id="986">
    <w:p w14:paraId="51AFFA03" w14:textId="17BCEEF1"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Granada</w:t>
      </w:r>
      <w:r w:rsidRPr="00AC72B5">
        <w:rPr>
          <w:w w:val="98"/>
        </w:rPr>
        <w:t>, ¶ 45, Doc. ONU CRC/C/GRD/C/2 (2010).</w:t>
      </w:r>
    </w:p>
  </w:endnote>
  <w:endnote w:id="987">
    <w:p w14:paraId="6717181C" w14:textId="6F12C43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Chile</w:t>
      </w:r>
      <w:r w:rsidRPr="00AC72B5">
        <w:rPr>
          <w:w w:val="98"/>
        </w:rPr>
        <w:t>, ¶ 60, Doc. ONU CRC/C/CHL/CO/4-5 (2015).</w:t>
      </w:r>
    </w:p>
  </w:endnote>
  <w:endnote w:id="988">
    <w:p w14:paraId="7C04CDE6" w14:textId="7275B0C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Eslovaquia</w:t>
      </w:r>
      <w:r w:rsidRPr="00AC72B5">
        <w:rPr>
          <w:w w:val="98"/>
        </w:rPr>
        <w:t>, ¶ 40, Doc. ONU</w:t>
      </w:r>
      <w:r w:rsidRPr="00AC72B5">
        <w:rPr>
          <w:i/>
          <w:w w:val="98"/>
        </w:rPr>
        <w:t xml:space="preserve"> </w:t>
      </w:r>
      <w:r w:rsidRPr="00AC72B5">
        <w:rPr>
          <w:w w:val="98"/>
        </w:rPr>
        <w:t>CRC/C/SVK/CO/3-5 (2016).</w:t>
      </w:r>
    </w:p>
  </w:endnote>
  <w:endnote w:id="989">
    <w:p w14:paraId="5F5BE7B0" w14:textId="062903C6"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India</w:t>
      </w:r>
      <w:r w:rsidRPr="00AC72B5">
        <w:rPr>
          <w:w w:val="98"/>
        </w:rPr>
        <w:t>, ¶ 65, Doc. ONU CRC/C/IND/CO/3-4 (2014).</w:t>
      </w:r>
    </w:p>
  </w:endnote>
  <w:endnote w:id="990">
    <w:p w14:paraId="63D443F2" w14:textId="1B450524"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Surinam</w:t>
      </w:r>
      <w:r w:rsidRPr="00AC72B5">
        <w:rPr>
          <w:w w:val="98"/>
        </w:rPr>
        <w:t xml:space="preserve">, ¶ 31(c), Doc. ONU CRC/C/SUR/CO/3-4 (2016); </w:t>
      </w:r>
      <w:r w:rsidRPr="00AC72B5">
        <w:rPr>
          <w:i/>
          <w:w w:val="98"/>
        </w:rPr>
        <w:t>Pakistán</w:t>
      </w:r>
      <w:r w:rsidRPr="00AC72B5">
        <w:rPr>
          <w:w w:val="98"/>
        </w:rPr>
        <w:t xml:space="preserve">, ¶ 52, Doc. ONU CRC/C/PAK/CO/5 (2016); </w:t>
      </w:r>
      <w:r w:rsidRPr="00AC72B5">
        <w:rPr>
          <w:rFonts w:eastAsia="Times New Roman"/>
          <w:i/>
          <w:w w:val="98"/>
        </w:rPr>
        <w:t>Gabón</w:t>
      </w:r>
      <w:r w:rsidRPr="00AC72B5">
        <w:rPr>
          <w:rFonts w:eastAsia="Times New Roman"/>
          <w:w w:val="98"/>
        </w:rPr>
        <w:t>,</w:t>
      </w:r>
      <w:r w:rsidRPr="00AC72B5">
        <w:rPr>
          <w:rFonts w:eastAsia="Times New Roman"/>
          <w:i/>
          <w:w w:val="98"/>
        </w:rPr>
        <w:t xml:space="preserve"> </w:t>
      </w:r>
      <w:r w:rsidRPr="00AC72B5">
        <w:rPr>
          <w:w w:val="98"/>
        </w:rPr>
        <w:t>¶ 47</w:t>
      </w:r>
      <w:r w:rsidRPr="00AC72B5">
        <w:rPr>
          <w:rFonts w:eastAsia="Times New Roman"/>
          <w:w w:val="98"/>
        </w:rPr>
        <w:t xml:space="preserve">, Doc. ONU </w:t>
      </w:r>
      <w:r w:rsidRPr="00AC72B5">
        <w:rPr>
          <w:w w:val="98"/>
        </w:rPr>
        <w:t xml:space="preserve">CRC/C/GAB/CO/2 (2016); </w:t>
      </w:r>
      <w:r w:rsidRPr="00AC72B5">
        <w:rPr>
          <w:i/>
          <w:w w:val="98"/>
        </w:rPr>
        <w:t>Bulgaria</w:t>
      </w:r>
      <w:r w:rsidRPr="00AC72B5">
        <w:rPr>
          <w:w w:val="98"/>
        </w:rPr>
        <w:t xml:space="preserve">, ¶ 45, Doc. ONU CRC/C/BGR/CO/3-5 (2016); </w:t>
      </w:r>
      <w:r w:rsidRPr="00AC72B5">
        <w:rPr>
          <w:i/>
          <w:w w:val="98"/>
        </w:rPr>
        <w:t>India</w:t>
      </w:r>
      <w:r w:rsidRPr="00AC72B5">
        <w:rPr>
          <w:w w:val="98"/>
        </w:rPr>
        <w:t xml:space="preserve">, ¶ 66, Doc. ONU CRC/C/IND/CO/3-4 (2014); </w:t>
      </w:r>
      <w:r w:rsidRPr="00AC72B5">
        <w:rPr>
          <w:i/>
          <w:w w:val="98"/>
        </w:rPr>
        <w:t>Guinea</w:t>
      </w:r>
      <w:r w:rsidRPr="00AC72B5">
        <w:rPr>
          <w:w w:val="98"/>
        </w:rPr>
        <w:t xml:space="preserve">, ¶ 68, Doc. ONU CRC/C/GIN/CO/2 (2013); </w:t>
      </w:r>
      <w:r w:rsidRPr="00AC72B5">
        <w:rPr>
          <w:i/>
          <w:w w:val="98"/>
        </w:rPr>
        <w:t>Guinea-Bissau</w:t>
      </w:r>
      <w:r w:rsidRPr="00AC72B5">
        <w:rPr>
          <w:w w:val="98"/>
        </w:rPr>
        <w:t xml:space="preserve">, ¶ 55, Doc. ONU CRC/C/GNB/CO/2-4 (2013); </w:t>
      </w:r>
      <w:r w:rsidRPr="00AC72B5">
        <w:rPr>
          <w:i/>
          <w:w w:val="98"/>
        </w:rPr>
        <w:t>Grecia</w:t>
      </w:r>
      <w:r w:rsidRPr="00AC72B5">
        <w:rPr>
          <w:w w:val="98"/>
        </w:rPr>
        <w:t xml:space="preserve">, ¶ 57, Doc. ONU CRC/C/GRC/CO/2-3 (2012); </w:t>
      </w:r>
      <w:r w:rsidRPr="00AC72B5">
        <w:rPr>
          <w:i/>
          <w:w w:val="98"/>
        </w:rPr>
        <w:t>Guatemala</w:t>
      </w:r>
      <w:r w:rsidRPr="00AC72B5">
        <w:rPr>
          <w:w w:val="98"/>
        </w:rPr>
        <w:t xml:space="preserve">, ¶ 75, Doc. ONU CRC/C/GTM/CO/3-4 (2010); </w:t>
      </w:r>
      <w:r w:rsidRPr="00AC72B5">
        <w:rPr>
          <w:i/>
          <w:w w:val="98"/>
        </w:rPr>
        <w:t>Filipinas</w:t>
      </w:r>
      <w:r w:rsidRPr="00AC72B5">
        <w:rPr>
          <w:w w:val="98"/>
        </w:rPr>
        <w:t xml:space="preserve">, ¶ 62, Doc. ONU </w:t>
      </w:r>
      <w:r w:rsidRPr="00AC72B5">
        <w:rPr>
          <w:w w:val="98"/>
        </w:rPr>
        <w:fldChar w:fldCharType="begin"/>
      </w:r>
      <w:r w:rsidRPr="00AC72B5">
        <w:rPr>
          <w:w w:val="98"/>
        </w:rPr>
        <w:instrText xml:space="preserve"> FILLIN  Symbol  \* MERGEFORMAT </w:instrText>
      </w:r>
      <w:r w:rsidRPr="00AC72B5">
        <w:rPr>
          <w:w w:val="98"/>
        </w:rPr>
        <w:fldChar w:fldCharType="separate"/>
      </w:r>
      <w:r w:rsidRPr="00AC72B5">
        <w:rPr>
          <w:w w:val="98"/>
        </w:rPr>
        <w:t>CRC/C/PHL/CO/</w:t>
      </w:r>
      <w:r w:rsidRPr="00AC72B5">
        <w:rPr>
          <w:w w:val="98"/>
        </w:rPr>
        <w:fldChar w:fldCharType="end"/>
      </w:r>
      <w:r w:rsidRPr="00AC72B5">
        <w:rPr>
          <w:w w:val="98"/>
        </w:rPr>
        <w:t xml:space="preserve">3-4 (2009); </w:t>
      </w:r>
      <w:r w:rsidRPr="00AC72B5">
        <w:rPr>
          <w:i/>
          <w:w w:val="98"/>
        </w:rPr>
        <w:t>Bután</w:t>
      </w:r>
      <w:r w:rsidRPr="00AC72B5">
        <w:rPr>
          <w:w w:val="98"/>
        </w:rPr>
        <w:t xml:space="preserve">, ¶ 66, Doc. ONU CRC/C/BTN/CO/2 (2008); </w:t>
      </w:r>
      <w:r w:rsidRPr="00AC72B5">
        <w:rPr>
          <w:i/>
          <w:w w:val="98"/>
        </w:rPr>
        <w:t>Reino Unido de Gran Bretaña e Irlanda del Norte</w:t>
      </w:r>
      <w:r w:rsidRPr="00AC72B5">
        <w:rPr>
          <w:w w:val="98"/>
        </w:rPr>
        <w:t xml:space="preserve">, ¶ 44, Doc. ONU CRC/C/15/Add.188 (2002); </w:t>
      </w:r>
      <w:r w:rsidRPr="00AC72B5">
        <w:rPr>
          <w:i/>
          <w:w w:val="98"/>
        </w:rPr>
        <w:t>Uzbekistán</w:t>
      </w:r>
      <w:r w:rsidRPr="00AC72B5">
        <w:rPr>
          <w:w w:val="98"/>
        </w:rPr>
        <w:t>, ¶ 52, Doc. ONU CRC/C/15/Add.167 (2001).</w:t>
      </w:r>
    </w:p>
  </w:endnote>
  <w:endnote w:id="991">
    <w:p w14:paraId="613F822A" w14:textId="3AECE9D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Surinam</w:t>
      </w:r>
      <w:r w:rsidRPr="00AC72B5">
        <w:rPr>
          <w:w w:val="98"/>
        </w:rPr>
        <w:t xml:space="preserve">, ¶ 31(c), Doc. ONU CRC/C/SUR/CO/3-4 (2016); </w:t>
      </w:r>
      <w:r w:rsidRPr="00AC72B5">
        <w:rPr>
          <w:i/>
          <w:w w:val="98"/>
        </w:rPr>
        <w:t>Eslovaquia</w:t>
      </w:r>
      <w:r w:rsidRPr="00AC72B5">
        <w:rPr>
          <w:w w:val="98"/>
        </w:rPr>
        <w:t>, ¶ 41, Doc. ONU</w:t>
      </w:r>
      <w:r w:rsidRPr="00AC72B5">
        <w:rPr>
          <w:i/>
          <w:w w:val="98"/>
        </w:rPr>
        <w:t xml:space="preserve"> </w:t>
      </w:r>
      <w:r w:rsidRPr="00AC72B5">
        <w:rPr>
          <w:w w:val="98"/>
        </w:rPr>
        <w:t xml:space="preserve">CRC/C/SVK/CO/3-5 (2016); </w:t>
      </w:r>
      <w:r w:rsidRPr="00AC72B5">
        <w:rPr>
          <w:i/>
          <w:w w:val="98"/>
        </w:rPr>
        <w:t>Jamaica</w:t>
      </w:r>
      <w:r w:rsidRPr="00AC72B5">
        <w:rPr>
          <w:w w:val="98"/>
        </w:rPr>
        <w:t>, ¶ 49, Doc. ONU CRC/C/JAM/CO/3-4 (2015).</w:t>
      </w:r>
    </w:p>
  </w:endnote>
  <w:endnote w:id="992">
    <w:p w14:paraId="5C716AA2" w14:textId="17363B6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Pakistán</w:t>
      </w:r>
      <w:r w:rsidRPr="00AC72B5">
        <w:rPr>
          <w:w w:val="98"/>
        </w:rPr>
        <w:t>, ¶ 52, Doc. ONU CRC/C/PAK/CO/5 (2016).</w:t>
      </w:r>
    </w:p>
  </w:endnote>
  <w:endnote w:id="993">
    <w:p w14:paraId="0614BFD7" w14:textId="7B93C0A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Andorra</w:t>
      </w:r>
      <w:r w:rsidRPr="00AC72B5">
        <w:rPr>
          <w:w w:val="98"/>
        </w:rPr>
        <w:t>, ¶ 42, Doc. ONU CRC/C/AND/CO/2 (2012).</w:t>
      </w:r>
    </w:p>
  </w:endnote>
  <w:endnote w:id="994">
    <w:p w14:paraId="65105FAA" w14:textId="204CE1FB"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República de Sudáfrica</w:t>
      </w:r>
      <w:r w:rsidRPr="00AC72B5">
        <w:rPr>
          <w:w w:val="98"/>
        </w:rPr>
        <w:t xml:space="preserve">, ¶ 50, Doc. ONU </w:t>
      </w:r>
      <w:r w:rsidRPr="00AC72B5">
        <w:rPr>
          <w:rFonts w:eastAsia="Times New Roman"/>
          <w:w w:val="98"/>
        </w:rPr>
        <w:t xml:space="preserve">CRC/C/ZAF/CO/2 (2016); </w:t>
      </w:r>
      <w:r w:rsidRPr="00AC72B5">
        <w:rPr>
          <w:i/>
          <w:w w:val="98"/>
        </w:rPr>
        <w:t>Zambia</w:t>
      </w:r>
      <w:r w:rsidRPr="00AC72B5">
        <w:rPr>
          <w:w w:val="98"/>
        </w:rPr>
        <w:t xml:space="preserve">, ¶ 50, Doc. ONU CRC/C/ZMB/CO/2-4 (2016); </w:t>
      </w:r>
      <w:r w:rsidRPr="00AC72B5">
        <w:rPr>
          <w:i/>
          <w:w w:val="98"/>
        </w:rPr>
        <w:t>Letonia</w:t>
      </w:r>
      <w:r w:rsidRPr="00AC72B5">
        <w:rPr>
          <w:w w:val="98"/>
        </w:rPr>
        <w:t xml:space="preserve">, ¶ 51, Doc. ONU CRC/C/LVA/CO/3-5 (2016); </w:t>
      </w:r>
      <w:r w:rsidRPr="00AC72B5">
        <w:rPr>
          <w:rFonts w:eastAsia="Times New Roman"/>
          <w:i/>
          <w:w w:val="98"/>
        </w:rPr>
        <w:t>República Dominicana</w:t>
      </w:r>
      <w:r w:rsidRPr="00AC72B5">
        <w:rPr>
          <w:rFonts w:eastAsia="Times New Roman"/>
          <w:w w:val="98"/>
        </w:rPr>
        <w:t>,</w:t>
      </w:r>
      <w:r w:rsidRPr="00AC72B5">
        <w:rPr>
          <w:rFonts w:eastAsia="Times New Roman"/>
          <w:i/>
          <w:w w:val="98"/>
        </w:rPr>
        <w:t xml:space="preserve"> </w:t>
      </w:r>
      <w:r w:rsidRPr="00AC72B5">
        <w:rPr>
          <w:w w:val="98"/>
        </w:rPr>
        <w:t>¶</w:t>
      </w:r>
      <w:r w:rsidRPr="00AC72B5">
        <w:rPr>
          <w:rFonts w:eastAsia="Times New Roman"/>
          <w:w w:val="98"/>
        </w:rPr>
        <w:t xml:space="preserve"> </w:t>
      </w:r>
      <w:r w:rsidRPr="00AC72B5">
        <w:rPr>
          <w:w w:val="98"/>
        </w:rPr>
        <w:t xml:space="preserve">52, </w:t>
      </w:r>
      <w:r w:rsidRPr="00AC72B5">
        <w:rPr>
          <w:rFonts w:eastAsia="Times New Roman"/>
          <w:w w:val="98"/>
        </w:rPr>
        <w:t xml:space="preserve">Doc. ONU </w:t>
      </w:r>
      <w:r w:rsidRPr="00AC72B5">
        <w:rPr>
          <w:w w:val="98"/>
        </w:rPr>
        <w:t>CRC/C/DOM/CO/3-5 (2015).</w:t>
      </w:r>
    </w:p>
  </w:endnote>
  <w:endnote w:id="995">
    <w:p w14:paraId="4032DE51" w14:textId="76222BE3"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Eslovaquia</w:t>
      </w:r>
      <w:r w:rsidRPr="00AC72B5">
        <w:rPr>
          <w:w w:val="98"/>
        </w:rPr>
        <w:t>, ¶ 41, Doc. ONU</w:t>
      </w:r>
      <w:r w:rsidRPr="00AC72B5">
        <w:rPr>
          <w:i/>
          <w:w w:val="98"/>
        </w:rPr>
        <w:t xml:space="preserve"> </w:t>
      </w:r>
      <w:r w:rsidRPr="00AC72B5">
        <w:rPr>
          <w:w w:val="98"/>
        </w:rPr>
        <w:t>CRC/C/SVK/CO/3-5 (2016).</w:t>
      </w:r>
    </w:p>
  </w:endnote>
  <w:endnote w:id="996">
    <w:p w14:paraId="7A878FEE" w14:textId="016C16A7"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Sudáfrica</w:t>
      </w:r>
      <w:r w:rsidRPr="00AC72B5">
        <w:rPr>
          <w:w w:val="98"/>
        </w:rPr>
        <w:t xml:space="preserve">, ¶ 50, Doc. ONU </w:t>
      </w:r>
      <w:r w:rsidRPr="00AC72B5">
        <w:rPr>
          <w:rFonts w:eastAsia="Times New Roman"/>
          <w:w w:val="98"/>
        </w:rPr>
        <w:t>CRC/C/ZAF/CO/2 (2016).</w:t>
      </w:r>
    </w:p>
  </w:endnote>
  <w:endnote w:id="997">
    <w:p w14:paraId="3DA99ABE" w14:textId="66A0880D"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Eslovaquia</w:t>
      </w:r>
      <w:r w:rsidRPr="00AC72B5">
        <w:rPr>
          <w:w w:val="98"/>
        </w:rPr>
        <w:t>, ¶ 41, Doc. ONU</w:t>
      </w:r>
      <w:r w:rsidRPr="00AC72B5">
        <w:rPr>
          <w:i/>
          <w:w w:val="98"/>
        </w:rPr>
        <w:t xml:space="preserve"> </w:t>
      </w:r>
      <w:r w:rsidRPr="00AC72B5">
        <w:rPr>
          <w:w w:val="98"/>
        </w:rPr>
        <w:t>CRC/C/SVK/CO/3-5 (2016).</w:t>
      </w:r>
    </w:p>
  </w:endnote>
  <w:endnote w:id="998">
    <w:p w14:paraId="2EA2397A" w14:textId="34C29CEA"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 xml:space="preserve">, Comité CDN, </w:t>
      </w:r>
      <w:r w:rsidRPr="00AC72B5">
        <w:rPr>
          <w:i/>
          <w:w w:val="98"/>
        </w:rPr>
        <w:t>Observaciones Finales: Pakistán</w:t>
      </w:r>
      <w:r w:rsidRPr="00AC72B5">
        <w:rPr>
          <w:w w:val="98"/>
        </w:rPr>
        <w:t xml:space="preserve">, ¶ 65, Doc. ONU CRC/C/PAK/CO/3-4 (2009); </w:t>
      </w:r>
      <w:r w:rsidRPr="00AC72B5">
        <w:rPr>
          <w:i/>
          <w:w w:val="98"/>
        </w:rPr>
        <w:t>Georgia</w:t>
      </w:r>
      <w:r w:rsidRPr="00AC72B5">
        <w:rPr>
          <w:w w:val="98"/>
        </w:rPr>
        <w:t xml:space="preserve">, ¶ 48, Doc. ONU CRC/C/GEO/CO/3 (2008); </w:t>
      </w:r>
      <w:r w:rsidRPr="00AC72B5">
        <w:rPr>
          <w:i/>
          <w:w w:val="98"/>
        </w:rPr>
        <w:t>Uganda</w:t>
      </w:r>
      <w:r w:rsidRPr="00AC72B5">
        <w:rPr>
          <w:w w:val="98"/>
        </w:rPr>
        <w:t xml:space="preserve">, ¶ 54, Doc. ONU CRC/C/UGA/CO/2 (2005); </w:t>
      </w:r>
      <w:r w:rsidRPr="00AC72B5">
        <w:rPr>
          <w:i/>
          <w:w w:val="98"/>
        </w:rPr>
        <w:t>República Unida de Tanzania</w:t>
      </w:r>
      <w:r w:rsidRPr="00AC72B5">
        <w:rPr>
          <w:w w:val="98"/>
        </w:rPr>
        <w:t xml:space="preserve">, ¶ 49, Doc. ONU CRC/C/15/Add.156 (2001); </w:t>
      </w:r>
      <w:r w:rsidRPr="00AC72B5">
        <w:rPr>
          <w:i/>
          <w:w w:val="98"/>
        </w:rPr>
        <w:t>Uzbekistán</w:t>
      </w:r>
      <w:r w:rsidRPr="00AC72B5">
        <w:rPr>
          <w:w w:val="98"/>
        </w:rPr>
        <w:t xml:space="preserve">, ¶ 52, Doc. ONU CRC/C/15/Add.167 (2001); </w:t>
      </w:r>
      <w:r w:rsidRPr="00AC72B5">
        <w:rPr>
          <w:i/>
          <w:w w:val="98"/>
        </w:rPr>
        <w:t>Tayikistán</w:t>
      </w:r>
      <w:r w:rsidRPr="00AC72B5">
        <w:rPr>
          <w:w w:val="98"/>
        </w:rPr>
        <w:t>, ¶ 41, Doc. ONU CRC/C/15/Add.136 (2000).</w:t>
      </w:r>
    </w:p>
  </w:endnote>
  <w:endnote w:id="999">
    <w:p w14:paraId="2083B79E" w14:textId="1507E2FE"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w:t>
      </w:r>
      <w:r w:rsidRPr="00AC72B5">
        <w:rPr>
          <w:i/>
          <w:w w:val="98"/>
        </w:rPr>
        <w:t xml:space="preserve"> </w:t>
      </w:r>
      <w:r w:rsidRPr="00AC72B5">
        <w:rPr>
          <w:w w:val="98"/>
        </w:rPr>
        <w:t xml:space="preserve">Comité CDN, </w:t>
      </w:r>
      <w:r w:rsidRPr="00AC72B5">
        <w:rPr>
          <w:i/>
          <w:w w:val="98"/>
        </w:rPr>
        <w:t>Observaciones Finales: Palau</w:t>
      </w:r>
      <w:r w:rsidRPr="00AC72B5">
        <w:rPr>
          <w:w w:val="98"/>
        </w:rPr>
        <w:t xml:space="preserve">, ¶ 49, Doc. ONU CRC/C/15/Add.149 (2001); </w:t>
      </w:r>
      <w:r w:rsidRPr="00AC72B5">
        <w:rPr>
          <w:i/>
          <w:w w:val="98"/>
        </w:rPr>
        <w:t>Georgia</w:t>
      </w:r>
      <w:r w:rsidRPr="00AC72B5">
        <w:rPr>
          <w:w w:val="98"/>
        </w:rPr>
        <w:t xml:space="preserve">, ¶ 47, Doc. ONU CRC/C/15/Add.124 (2000); </w:t>
      </w:r>
      <w:r w:rsidRPr="00AC72B5">
        <w:rPr>
          <w:i/>
          <w:w w:val="98"/>
        </w:rPr>
        <w:t>Granada</w:t>
      </w:r>
      <w:r w:rsidRPr="00AC72B5">
        <w:rPr>
          <w:w w:val="98"/>
        </w:rPr>
        <w:t xml:space="preserve">, ¶ 22, Doc. ONU CRC/C/15/Add.121 (2000); </w:t>
      </w:r>
      <w:r w:rsidRPr="00AC72B5">
        <w:rPr>
          <w:i/>
          <w:w w:val="98"/>
        </w:rPr>
        <w:t>Reino Unido de Gran Bretaña e Irlanda del Norte</w:t>
      </w:r>
      <w:r w:rsidRPr="00AC72B5">
        <w:rPr>
          <w:w w:val="98"/>
        </w:rPr>
        <w:t>, ¶ 38, Doc. ONU CRC/C/15/Add.135 (2000).</w:t>
      </w:r>
    </w:p>
  </w:endnote>
  <w:endnote w:id="1000">
    <w:p w14:paraId="7827E802" w14:textId="78B39F20" w:rsidR="005E3DDD" w:rsidRPr="00AC72B5" w:rsidRDefault="005E3DDD" w:rsidP="00AC72B5">
      <w:pPr>
        <w:pStyle w:val="EndnoteText"/>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Eslovaquia</w:t>
      </w:r>
      <w:r w:rsidRPr="00AC72B5">
        <w:rPr>
          <w:w w:val="98"/>
        </w:rPr>
        <w:t>, ¶ 40, Doc. ONU</w:t>
      </w:r>
      <w:r w:rsidRPr="00AC72B5">
        <w:rPr>
          <w:i/>
          <w:w w:val="98"/>
        </w:rPr>
        <w:t xml:space="preserve"> </w:t>
      </w:r>
      <w:r w:rsidRPr="00AC72B5">
        <w:rPr>
          <w:w w:val="98"/>
        </w:rPr>
        <w:t>CRC/C/SVK/CO/3-5 (2016).</w:t>
      </w:r>
    </w:p>
  </w:endnote>
  <w:endnote w:id="1001">
    <w:p w14:paraId="2DFC9D19" w14:textId="16B1B275"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w:t>
      </w:r>
      <w:r w:rsidRPr="00AC72B5">
        <w:rPr>
          <w:i/>
          <w:w w:val="98"/>
        </w:rPr>
        <w:t xml:space="preserve"> Observaciones Finales: Ecuador</w:t>
      </w:r>
      <w:r w:rsidRPr="00AC72B5">
        <w:rPr>
          <w:w w:val="98"/>
        </w:rPr>
        <w:t>, ¶ 60, Doc. ONU CRC/C/OPSC/ECU/CO/4 (2010).</w:t>
      </w:r>
    </w:p>
  </w:endnote>
  <w:endnote w:id="1002">
    <w:p w14:paraId="4F239209" w14:textId="414646B6"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Filipinas</w:t>
      </w:r>
      <w:r w:rsidRPr="00AC72B5">
        <w:rPr>
          <w:w w:val="98"/>
        </w:rPr>
        <w:t>, ¶¶ 62, Doc. ONU CRC/C/15/Add.259 (2005).</w:t>
      </w:r>
    </w:p>
  </w:endnote>
  <w:endnote w:id="1003">
    <w:p w14:paraId="22A647D3" w14:textId="476536C1" w:rsidR="005E3DDD" w:rsidRPr="00AC72B5" w:rsidRDefault="005E3DDD" w:rsidP="00E12C89">
      <w:pPr>
        <w:pStyle w:val="EndnoteText"/>
        <w:ind w:hanging="223"/>
        <w:rPr>
          <w:i/>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Zimbabue</w:t>
      </w:r>
      <w:r w:rsidRPr="00AC72B5">
        <w:rPr>
          <w:w w:val="98"/>
        </w:rPr>
        <w:t>, ¶ 60, Doc. ONU CRC/C/ZWE/CO/2 (2016).</w:t>
      </w:r>
    </w:p>
  </w:endnote>
  <w:endnote w:id="1004">
    <w:p w14:paraId="601E3A59" w14:textId="3ABEF6B0"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Samoa</w:t>
      </w:r>
      <w:r w:rsidRPr="00AC72B5">
        <w:rPr>
          <w:w w:val="98"/>
        </w:rPr>
        <w:t xml:space="preserve">, ¶ 47, Doc. ONU CRC/C/WSM/CO/2-4 (2016); </w:t>
      </w:r>
      <w:r w:rsidRPr="00AC72B5">
        <w:rPr>
          <w:i/>
          <w:w w:val="98"/>
        </w:rPr>
        <w:t>Zambia</w:t>
      </w:r>
      <w:r w:rsidRPr="00AC72B5">
        <w:rPr>
          <w:w w:val="98"/>
        </w:rPr>
        <w:t>, ¶ 50, Doc. ONU CRC/C/ZMB/CO/2-4 (2016).</w:t>
      </w:r>
    </w:p>
  </w:endnote>
  <w:endnote w:id="1005">
    <w:p w14:paraId="02B15A3A" w14:textId="048ED67A"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Samoa</w:t>
      </w:r>
      <w:r w:rsidRPr="00AC72B5">
        <w:rPr>
          <w:w w:val="98"/>
        </w:rPr>
        <w:t xml:space="preserve">, ¶ 47, Doc. ONU CRC/C/WSM/CO/2-4 (2016); </w:t>
      </w:r>
      <w:r w:rsidRPr="00AC72B5">
        <w:rPr>
          <w:i/>
          <w:w w:val="98"/>
        </w:rPr>
        <w:t>Zambia</w:t>
      </w:r>
      <w:r w:rsidRPr="00AC72B5">
        <w:rPr>
          <w:w w:val="98"/>
        </w:rPr>
        <w:t>, ¶ 50, Doc. ONU CRC/C/ZMB/CO/2-4 (2016).</w:t>
      </w:r>
    </w:p>
  </w:endnote>
  <w:endnote w:id="1006">
    <w:p w14:paraId="68DF1A24" w14:textId="4DEA9887"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Senegal</w:t>
      </w:r>
      <w:r w:rsidRPr="00AC72B5">
        <w:rPr>
          <w:w w:val="98"/>
        </w:rPr>
        <w:t>, ¶ 54, Doc. ONU CRC/C/SVK/CO/3-5 (2016).</w:t>
      </w:r>
    </w:p>
  </w:endnote>
  <w:endnote w:id="1007">
    <w:p w14:paraId="51FAC453" w14:textId="37016849"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Perú</w:t>
      </w:r>
      <w:r w:rsidRPr="00AC72B5">
        <w:rPr>
          <w:w w:val="98"/>
        </w:rPr>
        <w:t xml:space="preserve">, ¶ 55, Doc. ONU CRC/C/PER/CO/4-5 (2016); </w:t>
      </w:r>
      <w:r w:rsidRPr="00AC72B5">
        <w:rPr>
          <w:i/>
          <w:w w:val="98"/>
        </w:rPr>
        <w:t>Irlanda</w:t>
      </w:r>
      <w:r w:rsidRPr="00AC72B5">
        <w:rPr>
          <w:w w:val="98"/>
        </w:rPr>
        <w:t>, ¶ 57, Doc. ONU CRC/C/IRL/CO/3-4 (2016).</w:t>
      </w:r>
    </w:p>
  </w:endnote>
  <w:endnote w:id="1008">
    <w:p w14:paraId="1C4A8E8E" w14:textId="00474FCC"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Costa Rica</w:t>
      </w:r>
      <w:r w:rsidRPr="00AC72B5">
        <w:rPr>
          <w:w w:val="98"/>
        </w:rPr>
        <w:t>, ¶ 63, Doc. ONU CRC/C/CRI/CO/4 (2011).</w:t>
      </w:r>
    </w:p>
  </w:endnote>
  <w:endnote w:id="1009">
    <w:p w14:paraId="734B8E5D" w14:textId="51361CA1"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Ecuador</w:t>
      </w:r>
      <w:r w:rsidRPr="00AC72B5">
        <w:rPr>
          <w:w w:val="98"/>
        </w:rPr>
        <w:t>, ¶ 60, Doc. ONU CRC/C/OPSC/ECU/CO/4 (2010).</w:t>
      </w:r>
    </w:p>
  </w:endnote>
  <w:endnote w:id="1010">
    <w:p w14:paraId="34A16924" w14:textId="6900052C"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Perú</w:t>
      </w:r>
      <w:r w:rsidRPr="00AC72B5">
        <w:rPr>
          <w:w w:val="98"/>
        </w:rPr>
        <w:t xml:space="preserve">, ¶ 56, Doc. ONU CRC/C/PER/CO/4-5 (2016); </w:t>
      </w:r>
      <w:r w:rsidRPr="00AC72B5">
        <w:rPr>
          <w:i/>
          <w:w w:val="98"/>
        </w:rPr>
        <w:t>Costa Rica</w:t>
      </w:r>
      <w:r w:rsidRPr="00AC72B5">
        <w:rPr>
          <w:w w:val="98"/>
        </w:rPr>
        <w:t>, ¶ 64, Doc. ONU CRC/C/CRI/CO/4 (2011).</w:t>
      </w:r>
    </w:p>
  </w:endnote>
  <w:endnote w:id="1011">
    <w:p w14:paraId="2F4B5E86" w14:textId="08E1AED7"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Costa Rica</w:t>
      </w:r>
      <w:r w:rsidRPr="00AC72B5">
        <w:rPr>
          <w:w w:val="98"/>
        </w:rPr>
        <w:t>, ¶ 53, Doc. ONU CRC/C/CRI/CO/4 (2011).</w:t>
      </w:r>
    </w:p>
  </w:endnote>
  <w:endnote w:id="1012">
    <w:p w14:paraId="7976095A" w14:textId="0B8B7EFF"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Ecuador</w:t>
      </w:r>
      <w:r w:rsidRPr="00AC72B5">
        <w:rPr>
          <w:w w:val="98"/>
        </w:rPr>
        <w:t>, ¶ 61, Doc. ONU CRC/C/OPSC/ECU/CO/4 (2010).</w:t>
      </w:r>
    </w:p>
  </w:endnote>
  <w:endnote w:id="1013">
    <w:p w14:paraId="4051B742" w14:textId="1C2DFF4F"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Bulgaria</w:t>
      </w:r>
      <w:r w:rsidRPr="00AC72B5">
        <w:rPr>
          <w:w w:val="98"/>
        </w:rPr>
        <w:t xml:space="preserve">, ¶ 44, Doc. ONU CRC/C/BGR/CO/3-5 (2016); </w:t>
      </w:r>
      <w:r w:rsidRPr="00AC72B5">
        <w:rPr>
          <w:i/>
          <w:w w:val="98"/>
        </w:rPr>
        <w:t>Hungría</w:t>
      </w:r>
      <w:r w:rsidRPr="00AC72B5">
        <w:rPr>
          <w:w w:val="98"/>
        </w:rPr>
        <w:t xml:space="preserve">, ¶ 48, Doc. ONU CRC/C/HUN/CO/3-5 (2014); </w:t>
      </w:r>
      <w:r w:rsidRPr="00AC72B5">
        <w:rPr>
          <w:i/>
          <w:w w:val="98"/>
        </w:rPr>
        <w:t>Kazajistán</w:t>
      </w:r>
      <w:r w:rsidRPr="00AC72B5">
        <w:rPr>
          <w:w w:val="98"/>
        </w:rPr>
        <w:t>,</w:t>
      </w:r>
      <w:r w:rsidRPr="00AC72B5">
        <w:rPr>
          <w:i/>
          <w:w w:val="98"/>
        </w:rPr>
        <w:t xml:space="preserve"> </w:t>
      </w:r>
      <w:r w:rsidRPr="00AC72B5">
        <w:rPr>
          <w:w w:val="98"/>
        </w:rPr>
        <w:t xml:space="preserve">¶ 46, Doc. ONU CRC/C/KAZ/CO/4 (2015); </w:t>
      </w:r>
      <w:r w:rsidRPr="00AC72B5">
        <w:rPr>
          <w:i/>
          <w:w w:val="98"/>
        </w:rPr>
        <w:t>Pakistán</w:t>
      </w:r>
      <w:r w:rsidRPr="00AC72B5">
        <w:rPr>
          <w:w w:val="98"/>
        </w:rPr>
        <w:t xml:space="preserve">, ¶ 64, Doc. ONU CRC/C/PAK/CO/3-4 (2009); </w:t>
      </w:r>
      <w:r w:rsidRPr="00AC72B5">
        <w:rPr>
          <w:i/>
          <w:w w:val="98"/>
        </w:rPr>
        <w:t>Georgia</w:t>
      </w:r>
      <w:r w:rsidRPr="00AC72B5">
        <w:rPr>
          <w:w w:val="98"/>
        </w:rPr>
        <w:t xml:space="preserve">, ¶ 47, Doc. ONU CRC/C/GEO/CO/3 (2008); </w:t>
      </w:r>
      <w:r w:rsidRPr="00AC72B5">
        <w:rPr>
          <w:i/>
          <w:w w:val="98"/>
        </w:rPr>
        <w:t>Bielorrusia</w:t>
      </w:r>
      <w:r w:rsidRPr="00AC72B5">
        <w:rPr>
          <w:w w:val="98"/>
        </w:rPr>
        <w:t xml:space="preserve">, ¶ 43, Doc. ONU CRC/C/15/Add.180 (2002); </w:t>
      </w:r>
      <w:r w:rsidRPr="00AC72B5">
        <w:rPr>
          <w:i/>
          <w:w w:val="98"/>
        </w:rPr>
        <w:t>Uzbekistán</w:t>
      </w:r>
      <w:r w:rsidRPr="00AC72B5">
        <w:rPr>
          <w:w w:val="98"/>
        </w:rPr>
        <w:t>, ¶ 51, Doc. ONU CRC/C/15/Add.167 (2001).</w:t>
      </w:r>
    </w:p>
  </w:endnote>
  <w:endnote w:id="1014">
    <w:p w14:paraId="19F038AB" w14:textId="718E89D7"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Bielorrusia</w:t>
      </w:r>
      <w:r w:rsidRPr="00AC72B5">
        <w:rPr>
          <w:w w:val="98"/>
        </w:rPr>
        <w:t xml:space="preserve">, ¶ 47, Doc. ONU CCPR/C/CZE/CO/2 (2008); </w:t>
      </w:r>
      <w:r w:rsidRPr="00AC72B5">
        <w:rPr>
          <w:i/>
          <w:w w:val="98"/>
        </w:rPr>
        <w:t>Grecia</w:t>
      </w:r>
      <w:r w:rsidRPr="00AC72B5">
        <w:rPr>
          <w:w w:val="98"/>
        </w:rPr>
        <w:t xml:space="preserve">, ¶ 60, Doc. ONU CRC/C/15/Add.170 (2007); </w:t>
      </w:r>
      <w:r w:rsidRPr="00AC72B5">
        <w:rPr>
          <w:i/>
          <w:w w:val="98"/>
        </w:rPr>
        <w:t>Albania</w:t>
      </w:r>
      <w:r w:rsidRPr="00AC72B5">
        <w:rPr>
          <w:w w:val="98"/>
        </w:rPr>
        <w:t xml:space="preserve">, ¶ 56, Doc. ONU CRC/C/15/Add.249 (2005); </w:t>
      </w:r>
      <w:r w:rsidRPr="00AC72B5">
        <w:rPr>
          <w:i/>
          <w:w w:val="98"/>
        </w:rPr>
        <w:t>Armenia</w:t>
      </w:r>
      <w:r w:rsidRPr="00AC72B5">
        <w:rPr>
          <w:w w:val="98"/>
        </w:rPr>
        <w:t>, ¶ 36, Doc. ONU CRC/C/15/Add.119 (2000).</w:t>
      </w:r>
    </w:p>
  </w:endnote>
  <w:endnote w:id="1015">
    <w:p w14:paraId="2FBABBDC" w14:textId="79839EDE"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w:t>
      </w:r>
      <w:r>
        <w:rPr>
          <w:w w:val="98"/>
        </w:rPr>
        <w:t xml:space="preserve"> </w:t>
      </w:r>
      <w:r w:rsidRPr="00AC72B5">
        <w:rPr>
          <w:w w:val="98"/>
        </w:rPr>
        <w:t xml:space="preserve">CDN, </w:t>
      </w:r>
      <w:r w:rsidRPr="00AC72B5">
        <w:rPr>
          <w:i/>
          <w:w w:val="98"/>
        </w:rPr>
        <w:t>Observaciones Finales: Hungría</w:t>
      </w:r>
      <w:r w:rsidRPr="00AC72B5">
        <w:rPr>
          <w:w w:val="98"/>
        </w:rPr>
        <w:t xml:space="preserve">, ¶ 49, Doc. ONU CRC/C/HUN/CO/3-5 (2014); </w:t>
      </w:r>
      <w:r w:rsidRPr="00AC72B5">
        <w:rPr>
          <w:i/>
          <w:w w:val="98"/>
        </w:rPr>
        <w:t>Pakistán</w:t>
      </w:r>
      <w:r w:rsidRPr="00AC72B5">
        <w:rPr>
          <w:w w:val="98"/>
        </w:rPr>
        <w:t xml:space="preserve">, ¶ 65, Doc. ONU CRC/C/PAK/CO/3-4 (2009); </w:t>
      </w:r>
      <w:r w:rsidRPr="00AC72B5">
        <w:rPr>
          <w:i/>
          <w:w w:val="98"/>
        </w:rPr>
        <w:t>Bielorrusia</w:t>
      </w:r>
      <w:r w:rsidRPr="00AC72B5">
        <w:rPr>
          <w:w w:val="98"/>
        </w:rPr>
        <w:t xml:space="preserve">, ¶ 48, Doc. ONU CCPR/C/CZE/CO/2 (2008); </w:t>
      </w:r>
      <w:r w:rsidRPr="00AC72B5">
        <w:rPr>
          <w:i/>
          <w:w w:val="98"/>
        </w:rPr>
        <w:t>Grecia</w:t>
      </w:r>
      <w:r w:rsidRPr="00AC72B5">
        <w:rPr>
          <w:w w:val="98"/>
        </w:rPr>
        <w:t>, ¶ 61, Doc. ONU CRC/C/15/Add.170 (2007).</w:t>
      </w:r>
    </w:p>
  </w:endnote>
  <w:endnote w:id="1016">
    <w:p w14:paraId="29C5A231" w14:textId="5D7DD4C4"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Tayikistán</w:t>
      </w:r>
      <w:r w:rsidRPr="00AC72B5">
        <w:rPr>
          <w:w w:val="98"/>
        </w:rPr>
        <w:t>, ¶ 41, Doc. ONU CRC/C/15/Add.136 (2000).</w:t>
      </w:r>
    </w:p>
  </w:endnote>
  <w:endnote w:id="1017">
    <w:p w14:paraId="415EB1CA" w14:textId="3944287C"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Gambia</w:t>
      </w:r>
      <w:r w:rsidRPr="00AC72B5">
        <w:rPr>
          <w:w w:val="98"/>
        </w:rPr>
        <w:t>, ¶ 61, Doc. ONU CRC/C/GMB/CO/2-3 (2015).</w:t>
      </w:r>
    </w:p>
  </w:endnote>
  <w:endnote w:id="1018">
    <w:p w14:paraId="6BB7FF7E" w14:textId="3F669ABC"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Bulgaria</w:t>
      </w:r>
      <w:r w:rsidRPr="00AC72B5">
        <w:rPr>
          <w:w w:val="98"/>
        </w:rPr>
        <w:t>, ¶ 41, Doc. ONU CRC/C/BGR/CO/3-5 (2016).</w:t>
      </w:r>
    </w:p>
  </w:endnote>
  <w:endnote w:id="1019">
    <w:p w14:paraId="6F686F86" w14:textId="7A0D6BB0"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Omán</w:t>
      </w:r>
      <w:r w:rsidRPr="00AC72B5">
        <w:rPr>
          <w:w w:val="98"/>
        </w:rPr>
        <w:t>, ¶ 50, Doc. ONU CRC/C/OMN/CO/3-4 (2016).</w:t>
      </w:r>
    </w:p>
  </w:endnote>
  <w:endnote w:id="1020">
    <w:p w14:paraId="7D62C8B4" w14:textId="6568563D"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w:t>
      </w:r>
      <w:r w:rsidRPr="00AC72B5">
        <w:rPr>
          <w:i/>
          <w:w w:val="98"/>
        </w:rPr>
        <w:t xml:space="preserve"> </w:t>
      </w:r>
      <w:r w:rsidRPr="00AC72B5">
        <w:rPr>
          <w:w w:val="98"/>
        </w:rPr>
        <w:t xml:space="preserve">Comité CDN, </w:t>
      </w:r>
      <w:r w:rsidRPr="00AC72B5">
        <w:rPr>
          <w:i/>
          <w:w w:val="98"/>
        </w:rPr>
        <w:t>Observaciones Finales: Surinam</w:t>
      </w:r>
      <w:r w:rsidRPr="00AC72B5">
        <w:rPr>
          <w:w w:val="98"/>
        </w:rPr>
        <w:t xml:space="preserve">, ¶ 28, Doc. ONU CRC/C/SUR/CO/3-4 (2016); </w:t>
      </w:r>
      <w:r w:rsidRPr="00AC72B5">
        <w:rPr>
          <w:i/>
          <w:w w:val="98"/>
        </w:rPr>
        <w:t>Pakistán</w:t>
      </w:r>
      <w:r w:rsidRPr="00AC72B5">
        <w:rPr>
          <w:w w:val="98"/>
        </w:rPr>
        <w:t xml:space="preserve">, ¶ 22, Doc. ONU CRC/C/PAK/CO/5 (2016); </w:t>
      </w:r>
      <w:r w:rsidRPr="00AC72B5">
        <w:rPr>
          <w:i/>
          <w:w w:val="98"/>
        </w:rPr>
        <w:t>Haití</w:t>
      </w:r>
      <w:r w:rsidRPr="00AC72B5">
        <w:rPr>
          <w:w w:val="98"/>
        </w:rPr>
        <w:t xml:space="preserve">, ¶ 48, Doc. ONU CRC/C/HTI/CO/2-3 (2016); </w:t>
      </w:r>
      <w:r w:rsidRPr="00AC72B5">
        <w:rPr>
          <w:i/>
          <w:w w:val="98"/>
        </w:rPr>
        <w:t>Eritrea</w:t>
      </w:r>
      <w:r w:rsidRPr="00AC72B5">
        <w:rPr>
          <w:w w:val="98"/>
        </w:rPr>
        <w:t xml:space="preserve">, ¶ 55, Doc. ONU CRC/C/ERI/CO/4 (2015); </w:t>
      </w:r>
      <w:r w:rsidRPr="00AC72B5">
        <w:rPr>
          <w:i/>
          <w:w w:val="98"/>
        </w:rPr>
        <w:t>Timor-Leste</w:t>
      </w:r>
      <w:r w:rsidRPr="00AC72B5">
        <w:rPr>
          <w:w w:val="98"/>
        </w:rPr>
        <w:t xml:space="preserve">, ¶ 46, Doc. ONU CRC/C/TLS/CO/2-3 (2015); </w:t>
      </w:r>
      <w:r w:rsidRPr="00AC72B5">
        <w:rPr>
          <w:i/>
          <w:w w:val="98"/>
        </w:rPr>
        <w:t>Ghana</w:t>
      </w:r>
      <w:r w:rsidRPr="00AC72B5">
        <w:rPr>
          <w:w w:val="98"/>
        </w:rPr>
        <w:t xml:space="preserve">, ¶ 49, Doc. ONU </w:t>
      </w:r>
      <w:r w:rsidRPr="00AC72B5">
        <w:rPr>
          <w:rFonts w:eastAsia="Times New Roman"/>
          <w:w w:val="98"/>
        </w:rPr>
        <w:t xml:space="preserve">CRC/C/GHA/CO/3-5 (2015); </w:t>
      </w:r>
      <w:r w:rsidRPr="00AC72B5">
        <w:rPr>
          <w:i/>
          <w:w w:val="98"/>
        </w:rPr>
        <w:t>India</w:t>
      </w:r>
      <w:r w:rsidRPr="00AC72B5">
        <w:rPr>
          <w:w w:val="98"/>
        </w:rPr>
        <w:t xml:space="preserve">, ¶ 63, Doc. ONU CRC/C/IND/CO/3-4 (2014); </w:t>
      </w:r>
      <w:r w:rsidRPr="00AC72B5">
        <w:rPr>
          <w:i/>
          <w:w w:val="98"/>
        </w:rPr>
        <w:t>Angola</w:t>
      </w:r>
      <w:r w:rsidRPr="00AC72B5">
        <w:rPr>
          <w:w w:val="98"/>
        </w:rPr>
        <w:t xml:space="preserve">, ¶ 49, Doc. ONU CRC/C/HACE/CO/2-4 (2010); </w:t>
      </w:r>
      <w:r w:rsidRPr="00AC72B5">
        <w:rPr>
          <w:i/>
          <w:w w:val="98"/>
        </w:rPr>
        <w:t>Burundí</w:t>
      </w:r>
      <w:r w:rsidRPr="00AC72B5">
        <w:rPr>
          <w:w w:val="98"/>
        </w:rPr>
        <w:t xml:space="preserve">, ¶ 52, Doc. ONU CRC/C/BDI/CO/2 (2010); </w:t>
      </w:r>
      <w:r w:rsidRPr="00AC72B5">
        <w:rPr>
          <w:i/>
          <w:w w:val="98"/>
        </w:rPr>
        <w:t>Argentina</w:t>
      </w:r>
      <w:r w:rsidRPr="00AC72B5">
        <w:rPr>
          <w:w w:val="98"/>
        </w:rPr>
        <w:t xml:space="preserve">, ¶ 58, Doc. ONU CRC/C/ARG/CO/3-4 (2010); </w:t>
      </w:r>
      <w:r w:rsidRPr="00AC72B5">
        <w:rPr>
          <w:i/>
          <w:w w:val="98"/>
        </w:rPr>
        <w:t>Azerbaiyán</w:t>
      </w:r>
      <w:r w:rsidRPr="00AC72B5">
        <w:rPr>
          <w:w w:val="98"/>
        </w:rPr>
        <w:t xml:space="preserve">, ¶ 49, Doc. ONU CRC/C/AZE/CO/2 (2006); </w:t>
      </w:r>
      <w:r w:rsidRPr="00AC72B5">
        <w:rPr>
          <w:i/>
          <w:w w:val="98"/>
        </w:rPr>
        <w:t>Benin</w:t>
      </w:r>
      <w:r w:rsidRPr="00AC72B5">
        <w:rPr>
          <w:w w:val="98"/>
        </w:rPr>
        <w:t xml:space="preserve">, ¶ 51, Doc. ONU CRC/C/BEN/CO/2 (2006); </w:t>
      </w:r>
      <w:r w:rsidRPr="00AC72B5">
        <w:rPr>
          <w:i/>
          <w:w w:val="98"/>
        </w:rPr>
        <w:t>Argelia</w:t>
      </w:r>
      <w:r w:rsidRPr="00AC72B5">
        <w:rPr>
          <w:w w:val="98"/>
        </w:rPr>
        <w:t xml:space="preserve">, ¶ 56, Doc. ONU CRC/C/15/Add.269 (2005); </w:t>
      </w:r>
      <w:r w:rsidRPr="00AC72B5">
        <w:rPr>
          <w:i/>
          <w:w w:val="98"/>
        </w:rPr>
        <w:t>Botswana</w:t>
      </w:r>
      <w:r w:rsidRPr="00AC72B5">
        <w:rPr>
          <w:w w:val="98"/>
        </w:rPr>
        <w:t>, ¶ 48, Doc. ONU CRC/C/15/Add.242 (2004).</w:t>
      </w:r>
    </w:p>
  </w:endnote>
  <w:endnote w:id="1021">
    <w:p w14:paraId="67150C58" w14:textId="07EDC93E"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República de Sudáfrica</w:t>
      </w:r>
      <w:r w:rsidRPr="00AC72B5">
        <w:rPr>
          <w:w w:val="98"/>
        </w:rPr>
        <w:t xml:space="preserve">, ¶ 49, Doc. ONU CRC/C/ZAF/CO/2 (2016); </w:t>
      </w:r>
      <w:r w:rsidRPr="00AC72B5">
        <w:rPr>
          <w:i/>
          <w:w w:val="98"/>
        </w:rPr>
        <w:t>Kenia</w:t>
      </w:r>
      <w:r w:rsidRPr="00AC72B5">
        <w:rPr>
          <w:w w:val="98"/>
        </w:rPr>
        <w:t xml:space="preserve">, ¶ 49, Doc. ONU CRC/C/KEN/CO/3-5 (2016); </w:t>
      </w:r>
      <w:r w:rsidRPr="00AC72B5">
        <w:rPr>
          <w:i/>
          <w:w w:val="98"/>
        </w:rPr>
        <w:t>Colombia</w:t>
      </w:r>
      <w:r w:rsidRPr="00AC72B5">
        <w:rPr>
          <w:w w:val="98"/>
        </w:rPr>
        <w:t xml:space="preserve">, ¶ 43, Doc. ONU CRC/C/COL/CO/4-5 (2015); </w:t>
      </w:r>
      <w:r w:rsidRPr="00AC72B5">
        <w:rPr>
          <w:i/>
          <w:w w:val="98"/>
        </w:rPr>
        <w:t>República Dominicana</w:t>
      </w:r>
      <w:r w:rsidRPr="00AC72B5">
        <w:rPr>
          <w:w w:val="98"/>
        </w:rPr>
        <w:t xml:space="preserve">, ¶ 51, Doc. ONU CRC/C/DOM/CO/3-5 (2015); </w:t>
      </w:r>
      <w:r w:rsidRPr="00AC72B5">
        <w:rPr>
          <w:i/>
          <w:w w:val="98"/>
        </w:rPr>
        <w:t>Ghana</w:t>
      </w:r>
      <w:r w:rsidRPr="00AC72B5">
        <w:rPr>
          <w:w w:val="98"/>
        </w:rPr>
        <w:t xml:space="preserve">, ¶ 49, Doc. ONU CRC/C/GHA/CO/3-5 (2015); </w:t>
      </w:r>
      <w:r w:rsidRPr="00AC72B5">
        <w:rPr>
          <w:i/>
          <w:w w:val="98"/>
        </w:rPr>
        <w:t>México</w:t>
      </w:r>
      <w:r w:rsidRPr="00AC72B5">
        <w:rPr>
          <w:w w:val="98"/>
        </w:rPr>
        <w:t xml:space="preserve">, ¶ 49, Doc. ONU CRC/C/MEX/CO/4-5 (2015); </w:t>
      </w:r>
      <w:r w:rsidRPr="00AC72B5">
        <w:rPr>
          <w:i/>
          <w:w w:val="98"/>
        </w:rPr>
        <w:t>Venezuela</w:t>
      </w:r>
      <w:r w:rsidRPr="00AC72B5">
        <w:rPr>
          <w:w w:val="98"/>
        </w:rPr>
        <w:t xml:space="preserve">, ¶ 56, Doc. ONU CRC/C/VEN/CO/3-5 (2014); </w:t>
      </w:r>
      <w:r w:rsidRPr="00AC72B5">
        <w:rPr>
          <w:i/>
          <w:w w:val="98"/>
        </w:rPr>
        <w:t>Costa Rica</w:t>
      </w:r>
      <w:r w:rsidRPr="00AC72B5">
        <w:rPr>
          <w:w w:val="98"/>
        </w:rPr>
        <w:t xml:space="preserve">, ¶ 63, Doc. ONU CRC/C/CRI/CO/4 (2011); </w:t>
      </w:r>
      <w:r w:rsidRPr="00AC72B5">
        <w:rPr>
          <w:i/>
          <w:w w:val="98"/>
        </w:rPr>
        <w:t>Granada</w:t>
      </w:r>
      <w:r w:rsidRPr="00AC72B5">
        <w:rPr>
          <w:w w:val="98"/>
        </w:rPr>
        <w:t xml:space="preserve">, ¶ 22, Doc. ONU CRC/C/15/Add.121 (2000); </w:t>
      </w:r>
      <w:r w:rsidRPr="00AC72B5">
        <w:rPr>
          <w:i/>
          <w:w w:val="98"/>
        </w:rPr>
        <w:t>Perú</w:t>
      </w:r>
      <w:r w:rsidRPr="00AC72B5">
        <w:rPr>
          <w:w w:val="98"/>
        </w:rPr>
        <w:t>, ¶ 1, Doc. ONU CRC/C/15/Add.120 (2000).</w:t>
      </w:r>
    </w:p>
  </w:endnote>
  <w:endnote w:id="1022">
    <w:p w14:paraId="7C15E870" w14:textId="73ECE7A2"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rFonts w:eastAsia="Times New Roman"/>
          <w:i/>
          <w:w w:val="98"/>
        </w:rPr>
        <w:t>Observaciones Finales: Colombia</w:t>
      </w:r>
      <w:r w:rsidRPr="00AC72B5">
        <w:rPr>
          <w:rFonts w:eastAsia="Times New Roman"/>
          <w:w w:val="98"/>
        </w:rPr>
        <w:t xml:space="preserve">, </w:t>
      </w:r>
      <w:r w:rsidRPr="00AC72B5">
        <w:rPr>
          <w:w w:val="98"/>
        </w:rPr>
        <w:t>¶ 43</w:t>
      </w:r>
      <w:r w:rsidRPr="00AC72B5">
        <w:rPr>
          <w:rFonts w:eastAsia="Times New Roman"/>
          <w:w w:val="98"/>
        </w:rPr>
        <w:t xml:space="preserve">, Doc. ONU CRC/C/COL/CO/4-5 (2015); </w:t>
      </w:r>
      <w:r w:rsidRPr="00AC72B5">
        <w:rPr>
          <w:i/>
          <w:w w:val="98"/>
        </w:rPr>
        <w:t>México</w:t>
      </w:r>
      <w:r w:rsidRPr="00AC72B5">
        <w:rPr>
          <w:w w:val="98"/>
        </w:rPr>
        <w:t xml:space="preserve">, ¶ 49, Doc. ONU CRC/C/MEX/CO/4-5 (2015); </w:t>
      </w:r>
      <w:r w:rsidRPr="00AC72B5">
        <w:rPr>
          <w:i/>
          <w:w w:val="98"/>
        </w:rPr>
        <w:t>Guatemala</w:t>
      </w:r>
      <w:r w:rsidRPr="00AC72B5">
        <w:rPr>
          <w:w w:val="98"/>
        </w:rPr>
        <w:t>, ¶ 70, Doc. ONU CRC/C/GTM/CO/3-4 (2010).</w:t>
      </w:r>
    </w:p>
  </w:endnote>
  <w:endnote w:id="1023">
    <w:p w14:paraId="5F3DC17B" w14:textId="456DCC4C"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Filipinas</w:t>
      </w:r>
      <w:r w:rsidRPr="00AC72B5">
        <w:rPr>
          <w:w w:val="98"/>
        </w:rPr>
        <w:t xml:space="preserve">, ¶ 61, Doc. ONU </w:t>
      </w:r>
      <w:r w:rsidRPr="00AC72B5">
        <w:rPr>
          <w:w w:val="98"/>
        </w:rPr>
        <w:fldChar w:fldCharType="begin"/>
      </w:r>
      <w:r w:rsidRPr="00AC72B5">
        <w:rPr>
          <w:w w:val="98"/>
        </w:rPr>
        <w:instrText xml:space="preserve"> FILLIN  Symbol  \* MERGEFORMAT </w:instrText>
      </w:r>
      <w:r w:rsidRPr="00AC72B5">
        <w:rPr>
          <w:w w:val="98"/>
        </w:rPr>
        <w:fldChar w:fldCharType="separate"/>
      </w:r>
      <w:r w:rsidRPr="00AC72B5">
        <w:rPr>
          <w:w w:val="98"/>
        </w:rPr>
        <w:t>CRC/C/PHL/CO/</w:t>
      </w:r>
      <w:r w:rsidRPr="00AC72B5">
        <w:rPr>
          <w:w w:val="98"/>
        </w:rPr>
        <w:fldChar w:fldCharType="end"/>
      </w:r>
      <w:r w:rsidRPr="00AC72B5">
        <w:rPr>
          <w:w w:val="98"/>
        </w:rPr>
        <w:t>3-4 (2009).</w:t>
      </w:r>
    </w:p>
  </w:endnote>
  <w:endnote w:id="1024">
    <w:p w14:paraId="37C49AE6" w14:textId="0A978E95"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República de Sudáfrica</w:t>
      </w:r>
      <w:r w:rsidRPr="00AC72B5">
        <w:rPr>
          <w:w w:val="98"/>
        </w:rPr>
        <w:t xml:space="preserve">, ¶ 49, Doc. ONU </w:t>
      </w:r>
      <w:r w:rsidRPr="00AC72B5">
        <w:rPr>
          <w:rFonts w:eastAsia="Times New Roman"/>
          <w:w w:val="98"/>
        </w:rPr>
        <w:t xml:space="preserve">CRC/C/ZAF/CO/2 (2016); </w:t>
      </w:r>
      <w:r w:rsidRPr="00AC72B5">
        <w:rPr>
          <w:i/>
          <w:w w:val="98"/>
        </w:rPr>
        <w:t>Samoa</w:t>
      </w:r>
      <w:r w:rsidRPr="00AC72B5">
        <w:rPr>
          <w:w w:val="98"/>
        </w:rPr>
        <w:t>, ¶ 46, Doc. ONU CRC/C/WSM/CO/2-4 (2016).</w:t>
      </w:r>
    </w:p>
  </w:endnote>
  <w:endnote w:id="1025">
    <w:p w14:paraId="3D38AC3C" w14:textId="24AF8F3E"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Ucrania</w:t>
      </w:r>
      <w:r w:rsidRPr="00AC72B5">
        <w:rPr>
          <w:w w:val="98"/>
        </w:rPr>
        <w:t xml:space="preserve">, ¶ 56, Doc. ONU CRC/C/UKR/CO/3-4 (2011); </w:t>
      </w:r>
      <w:r w:rsidRPr="00AC72B5">
        <w:rPr>
          <w:i/>
          <w:w w:val="98"/>
        </w:rPr>
        <w:t>Argentina</w:t>
      </w:r>
      <w:r w:rsidRPr="00AC72B5">
        <w:rPr>
          <w:w w:val="98"/>
        </w:rPr>
        <w:t xml:space="preserve">, ¶ 58, Doc. ONU CRC/C/ARG/CO/3-4 (2010); </w:t>
      </w:r>
      <w:r w:rsidRPr="00AC72B5">
        <w:rPr>
          <w:i/>
          <w:w w:val="98"/>
        </w:rPr>
        <w:t>Burkina Faso</w:t>
      </w:r>
      <w:r w:rsidRPr="00AC72B5">
        <w:rPr>
          <w:w w:val="98"/>
        </w:rPr>
        <w:t xml:space="preserve">, ¶ 64, Doc. ONU CRC/C/BFA/CO/3-4 (2010); </w:t>
      </w:r>
      <w:r w:rsidRPr="00AC72B5">
        <w:rPr>
          <w:i/>
          <w:w w:val="98"/>
        </w:rPr>
        <w:t>Pakistán</w:t>
      </w:r>
      <w:r w:rsidRPr="00AC72B5">
        <w:rPr>
          <w:w w:val="98"/>
        </w:rPr>
        <w:t xml:space="preserve">, ¶ 64, Doc. ONU CRC/C/PAK/CO/3-4 (2009); </w:t>
      </w:r>
      <w:r w:rsidRPr="00AC72B5">
        <w:rPr>
          <w:i/>
          <w:w w:val="98"/>
        </w:rPr>
        <w:t>Perú</w:t>
      </w:r>
      <w:r w:rsidRPr="00AC72B5">
        <w:rPr>
          <w:w w:val="98"/>
        </w:rPr>
        <w:t xml:space="preserve">, ¶ 52, Doc. ONU CRC/C/POR/CO/3 (2006); </w:t>
      </w:r>
      <w:r w:rsidRPr="00AC72B5">
        <w:rPr>
          <w:i/>
          <w:w w:val="98"/>
        </w:rPr>
        <w:t>Guatemala</w:t>
      </w:r>
      <w:r w:rsidRPr="00AC72B5">
        <w:rPr>
          <w:w w:val="98"/>
        </w:rPr>
        <w:t>, ¶ 40, Doc. ONU CRC/C/15/Add.154 (2001).</w:t>
      </w:r>
    </w:p>
  </w:endnote>
  <w:endnote w:id="1026">
    <w:p w14:paraId="1659E8D6" w14:textId="6009E162"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Sudáfrica</w:t>
      </w:r>
      <w:r w:rsidRPr="00AC72B5">
        <w:rPr>
          <w:w w:val="98"/>
        </w:rPr>
        <w:t xml:space="preserve">, ¶ 50, Doc. ONU </w:t>
      </w:r>
      <w:r w:rsidRPr="00AC72B5">
        <w:rPr>
          <w:rFonts w:eastAsia="Times New Roman"/>
          <w:w w:val="98"/>
        </w:rPr>
        <w:t xml:space="preserve">CRC/C/ZAF/CO/2 (2016); </w:t>
      </w:r>
      <w:r w:rsidRPr="00AC72B5">
        <w:rPr>
          <w:i/>
          <w:w w:val="98"/>
        </w:rPr>
        <w:t>Venezuela</w:t>
      </w:r>
      <w:r w:rsidRPr="00AC72B5">
        <w:rPr>
          <w:w w:val="98"/>
        </w:rPr>
        <w:t>, ¶ 57, Doc. ONU CRC/C/VEN/CO/3-5 (2014).</w:t>
      </w:r>
    </w:p>
  </w:endnote>
  <w:endnote w:id="1027">
    <w:p w14:paraId="7C631A0D" w14:textId="1C58EE77"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Sudáfrica</w:t>
      </w:r>
      <w:r w:rsidRPr="00AC72B5">
        <w:rPr>
          <w:w w:val="98"/>
        </w:rPr>
        <w:t xml:space="preserve">, ¶ 50, Doc. ONU </w:t>
      </w:r>
      <w:r w:rsidRPr="00AC72B5">
        <w:rPr>
          <w:rFonts w:eastAsia="Times New Roman"/>
          <w:w w:val="98"/>
        </w:rPr>
        <w:t>CRC/C/ZAF/CO/2 (2016).</w:t>
      </w:r>
    </w:p>
  </w:endnote>
  <w:endnote w:id="1028">
    <w:p w14:paraId="0FC4F94C" w14:textId="7D6A8436"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Sudáfrica</w:t>
      </w:r>
      <w:r w:rsidRPr="00AC72B5">
        <w:rPr>
          <w:w w:val="98"/>
        </w:rPr>
        <w:t xml:space="preserve">, ¶ 50, Doc. ONU </w:t>
      </w:r>
      <w:r w:rsidRPr="00AC72B5">
        <w:rPr>
          <w:rFonts w:eastAsia="Times New Roman"/>
          <w:w w:val="98"/>
        </w:rPr>
        <w:t xml:space="preserve">CRC/C/ZAF/CO/2 (2016); </w:t>
      </w:r>
      <w:r w:rsidRPr="00AC72B5">
        <w:rPr>
          <w:i/>
          <w:w w:val="98"/>
        </w:rPr>
        <w:t>Kenia</w:t>
      </w:r>
      <w:r w:rsidRPr="00AC72B5">
        <w:rPr>
          <w:w w:val="98"/>
        </w:rPr>
        <w:t xml:space="preserve">, ¶ 50, Doc. ONU CRC/C/KEN/CO/3-5 (2016); </w:t>
      </w:r>
      <w:r w:rsidRPr="00AC72B5">
        <w:rPr>
          <w:rFonts w:eastAsia="Times New Roman"/>
          <w:i/>
          <w:w w:val="98"/>
        </w:rPr>
        <w:t>Colombia</w:t>
      </w:r>
      <w:r w:rsidRPr="00AC72B5">
        <w:rPr>
          <w:rFonts w:eastAsia="Times New Roman"/>
          <w:w w:val="98"/>
        </w:rPr>
        <w:t>,</w:t>
      </w:r>
      <w:r w:rsidRPr="00AC72B5">
        <w:rPr>
          <w:rFonts w:eastAsia="Times New Roman"/>
          <w:i/>
          <w:w w:val="98"/>
        </w:rPr>
        <w:t xml:space="preserve"> </w:t>
      </w:r>
      <w:r w:rsidRPr="00AC72B5">
        <w:rPr>
          <w:w w:val="98"/>
        </w:rPr>
        <w:t>¶</w:t>
      </w:r>
      <w:r w:rsidRPr="00AC72B5">
        <w:rPr>
          <w:rFonts w:eastAsia="Times New Roman"/>
          <w:w w:val="98"/>
        </w:rPr>
        <w:t xml:space="preserve"> </w:t>
      </w:r>
      <w:r w:rsidRPr="00AC72B5">
        <w:rPr>
          <w:w w:val="98"/>
        </w:rPr>
        <w:t>44</w:t>
      </w:r>
      <w:r w:rsidRPr="00AC72B5">
        <w:rPr>
          <w:rFonts w:eastAsia="Times New Roman"/>
          <w:w w:val="98"/>
        </w:rPr>
        <w:t xml:space="preserve">, Doc. ONU CRC/C/COL/CO/4-5 (2015); </w:t>
      </w:r>
      <w:r w:rsidRPr="00AC72B5">
        <w:rPr>
          <w:rFonts w:eastAsia="Times New Roman"/>
          <w:i/>
          <w:w w:val="98"/>
        </w:rPr>
        <w:t>República Dominicana</w:t>
      </w:r>
      <w:r w:rsidRPr="00AC72B5">
        <w:rPr>
          <w:rFonts w:eastAsia="Times New Roman"/>
          <w:w w:val="98"/>
        </w:rPr>
        <w:t xml:space="preserve">, </w:t>
      </w:r>
      <w:r w:rsidRPr="00AC72B5">
        <w:rPr>
          <w:w w:val="98"/>
        </w:rPr>
        <w:t xml:space="preserve">¶ 52, </w:t>
      </w:r>
      <w:r w:rsidRPr="00AC72B5">
        <w:rPr>
          <w:rFonts w:eastAsia="Times New Roman"/>
          <w:w w:val="98"/>
        </w:rPr>
        <w:t xml:space="preserve">Doc. ONU </w:t>
      </w:r>
      <w:r w:rsidRPr="00AC72B5">
        <w:rPr>
          <w:w w:val="98"/>
        </w:rPr>
        <w:t xml:space="preserve">CRC/C/DOM/CO/3-5 (2015); </w:t>
      </w:r>
      <w:r w:rsidRPr="00AC72B5">
        <w:rPr>
          <w:i/>
          <w:w w:val="98"/>
        </w:rPr>
        <w:t>Eritrea</w:t>
      </w:r>
      <w:r w:rsidRPr="00AC72B5">
        <w:rPr>
          <w:w w:val="98"/>
        </w:rPr>
        <w:t xml:space="preserve">, ¶ 56, Doc. ONU CRC/C/ERI/CO/4 (2015); </w:t>
      </w:r>
      <w:r w:rsidRPr="00AC72B5">
        <w:rPr>
          <w:i/>
          <w:w w:val="98"/>
        </w:rPr>
        <w:t>México</w:t>
      </w:r>
      <w:r w:rsidRPr="00AC72B5">
        <w:rPr>
          <w:w w:val="98"/>
        </w:rPr>
        <w:t xml:space="preserve">, ¶ 50, Doc. ONU CRC/C/MEX/CO/4-5 (2015); </w:t>
      </w:r>
      <w:r w:rsidRPr="00AC72B5">
        <w:rPr>
          <w:i/>
          <w:w w:val="98"/>
        </w:rPr>
        <w:t>Ghana</w:t>
      </w:r>
      <w:r w:rsidRPr="00AC72B5">
        <w:rPr>
          <w:w w:val="98"/>
        </w:rPr>
        <w:t xml:space="preserve">, ¶ 50, Doc. ONU </w:t>
      </w:r>
      <w:r w:rsidRPr="00AC72B5">
        <w:rPr>
          <w:rFonts w:eastAsia="Times New Roman"/>
          <w:w w:val="98"/>
        </w:rPr>
        <w:t xml:space="preserve">CRC/C/GHA/CO/3-5 (2015); </w:t>
      </w:r>
      <w:r w:rsidRPr="00AC72B5">
        <w:rPr>
          <w:i/>
          <w:w w:val="98"/>
        </w:rPr>
        <w:t>Venezuela</w:t>
      </w:r>
      <w:r w:rsidRPr="00AC72B5">
        <w:rPr>
          <w:w w:val="98"/>
        </w:rPr>
        <w:t>, ¶ 57, Doc. ONU CRC/C/VEN/CO/3-5 (2014).</w:t>
      </w:r>
    </w:p>
  </w:endnote>
  <w:endnote w:id="1029">
    <w:p w14:paraId="7B1C9CCF" w14:textId="084F198A"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Ghana</w:t>
      </w:r>
      <w:r w:rsidRPr="00AC72B5">
        <w:rPr>
          <w:w w:val="98"/>
        </w:rPr>
        <w:t xml:space="preserve">, ¶ 50, Doc. ONU </w:t>
      </w:r>
      <w:r w:rsidRPr="00AC72B5">
        <w:rPr>
          <w:rFonts w:eastAsia="Times New Roman"/>
          <w:w w:val="98"/>
        </w:rPr>
        <w:t xml:space="preserve">CRC/C/GHA/CO/3-5 (2015); </w:t>
      </w:r>
      <w:r w:rsidRPr="00AC72B5">
        <w:rPr>
          <w:i/>
          <w:w w:val="98"/>
        </w:rPr>
        <w:t>Benin</w:t>
      </w:r>
      <w:r w:rsidRPr="00AC72B5">
        <w:rPr>
          <w:w w:val="98"/>
        </w:rPr>
        <w:t xml:space="preserve">, ¶ 56, Doc. ONU CRC/C/BEN/CO/2 (2006); </w:t>
      </w:r>
      <w:r w:rsidRPr="00AC72B5">
        <w:rPr>
          <w:i/>
          <w:w w:val="98"/>
        </w:rPr>
        <w:t>Guatemala</w:t>
      </w:r>
      <w:r w:rsidRPr="00AC72B5">
        <w:rPr>
          <w:w w:val="98"/>
        </w:rPr>
        <w:t>, ¶ 41, Doc. ONU CRC/C/15/Add.154 (2001).</w:t>
      </w:r>
    </w:p>
  </w:endnote>
  <w:endnote w:id="1030">
    <w:p w14:paraId="0AD18186" w14:textId="0EFB3EA0"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rFonts w:eastAsia="Times New Roman"/>
          <w:i/>
          <w:w w:val="98"/>
        </w:rPr>
        <w:t>Observaciones Finales: Colombia</w:t>
      </w:r>
      <w:r w:rsidRPr="00AC72B5">
        <w:rPr>
          <w:rFonts w:eastAsia="Times New Roman"/>
          <w:w w:val="98"/>
        </w:rPr>
        <w:t xml:space="preserve">, </w:t>
      </w:r>
      <w:r w:rsidRPr="00AC72B5">
        <w:rPr>
          <w:w w:val="98"/>
        </w:rPr>
        <w:t>¶ 44</w:t>
      </w:r>
      <w:r w:rsidRPr="00AC72B5">
        <w:rPr>
          <w:rFonts w:eastAsia="Times New Roman"/>
          <w:w w:val="98"/>
        </w:rPr>
        <w:t xml:space="preserve">, Doc. ONU CRC/C/COL/CO/4-5 (2015); </w:t>
      </w:r>
      <w:r w:rsidRPr="00AC72B5">
        <w:rPr>
          <w:rFonts w:eastAsia="Times New Roman"/>
          <w:i/>
          <w:w w:val="98"/>
        </w:rPr>
        <w:t>República Dominicana</w:t>
      </w:r>
      <w:r w:rsidRPr="00AC72B5">
        <w:rPr>
          <w:rFonts w:eastAsia="Times New Roman"/>
          <w:w w:val="98"/>
        </w:rPr>
        <w:t xml:space="preserve">, </w:t>
      </w:r>
      <w:r w:rsidRPr="00AC72B5">
        <w:rPr>
          <w:w w:val="98"/>
        </w:rPr>
        <w:t xml:space="preserve">¶ 52, </w:t>
      </w:r>
      <w:r w:rsidRPr="00AC72B5">
        <w:rPr>
          <w:rFonts w:eastAsia="Times New Roman"/>
          <w:w w:val="98"/>
        </w:rPr>
        <w:t xml:space="preserve">Doc. ONU </w:t>
      </w:r>
      <w:r w:rsidRPr="00AC72B5">
        <w:rPr>
          <w:w w:val="98"/>
        </w:rPr>
        <w:t xml:space="preserve">CRC/C/DOM/CO/3-5 (2015); </w:t>
      </w:r>
      <w:r w:rsidRPr="00AC72B5">
        <w:rPr>
          <w:i/>
          <w:w w:val="98"/>
        </w:rPr>
        <w:t>México</w:t>
      </w:r>
      <w:r w:rsidRPr="00AC72B5">
        <w:rPr>
          <w:w w:val="98"/>
        </w:rPr>
        <w:t xml:space="preserve">, ¶ 50, Doc. ONU CRC/C/MEX/CO/4-5 (2015); </w:t>
      </w:r>
      <w:r w:rsidRPr="00AC72B5">
        <w:rPr>
          <w:i/>
          <w:w w:val="98"/>
        </w:rPr>
        <w:t>Timor Oriental</w:t>
      </w:r>
      <w:r w:rsidRPr="00AC72B5">
        <w:rPr>
          <w:w w:val="98"/>
        </w:rPr>
        <w:t xml:space="preserve">, ¶ 47, Doc. ONU CRC/C/TLS/CO/2-3 (2015); </w:t>
      </w:r>
      <w:r w:rsidRPr="00AC72B5">
        <w:rPr>
          <w:i/>
          <w:w w:val="98"/>
        </w:rPr>
        <w:t>República Unida de Tanzania</w:t>
      </w:r>
      <w:r w:rsidRPr="00AC72B5">
        <w:rPr>
          <w:w w:val="98"/>
        </w:rPr>
        <w:t xml:space="preserve">, ¶ 55, Doc. ONU CRC/C/TZA/CO/3-5 (2015); </w:t>
      </w:r>
      <w:r w:rsidRPr="00AC72B5">
        <w:rPr>
          <w:i/>
          <w:w w:val="98"/>
        </w:rPr>
        <w:t>Venezuela</w:t>
      </w:r>
      <w:r w:rsidRPr="00AC72B5">
        <w:rPr>
          <w:w w:val="98"/>
        </w:rPr>
        <w:t xml:space="preserve">, ¶ 57, Doc. ONU CRC/C/VEN/CO/3-5 (2014); </w:t>
      </w:r>
      <w:r w:rsidRPr="00AC72B5">
        <w:rPr>
          <w:i/>
          <w:w w:val="98"/>
        </w:rPr>
        <w:t>China</w:t>
      </w:r>
      <w:r w:rsidRPr="00AC72B5">
        <w:rPr>
          <w:w w:val="98"/>
        </w:rPr>
        <w:t>, ¶ 63, Doc. ONU CRC/C/CHN/CO/3-4 (2013).</w:t>
      </w:r>
    </w:p>
  </w:endnote>
  <w:endnote w:id="1031">
    <w:p w14:paraId="20D2AB9C" w14:textId="6C28815D"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Burkina Faso</w:t>
      </w:r>
      <w:r w:rsidRPr="00AC72B5">
        <w:rPr>
          <w:w w:val="98"/>
        </w:rPr>
        <w:t>, ¶ 65, Doc. ONU CRC/C/BFA/CO/3-4 (2010).</w:t>
      </w:r>
    </w:p>
  </w:endnote>
  <w:endnote w:id="1032">
    <w:p w14:paraId="043EFC22" w14:textId="1AEB87C6" w:rsidR="005E3DDD" w:rsidRPr="00AC72B5" w:rsidRDefault="005E3DDD" w:rsidP="00E12C89">
      <w:pPr>
        <w:pStyle w:val="EndnoteText"/>
        <w:ind w:hanging="223"/>
        <w:rPr>
          <w:i/>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Timor Oriental</w:t>
      </w:r>
      <w:r w:rsidRPr="00AC72B5">
        <w:rPr>
          <w:w w:val="98"/>
        </w:rPr>
        <w:t xml:space="preserve">, ¶ 47, Doc. ONU CRC/C/TLS/CO/2-3 (2015); </w:t>
      </w:r>
      <w:r w:rsidRPr="00AC72B5">
        <w:rPr>
          <w:i/>
          <w:w w:val="98"/>
        </w:rPr>
        <w:t>Argelia</w:t>
      </w:r>
      <w:r w:rsidRPr="00AC72B5">
        <w:rPr>
          <w:w w:val="98"/>
        </w:rPr>
        <w:t xml:space="preserve">, ¶ 57, Doc. ONU CRC/C/15/Add.269 (2005); </w:t>
      </w:r>
      <w:r w:rsidRPr="00AC72B5">
        <w:rPr>
          <w:i/>
          <w:w w:val="98"/>
        </w:rPr>
        <w:t>Botswana</w:t>
      </w:r>
      <w:r w:rsidRPr="00AC72B5">
        <w:rPr>
          <w:w w:val="98"/>
        </w:rPr>
        <w:t>, ¶ 49, Doc. ONU CRC/C/15/Add.242 (2004).</w:t>
      </w:r>
    </w:p>
  </w:endnote>
  <w:endnote w:id="1033">
    <w:p w14:paraId="31674A6F" w14:textId="6DA5BDF4"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República Unida de Tanzania</w:t>
      </w:r>
      <w:r w:rsidRPr="00AC72B5">
        <w:rPr>
          <w:w w:val="98"/>
        </w:rPr>
        <w:t>, ¶ 55, Doc. ONU CRC/C/TZA/CO/3-5 (2015).</w:t>
      </w:r>
    </w:p>
  </w:endnote>
  <w:endnote w:id="1034">
    <w:p w14:paraId="4D2262C1" w14:textId="36BF6BA4"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Haití</w:t>
      </w:r>
      <w:r w:rsidRPr="00AC72B5">
        <w:rPr>
          <w:w w:val="98"/>
        </w:rPr>
        <w:t>, ¶ 49, Doc. ONU CRC/C/HTI/CO/2-3 (2016).</w:t>
      </w:r>
    </w:p>
  </w:endnote>
  <w:endnote w:id="1035">
    <w:p w14:paraId="3EE3C7C2" w14:textId="7C2D8D8E"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Venezuela</w:t>
      </w:r>
      <w:r w:rsidRPr="00AC72B5">
        <w:rPr>
          <w:w w:val="98"/>
        </w:rPr>
        <w:t xml:space="preserve">, ¶ 57, Doc. ONU CRC/C/VEN/CO/3-5 (2014); </w:t>
      </w:r>
      <w:r w:rsidRPr="00AC72B5">
        <w:rPr>
          <w:i/>
          <w:w w:val="98"/>
        </w:rPr>
        <w:t>Argentina</w:t>
      </w:r>
      <w:r w:rsidRPr="00AC72B5">
        <w:rPr>
          <w:w w:val="98"/>
        </w:rPr>
        <w:t>, ¶ 59, Doc. ONU CRC/C/ARG/CO/3-4 (2010).</w:t>
      </w:r>
    </w:p>
  </w:endnote>
  <w:endnote w:id="1036">
    <w:p w14:paraId="7A74D630" w14:textId="0444855F"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w:t>
      </w:r>
      <w:r w:rsidRPr="00AC72B5">
        <w:rPr>
          <w:i/>
          <w:w w:val="98"/>
        </w:rPr>
        <w:t xml:space="preserve"> </w:t>
      </w:r>
      <w:r w:rsidRPr="00AC72B5">
        <w:rPr>
          <w:w w:val="98"/>
        </w:rPr>
        <w:t xml:space="preserve">Comité CDN, </w:t>
      </w:r>
      <w:r w:rsidRPr="00AC72B5">
        <w:rPr>
          <w:i/>
          <w:w w:val="98"/>
        </w:rPr>
        <w:t>Observaciones Finales: Venezuela</w:t>
      </w:r>
      <w:r w:rsidRPr="00AC72B5">
        <w:rPr>
          <w:w w:val="98"/>
        </w:rPr>
        <w:t xml:space="preserve">, ¶ 57, Doc. ONU CRC/C/VEN/CO/3-5 (2014); </w:t>
      </w:r>
      <w:r w:rsidRPr="00AC72B5">
        <w:rPr>
          <w:i/>
          <w:w w:val="98"/>
        </w:rPr>
        <w:t>Burkina Faso</w:t>
      </w:r>
      <w:r w:rsidRPr="00AC72B5">
        <w:rPr>
          <w:w w:val="98"/>
        </w:rPr>
        <w:t xml:space="preserve">, ¶ 55, Doc. ONU CRC/C/BFA/CO/3-4 (2010); </w:t>
      </w:r>
      <w:r w:rsidRPr="00AC72B5">
        <w:rPr>
          <w:i/>
          <w:w w:val="98"/>
        </w:rPr>
        <w:t>Burundí</w:t>
      </w:r>
      <w:r w:rsidRPr="00AC72B5">
        <w:rPr>
          <w:w w:val="98"/>
        </w:rPr>
        <w:t xml:space="preserve">, ¶ 53, Doc. ONU CRC/C/BDI/CO/2 (2010); </w:t>
      </w:r>
      <w:r w:rsidRPr="00AC72B5">
        <w:rPr>
          <w:i/>
          <w:w w:val="98"/>
        </w:rPr>
        <w:t>Azerbaiyán</w:t>
      </w:r>
      <w:r w:rsidRPr="00AC72B5">
        <w:rPr>
          <w:w w:val="98"/>
        </w:rPr>
        <w:t xml:space="preserve">, ¶ 49, Doc. ONU CRC/C/AZE/CO/2 (2006); </w:t>
      </w:r>
      <w:r w:rsidRPr="00AC72B5">
        <w:rPr>
          <w:i/>
          <w:w w:val="98"/>
        </w:rPr>
        <w:t>Benin</w:t>
      </w:r>
      <w:r w:rsidRPr="00AC72B5">
        <w:rPr>
          <w:w w:val="98"/>
        </w:rPr>
        <w:t xml:space="preserve">, ¶ 56, Doc. ONU CRC/C/BEN/CO/2 (2006); </w:t>
      </w:r>
      <w:r w:rsidRPr="00AC72B5">
        <w:rPr>
          <w:i/>
          <w:w w:val="98"/>
        </w:rPr>
        <w:t>Argelia</w:t>
      </w:r>
      <w:r w:rsidRPr="00AC72B5">
        <w:rPr>
          <w:w w:val="98"/>
        </w:rPr>
        <w:t xml:space="preserve">, ¶ 57, Doc. ONU CRC/C/15/Add.269 (2005); </w:t>
      </w:r>
      <w:r w:rsidRPr="00AC72B5">
        <w:rPr>
          <w:i/>
          <w:w w:val="98"/>
        </w:rPr>
        <w:t>Armenia</w:t>
      </w:r>
      <w:r w:rsidRPr="00AC72B5">
        <w:rPr>
          <w:w w:val="98"/>
        </w:rPr>
        <w:t xml:space="preserve">, ¶ 46, Doc. ONU CRC/C/15/Add.225 (2004); </w:t>
      </w:r>
      <w:r w:rsidRPr="00AC72B5">
        <w:rPr>
          <w:i/>
          <w:w w:val="98"/>
        </w:rPr>
        <w:t>Bielorrusia</w:t>
      </w:r>
      <w:r w:rsidRPr="00AC72B5">
        <w:rPr>
          <w:w w:val="98"/>
        </w:rPr>
        <w:t>, ¶ 41, Doc. ONU CRC/C/15/Add.180 (2002).</w:t>
      </w:r>
    </w:p>
  </w:endnote>
  <w:endnote w:id="1037">
    <w:p w14:paraId="00CB9188" w14:textId="3896EC2B"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w:t>
      </w:r>
      <w:r w:rsidRPr="00AC72B5">
        <w:rPr>
          <w:i/>
          <w:w w:val="98"/>
        </w:rPr>
        <w:t xml:space="preserve"> </w:t>
      </w:r>
      <w:r w:rsidRPr="00AC72B5">
        <w:rPr>
          <w:w w:val="98"/>
        </w:rPr>
        <w:t xml:space="preserve">Comité CDN, </w:t>
      </w:r>
      <w:r w:rsidRPr="00AC72B5">
        <w:rPr>
          <w:i/>
          <w:w w:val="98"/>
        </w:rPr>
        <w:t>Observaciones Finales: Sierra Leona</w:t>
      </w:r>
      <w:r w:rsidRPr="00AC72B5">
        <w:rPr>
          <w:w w:val="98"/>
        </w:rPr>
        <w:t xml:space="preserve">, ¶ 31, Doc. ONU CRC/C/LES/CO/3-5 (2016); </w:t>
      </w:r>
      <w:r w:rsidRPr="00AC72B5">
        <w:rPr>
          <w:i/>
          <w:w w:val="98"/>
        </w:rPr>
        <w:t xml:space="preserve">Nauru, </w:t>
      </w:r>
      <w:r w:rsidRPr="00AC72B5">
        <w:rPr>
          <w:w w:val="98"/>
        </w:rPr>
        <w:t xml:space="preserve">¶ 46, Doc. ONU CRC/C/NRU/CO/1 (2016); </w:t>
      </w:r>
      <w:r w:rsidRPr="00AC72B5">
        <w:rPr>
          <w:i/>
          <w:w w:val="98"/>
        </w:rPr>
        <w:t>Reino Unido de Gran Bretaña e Irlanda del Norte</w:t>
      </w:r>
      <w:r w:rsidRPr="00AC72B5">
        <w:rPr>
          <w:w w:val="98"/>
        </w:rPr>
        <w:t xml:space="preserve">, ¶ 64, Doc. ONU CRC/C/GBR/CO/5 (2016); </w:t>
      </w:r>
      <w:r w:rsidRPr="00AC72B5">
        <w:rPr>
          <w:i/>
          <w:w w:val="98"/>
        </w:rPr>
        <w:t>Eslovaquia</w:t>
      </w:r>
      <w:r w:rsidRPr="00AC72B5">
        <w:rPr>
          <w:w w:val="98"/>
        </w:rPr>
        <w:t>, ¶ 40, Doc. ONU</w:t>
      </w:r>
      <w:r w:rsidRPr="00AC72B5">
        <w:rPr>
          <w:i/>
          <w:w w:val="98"/>
        </w:rPr>
        <w:t xml:space="preserve"> </w:t>
      </w:r>
      <w:r w:rsidRPr="00AC72B5">
        <w:rPr>
          <w:w w:val="98"/>
        </w:rPr>
        <w:t xml:space="preserve">CRC/C/SVK/CO/3-5 (2016); </w:t>
      </w:r>
      <w:r w:rsidRPr="00AC72B5">
        <w:rPr>
          <w:i/>
          <w:w w:val="98"/>
        </w:rPr>
        <w:t>Samoa</w:t>
      </w:r>
      <w:r w:rsidRPr="00AC72B5">
        <w:rPr>
          <w:w w:val="98"/>
        </w:rPr>
        <w:t xml:space="preserve">, ¶ 46, Doc. ONU CRC/C/WSM/CO/2-4 (2016); </w:t>
      </w:r>
      <w:r w:rsidRPr="00AC72B5">
        <w:rPr>
          <w:i/>
          <w:w w:val="98"/>
        </w:rPr>
        <w:t>Nepal</w:t>
      </w:r>
      <w:r w:rsidRPr="00AC72B5">
        <w:rPr>
          <w:w w:val="98"/>
        </w:rPr>
        <w:t xml:space="preserve">, ¶ 53, Doc. ONU </w:t>
      </w:r>
      <w:r w:rsidRPr="00AC72B5">
        <w:rPr>
          <w:rFonts w:eastAsia="Times New Roman"/>
          <w:w w:val="98"/>
        </w:rPr>
        <w:t xml:space="preserve">CRC/C/NPL/CO/3-5 (2016); </w:t>
      </w:r>
      <w:r w:rsidRPr="00AC72B5">
        <w:rPr>
          <w:rFonts w:eastAsia="Times New Roman"/>
          <w:i/>
          <w:w w:val="98"/>
        </w:rPr>
        <w:t>Gabón</w:t>
      </w:r>
      <w:r w:rsidRPr="00AC72B5">
        <w:rPr>
          <w:rFonts w:eastAsia="Times New Roman"/>
          <w:w w:val="98"/>
        </w:rPr>
        <w:t xml:space="preserve">, </w:t>
      </w:r>
      <w:r w:rsidRPr="00AC72B5">
        <w:rPr>
          <w:w w:val="98"/>
        </w:rPr>
        <w:t xml:space="preserve">¶ 47, </w:t>
      </w:r>
      <w:r w:rsidRPr="00AC72B5">
        <w:rPr>
          <w:rFonts w:eastAsia="Times New Roman"/>
          <w:w w:val="98"/>
        </w:rPr>
        <w:t xml:space="preserve">Doc. ONU </w:t>
      </w:r>
      <w:r w:rsidRPr="00AC72B5">
        <w:rPr>
          <w:w w:val="98"/>
        </w:rPr>
        <w:t xml:space="preserve">CRC/C/GAB/CO/2 (2016); </w:t>
      </w:r>
      <w:r w:rsidRPr="00AC72B5">
        <w:rPr>
          <w:i/>
          <w:w w:val="98"/>
        </w:rPr>
        <w:t>Bulgaria</w:t>
      </w:r>
      <w:r w:rsidRPr="00AC72B5">
        <w:rPr>
          <w:w w:val="98"/>
        </w:rPr>
        <w:t xml:space="preserve">, ¶ 44, Doc. ONU CRC/C/BGR/CO/3-5 (2016); </w:t>
      </w:r>
      <w:r w:rsidRPr="00AC72B5">
        <w:rPr>
          <w:i/>
          <w:w w:val="98"/>
        </w:rPr>
        <w:t>Zimbabwe</w:t>
      </w:r>
      <w:r w:rsidRPr="00AC72B5">
        <w:rPr>
          <w:w w:val="98"/>
        </w:rPr>
        <w:t xml:space="preserve">, ¶ 60, Doc. ONU CRC/C/ZWE/CO/2 (2016); </w:t>
      </w:r>
      <w:r w:rsidRPr="00AC72B5">
        <w:rPr>
          <w:i/>
          <w:w w:val="98"/>
        </w:rPr>
        <w:t>Zambia</w:t>
      </w:r>
      <w:r w:rsidRPr="00AC72B5">
        <w:rPr>
          <w:w w:val="98"/>
        </w:rPr>
        <w:t xml:space="preserve">, ¶ 49, Doc. ONU CRC/C/ZMB/CO/2-4 (2016); </w:t>
      </w:r>
      <w:r w:rsidRPr="00AC72B5">
        <w:rPr>
          <w:i/>
          <w:w w:val="98"/>
        </w:rPr>
        <w:t>Chile</w:t>
      </w:r>
      <w:r w:rsidRPr="00AC72B5">
        <w:rPr>
          <w:w w:val="98"/>
        </w:rPr>
        <w:t xml:space="preserve">, ¶ 60, Doc. ONU CRC/C/CHL/CO/4-5 (2015); </w:t>
      </w:r>
      <w:r w:rsidRPr="00AC72B5">
        <w:rPr>
          <w:i/>
          <w:w w:val="98"/>
        </w:rPr>
        <w:t>Ghana</w:t>
      </w:r>
      <w:r w:rsidRPr="00AC72B5">
        <w:rPr>
          <w:w w:val="98"/>
        </w:rPr>
        <w:t xml:space="preserve">, ¶ 51, Doc. ONU </w:t>
      </w:r>
      <w:r w:rsidRPr="00AC72B5">
        <w:rPr>
          <w:rFonts w:eastAsia="Times New Roman"/>
          <w:w w:val="98"/>
        </w:rPr>
        <w:t xml:space="preserve">CRC/C/GHA/CO/3-5 (2015); </w:t>
      </w:r>
      <w:r w:rsidRPr="00AC72B5">
        <w:rPr>
          <w:rFonts w:eastAsia="Times New Roman"/>
          <w:i/>
          <w:w w:val="98"/>
        </w:rPr>
        <w:t>República Dominicana</w:t>
      </w:r>
      <w:r w:rsidRPr="00AC72B5">
        <w:rPr>
          <w:rFonts w:eastAsia="Times New Roman"/>
          <w:w w:val="98"/>
        </w:rPr>
        <w:t xml:space="preserve">, </w:t>
      </w:r>
      <w:r w:rsidRPr="00AC72B5">
        <w:rPr>
          <w:w w:val="98"/>
        </w:rPr>
        <w:t xml:space="preserve">¶ 51, </w:t>
      </w:r>
      <w:r w:rsidRPr="00AC72B5">
        <w:rPr>
          <w:rFonts w:eastAsia="Times New Roman"/>
          <w:w w:val="98"/>
        </w:rPr>
        <w:t xml:space="preserve">Doc. ONU </w:t>
      </w:r>
      <w:r w:rsidRPr="00AC72B5">
        <w:rPr>
          <w:w w:val="98"/>
        </w:rPr>
        <w:t xml:space="preserve">CRC/C/DOM/CO/3-5 (2015); </w:t>
      </w:r>
      <w:r w:rsidRPr="00AC72B5">
        <w:rPr>
          <w:i/>
          <w:w w:val="98"/>
        </w:rPr>
        <w:t>Jamaica</w:t>
      </w:r>
      <w:r w:rsidRPr="00AC72B5">
        <w:rPr>
          <w:w w:val="98"/>
        </w:rPr>
        <w:t xml:space="preserve">, ¶ 48, Doc. ONU CRC/C/JAM/CO/3-4 (2015); </w:t>
      </w:r>
      <w:r w:rsidRPr="00AC72B5">
        <w:rPr>
          <w:i/>
          <w:w w:val="98"/>
        </w:rPr>
        <w:t>Mauricio</w:t>
      </w:r>
      <w:r w:rsidRPr="00AC72B5">
        <w:rPr>
          <w:w w:val="98"/>
        </w:rPr>
        <w:t xml:space="preserve">, ¶ 53, Doc. ONU CRC/C/MUS/CO/3-5 (2015); </w:t>
      </w:r>
      <w:r w:rsidRPr="00AC72B5">
        <w:rPr>
          <w:i/>
          <w:w w:val="98"/>
        </w:rPr>
        <w:t>México</w:t>
      </w:r>
      <w:r w:rsidRPr="00AC72B5">
        <w:rPr>
          <w:w w:val="98"/>
        </w:rPr>
        <w:t xml:space="preserve">, ¶ 49, Doc. ONU CRC/C/MEX/CO/4-5 (2015); </w:t>
      </w:r>
      <w:r w:rsidRPr="00AC72B5">
        <w:rPr>
          <w:i/>
          <w:w w:val="98"/>
        </w:rPr>
        <w:t>Venezuela</w:t>
      </w:r>
      <w:r w:rsidRPr="00AC72B5">
        <w:rPr>
          <w:w w:val="98"/>
        </w:rPr>
        <w:t xml:space="preserve">, ¶ 56, Doc. ONU CRC/C/VEN/CO/3-5 (2014); </w:t>
      </w:r>
      <w:r w:rsidRPr="00AC72B5">
        <w:rPr>
          <w:i/>
          <w:w w:val="98"/>
        </w:rPr>
        <w:t>India</w:t>
      </w:r>
      <w:r w:rsidRPr="00AC72B5">
        <w:rPr>
          <w:w w:val="98"/>
        </w:rPr>
        <w:t xml:space="preserve">, ¶ 65, Doc. ONU CRC/C/IND/CO/3-4 (2014); </w:t>
      </w:r>
      <w:r w:rsidRPr="00AC72B5">
        <w:rPr>
          <w:i/>
          <w:w w:val="98"/>
        </w:rPr>
        <w:t>Guyana</w:t>
      </w:r>
      <w:r w:rsidRPr="00AC72B5">
        <w:rPr>
          <w:w w:val="98"/>
        </w:rPr>
        <w:t xml:space="preserve">, ¶ 49, Doc. ONU CRC/C/CHICO/CO/2-4 (2013); </w:t>
      </w:r>
      <w:r w:rsidRPr="00AC72B5">
        <w:rPr>
          <w:i/>
          <w:w w:val="98"/>
        </w:rPr>
        <w:t>Costa Rica</w:t>
      </w:r>
      <w:r w:rsidRPr="00AC72B5">
        <w:rPr>
          <w:w w:val="98"/>
        </w:rPr>
        <w:t xml:space="preserve">, ¶ 63, Doc. ONU CRC/C/CRI/CO/4 (2011); </w:t>
      </w:r>
      <w:r w:rsidRPr="00AC72B5">
        <w:rPr>
          <w:i/>
          <w:w w:val="98"/>
        </w:rPr>
        <w:t>Argentina</w:t>
      </w:r>
      <w:r w:rsidRPr="00AC72B5">
        <w:rPr>
          <w:w w:val="98"/>
        </w:rPr>
        <w:t xml:space="preserve">, ¶ 62, Doc. ONU CRC/C/ARG/CO/3-4 (2010); </w:t>
      </w:r>
      <w:r w:rsidRPr="00AC72B5">
        <w:rPr>
          <w:i/>
          <w:w w:val="98"/>
        </w:rPr>
        <w:t>Guatemala</w:t>
      </w:r>
      <w:r w:rsidRPr="00AC72B5">
        <w:rPr>
          <w:w w:val="98"/>
        </w:rPr>
        <w:t xml:space="preserve">, ¶ 74, Doc. ONU CRC/C/GTM/CO/3-4 (2010); </w:t>
      </w:r>
      <w:r w:rsidRPr="00AC72B5">
        <w:rPr>
          <w:i/>
          <w:w w:val="98"/>
        </w:rPr>
        <w:t>Ecuador</w:t>
      </w:r>
      <w:r w:rsidRPr="00AC72B5">
        <w:rPr>
          <w:w w:val="98"/>
        </w:rPr>
        <w:t xml:space="preserve">, ¶ 60, Doc. ONU CRC/C/OPSC/ECU/CO/4 (2010); </w:t>
      </w:r>
      <w:r w:rsidRPr="00AC72B5">
        <w:rPr>
          <w:i/>
          <w:w w:val="98"/>
        </w:rPr>
        <w:t>Granada</w:t>
      </w:r>
      <w:r w:rsidRPr="00AC72B5">
        <w:rPr>
          <w:w w:val="98"/>
        </w:rPr>
        <w:t xml:space="preserve">, ¶ 45, Doc. ONU CRC/C/GRD/C/2 (2010); </w:t>
      </w:r>
      <w:r w:rsidRPr="00AC72B5">
        <w:rPr>
          <w:i/>
          <w:w w:val="98"/>
        </w:rPr>
        <w:t>Angola</w:t>
      </w:r>
      <w:r w:rsidRPr="00AC72B5">
        <w:rPr>
          <w:w w:val="98"/>
        </w:rPr>
        <w:t xml:space="preserve">, ¶ 51, Doc. ONU CRC/C/HACE/CO/2-4 (2010); </w:t>
      </w:r>
      <w:r w:rsidRPr="00AC72B5">
        <w:rPr>
          <w:i/>
          <w:w w:val="98"/>
        </w:rPr>
        <w:t>Bolivia</w:t>
      </w:r>
      <w:r w:rsidRPr="00AC72B5">
        <w:rPr>
          <w:w w:val="98"/>
        </w:rPr>
        <w:t xml:space="preserve">, ¶ 55, Doc. ONU CRC/C/BOL/CO/4 (2009); </w:t>
      </w:r>
      <w:r w:rsidRPr="00AC72B5">
        <w:rPr>
          <w:i/>
          <w:w w:val="98"/>
        </w:rPr>
        <w:t>Benin</w:t>
      </w:r>
      <w:r w:rsidRPr="00AC72B5">
        <w:rPr>
          <w:w w:val="98"/>
        </w:rPr>
        <w:t xml:space="preserve">, ¶ 55, Doc. ONU CRC/C/BEN/CO/2 (2006); </w:t>
      </w:r>
      <w:r w:rsidRPr="00AC72B5">
        <w:rPr>
          <w:i/>
          <w:w w:val="98"/>
        </w:rPr>
        <w:t>Belice</w:t>
      </w:r>
      <w:r w:rsidRPr="00AC72B5">
        <w:rPr>
          <w:w w:val="98"/>
        </w:rPr>
        <w:t xml:space="preserve">, ¶ 54, Doc. ONU CRC/C/15/Add.252 (2005); </w:t>
      </w:r>
      <w:r w:rsidRPr="00AC72B5">
        <w:rPr>
          <w:i/>
          <w:w w:val="98"/>
        </w:rPr>
        <w:t>Bangladesh</w:t>
      </w:r>
      <w:r w:rsidRPr="00AC72B5">
        <w:rPr>
          <w:w w:val="98"/>
        </w:rPr>
        <w:t xml:space="preserve">, ¶ 59, Doc. ONU CRC/C/15/Add.221 (2003); </w:t>
      </w:r>
      <w:r w:rsidRPr="00AC72B5">
        <w:rPr>
          <w:i/>
          <w:w w:val="98"/>
        </w:rPr>
        <w:t>Argentina</w:t>
      </w:r>
      <w:r w:rsidRPr="00AC72B5">
        <w:rPr>
          <w:w w:val="98"/>
        </w:rPr>
        <w:t>, ¶ 50, Doc. ONU CRC/C/15/Add.187 (2002).</w:t>
      </w:r>
    </w:p>
  </w:endnote>
  <w:endnote w:id="1038">
    <w:p w14:paraId="20B23B64" w14:textId="6DCCDD39"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Zimbabue</w:t>
      </w:r>
      <w:r w:rsidRPr="00AC72B5">
        <w:rPr>
          <w:w w:val="98"/>
        </w:rPr>
        <w:t xml:space="preserve">, ¶ 60, Doc. ONU CRC/C/ZWE/CO/2 (2016); </w:t>
      </w:r>
      <w:r w:rsidRPr="00AC72B5">
        <w:rPr>
          <w:i/>
          <w:w w:val="98"/>
        </w:rPr>
        <w:t>Timor Oriental</w:t>
      </w:r>
      <w:r w:rsidRPr="00AC72B5">
        <w:rPr>
          <w:w w:val="98"/>
        </w:rPr>
        <w:t xml:space="preserve">, ¶ 50, Doc. ONU CRC/C/TLS/CO/2-3 (2015); </w:t>
      </w:r>
      <w:r w:rsidRPr="00AC72B5">
        <w:rPr>
          <w:i/>
          <w:w w:val="98"/>
        </w:rPr>
        <w:t>Uganda</w:t>
      </w:r>
      <w:r w:rsidRPr="00AC72B5">
        <w:rPr>
          <w:w w:val="98"/>
        </w:rPr>
        <w:t xml:space="preserve">, ¶ 53, Doc. ONU CRC/C/UGA/CO/2 (2005); </w:t>
      </w:r>
      <w:r w:rsidRPr="00AC72B5">
        <w:rPr>
          <w:i/>
          <w:w w:val="98"/>
        </w:rPr>
        <w:t>Burkina Faso</w:t>
      </w:r>
      <w:r w:rsidRPr="00AC72B5">
        <w:rPr>
          <w:w w:val="98"/>
        </w:rPr>
        <w:t>, ¶ 40, Doc. ONU CRC/C/15/Add.193 (2002).</w:t>
      </w:r>
    </w:p>
  </w:endnote>
  <w:endnote w:id="1039">
    <w:p w14:paraId="4E2BF380" w14:textId="7D395B1C"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México</w:t>
      </w:r>
      <w:r w:rsidRPr="00AC72B5">
        <w:rPr>
          <w:w w:val="98"/>
        </w:rPr>
        <w:t xml:space="preserve">, ¶ 49, Doc. ONU CRC/C/MEX/CO/4-5 (2015); </w:t>
      </w:r>
      <w:r w:rsidRPr="00AC72B5">
        <w:rPr>
          <w:i/>
          <w:w w:val="98"/>
        </w:rPr>
        <w:t>Observaciones: República Unida de Tanzania</w:t>
      </w:r>
      <w:r w:rsidRPr="00AC72B5">
        <w:rPr>
          <w:w w:val="98"/>
        </w:rPr>
        <w:t>, ¶ 58, Doc. ONU CRC/C/TZA/CO/3-5 (2015).</w:t>
      </w:r>
    </w:p>
  </w:endnote>
  <w:endnote w:id="1040">
    <w:p w14:paraId="10738F8A" w14:textId="0EAFDE2C"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Honduras</w:t>
      </w:r>
      <w:r w:rsidRPr="00AC72B5">
        <w:rPr>
          <w:w w:val="98"/>
        </w:rPr>
        <w:t xml:space="preserve">, ¶ 64, Doc. ONU </w:t>
      </w:r>
      <w:r w:rsidRPr="00AC72B5">
        <w:rPr>
          <w:rFonts w:eastAsia="MS Mincho"/>
          <w:w w:val="98"/>
        </w:rPr>
        <w:t>CRC/C/HND/CO/4-5 (2015).</w:t>
      </w:r>
    </w:p>
  </w:endnote>
  <w:endnote w:id="1041">
    <w:p w14:paraId="633F8A54" w14:textId="4FFEA4E0"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Granada</w:t>
      </w:r>
      <w:r w:rsidRPr="00AC72B5">
        <w:rPr>
          <w:w w:val="98"/>
        </w:rPr>
        <w:t xml:space="preserve">, ¶ 45, Doc. ONU CRC/C/GRD/C/2 (2010); </w:t>
      </w:r>
      <w:r w:rsidRPr="00AC72B5">
        <w:rPr>
          <w:i/>
          <w:w w:val="98"/>
        </w:rPr>
        <w:t>Filipinas</w:t>
      </w:r>
      <w:r w:rsidRPr="00AC72B5">
        <w:rPr>
          <w:w w:val="98"/>
        </w:rPr>
        <w:t xml:space="preserve">, ¶ 61, Doc. ONU </w:t>
      </w:r>
      <w:r w:rsidRPr="00AC72B5">
        <w:rPr>
          <w:w w:val="98"/>
        </w:rPr>
        <w:fldChar w:fldCharType="begin"/>
      </w:r>
      <w:r w:rsidRPr="00AC72B5">
        <w:rPr>
          <w:w w:val="98"/>
        </w:rPr>
        <w:instrText xml:space="preserve"> FILLIN  Symbol  \* MERGEFORMAT </w:instrText>
      </w:r>
      <w:r w:rsidRPr="00AC72B5">
        <w:rPr>
          <w:w w:val="98"/>
        </w:rPr>
        <w:fldChar w:fldCharType="separate"/>
      </w:r>
      <w:r w:rsidRPr="00AC72B5">
        <w:rPr>
          <w:w w:val="98"/>
        </w:rPr>
        <w:t>CRC/C/PHL/CO/</w:t>
      </w:r>
      <w:r w:rsidRPr="00AC72B5">
        <w:rPr>
          <w:w w:val="98"/>
        </w:rPr>
        <w:fldChar w:fldCharType="end"/>
      </w:r>
      <w:r w:rsidRPr="00AC72B5">
        <w:rPr>
          <w:w w:val="98"/>
        </w:rPr>
        <w:t>3-4 (2009).</w:t>
      </w:r>
    </w:p>
  </w:endnote>
  <w:endnote w:id="1042">
    <w:p w14:paraId="7124B8F3" w14:textId="07A3207E" w:rsidR="005E3DDD" w:rsidRPr="00AC72B5" w:rsidRDefault="005E3DDD" w:rsidP="00E12C89">
      <w:pPr>
        <w:pStyle w:val="EndnoteText"/>
        <w:ind w:hanging="223"/>
        <w:rPr>
          <w:i/>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Timor-Leste</w:t>
      </w:r>
      <w:r w:rsidRPr="00AC72B5">
        <w:rPr>
          <w:w w:val="98"/>
        </w:rPr>
        <w:t>, ¶ 50, Doc. ONU CRC/C/TLS/CO/2-3 (2015).</w:t>
      </w:r>
    </w:p>
  </w:endnote>
  <w:endnote w:id="1043">
    <w:p w14:paraId="3C137BA0" w14:textId="762A89D9"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Ecuador</w:t>
      </w:r>
      <w:r w:rsidRPr="00AC72B5">
        <w:rPr>
          <w:w w:val="98"/>
        </w:rPr>
        <w:t>, ¶ 60, Doc. ONU CRC/C/OPSC/ECU/CO/4 (2010).</w:t>
      </w:r>
    </w:p>
  </w:endnote>
  <w:endnote w:id="1044">
    <w:p w14:paraId="350A0CEB" w14:textId="1E1FF837"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 xml:space="preserve">Observaciones Finales: Ciudad del Vaticano, </w:t>
      </w:r>
      <w:r w:rsidRPr="00AC72B5">
        <w:rPr>
          <w:w w:val="98"/>
        </w:rPr>
        <w:t xml:space="preserve">¶¶ 56-57, Doc. ONU </w:t>
      </w:r>
      <w:r w:rsidRPr="00AC72B5">
        <w:rPr>
          <w:rFonts w:eastAsia="MS Mincho"/>
          <w:w w:val="98"/>
        </w:rPr>
        <w:t>CRC/C/VAT/CO/2 (2014).</w:t>
      </w:r>
    </w:p>
  </w:endnote>
  <w:endnote w:id="1045">
    <w:p w14:paraId="1DE6C544" w14:textId="56F97BF1"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Eslovaquia</w:t>
      </w:r>
      <w:r w:rsidRPr="00AC72B5">
        <w:rPr>
          <w:w w:val="98"/>
        </w:rPr>
        <w:t>, ¶ 40, Doc. ONU</w:t>
      </w:r>
      <w:r w:rsidRPr="00AC72B5">
        <w:rPr>
          <w:i/>
          <w:w w:val="98"/>
        </w:rPr>
        <w:t xml:space="preserve"> </w:t>
      </w:r>
      <w:r w:rsidRPr="00AC72B5">
        <w:rPr>
          <w:w w:val="98"/>
        </w:rPr>
        <w:t xml:space="preserve">CRC/C/SVK/CO/3-5 (2016); </w:t>
      </w:r>
      <w:r w:rsidRPr="00AC72B5">
        <w:rPr>
          <w:i/>
          <w:w w:val="98"/>
        </w:rPr>
        <w:t>Zimbabue</w:t>
      </w:r>
      <w:r w:rsidRPr="00AC72B5">
        <w:rPr>
          <w:w w:val="98"/>
        </w:rPr>
        <w:t xml:space="preserve">, ¶ 68, Doc. ONU CRC/C/ZWE/CO/2 (2016); </w:t>
      </w:r>
      <w:r w:rsidRPr="00AC72B5">
        <w:rPr>
          <w:i/>
          <w:w w:val="98"/>
        </w:rPr>
        <w:t>Sudáfrica</w:t>
      </w:r>
      <w:r w:rsidRPr="00AC72B5">
        <w:rPr>
          <w:w w:val="98"/>
        </w:rPr>
        <w:t xml:space="preserve">, ¶ 59, Doc. ONU </w:t>
      </w:r>
      <w:r w:rsidRPr="00AC72B5">
        <w:rPr>
          <w:rFonts w:eastAsia="Times New Roman"/>
          <w:w w:val="98"/>
        </w:rPr>
        <w:t>CRC/C/ZAF/CO/2</w:t>
      </w:r>
      <w:r w:rsidRPr="00AC72B5">
        <w:rPr>
          <w:w w:val="98"/>
        </w:rPr>
        <w:t xml:space="preserve"> (2016); </w:t>
      </w:r>
      <w:r w:rsidRPr="00AC72B5">
        <w:rPr>
          <w:i/>
          <w:w w:val="98"/>
        </w:rPr>
        <w:t>Zambia</w:t>
      </w:r>
      <w:r w:rsidRPr="00AC72B5">
        <w:rPr>
          <w:w w:val="98"/>
        </w:rPr>
        <w:t>, ¶ 53, Doc. ONU CRC/C/ZMB/CO/2-4 (2016).</w:t>
      </w:r>
    </w:p>
  </w:endnote>
  <w:endnote w:id="1046">
    <w:p w14:paraId="5BE35CD2" w14:textId="00FDA7F5"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Panamá</w:t>
      </w:r>
      <w:r w:rsidRPr="00AC72B5">
        <w:rPr>
          <w:w w:val="98"/>
        </w:rPr>
        <w:t>, ¶ 56, Doc. ONU CRC/C/PAN/CO/3-4 (2011).</w:t>
      </w:r>
    </w:p>
  </w:endnote>
  <w:endnote w:id="1047">
    <w:p w14:paraId="7F801E06" w14:textId="78332AFB"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Sierra Leona</w:t>
      </w:r>
      <w:r w:rsidRPr="00AC72B5">
        <w:rPr>
          <w:w w:val="98"/>
        </w:rPr>
        <w:t xml:space="preserve">, ¶ 34, Doc. ONU </w:t>
      </w:r>
      <w:r w:rsidRPr="00AC72B5">
        <w:rPr>
          <w:rFonts w:eastAsia="Times New Roman"/>
          <w:w w:val="98"/>
        </w:rPr>
        <w:t xml:space="preserve">CRC/C/LES/CO/3-5 (2016); </w:t>
      </w:r>
      <w:r w:rsidRPr="00AC72B5">
        <w:rPr>
          <w:i/>
          <w:w w:val="98"/>
        </w:rPr>
        <w:t>República Unida de Tanzania</w:t>
      </w:r>
      <w:r w:rsidRPr="00AC72B5">
        <w:rPr>
          <w:w w:val="98"/>
        </w:rPr>
        <w:t>, ¶ 62, Doc. ONU CRC/C/TZA/CO/3-5 (2015).</w:t>
      </w:r>
    </w:p>
  </w:endnote>
  <w:endnote w:id="1048">
    <w:p w14:paraId="1B95803C" w14:textId="7A472E44"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Guyana</w:t>
      </w:r>
      <w:r w:rsidRPr="00AC72B5">
        <w:rPr>
          <w:w w:val="98"/>
        </w:rPr>
        <w:t xml:space="preserve">, ¶ 49, Doc. ONU CRC/C/CHICO/CO/2-4 (2013); </w:t>
      </w:r>
      <w:r w:rsidRPr="00AC72B5">
        <w:rPr>
          <w:i/>
          <w:w w:val="98"/>
        </w:rPr>
        <w:t>República de Corea</w:t>
      </w:r>
      <w:r w:rsidRPr="00AC72B5">
        <w:rPr>
          <w:w w:val="98"/>
        </w:rPr>
        <w:t xml:space="preserve">, ¶ 10, Doc. ONU CRC/C/KOR/CO/3-4 (2012); </w:t>
      </w:r>
      <w:r w:rsidRPr="00AC72B5">
        <w:rPr>
          <w:i/>
          <w:w w:val="98"/>
        </w:rPr>
        <w:t>Uruguay</w:t>
      </w:r>
      <w:r w:rsidRPr="00AC72B5">
        <w:rPr>
          <w:w w:val="98"/>
        </w:rPr>
        <w:t>, ¶ 51, Doc. ONU CRC/C/URY/CO/2 (2007).</w:t>
      </w:r>
    </w:p>
  </w:endnote>
  <w:endnote w:id="1049">
    <w:p w14:paraId="624A57C1" w14:textId="40DDAEC3"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Surinam</w:t>
      </w:r>
      <w:r w:rsidRPr="00AC72B5">
        <w:rPr>
          <w:w w:val="98"/>
        </w:rPr>
        <w:t>, ¶ 34, Doc. ONU CRC/C/SUR/CO/3-4 (2016).</w:t>
      </w:r>
    </w:p>
  </w:endnote>
  <w:endnote w:id="1050">
    <w:p w14:paraId="3AD2A322" w14:textId="1F014B05"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República Unida de Tanzania</w:t>
      </w:r>
      <w:r w:rsidRPr="00AC72B5">
        <w:rPr>
          <w:w w:val="98"/>
        </w:rPr>
        <w:t>, ¶ 62, Doc. ONU CRC/C/TZA/CO/3-5 (2015).</w:t>
      </w:r>
    </w:p>
  </w:endnote>
  <w:endnote w:id="1051">
    <w:p w14:paraId="58DF7238" w14:textId="2F8997C1"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Sierra Leona</w:t>
      </w:r>
      <w:r w:rsidRPr="00AC72B5">
        <w:rPr>
          <w:w w:val="98"/>
        </w:rPr>
        <w:t xml:space="preserve">, ¶ 31, Doc. ONU CRC/C/LES/CO/3-5 (2016); </w:t>
      </w:r>
      <w:r w:rsidRPr="00AC72B5">
        <w:rPr>
          <w:i/>
          <w:w w:val="98"/>
        </w:rPr>
        <w:t>Samoa</w:t>
      </w:r>
      <w:r w:rsidRPr="00AC72B5">
        <w:rPr>
          <w:w w:val="98"/>
        </w:rPr>
        <w:t xml:space="preserve">, ¶ 46, Doc. ONU CRC/C/WSM/CO/2-4 (2016); </w:t>
      </w:r>
      <w:r w:rsidRPr="00AC72B5">
        <w:rPr>
          <w:i/>
          <w:w w:val="98"/>
        </w:rPr>
        <w:t>Guyana</w:t>
      </w:r>
      <w:r w:rsidRPr="00AC72B5">
        <w:rPr>
          <w:w w:val="98"/>
        </w:rPr>
        <w:t>, ¶ 49, Doc. ONU CRC/C/GUY/CO/2-4 (2013).</w:t>
      </w:r>
    </w:p>
  </w:endnote>
  <w:endnote w:id="1052">
    <w:p w14:paraId="19C105C8" w14:textId="3D3E20E4"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Kenia</w:t>
      </w:r>
      <w:r w:rsidRPr="00AC72B5">
        <w:rPr>
          <w:w w:val="98"/>
        </w:rPr>
        <w:t>, ¶ 49, Doc. ONU CRC/C/KEN/CO/3-5 (2016).</w:t>
      </w:r>
    </w:p>
  </w:endnote>
  <w:endnote w:id="1053">
    <w:p w14:paraId="1EF9C8F4" w14:textId="481D7299"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Costa Rica</w:t>
      </w:r>
      <w:r w:rsidRPr="00AC72B5">
        <w:rPr>
          <w:w w:val="98"/>
        </w:rPr>
        <w:t>, ¶ 53, Doc. ONU CRC/C/CRI/CO/4 (2011).</w:t>
      </w:r>
    </w:p>
  </w:endnote>
  <w:endnote w:id="1054">
    <w:p w14:paraId="2D8592F6" w14:textId="2EC406DE"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Pakistán</w:t>
      </w:r>
      <w:r w:rsidRPr="00AC72B5">
        <w:rPr>
          <w:w w:val="98"/>
        </w:rPr>
        <w:t>, ¶ 65, Doc. ONU CRC/C/PAK/CO/3-4 (2009).</w:t>
      </w:r>
    </w:p>
  </w:endnote>
  <w:endnote w:id="1055">
    <w:p w14:paraId="162C96A7" w14:textId="3C101B93"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Eslovaquia</w:t>
      </w:r>
      <w:r w:rsidRPr="00AC72B5">
        <w:rPr>
          <w:w w:val="98"/>
        </w:rPr>
        <w:t>, ¶ 41, Doc. ONU</w:t>
      </w:r>
      <w:r w:rsidRPr="00AC72B5">
        <w:rPr>
          <w:i/>
          <w:w w:val="98"/>
        </w:rPr>
        <w:t xml:space="preserve"> </w:t>
      </w:r>
      <w:r w:rsidRPr="00AC72B5">
        <w:rPr>
          <w:w w:val="98"/>
        </w:rPr>
        <w:t xml:space="preserve">CRC/C/SVK/CO/3-5 (2016); </w:t>
      </w:r>
      <w:r w:rsidRPr="00AC72B5">
        <w:rPr>
          <w:i/>
          <w:w w:val="98"/>
        </w:rPr>
        <w:t>Pakistán</w:t>
      </w:r>
      <w:r w:rsidRPr="00AC72B5">
        <w:rPr>
          <w:w w:val="98"/>
        </w:rPr>
        <w:t xml:space="preserve">, ¶ 52, Doc. ONU CRC/C/PAK/CO/5 (2016); </w:t>
      </w:r>
      <w:r w:rsidRPr="00AC72B5">
        <w:rPr>
          <w:i/>
          <w:w w:val="98"/>
        </w:rPr>
        <w:t>Maldivas</w:t>
      </w:r>
      <w:r w:rsidRPr="00AC72B5">
        <w:rPr>
          <w:w w:val="98"/>
        </w:rPr>
        <w:t xml:space="preserve">, ¶ 57, Doc. ONU CRC/C/MDV/CO/4-5 (2016); </w:t>
      </w:r>
      <w:r w:rsidRPr="00AC72B5">
        <w:rPr>
          <w:i/>
          <w:w w:val="98"/>
        </w:rPr>
        <w:t>Brunéi Darussalam</w:t>
      </w:r>
      <w:r w:rsidRPr="00AC72B5">
        <w:rPr>
          <w:w w:val="98"/>
        </w:rPr>
        <w:t xml:space="preserve">, ¶ 53, Doc. ONU CRC/C/BRN/CO/2-3 (2016); </w:t>
      </w:r>
      <w:r w:rsidRPr="00AC72B5">
        <w:rPr>
          <w:i/>
          <w:w w:val="98"/>
        </w:rPr>
        <w:t>Ghana</w:t>
      </w:r>
      <w:r w:rsidRPr="00AC72B5">
        <w:rPr>
          <w:w w:val="98"/>
        </w:rPr>
        <w:t xml:space="preserve">, ¶ 52, Doc. ONU </w:t>
      </w:r>
      <w:r w:rsidRPr="00AC72B5">
        <w:rPr>
          <w:rFonts w:eastAsia="Times New Roman"/>
          <w:w w:val="98"/>
        </w:rPr>
        <w:t xml:space="preserve">CRC/C/GHA/CO/3-5 (2015); </w:t>
      </w:r>
      <w:r w:rsidRPr="00AC72B5">
        <w:rPr>
          <w:i/>
          <w:w w:val="98"/>
        </w:rPr>
        <w:t>Guyana</w:t>
      </w:r>
      <w:r w:rsidRPr="00AC72B5">
        <w:rPr>
          <w:w w:val="98"/>
        </w:rPr>
        <w:t xml:space="preserve">, ¶ 50, Doc. ONU CRC/C/CHICO/CO/2-4 (2013); </w:t>
      </w:r>
      <w:r w:rsidRPr="00AC72B5">
        <w:rPr>
          <w:i/>
          <w:w w:val="98"/>
        </w:rPr>
        <w:t>Costa Rica</w:t>
      </w:r>
      <w:r w:rsidRPr="00AC72B5">
        <w:rPr>
          <w:w w:val="98"/>
        </w:rPr>
        <w:t>, ¶ 64, Doc. ONU CRC/C/CRI/CO/4 (2011).</w:t>
      </w:r>
    </w:p>
  </w:endnote>
  <w:endnote w:id="1056">
    <w:p w14:paraId="62394A24" w14:textId="57BE950B"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Kenia</w:t>
      </w:r>
      <w:r w:rsidRPr="00AC72B5">
        <w:rPr>
          <w:w w:val="98"/>
        </w:rPr>
        <w:t xml:space="preserve">, ¶ 50, Doc. ONU CRC/C/KEN/CO/3-5 (2016); </w:t>
      </w:r>
      <w:r w:rsidRPr="00AC72B5">
        <w:rPr>
          <w:i/>
          <w:w w:val="98"/>
        </w:rPr>
        <w:t>Surinam</w:t>
      </w:r>
      <w:r w:rsidRPr="00AC72B5">
        <w:rPr>
          <w:w w:val="98"/>
        </w:rPr>
        <w:t>, ¶ 31(c), Doc. ONU CRC/C/SUR/CO/3-4 (2016).</w:t>
      </w:r>
    </w:p>
  </w:endnote>
  <w:endnote w:id="1057">
    <w:p w14:paraId="0B85B695" w14:textId="5E4D311B"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Surinam</w:t>
      </w:r>
      <w:r w:rsidRPr="00AC72B5">
        <w:rPr>
          <w:w w:val="98"/>
        </w:rPr>
        <w:t>, ¶ 31(c), Doc. ONU CRC/C/SUR/CO/3-4 (2016).</w:t>
      </w:r>
    </w:p>
  </w:endnote>
  <w:endnote w:id="1058">
    <w:p w14:paraId="12B85A89" w14:textId="0A376EA9" w:rsidR="005E3DDD" w:rsidRPr="00AC72B5" w:rsidRDefault="005E3DDD" w:rsidP="00E12C89">
      <w:pPr>
        <w:pStyle w:val="EndnoteText"/>
        <w:ind w:hanging="223"/>
        <w:rPr>
          <w:i/>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Omán</w:t>
      </w:r>
      <w:r w:rsidRPr="00AC72B5">
        <w:rPr>
          <w:w w:val="98"/>
        </w:rPr>
        <w:t xml:space="preserve">, ¶ 51, Doc. ONU CRC/C/OMN/CO/3-4 (2016); </w:t>
      </w:r>
      <w:r w:rsidRPr="00AC72B5">
        <w:rPr>
          <w:i/>
          <w:w w:val="98"/>
        </w:rPr>
        <w:t>Timor Oriental</w:t>
      </w:r>
      <w:r w:rsidRPr="00AC72B5">
        <w:rPr>
          <w:w w:val="98"/>
        </w:rPr>
        <w:t>, ¶ 51, Doc. ONU CRC/C/TLS/CO/2-3 (2015).</w:t>
      </w:r>
    </w:p>
  </w:endnote>
  <w:endnote w:id="1059">
    <w:p w14:paraId="18106852" w14:textId="202DADBB"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República de Sudáfrica</w:t>
      </w:r>
      <w:r w:rsidRPr="00AC72B5">
        <w:rPr>
          <w:w w:val="98"/>
        </w:rPr>
        <w:t xml:space="preserve">, ¶ 60, Doc. ONU </w:t>
      </w:r>
      <w:r w:rsidRPr="00AC72B5">
        <w:rPr>
          <w:rFonts w:eastAsia="Times New Roman"/>
          <w:w w:val="98"/>
        </w:rPr>
        <w:t>CRC/C/ZAF/CO/2</w:t>
      </w:r>
      <w:r w:rsidRPr="00AC72B5">
        <w:rPr>
          <w:w w:val="98"/>
        </w:rPr>
        <w:t xml:space="preserve"> (2016).</w:t>
      </w:r>
    </w:p>
  </w:endnote>
  <w:endnote w:id="1060">
    <w:p w14:paraId="6B5753A4" w14:textId="14F92C0D"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Surinam</w:t>
      </w:r>
      <w:r w:rsidRPr="00AC72B5">
        <w:rPr>
          <w:w w:val="98"/>
        </w:rPr>
        <w:t xml:space="preserve">, ¶ 35, Doc. ONU CRC/C/SUR/CO/3-4 (2016); </w:t>
      </w:r>
      <w:r w:rsidRPr="00AC72B5">
        <w:rPr>
          <w:i/>
          <w:w w:val="98"/>
        </w:rPr>
        <w:t>Sierra Leona</w:t>
      </w:r>
      <w:r w:rsidRPr="00AC72B5">
        <w:rPr>
          <w:w w:val="98"/>
        </w:rPr>
        <w:t xml:space="preserve">, ¶ 35, Doc. ONU </w:t>
      </w:r>
      <w:r w:rsidRPr="00AC72B5">
        <w:rPr>
          <w:rFonts w:eastAsia="Times New Roman"/>
          <w:w w:val="98"/>
        </w:rPr>
        <w:t xml:space="preserve">CRC/C/les/CO/3-5 (2016); </w:t>
      </w:r>
      <w:r w:rsidRPr="00AC72B5">
        <w:rPr>
          <w:i/>
          <w:w w:val="98"/>
        </w:rPr>
        <w:t>República Unida de Tanzania</w:t>
      </w:r>
      <w:r w:rsidRPr="00AC72B5">
        <w:rPr>
          <w:w w:val="98"/>
        </w:rPr>
        <w:t>, ¶ 63, Doc. ONU CRC/C/TZA/CO/3-5 (2015).</w:t>
      </w:r>
    </w:p>
  </w:endnote>
  <w:endnote w:id="1061">
    <w:p w14:paraId="532468DA" w14:textId="5E63A21A" w:rsidR="005E3DDD" w:rsidRPr="00AC72B5" w:rsidRDefault="005E3DDD" w:rsidP="00E12C89">
      <w:pPr>
        <w:pStyle w:val="EndnoteText"/>
        <w:ind w:hanging="223"/>
        <w:rPr>
          <w:i/>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República de Sudáfrica</w:t>
      </w:r>
      <w:r w:rsidRPr="00AC72B5">
        <w:rPr>
          <w:w w:val="98"/>
        </w:rPr>
        <w:t xml:space="preserve">, ¶ 60, Doc. ONU </w:t>
      </w:r>
      <w:r w:rsidRPr="00AC72B5">
        <w:rPr>
          <w:rFonts w:eastAsia="Times New Roman"/>
          <w:w w:val="98"/>
        </w:rPr>
        <w:t>CRC/C/ZAF/CO/2</w:t>
      </w:r>
      <w:r w:rsidRPr="00AC72B5">
        <w:rPr>
          <w:w w:val="98"/>
        </w:rPr>
        <w:t xml:space="preserve"> (2016); </w:t>
      </w:r>
      <w:r w:rsidRPr="00AC72B5">
        <w:rPr>
          <w:i/>
          <w:w w:val="98"/>
        </w:rPr>
        <w:t>Zambia</w:t>
      </w:r>
      <w:r w:rsidRPr="00AC72B5">
        <w:rPr>
          <w:w w:val="98"/>
        </w:rPr>
        <w:t xml:space="preserve">, ¶ 54, Doc. ONU CRC/C/ZMB/CO/2-4 (2016); </w:t>
      </w:r>
      <w:r w:rsidRPr="00AC72B5">
        <w:rPr>
          <w:i/>
          <w:w w:val="98"/>
        </w:rPr>
        <w:t>Guyana</w:t>
      </w:r>
      <w:r w:rsidRPr="00AC72B5">
        <w:rPr>
          <w:w w:val="98"/>
        </w:rPr>
        <w:t>, ¶ 50, Doc. ONU CRC/C/GUY/CO/2-4 (2013).</w:t>
      </w:r>
    </w:p>
  </w:endnote>
  <w:endnote w:id="1062">
    <w:p w14:paraId="651E6EA8" w14:textId="76F664B2"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Surinam</w:t>
      </w:r>
      <w:r w:rsidRPr="00AC72B5">
        <w:rPr>
          <w:w w:val="98"/>
        </w:rPr>
        <w:t xml:space="preserve">, ¶ 31(b), Doc. ONU CRC/C/SUR/CO/3-4 (2016); </w:t>
      </w:r>
      <w:r w:rsidRPr="00AC72B5">
        <w:rPr>
          <w:i/>
          <w:w w:val="98"/>
        </w:rPr>
        <w:t>Sierra Leona</w:t>
      </w:r>
      <w:r w:rsidRPr="00AC72B5">
        <w:rPr>
          <w:w w:val="98"/>
        </w:rPr>
        <w:t xml:space="preserve">, ¶ 32, Doc. ONU CRC/C/LES/CO/3-5 (2016); </w:t>
      </w:r>
      <w:r w:rsidRPr="00AC72B5">
        <w:rPr>
          <w:i/>
          <w:w w:val="98"/>
        </w:rPr>
        <w:t>Arabia Saudita</w:t>
      </w:r>
      <w:r w:rsidRPr="00AC72B5">
        <w:rPr>
          <w:w w:val="98"/>
        </w:rPr>
        <w:t xml:space="preserve">, ¶ 35, Doc. ONU CRC/C/SAU/CO/3-4 (2016); </w:t>
      </w:r>
      <w:r w:rsidRPr="00AC72B5">
        <w:rPr>
          <w:i/>
          <w:w w:val="98"/>
        </w:rPr>
        <w:t>Reino Unido de Gran Bretaña e Irlanda del Norte</w:t>
      </w:r>
      <w:r w:rsidRPr="00AC72B5">
        <w:rPr>
          <w:w w:val="98"/>
        </w:rPr>
        <w:t xml:space="preserve">, ¶ 65, Doc. ONU CRC/C/GBR/CO/5 (2016); </w:t>
      </w:r>
      <w:r w:rsidRPr="00AC72B5">
        <w:rPr>
          <w:i/>
          <w:w w:val="98"/>
        </w:rPr>
        <w:t>Pakistán</w:t>
      </w:r>
      <w:r w:rsidRPr="00AC72B5">
        <w:rPr>
          <w:w w:val="98"/>
        </w:rPr>
        <w:t xml:space="preserve">, ¶ 52, Doc. ONU CRC/C/PAK/CO/5 (2016); </w:t>
      </w:r>
      <w:r w:rsidRPr="00AC72B5">
        <w:rPr>
          <w:i/>
          <w:w w:val="98"/>
        </w:rPr>
        <w:t>Nepal</w:t>
      </w:r>
      <w:r w:rsidRPr="00AC72B5">
        <w:rPr>
          <w:w w:val="98"/>
        </w:rPr>
        <w:t xml:space="preserve">, ¶ 54, Doc. ONU </w:t>
      </w:r>
      <w:r w:rsidRPr="00AC72B5">
        <w:rPr>
          <w:rFonts w:eastAsia="Times New Roman"/>
          <w:w w:val="98"/>
        </w:rPr>
        <w:t xml:space="preserve">CRC/C/NPL/CO/3-5 (2016); </w:t>
      </w:r>
      <w:r w:rsidRPr="00AC72B5">
        <w:rPr>
          <w:rFonts w:eastAsia="Times New Roman"/>
          <w:i/>
          <w:w w:val="98"/>
        </w:rPr>
        <w:t>Gabón</w:t>
      </w:r>
      <w:r w:rsidRPr="00AC72B5">
        <w:rPr>
          <w:rFonts w:eastAsia="Times New Roman"/>
          <w:w w:val="98"/>
        </w:rPr>
        <w:t xml:space="preserve">, </w:t>
      </w:r>
      <w:r w:rsidRPr="00AC72B5">
        <w:rPr>
          <w:w w:val="98"/>
        </w:rPr>
        <w:t xml:space="preserve">¶ 47, </w:t>
      </w:r>
      <w:r w:rsidRPr="00AC72B5">
        <w:rPr>
          <w:rFonts w:eastAsia="Times New Roman"/>
          <w:w w:val="98"/>
        </w:rPr>
        <w:t xml:space="preserve">Doc. ONU </w:t>
      </w:r>
      <w:r w:rsidRPr="00AC72B5">
        <w:rPr>
          <w:w w:val="98"/>
        </w:rPr>
        <w:t xml:space="preserve">CRC/C/GAB/CO/2 (2016); </w:t>
      </w:r>
      <w:r w:rsidRPr="00AC72B5">
        <w:rPr>
          <w:i/>
          <w:w w:val="98"/>
        </w:rPr>
        <w:t>Zimbabue</w:t>
      </w:r>
      <w:r w:rsidRPr="00AC72B5">
        <w:rPr>
          <w:w w:val="98"/>
        </w:rPr>
        <w:t xml:space="preserve">, ¶ 60, Doc. ONU CRC/C/ZWE/CO/2 (2016); </w:t>
      </w:r>
      <w:r w:rsidRPr="00AC72B5">
        <w:rPr>
          <w:i/>
          <w:w w:val="98"/>
        </w:rPr>
        <w:t>Honduras</w:t>
      </w:r>
      <w:r w:rsidRPr="00AC72B5">
        <w:rPr>
          <w:w w:val="98"/>
        </w:rPr>
        <w:t xml:space="preserve">, ¶ 65, Doc. ONU </w:t>
      </w:r>
      <w:r w:rsidRPr="00AC72B5">
        <w:rPr>
          <w:rFonts w:eastAsia="MS Mincho"/>
          <w:w w:val="98"/>
        </w:rPr>
        <w:t xml:space="preserve">CRC/C/HND/CO/4-5 (2015); </w:t>
      </w:r>
      <w:r w:rsidRPr="00AC72B5">
        <w:rPr>
          <w:rFonts w:eastAsia="MS Mincho"/>
          <w:i/>
          <w:w w:val="98"/>
        </w:rPr>
        <w:t>Uruguay</w:t>
      </w:r>
      <w:r w:rsidRPr="00AC72B5">
        <w:rPr>
          <w:rFonts w:eastAsia="MS Mincho"/>
          <w:w w:val="98"/>
        </w:rPr>
        <w:t xml:space="preserve">, </w:t>
      </w:r>
      <w:r w:rsidRPr="00AC72B5">
        <w:rPr>
          <w:w w:val="98"/>
        </w:rPr>
        <w:t xml:space="preserve">¶ 50, </w:t>
      </w:r>
      <w:r w:rsidRPr="00AC72B5">
        <w:rPr>
          <w:rFonts w:eastAsia="MS Mincho"/>
          <w:w w:val="98"/>
        </w:rPr>
        <w:t xml:space="preserve">Doc. ONU </w:t>
      </w:r>
      <w:r w:rsidRPr="00AC72B5">
        <w:rPr>
          <w:w w:val="98"/>
        </w:rPr>
        <w:t xml:space="preserve">CRC/C/URY/CO/3-5 (2015); </w:t>
      </w:r>
      <w:r w:rsidRPr="00AC72B5">
        <w:rPr>
          <w:i/>
          <w:w w:val="98"/>
        </w:rPr>
        <w:t>Ghana</w:t>
      </w:r>
      <w:r w:rsidRPr="00AC72B5">
        <w:rPr>
          <w:w w:val="98"/>
        </w:rPr>
        <w:t xml:space="preserve">, ¶ 52, Doc. ONU </w:t>
      </w:r>
      <w:r w:rsidRPr="00AC72B5">
        <w:rPr>
          <w:rFonts w:eastAsia="Times New Roman"/>
          <w:w w:val="98"/>
        </w:rPr>
        <w:t>CRC/C/GHA/CO/3-5 (2015);</w:t>
      </w:r>
      <w:r w:rsidRPr="00AC72B5">
        <w:rPr>
          <w:i/>
          <w:w w:val="98"/>
        </w:rPr>
        <w:t xml:space="preserve"> India</w:t>
      </w:r>
      <w:r w:rsidRPr="00AC72B5">
        <w:rPr>
          <w:w w:val="98"/>
        </w:rPr>
        <w:t xml:space="preserve">, ¶ 66, Doc. ONU CRC/C/IND/CO/3-4 (2014); </w:t>
      </w:r>
      <w:r w:rsidRPr="00AC72B5">
        <w:rPr>
          <w:i/>
          <w:w w:val="98"/>
        </w:rPr>
        <w:t>China</w:t>
      </w:r>
      <w:r w:rsidRPr="00AC72B5">
        <w:rPr>
          <w:w w:val="98"/>
        </w:rPr>
        <w:t xml:space="preserve">, ¶ 70, Doc. ONU CRC/C/CHN/CO/3-4 (2013); </w:t>
      </w:r>
      <w:r w:rsidRPr="00AC72B5">
        <w:rPr>
          <w:i/>
          <w:w w:val="98"/>
        </w:rPr>
        <w:t>República de Corea</w:t>
      </w:r>
      <w:r w:rsidRPr="00AC72B5">
        <w:rPr>
          <w:w w:val="98"/>
        </w:rPr>
        <w:t xml:space="preserve">, ¶ 59, Doc. ONU CRC/C/KOR/CO/3-4 (2012); </w:t>
      </w:r>
      <w:r w:rsidRPr="00AC72B5">
        <w:rPr>
          <w:i/>
          <w:w w:val="98"/>
        </w:rPr>
        <w:t>Costa Rica</w:t>
      </w:r>
      <w:r w:rsidRPr="00AC72B5">
        <w:rPr>
          <w:w w:val="98"/>
        </w:rPr>
        <w:t xml:space="preserve">, ¶ 64, Doc. ONU CRC/C/CRI/CO/4 (2011); </w:t>
      </w:r>
      <w:r w:rsidRPr="00AC72B5">
        <w:rPr>
          <w:i/>
          <w:w w:val="98"/>
        </w:rPr>
        <w:t>Ecuador</w:t>
      </w:r>
      <w:r w:rsidRPr="00AC72B5">
        <w:rPr>
          <w:w w:val="98"/>
        </w:rPr>
        <w:t xml:space="preserve">, ¶ 61, Doc. ONU CRC/C/OPSC/ECU/CO/4 (2010); </w:t>
      </w:r>
      <w:r w:rsidRPr="00AC72B5">
        <w:rPr>
          <w:i/>
          <w:w w:val="98"/>
        </w:rPr>
        <w:t>Bolivia</w:t>
      </w:r>
      <w:r w:rsidRPr="00AC72B5">
        <w:rPr>
          <w:w w:val="98"/>
        </w:rPr>
        <w:t xml:space="preserve">, ¶ 56, Doc. ONU CRC/C/BOL/CO/4 (2009); </w:t>
      </w:r>
      <w:r w:rsidRPr="00AC72B5">
        <w:rPr>
          <w:i/>
          <w:w w:val="98"/>
        </w:rPr>
        <w:t>Reino Unido de Gran Bretaña e Irlanda del Norte</w:t>
      </w:r>
      <w:r w:rsidRPr="00AC72B5">
        <w:rPr>
          <w:w w:val="98"/>
        </w:rPr>
        <w:t xml:space="preserve">, ¶ 61, Doc. ONU CRC/C/GBR/CO/4 (2008); </w:t>
      </w:r>
      <w:r w:rsidRPr="00AC72B5">
        <w:rPr>
          <w:i/>
          <w:w w:val="98"/>
        </w:rPr>
        <w:t>Emiratos Árabes Unidos</w:t>
      </w:r>
      <w:r w:rsidRPr="00AC72B5">
        <w:rPr>
          <w:w w:val="98"/>
        </w:rPr>
        <w:t xml:space="preserve">, ¶ 37, Doc. ONU CRC/C/15/Add.183 (2002); </w:t>
      </w:r>
      <w:r w:rsidRPr="00AC72B5">
        <w:rPr>
          <w:i/>
          <w:w w:val="98"/>
        </w:rPr>
        <w:t>Gambia</w:t>
      </w:r>
      <w:r w:rsidRPr="00AC72B5">
        <w:rPr>
          <w:w w:val="98"/>
        </w:rPr>
        <w:t>, ¶ 45, Doc. ONU CRC/C/15/Add.165 (2001).</w:t>
      </w:r>
    </w:p>
  </w:endnote>
  <w:endnote w:id="1063">
    <w:p w14:paraId="3C5C71F9" w14:textId="45430F06"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Argelia</w:t>
      </w:r>
      <w:r w:rsidRPr="00AC72B5">
        <w:rPr>
          <w:w w:val="98"/>
        </w:rPr>
        <w:t xml:space="preserve">, ¶ 60, Doc. ONU CRC/C/DZA/CO/3-4 (2012); </w:t>
      </w:r>
      <w:r w:rsidRPr="00AC72B5">
        <w:rPr>
          <w:i/>
          <w:w w:val="98"/>
        </w:rPr>
        <w:t>Paraguay</w:t>
      </w:r>
      <w:r w:rsidRPr="00AC72B5">
        <w:rPr>
          <w:w w:val="98"/>
        </w:rPr>
        <w:t xml:space="preserve">, ¶ 53, Doc. ONU CRC/C/PRY/CO/3 (2010); </w:t>
      </w:r>
      <w:r w:rsidRPr="00AC72B5">
        <w:rPr>
          <w:i/>
          <w:w w:val="98"/>
        </w:rPr>
        <w:t>Etiopía</w:t>
      </w:r>
      <w:r w:rsidRPr="00AC72B5">
        <w:rPr>
          <w:w w:val="98"/>
        </w:rPr>
        <w:t xml:space="preserve">, ¶ 60, Doc. ONU CRC/C/ETH/CO/4-5 (2015); </w:t>
      </w:r>
      <w:r w:rsidRPr="00AC72B5">
        <w:rPr>
          <w:i/>
          <w:w w:val="98"/>
        </w:rPr>
        <w:t>Bolivia</w:t>
      </w:r>
      <w:r w:rsidRPr="00AC72B5">
        <w:rPr>
          <w:w w:val="98"/>
        </w:rPr>
        <w:t xml:space="preserve">, ¶ 56, Doc. ONU CRC/C/BOL/CO/4 (2009); </w:t>
      </w:r>
      <w:r w:rsidRPr="00AC72B5">
        <w:rPr>
          <w:i/>
          <w:w w:val="98"/>
        </w:rPr>
        <w:t>Angola</w:t>
      </w:r>
      <w:r w:rsidRPr="00AC72B5">
        <w:rPr>
          <w:w w:val="98"/>
        </w:rPr>
        <w:t>, ¶ 45, Doc. ONU CRC/C/15/Add.246 (2004).</w:t>
      </w:r>
    </w:p>
  </w:endnote>
  <w:endnote w:id="1064">
    <w:p w14:paraId="22525F83" w14:textId="0B6ED936"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w:t>
      </w:r>
      <w:r w:rsidRPr="00AC72B5">
        <w:rPr>
          <w:i/>
          <w:w w:val="98"/>
        </w:rPr>
        <w:t xml:space="preserve"> </w:t>
      </w:r>
      <w:r w:rsidRPr="00AC72B5">
        <w:rPr>
          <w:w w:val="98"/>
        </w:rPr>
        <w:t xml:space="preserve">Comité CDN, </w:t>
      </w:r>
      <w:r w:rsidRPr="00AC72B5">
        <w:rPr>
          <w:i/>
          <w:w w:val="98"/>
        </w:rPr>
        <w:t>Observaciones Finales: Surinam</w:t>
      </w:r>
      <w:r w:rsidRPr="00AC72B5">
        <w:rPr>
          <w:w w:val="98"/>
        </w:rPr>
        <w:t xml:space="preserve">, ¶ 31(b), Doc. ONU CRC/C/SUR/CO/3-4 (2016); </w:t>
      </w:r>
      <w:r w:rsidRPr="00AC72B5">
        <w:rPr>
          <w:i/>
          <w:w w:val="98"/>
        </w:rPr>
        <w:t>Sierra Leona</w:t>
      </w:r>
      <w:r w:rsidRPr="00AC72B5">
        <w:rPr>
          <w:w w:val="98"/>
        </w:rPr>
        <w:t xml:space="preserve">, ¶ 32, Doc. ONU CRC/C/LES/CO/3-5 (2016); </w:t>
      </w:r>
      <w:r w:rsidRPr="00AC72B5">
        <w:rPr>
          <w:i/>
          <w:w w:val="98"/>
        </w:rPr>
        <w:t>Arabia Saudita</w:t>
      </w:r>
      <w:r w:rsidRPr="00AC72B5">
        <w:rPr>
          <w:w w:val="98"/>
        </w:rPr>
        <w:t xml:space="preserve">, ¶ 35, Doc. ONU CRC/C/SAU/CO/3-4 (2016); </w:t>
      </w:r>
      <w:r w:rsidRPr="00AC72B5">
        <w:rPr>
          <w:i/>
          <w:w w:val="98"/>
        </w:rPr>
        <w:t>Pakistán</w:t>
      </w:r>
      <w:r w:rsidRPr="00AC72B5">
        <w:rPr>
          <w:w w:val="98"/>
        </w:rPr>
        <w:t xml:space="preserve">, ¶ 52, Doc. ONU CRC/C/PAK/CO/5 (2016); </w:t>
      </w:r>
      <w:r w:rsidRPr="00AC72B5">
        <w:rPr>
          <w:i/>
          <w:w w:val="98"/>
        </w:rPr>
        <w:t>Nepal</w:t>
      </w:r>
      <w:r w:rsidRPr="00AC72B5">
        <w:rPr>
          <w:w w:val="98"/>
        </w:rPr>
        <w:t xml:space="preserve">, ¶ 54, Doc. ONU </w:t>
      </w:r>
      <w:r w:rsidRPr="00AC72B5">
        <w:rPr>
          <w:rFonts w:eastAsia="Times New Roman"/>
          <w:w w:val="98"/>
        </w:rPr>
        <w:t xml:space="preserve">CRC/C/NPL/CO/3-5 (2016); </w:t>
      </w:r>
      <w:r w:rsidRPr="00AC72B5">
        <w:rPr>
          <w:rFonts w:eastAsia="Times New Roman"/>
          <w:i/>
          <w:w w:val="98"/>
        </w:rPr>
        <w:t>Gabón</w:t>
      </w:r>
      <w:r w:rsidRPr="00AC72B5">
        <w:rPr>
          <w:rFonts w:eastAsia="Times New Roman"/>
          <w:w w:val="98"/>
        </w:rPr>
        <w:t xml:space="preserve">, </w:t>
      </w:r>
      <w:r w:rsidRPr="00AC72B5">
        <w:rPr>
          <w:w w:val="98"/>
        </w:rPr>
        <w:t xml:space="preserve">¶ 47, </w:t>
      </w:r>
      <w:r w:rsidRPr="00AC72B5">
        <w:rPr>
          <w:rFonts w:eastAsia="Times New Roman"/>
          <w:w w:val="98"/>
        </w:rPr>
        <w:t xml:space="preserve">Doc. ONU </w:t>
      </w:r>
      <w:r w:rsidRPr="00AC72B5">
        <w:rPr>
          <w:w w:val="98"/>
        </w:rPr>
        <w:t xml:space="preserve">CRC/C/GAB/CO/2 (2016); </w:t>
      </w:r>
      <w:r w:rsidRPr="00AC72B5">
        <w:rPr>
          <w:i/>
          <w:w w:val="98"/>
        </w:rPr>
        <w:t>Bulgaria</w:t>
      </w:r>
      <w:r w:rsidRPr="00AC72B5">
        <w:rPr>
          <w:w w:val="98"/>
        </w:rPr>
        <w:t xml:space="preserve">, ¶ 45, Doc. ONU CRC/C/BGR/CO/3-5 (2016); </w:t>
      </w:r>
      <w:r w:rsidRPr="00AC72B5">
        <w:rPr>
          <w:i/>
          <w:w w:val="98"/>
        </w:rPr>
        <w:t>Zimbabue</w:t>
      </w:r>
      <w:r w:rsidRPr="00AC72B5">
        <w:rPr>
          <w:w w:val="98"/>
        </w:rPr>
        <w:t xml:space="preserve">, ¶ 61, Doc. ONU CRC/C/ZWE/CO/2 (2016); </w:t>
      </w:r>
      <w:r w:rsidRPr="00AC72B5">
        <w:rPr>
          <w:i/>
          <w:w w:val="98"/>
        </w:rPr>
        <w:t>Ghana</w:t>
      </w:r>
      <w:r w:rsidRPr="00AC72B5">
        <w:rPr>
          <w:w w:val="98"/>
        </w:rPr>
        <w:t xml:space="preserve">, ¶ 52, Doc. ONU </w:t>
      </w:r>
      <w:r w:rsidRPr="00AC72B5">
        <w:rPr>
          <w:rFonts w:eastAsia="Times New Roman"/>
          <w:w w:val="98"/>
        </w:rPr>
        <w:t xml:space="preserve">CRC/C/GHA/CO/3-5 (2015); </w:t>
      </w:r>
      <w:r w:rsidRPr="00AC72B5">
        <w:rPr>
          <w:i/>
          <w:w w:val="98"/>
        </w:rPr>
        <w:t>India</w:t>
      </w:r>
      <w:r w:rsidRPr="00AC72B5">
        <w:rPr>
          <w:w w:val="98"/>
        </w:rPr>
        <w:t xml:space="preserve">, ¶ 66, Doc. ONU CRC/C/IND/CO/3-4 (2014); </w:t>
      </w:r>
      <w:r w:rsidRPr="00AC72B5">
        <w:rPr>
          <w:i/>
          <w:w w:val="98"/>
        </w:rPr>
        <w:t>Guyana</w:t>
      </w:r>
      <w:r w:rsidRPr="00AC72B5">
        <w:rPr>
          <w:w w:val="98"/>
        </w:rPr>
        <w:t xml:space="preserve">, ¶ 50, Doc. ONU CRC/C/CHICO/CO/2-4 (2013); </w:t>
      </w:r>
      <w:r w:rsidRPr="00AC72B5">
        <w:rPr>
          <w:i/>
          <w:w w:val="98"/>
        </w:rPr>
        <w:t>Argelia</w:t>
      </w:r>
      <w:r w:rsidRPr="00AC72B5">
        <w:rPr>
          <w:w w:val="98"/>
        </w:rPr>
        <w:t xml:space="preserve">, ¶ 60, Doc. ONU CRC/C/DZA/CO/3-4 (2012); </w:t>
      </w:r>
      <w:r w:rsidRPr="00AC72B5">
        <w:rPr>
          <w:i/>
          <w:w w:val="98"/>
        </w:rPr>
        <w:t>Ucrania</w:t>
      </w:r>
      <w:r w:rsidRPr="00AC72B5">
        <w:rPr>
          <w:w w:val="98"/>
        </w:rPr>
        <w:t xml:space="preserve">, ¶ 56, Doc. ONU CRC/C/UKR/CO/3-4 (2011); </w:t>
      </w:r>
      <w:r w:rsidRPr="00AC72B5">
        <w:rPr>
          <w:i/>
          <w:w w:val="98"/>
        </w:rPr>
        <w:t>Costa Rica</w:t>
      </w:r>
      <w:r w:rsidRPr="00AC72B5">
        <w:rPr>
          <w:w w:val="98"/>
        </w:rPr>
        <w:t>, ¶ 64, Doc. ONU CRC/C/CRI/CO/4 (2011).</w:t>
      </w:r>
    </w:p>
  </w:endnote>
  <w:endnote w:id="1065">
    <w:p w14:paraId="1F89E844" w14:textId="3FF1DF66"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Arabia Saudita</w:t>
      </w:r>
      <w:r w:rsidRPr="00AC72B5">
        <w:rPr>
          <w:w w:val="98"/>
        </w:rPr>
        <w:t>, ¶ 35, Doc. ONU CRC/C/SAU/CO/3-4 (2016).</w:t>
      </w:r>
    </w:p>
  </w:endnote>
  <w:endnote w:id="1066">
    <w:p w14:paraId="158E8B5E" w14:textId="4C290245"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Bulgaria</w:t>
      </w:r>
      <w:r w:rsidRPr="00AC72B5">
        <w:rPr>
          <w:w w:val="98"/>
        </w:rPr>
        <w:t xml:space="preserve">, ¶ 44, Doc. ONU CRC/C/BGR/CO/3-5 (2016); Comité CDN, </w:t>
      </w:r>
      <w:r w:rsidRPr="00AC72B5">
        <w:rPr>
          <w:i/>
          <w:w w:val="98"/>
        </w:rPr>
        <w:t>Observaciones Finales: Reino Unido de Gran Bretaña e Irlanda del Norte</w:t>
      </w:r>
      <w:r w:rsidRPr="00AC72B5">
        <w:rPr>
          <w:w w:val="98"/>
        </w:rPr>
        <w:t xml:space="preserve">, ¶ 65, Doc. ONU CRC/C/GBR/CO/5 (2016); </w:t>
      </w:r>
      <w:r w:rsidRPr="00AC72B5">
        <w:rPr>
          <w:i/>
          <w:w w:val="98"/>
        </w:rPr>
        <w:t>Polonia</w:t>
      </w:r>
      <w:r w:rsidRPr="00AC72B5">
        <w:rPr>
          <w:w w:val="98"/>
        </w:rPr>
        <w:t xml:space="preserve">, ¶ 39, Doc. ONU CRC/C/POL/CO/3-4 (2015); </w:t>
      </w:r>
      <w:r w:rsidRPr="00AC72B5">
        <w:rPr>
          <w:i/>
          <w:w w:val="98"/>
        </w:rPr>
        <w:t>Argelia</w:t>
      </w:r>
      <w:r w:rsidRPr="00AC72B5">
        <w:rPr>
          <w:w w:val="98"/>
        </w:rPr>
        <w:t xml:space="preserve">, ¶ 60, Doc. ONU CRC/C/DZA/CO/3-4 (2012); </w:t>
      </w:r>
      <w:r w:rsidRPr="00AC72B5">
        <w:rPr>
          <w:i/>
          <w:w w:val="98"/>
        </w:rPr>
        <w:t>Costa Rica</w:t>
      </w:r>
      <w:r w:rsidRPr="00AC72B5">
        <w:rPr>
          <w:w w:val="98"/>
        </w:rPr>
        <w:t>, ¶ 64, Doc. ONU CRC/C/CRI/CO/4 (2011).</w:t>
      </w:r>
    </w:p>
  </w:endnote>
  <w:endnote w:id="1067">
    <w:p w14:paraId="7974EBD9" w14:textId="765701B5"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Zimbabue</w:t>
      </w:r>
      <w:r w:rsidRPr="00AC72B5">
        <w:rPr>
          <w:w w:val="98"/>
        </w:rPr>
        <w:t xml:space="preserve">, ¶ 61, Doc. ONU CRC/C/ZWE/CO/2 (2016); </w:t>
      </w:r>
      <w:r w:rsidRPr="00AC72B5">
        <w:rPr>
          <w:i/>
          <w:w w:val="98"/>
        </w:rPr>
        <w:t>Reino Unido de Gran Bretaña e Irlanda del Norte</w:t>
      </w:r>
      <w:r w:rsidRPr="00AC72B5">
        <w:rPr>
          <w:w w:val="98"/>
        </w:rPr>
        <w:t>, ¶ 65, Doc. ONU CRC/C/GBR/CO/5 (2016).</w:t>
      </w:r>
    </w:p>
  </w:endnote>
  <w:endnote w:id="1068">
    <w:p w14:paraId="60D19989" w14:textId="4F9CF515"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Ucrania</w:t>
      </w:r>
      <w:r w:rsidRPr="00AC72B5">
        <w:rPr>
          <w:w w:val="98"/>
        </w:rPr>
        <w:t>, ¶ 57, Doc. ONU CRC/C/UKR/CO/3-4 (2011).</w:t>
      </w:r>
    </w:p>
  </w:endnote>
  <w:endnote w:id="1069">
    <w:p w14:paraId="5245E36B" w14:textId="7E0B4295"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Reino Unido de Gran Bretaña e Irlanda del Norte</w:t>
      </w:r>
      <w:r w:rsidRPr="00AC72B5">
        <w:rPr>
          <w:w w:val="98"/>
        </w:rPr>
        <w:t>, ¶ 65, Doc. ONU CRC/C/GBR/CO/5 (2016).</w:t>
      </w:r>
    </w:p>
  </w:endnote>
  <w:endnote w:id="1070">
    <w:p w14:paraId="598946D4" w14:textId="3C030D17"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Costa Rica</w:t>
      </w:r>
      <w:r w:rsidRPr="00AC72B5">
        <w:rPr>
          <w:w w:val="98"/>
        </w:rPr>
        <w:t>, ¶ 72, Doc. ONU CRC/C/CRI/CO/4 (2011).</w:t>
      </w:r>
    </w:p>
  </w:endnote>
  <w:endnote w:id="1071">
    <w:p w14:paraId="37E90913" w14:textId="6B159A0D"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Samoa</w:t>
      </w:r>
      <w:r w:rsidRPr="00AC72B5">
        <w:rPr>
          <w:w w:val="98"/>
        </w:rPr>
        <w:t>, ¶¶ 46-47, Doc. ONU CRC/C/WSM/CO/2-4 (2016).</w:t>
      </w:r>
    </w:p>
  </w:endnote>
  <w:endnote w:id="1072">
    <w:p w14:paraId="03D49968" w14:textId="13D34E31"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Pakistán</w:t>
      </w:r>
      <w:r w:rsidRPr="00AC72B5">
        <w:rPr>
          <w:w w:val="98"/>
        </w:rPr>
        <w:t>, ¶ 51, Doc. ONU CRC/C/PAK/CO/5 (2016).</w:t>
      </w:r>
    </w:p>
  </w:endnote>
  <w:endnote w:id="1073">
    <w:p w14:paraId="5DD9F10E" w14:textId="2DE75952"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Surinam</w:t>
      </w:r>
      <w:r w:rsidRPr="00AC72B5">
        <w:rPr>
          <w:w w:val="98"/>
        </w:rPr>
        <w:t xml:space="preserve">, ¶ 31(b), Doc. ONU CRC/C/SUR/CO/3-4 (2016); </w:t>
      </w:r>
      <w:r w:rsidRPr="00AC72B5">
        <w:rPr>
          <w:rFonts w:eastAsia="Times New Roman"/>
          <w:i/>
          <w:w w:val="98"/>
        </w:rPr>
        <w:t>Colombia</w:t>
      </w:r>
      <w:r w:rsidRPr="00AC72B5">
        <w:rPr>
          <w:rFonts w:eastAsia="Times New Roman"/>
          <w:w w:val="98"/>
        </w:rPr>
        <w:t>,</w:t>
      </w:r>
      <w:r w:rsidRPr="00AC72B5">
        <w:rPr>
          <w:rFonts w:eastAsia="Times New Roman"/>
          <w:i/>
          <w:w w:val="98"/>
        </w:rPr>
        <w:t xml:space="preserve"> </w:t>
      </w:r>
      <w:r w:rsidRPr="00AC72B5">
        <w:rPr>
          <w:w w:val="98"/>
        </w:rPr>
        <w:t>¶</w:t>
      </w:r>
      <w:r w:rsidRPr="00AC72B5">
        <w:rPr>
          <w:rFonts w:eastAsia="Times New Roman"/>
          <w:w w:val="98"/>
        </w:rPr>
        <w:t xml:space="preserve"> </w:t>
      </w:r>
      <w:r w:rsidRPr="00AC72B5">
        <w:rPr>
          <w:w w:val="98"/>
        </w:rPr>
        <w:t>44</w:t>
      </w:r>
      <w:r w:rsidRPr="00AC72B5">
        <w:rPr>
          <w:rFonts w:eastAsia="Times New Roman"/>
          <w:w w:val="98"/>
        </w:rPr>
        <w:t xml:space="preserve">, Doc. ONU CRC/C/COL/CO/4-5 (2015); </w:t>
      </w:r>
      <w:r w:rsidRPr="00AC72B5">
        <w:rPr>
          <w:rFonts w:eastAsia="Times New Roman"/>
          <w:i/>
          <w:w w:val="98"/>
        </w:rPr>
        <w:t>República Dominicana</w:t>
      </w:r>
      <w:r w:rsidRPr="00AC72B5">
        <w:rPr>
          <w:rFonts w:eastAsia="Times New Roman"/>
          <w:w w:val="98"/>
        </w:rPr>
        <w:t xml:space="preserve">, </w:t>
      </w:r>
      <w:r w:rsidRPr="00AC72B5">
        <w:rPr>
          <w:w w:val="98"/>
        </w:rPr>
        <w:t xml:space="preserve">¶ 52, </w:t>
      </w:r>
      <w:r w:rsidRPr="00AC72B5">
        <w:rPr>
          <w:rFonts w:eastAsia="Times New Roman"/>
          <w:w w:val="98"/>
        </w:rPr>
        <w:t xml:space="preserve">Doc. ONU </w:t>
      </w:r>
      <w:r w:rsidRPr="00AC72B5">
        <w:rPr>
          <w:w w:val="98"/>
        </w:rPr>
        <w:t>CRC/C/DOM/CO/3-5 (2015).</w:t>
      </w:r>
    </w:p>
  </w:endnote>
  <w:endnote w:id="1074">
    <w:p w14:paraId="6F4FF835" w14:textId="6AFDFF3D"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Surinam</w:t>
      </w:r>
      <w:r w:rsidRPr="00AC72B5">
        <w:rPr>
          <w:w w:val="98"/>
        </w:rPr>
        <w:t>, ¶ 31(d), Doc. ONU CRC/C/SUR/CO/3-4 (2016).</w:t>
      </w:r>
    </w:p>
  </w:endnote>
  <w:endnote w:id="1075">
    <w:p w14:paraId="542DEF99" w14:textId="004B4DD9"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República de Sudáfrica</w:t>
      </w:r>
      <w:r w:rsidRPr="00AC72B5">
        <w:rPr>
          <w:w w:val="98"/>
        </w:rPr>
        <w:t xml:space="preserve">, ¶ 50, Doc. ONU </w:t>
      </w:r>
      <w:r w:rsidRPr="00AC72B5">
        <w:rPr>
          <w:rFonts w:eastAsia="Times New Roman"/>
          <w:w w:val="98"/>
        </w:rPr>
        <w:t>CRC/C/ZAF/CO/2 (2016).</w:t>
      </w:r>
    </w:p>
  </w:endnote>
  <w:endnote w:id="1076">
    <w:p w14:paraId="18B818AD" w14:textId="706E21CE"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w:t>
      </w:r>
      <w:r w:rsidRPr="00AC72B5">
        <w:rPr>
          <w:i/>
          <w:w w:val="98"/>
        </w:rPr>
        <w:t xml:space="preserve"> </w:t>
      </w:r>
      <w:r w:rsidRPr="00AC72B5">
        <w:rPr>
          <w:w w:val="98"/>
        </w:rPr>
        <w:t xml:space="preserve">Comité CDN, </w:t>
      </w:r>
      <w:r w:rsidRPr="00AC72B5">
        <w:rPr>
          <w:i/>
          <w:w w:val="98"/>
        </w:rPr>
        <w:t>Observaciones Finales: Sierra Leona</w:t>
      </w:r>
      <w:r w:rsidRPr="00AC72B5">
        <w:rPr>
          <w:w w:val="98"/>
        </w:rPr>
        <w:t xml:space="preserve">, ¶ 32, Doc. ONU CRC/C/LES/CO/3-5 (2016); </w:t>
      </w:r>
      <w:r w:rsidRPr="00AC72B5">
        <w:rPr>
          <w:i/>
          <w:w w:val="98"/>
        </w:rPr>
        <w:t>Zambia</w:t>
      </w:r>
      <w:r w:rsidRPr="00AC72B5">
        <w:rPr>
          <w:w w:val="98"/>
        </w:rPr>
        <w:t xml:space="preserve">, ¶ 50, Doc. ONU CRC/C/ZMB/CO/2-4 (2016); </w:t>
      </w:r>
      <w:r w:rsidRPr="00AC72B5">
        <w:rPr>
          <w:i/>
          <w:w w:val="98"/>
        </w:rPr>
        <w:t>Senegal</w:t>
      </w:r>
      <w:r w:rsidRPr="00AC72B5">
        <w:rPr>
          <w:w w:val="98"/>
        </w:rPr>
        <w:t xml:space="preserve">, ¶ 54, Doc. ONU CRC/C/SEN/CO/3-5 (2016); </w:t>
      </w:r>
      <w:r w:rsidRPr="00AC72B5">
        <w:rPr>
          <w:i/>
          <w:w w:val="98"/>
        </w:rPr>
        <w:t>Maldivas</w:t>
      </w:r>
      <w:r w:rsidRPr="00AC72B5">
        <w:rPr>
          <w:w w:val="98"/>
        </w:rPr>
        <w:t xml:space="preserve">, ¶ 57, Doc. ONU CRC/C/MDV/CO/4-5 (2016); </w:t>
      </w:r>
      <w:r w:rsidRPr="00AC72B5">
        <w:rPr>
          <w:i/>
          <w:w w:val="98"/>
        </w:rPr>
        <w:t>Haití</w:t>
      </w:r>
      <w:r w:rsidRPr="00AC72B5">
        <w:rPr>
          <w:w w:val="98"/>
        </w:rPr>
        <w:t xml:space="preserve">, ¶ 50, Doc. ONU CRC/C/HTI/CO/2-3 (2016); </w:t>
      </w:r>
      <w:r w:rsidRPr="00AC72B5">
        <w:rPr>
          <w:i/>
          <w:w w:val="98"/>
        </w:rPr>
        <w:t>Benin</w:t>
      </w:r>
      <w:r w:rsidRPr="00AC72B5">
        <w:rPr>
          <w:w w:val="98"/>
        </w:rPr>
        <w:t xml:space="preserve">, ¶ 57, Doc. ONU CRC/C/BEN/CO/3-5 (2016); </w:t>
      </w:r>
      <w:r w:rsidRPr="00AC72B5">
        <w:rPr>
          <w:i/>
          <w:w w:val="98"/>
        </w:rPr>
        <w:t>Venezuela</w:t>
      </w:r>
      <w:r w:rsidRPr="00AC72B5">
        <w:rPr>
          <w:w w:val="98"/>
        </w:rPr>
        <w:t xml:space="preserve">, ¶ 57, Doc. ONU CRC/C/VEN/CO/3-5 (2014); </w:t>
      </w:r>
      <w:r w:rsidRPr="00AC72B5">
        <w:rPr>
          <w:i/>
          <w:w w:val="98"/>
        </w:rPr>
        <w:t>India</w:t>
      </w:r>
      <w:r w:rsidRPr="00AC72B5">
        <w:rPr>
          <w:w w:val="98"/>
        </w:rPr>
        <w:t xml:space="preserve">, ¶ 66, Doc. ONU CRC/C/IND/CO/3-4 (2014); </w:t>
      </w:r>
      <w:r w:rsidRPr="00AC72B5">
        <w:rPr>
          <w:i/>
          <w:w w:val="98"/>
        </w:rPr>
        <w:t>Guyana</w:t>
      </w:r>
      <w:r w:rsidRPr="00AC72B5">
        <w:rPr>
          <w:w w:val="98"/>
        </w:rPr>
        <w:t>, ¶ 50, Doc. ONU CRC/C/GUY/CO/2-4 (2013).</w:t>
      </w:r>
    </w:p>
  </w:endnote>
  <w:endnote w:id="1077">
    <w:p w14:paraId="619D7B60" w14:textId="50084909"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China</w:t>
      </w:r>
      <w:r w:rsidRPr="00AC72B5">
        <w:rPr>
          <w:w w:val="98"/>
        </w:rPr>
        <w:t>, ¶ 67, Doc. ONU CRC/C/CHN/CO/3-4 (2013).</w:t>
      </w:r>
    </w:p>
  </w:endnote>
  <w:endnote w:id="1078">
    <w:p w14:paraId="43A3F26D" w14:textId="79429889"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Chile</w:t>
      </w:r>
      <w:r w:rsidRPr="00AC72B5">
        <w:rPr>
          <w:w w:val="98"/>
        </w:rPr>
        <w:t xml:space="preserve">, ¶ 56, Doc. ONU CRC/C/CHL/CO/4-5 (2015); </w:t>
      </w:r>
      <w:r w:rsidRPr="00AC72B5">
        <w:rPr>
          <w:i/>
          <w:w w:val="98"/>
        </w:rPr>
        <w:t>México</w:t>
      </w:r>
      <w:r w:rsidRPr="00AC72B5">
        <w:rPr>
          <w:w w:val="98"/>
        </w:rPr>
        <w:t>, ¶ 45, Doc. ONU CRC/C/MEX/CO/4-5 (2015).</w:t>
      </w:r>
    </w:p>
  </w:endnote>
  <w:endnote w:id="1079">
    <w:p w14:paraId="436F6B15" w14:textId="35FA3BA7"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Chile</w:t>
      </w:r>
      <w:r w:rsidRPr="00AC72B5">
        <w:rPr>
          <w:w w:val="98"/>
        </w:rPr>
        <w:t>, ¶ 56, Doc. ONU CRC/C/CHL/CO/4-5 (2015).</w:t>
      </w:r>
    </w:p>
  </w:endnote>
  <w:endnote w:id="1080">
    <w:p w14:paraId="62BA9A49" w14:textId="3ACB242B"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Australia</w:t>
      </w:r>
      <w:r w:rsidRPr="00AC72B5">
        <w:rPr>
          <w:w w:val="98"/>
        </w:rPr>
        <w:t xml:space="preserve">, ¶ 58, Doc. ONU CRC/C/OPSC/AUS/CO/1 (2012); </w:t>
      </w:r>
      <w:r w:rsidRPr="00AC72B5">
        <w:rPr>
          <w:i/>
          <w:w w:val="98"/>
        </w:rPr>
        <w:t>Australia</w:t>
      </w:r>
      <w:r w:rsidRPr="00AC72B5">
        <w:rPr>
          <w:w w:val="98"/>
        </w:rPr>
        <w:t>, ¶ 46, Doc. ONU CRC/C/15/Add.268 (2005).</w:t>
      </w:r>
    </w:p>
  </w:endnote>
  <w:endnote w:id="1081">
    <w:p w14:paraId="450F6391" w14:textId="4AA70273"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Chile</w:t>
      </w:r>
      <w:r w:rsidRPr="00AC72B5">
        <w:rPr>
          <w:w w:val="98"/>
        </w:rPr>
        <w:t>, ¶¶ 56-57, Doc. ONU CRC/C/CHL/CO/4-5 (2015).</w:t>
      </w:r>
    </w:p>
  </w:endnote>
  <w:endnote w:id="1082">
    <w:p w14:paraId="3E59A08F" w14:textId="51D96871"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Australia</w:t>
      </w:r>
      <w:r w:rsidRPr="00AC72B5">
        <w:rPr>
          <w:w w:val="98"/>
        </w:rPr>
        <w:t>, ¶ 57, Doc. ONU CRC/C/OPSC/AUS/CO/1 (2012).</w:t>
      </w:r>
    </w:p>
  </w:endnote>
  <w:endnote w:id="1083">
    <w:p w14:paraId="2381193A" w14:textId="4175869C"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República de Sudáfrica</w:t>
      </w:r>
      <w:r w:rsidRPr="00AC72B5">
        <w:rPr>
          <w:w w:val="98"/>
        </w:rPr>
        <w:t xml:space="preserve">, ¶ 40, Doc. ONU </w:t>
      </w:r>
      <w:r w:rsidRPr="00AC72B5">
        <w:rPr>
          <w:rFonts w:eastAsia="Times New Roman"/>
          <w:w w:val="98"/>
        </w:rPr>
        <w:t>CRC/C/ZAF/CO/2</w:t>
      </w:r>
      <w:r w:rsidRPr="00AC72B5">
        <w:rPr>
          <w:w w:val="98"/>
        </w:rPr>
        <w:t xml:space="preserve"> (2016); </w:t>
      </w:r>
      <w:r w:rsidRPr="00AC72B5">
        <w:rPr>
          <w:i/>
          <w:w w:val="98"/>
        </w:rPr>
        <w:t>Nueva Zelanda</w:t>
      </w:r>
      <w:r w:rsidRPr="00AC72B5">
        <w:rPr>
          <w:w w:val="98"/>
        </w:rPr>
        <w:t xml:space="preserve">, ¶ 25, Doc. ONU CRC/C/NZL/CO/5 (2016); </w:t>
      </w:r>
      <w:r w:rsidRPr="00AC72B5">
        <w:rPr>
          <w:i/>
          <w:w w:val="98"/>
        </w:rPr>
        <w:t>Nepal</w:t>
      </w:r>
      <w:r w:rsidRPr="00AC72B5">
        <w:rPr>
          <w:w w:val="98"/>
        </w:rPr>
        <w:t>, ¶ 41, Doc. ONU CRC/C/NPL/CO/3-5 (2016).</w:t>
      </w:r>
    </w:p>
  </w:endnote>
  <w:endnote w:id="1084">
    <w:p w14:paraId="0C061906" w14:textId="784DFB76"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Reino Unido de Gran Bretaña e Irlanda del Norte</w:t>
      </w:r>
      <w:r w:rsidRPr="00AC72B5">
        <w:rPr>
          <w:w w:val="98"/>
        </w:rPr>
        <w:t xml:space="preserve">, ¶ 46, Doc. ONU CRC/C/GBR/CO/5 (2016); </w:t>
      </w:r>
      <w:r w:rsidRPr="00AC72B5">
        <w:rPr>
          <w:i/>
          <w:w w:val="98"/>
        </w:rPr>
        <w:t>Nepal</w:t>
      </w:r>
      <w:r w:rsidRPr="00AC72B5">
        <w:rPr>
          <w:w w:val="98"/>
        </w:rPr>
        <w:t xml:space="preserve">, ¶ 41, Doc. ONU CRC/C/NPL/CO/3-5 (2016); </w:t>
      </w:r>
      <w:r w:rsidRPr="00AC72B5">
        <w:rPr>
          <w:i/>
          <w:w w:val="98"/>
        </w:rPr>
        <w:t>Irlanda</w:t>
      </w:r>
      <w:r w:rsidRPr="00AC72B5">
        <w:rPr>
          <w:w w:val="98"/>
        </w:rPr>
        <w:t>, ¶ 39, Doc. ONU CRC/C/IRL/CO/3-4 (2016).</w:t>
      </w:r>
    </w:p>
  </w:endnote>
  <w:endnote w:id="1085">
    <w:p w14:paraId="4A973EC7" w14:textId="4E341BAB"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Nepal</w:t>
      </w:r>
      <w:r w:rsidRPr="00AC72B5">
        <w:rPr>
          <w:w w:val="98"/>
        </w:rPr>
        <w:t xml:space="preserve">, ¶ 41, Doc. ONU CRC/C/NPL/CO/3-5 (2016); </w:t>
      </w:r>
      <w:r w:rsidRPr="00AC72B5">
        <w:rPr>
          <w:i/>
          <w:w w:val="98"/>
        </w:rPr>
        <w:t>Irlanda</w:t>
      </w:r>
      <w:r w:rsidRPr="00AC72B5">
        <w:rPr>
          <w:w w:val="98"/>
        </w:rPr>
        <w:t>, ¶ 39, Doc. ONU CRC/C/IRL/CO/3-4 (2016).</w:t>
      </w:r>
    </w:p>
  </w:endnote>
  <w:endnote w:id="1086">
    <w:p w14:paraId="7A9B21AA" w14:textId="34CB5694"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República de Sudáfrica</w:t>
      </w:r>
      <w:r w:rsidRPr="00AC72B5">
        <w:rPr>
          <w:w w:val="98"/>
        </w:rPr>
        <w:t xml:space="preserve">, ¶ 40, Doc. ONU </w:t>
      </w:r>
      <w:r w:rsidRPr="00AC72B5">
        <w:rPr>
          <w:rFonts w:eastAsia="Times New Roman"/>
          <w:w w:val="98"/>
        </w:rPr>
        <w:t>CRC/C/ZAF/CO/2</w:t>
      </w:r>
      <w:r w:rsidRPr="00AC72B5">
        <w:rPr>
          <w:w w:val="98"/>
        </w:rPr>
        <w:t xml:space="preserve"> (2016).</w:t>
      </w:r>
    </w:p>
  </w:endnote>
  <w:endnote w:id="1087">
    <w:p w14:paraId="67281DDE" w14:textId="66317B4C"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República de Sudáfrica</w:t>
      </w:r>
      <w:r w:rsidRPr="00AC72B5">
        <w:rPr>
          <w:w w:val="98"/>
        </w:rPr>
        <w:t xml:space="preserve">, ¶ 40, Doc. ONU </w:t>
      </w:r>
      <w:r w:rsidRPr="00AC72B5">
        <w:rPr>
          <w:rFonts w:eastAsia="Times New Roman"/>
          <w:w w:val="98"/>
        </w:rPr>
        <w:t>CRC/C/ZAF/CO/2</w:t>
      </w:r>
      <w:r w:rsidRPr="00AC72B5">
        <w:rPr>
          <w:w w:val="98"/>
        </w:rPr>
        <w:t xml:space="preserve"> (2016); </w:t>
      </w:r>
      <w:r w:rsidRPr="00AC72B5">
        <w:rPr>
          <w:i/>
          <w:w w:val="98"/>
        </w:rPr>
        <w:t>Nueva Zelanda</w:t>
      </w:r>
      <w:r w:rsidRPr="00AC72B5">
        <w:rPr>
          <w:w w:val="98"/>
        </w:rPr>
        <w:t>, ¶ 25, Doc. ONU CRC/C/NZL/CO/5 (2016).</w:t>
      </w:r>
    </w:p>
  </w:endnote>
  <w:endnote w:id="1088">
    <w:p w14:paraId="57E5040C" w14:textId="190CA223"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Nueva Zelanda</w:t>
      </w:r>
      <w:r w:rsidRPr="00AC72B5">
        <w:rPr>
          <w:w w:val="98"/>
        </w:rPr>
        <w:t xml:space="preserve">, ¶ 25, Doc. ONU CRC/C/NZL/CO/5 (2016); </w:t>
      </w:r>
      <w:r w:rsidRPr="00AC72B5">
        <w:rPr>
          <w:i/>
          <w:w w:val="98"/>
        </w:rPr>
        <w:t>Reino Unido de Gran Bretaña e Irlanda del Norte</w:t>
      </w:r>
      <w:r w:rsidRPr="00AC72B5">
        <w:rPr>
          <w:w w:val="98"/>
        </w:rPr>
        <w:t xml:space="preserve">, ¶ 47, Doc. ONU CRC/C/GBR/CO/5 (2016); </w:t>
      </w:r>
      <w:r w:rsidRPr="00AC72B5">
        <w:rPr>
          <w:i/>
          <w:w w:val="98"/>
        </w:rPr>
        <w:t>Nepal</w:t>
      </w:r>
      <w:r w:rsidRPr="00AC72B5">
        <w:rPr>
          <w:w w:val="98"/>
        </w:rPr>
        <w:t xml:space="preserve">, ¶ 42, Doc. ONU CRC/C/NPL/CO/3-5 (2016); </w:t>
      </w:r>
      <w:r w:rsidRPr="00AC72B5">
        <w:rPr>
          <w:i/>
          <w:w w:val="98"/>
        </w:rPr>
        <w:t>Irlanda</w:t>
      </w:r>
      <w:r w:rsidRPr="00AC72B5">
        <w:rPr>
          <w:w w:val="98"/>
        </w:rPr>
        <w:t>, ¶ 39, Doc. ONU CRC/C/IRL/CO/3-4 (2016).</w:t>
      </w:r>
    </w:p>
  </w:endnote>
  <w:endnote w:id="1089">
    <w:p w14:paraId="3B0FF5E7" w14:textId="78F2EF7C"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Nueva Zelanda</w:t>
      </w:r>
      <w:r w:rsidRPr="00AC72B5">
        <w:rPr>
          <w:w w:val="98"/>
        </w:rPr>
        <w:t>, ¶ 25, Doc. ONU CRC/C/NZL/CO/5 (2016).</w:t>
      </w:r>
    </w:p>
  </w:endnote>
  <w:endnote w:id="1090">
    <w:p w14:paraId="0294894D" w14:textId="464BC31A"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Australia</w:t>
      </w:r>
      <w:r w:rsidRPr="00AC72B5">
        <w:rPr>
          <w:w w:val="98"/>
        </w:rPr>
        <w:t>, ¶ 58, Doc. ONU CRC/C/OPSC/AUS/CO/1 (2012).</w:t>
      </w:r>
    </w:p>
  </w:endnote>
  <w:endnote w:id="1091">
    <w:p w14:paraId="332BBBFD" w14:textId="0B2DD25B"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Nueva Zelanda</w:t>
      </w:r>
      <w:r w:rsidRPr="00AC72B5">
        <w:rPr>
          <w:w w:val="98"/>
        </w:rPr>
        <w:t>, ¶ 30, Doc. ONU CRC/C/NZL/CO/5 (2016).</w:t>
      </w:r>
    </w:p>
  </w:endnote>
  <w:endnote w:id="1092">
    <w:p w14:paraId="2FD7A377" w14:textId="2851B8B9"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Nueva Zelanda</w:t>
      </w:r>
      <w:r w:rsidRPr="00AC72B5">
        <w:rPr>
          <w:w w:val="98"/>
        </w:rPr>
        <w:t>, ¶ 30, Doc. ONU CRC/C/NZL/CO/5 (2016).</w:t>
      </w:r>
    </w:p>
  </w:endnote>
  <w:endnote w:id="1093">
    <w:p w14:paraId="6AECAFA4" w14:textId="428B8972"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Eslovaquia</w:t>
      </w:r>
      <w:r w:rsidRPr="00AC72B5">
        <w:rPr>
          <w:w w:val="98"/>
        </w:rPr>
        <w:t xml:space="preserve">, ¶ 25, Doc. ONU CRC/C/SVK/CO/3-5 (2016); </w:t>
      </w:r>
      <w:r w:rsidRPr="00AC72B5">
        <w:rPr>
          <w:i/>
          <w:w w:val="98"/>
        </w:rPr>
        <w:t>China</w:t>
      </w:r>
      <w:r w:rsidRPr="00AC72B5">
        <w:rPr>
          <w:w w:val="98"/>
        </w:rPr>
        <w:t>, ¶ 68, Doc. ONU CRC/C/CHN/CO/3-4 (2013).</w:t>
      </w:r>
    </w:p>
  </w:endnote>
  <w:endnote w:id="1094">
    <w:p w14:paraId="2BB69D88" w14:textId="62DE9F5E"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México</w:t>
      </w:r>
      <w:r w:rsidRPr="00AC72B5">
        <w:rPr>
          <w:w w:val="98"/>
        </w:rPr>
        <w:t>, ¶ 46, Doc. ONU CRC/C/MEX/CO/4-5 (2015).</w:t>
      </w:r>
    </w:p>
  </w:endnote>
  <w:endnote w:id="1095">
    <w:p w14:paraId="3121A80D" w14:textId="1332C819"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Nueva Zelanda</w:t>
      </w:r>
      <w:r w:rsidRPr="00AC72B5">
        <w:rPr>
          <w:w w:val="98"/>
        </w:rPr>
        <w:t xml:space="preserve">, ¶ 25, Doc. ONU CRC/C/NZL/CO/5 (2016); </w:t>
      </w:r>
      <w:r w:rsidRPr="00AC72B5">
        <w:rPr>
          <w:i/>
          <w:w w:val="98"/>
        </w:rPr>
        <w:t>Nepal</w:t>
      </w:r>
      <w:r w:rsidRPr="00AC72B5">
        <w:rPr>
          <w:w w:val="98"/>
        </w:rPr>
        <w:t xml:space="preserve">, ¶ 42, Doc. ONU CRC/C/NPL/CO/3-5 (2016); </w:t>
      </w:r>
      <w:r w:rsidRPr="00AC72B5">
        <w:rPr>
          <w:i/>
          <w:w w:val="98"/>
        </w:rPr>
        <w:t>Irlanda</w:t>
      </w:r>
      <w:r w:rsidRPr="00AC72B5">
        <w:rPr>
          <w:w w:val="98"/>
        </w:rPr>
        <w:t>, ¶ 40, Doc. ONU CRC/C/IRL/CO/3-4 (2016).</w:t>
      </w:r>
    </w:p>
  </w:endnote>
  <w:endnote w:id="1096">
    <w:p w14:paraId="5C472830" w14:textId="2C68D0C6"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México</w:t>
      </w:r>
      <w:r w:rsidRPr="00AC72B5">
        <w:rPr>
          <w:w w:val="98"/>
        </w:rPr>
        <w:t>, ¶ 46, Doc. ONU CRC/C/MEX/CO/4-5 (2015).</w:t>
      </w:r>
    </w:p>
  </w:endnote>
  <w:endnote w:id="1097">
    <w:p w14:paraId="3610D2DC" w14:textId="37810BE6"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Eslovaquia</w:t>
      </w:r>
      <w:r w:rsidRPr="00AC72B5">
        <w:rPr>
          <w:w w:val="98"/>
        </w:rPr>
        <w:t>, ¶ 24, Doc. ONU CRC/C/SVK/CO/3-5 (2016).</w:t>
      </w:r>
    </w:p>
  </w:endnote>
  <w:endnote w:id="1098">
    <w:p w14:paraId="5EABFB24" w14:textId="0BD4F1A1"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Nueva Zelanda</w:t>
      </w:r>
      <w:r w:rsidRPr="00AC72B5">
        <w:rPr>
          <w:w w:val="98"/>
        </w:rPr>
        <w:t xml:space="preserve">, ¶ 25, Doc. ONU MTCRC/C/NZL/CO/5 (2016); </w:t>
      </w:r>
      <w:r w:rsidRPr="00AC72B5">
        <w:rPr>
          <w:i/>
          <w:w w:val="98"/>
        </w:rPr>
        <w:t>Reino Unido de Gran Bretaña e Irlanda del Norte</w:t>
      </w:r>
      <w:r w:rsidRPr="00AC72B5">
        <w:rPr>
          <w:w w:val="98"/>
        </w:rPr>
        <w:t xml:space="preserve">, ¶ 47, Doc. ONU CRC/C/GBR/CO/5 (2016); </w:t>
      </w:r>
      <w:r w:rsidRPr="00AC72B5">
        <w:rPr>
          <w:i/>
          <w:w w:val="98"/>
        </w:rPr>
        <w:t>Nepal</w:t>
      </w:r>
      <w:r w:rsidRPr="00AC72B5">
        <w:rPr>
          <w:w w:val="98"/>
        </w:rPr>
        <w:t xml:space="preserve">, ¶ 42, Doc. ONU CRC/C/NPL/CO/3-5 (2016); </w:t>
      </w:r>
      <w:r w:rsidRPr="00AC72B5">
        <w:rPr>
          <w:i/>
          <w:w w:val="98"/>
        </w:rPr>
        <w:t>Irlanda</w:t>
      </w:r>
      <w:r w:rsidRPr="00AC72B5">
        <w:rPr>
          <w:w w:val="98"/>
        </w:rPr>
        <w:t>, ¶ 40, Doc. ONU CRC/C/IRL/CO/3-4 (2016).</w:t>
      </w:r>
    </w:p>
  </w:endnote>
  <w:endnote w:id="1099">
    <w:p w14:paraId="44E1D4E9" w14:textId="41610E9B"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Australia</w:t>
      </w:r>
      <w:r w:rsidRPr="00AC72B5">
        <w:rPr>
          <w:w w:val="98"/>
        </w:rPr>
        <w:t>, ¶ 47, Doc. ONU CRC/C/OPSC/AUS/CO/1 (2012).</w:t>
      </w:r>
    </w:p>
  </w:endnote>
  <w:endnote w:id="1100">
    <w:p w14:paraId="5C2D5AD6" w14:textId="3F512C42"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República de Sudáfrica</w:t>
      </w:r>
      <w:r w:rsidRPr="00AC72B5">
        <w:rPr>
          <w:w w:val="98"/>
        </w:rPr>
        <w:t xml:space="preserve">, ¶ 40, Doc. ONU </w:t>
      </w:r>
      <w:r w:rsidRPr="00AC72B5">
        <w:rPr>
          <w:rFonts w:eastAsia="Times New Roman"/>
          <w:w w:val="98"/>
        </w:rPr>
        <w:t>CRC/C/ZAF/CO/2</w:t>
      </w:r>
      <w:r w:rsidRPr="00AC72B5">
        <w:rPr>
          <w:w w:val="98"/>
        </w:rPr>
        <w:t xml:space="preserve"> (2016); </w:t>
      </w:r>
      <w:r w:rsidRPr="00AC72B5">
        <w:rPr>
          <w:i/>
          <w:w w:val="98"/>
        </w:rPr>
        <w:t>Nueva Zelanda</w:t>
      </w:r>
      <w:r w:rsidRPr="00AC72B5">
        <w:rPr>
          <w:w w:val="98"/>
        </w:rPr>
        <w:t xml:space="preserve">, ¶ 25, Doc. ONU CRC/C/NZL/CO/5 (2016); </w:t>
      </w:r>
      <w:r w:rsidRPr="00AC72B5">
        <w:rPr>
          <w:i/>
          <w:w w:val="98"/>
        </w:rPr>
        <w:t>Reino Unido de Gran Bretaña e Irlanda del Norte</w:t>
      </w:r>
      <w:r w:rsidRPr="00AC72B5">
        <w:rPr>
          <w:w w:val="98"/>
        </w:rPr>
        <w:t xml:space="preserve">, ¶ 47, Doc. ONU CRC/C/GBR/CO/5 (2016); </w:t>
      </w:r>
      <w:r w:rsidRPr="00AC72B5">
        <w:rPr>
          <w:i/>
          <w:w w:val="98"/>
        </w:rPr>
        <w:t>Nepal</w:t>
      </w:r>
      <w:r w:rsidRPr="00AC72B5">
        <w:rPr>
          <w:w w:val="98"/>
        </w:rPr>
        <w:t xml:space="preserve">, ¶ 42, Doc. ONU CRC/C/NPL/CO/3-5 (2016); </w:t>
      </w:r>
      <w:r w:rsidRPr="00AC72B5">
        <w:rPr>
          <w:i/>
          <w:w w:val="98"/>
        </w:rPr>
        <w:t>Irlanda</w:t>
      </w:r>
      <w:r w:rsidRPr="00AC72B5">
        <w:rPr>
          <w:w w:val="98"/>
        </w:rPr>
        <w:t>, ¶ 40, Doc. ONU CRC/C/IRL/CO/3-4 (2016).</w:t>
      </w:r>
    </w:p>
  </w:endnote>
  <w:endnote w:id="1101">
    <w:p w14:paraId="222DE023" w14:textId="49E2820A"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Eslovaquia</w:t>
      </w:r>
      <w:r w:rsidRPr="00AC72B5">
        <w:rPr>
          <w:w w:val="98"/>
        </w:rPr>
        <w:t>, ¶ 25, Doc. ONU CRC/C/SVK/CO/3-5 (2016).</w:t>
      </w:r>
    </w:p>
  </w:endnote>
  <w:endnote w:id="1102">
    <w:p w14:paraId="47C14201" w14:textId="4A6345E1"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CDN, </w:t>
      </w:r>
      <w:r w:rsidRPr="00AC72B5">
        <w:rPr>
          <w:i/>
          <w:w w:val="98"/>
        </w:rPr>
        <w:t>Observaciones Finales: Eslovaquia</w:t>
      </w:r>
      <w:r w:rsidRPr="00AC72B5">
        <w:rPr>
          <w:w w:val="98"/>
        </w:rPr>
        <w:t xml:space="preserve">, ¶ 25, Doc. ONU CRC/C/SVK/CO/3-5 (2016); </w:t>
      </w:r>
      <w:r w:rsidRPr="00AC72B5">
        <w:rPr>
          <w:i/>
          <w:w w:val="98"/>
        </w:rPr>
        <w:t>Nepal</w:t>
      </w:r>
      <w:r w:rsidRPr="00AC72B5">
        <w:rPr>
          <w:w w:val="98"/>
        </w:rPr>
        <w:t xml:space="preserve">, ¶ 42, Doc. ONU CRC/C/NPL/CO/3-5 (2016); </w:t>
      </w:r>
      <w:r w:rsidRPr="00AC72B5">
        <w:rPr>
          <w:i/>
          <w:w w:val="98"/>
        </w:rPr>
        <w:t>Irlanda</w:t>
      </w:r>
      <w:r w:rsidRPr="00AC72B5">
        <w:rPr>
          <w:w w:val="98"/>
        </w:rPr>
        <w:t>, ¶ 40, Doc. ONU CRC/C/IRL/CO/3-4 (2016).</w:t>
      </w:r>
    </w:p>
  </w:endnote>
  <w:endnote w:id="1103">
    <w:p w14:paraId="6F1278B6" w14:textId="6F148D1C"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Observación General Núm. 2: Aplicación del artículo 2 por los Estados Partes</w:t>
      </w:r>
      <w:r w:rsidRPr="00AC72B5">
        <w:rPr>
          <w:w w:val="98"/>
        </w:rPr>
        <w:t>, ¶ 3, Doc. ONU CAT/C/GC/2 (2008).</w:t>
      </w:r>
    </w:p>
  </w:endnote>
  <w:endnote w:id="1104">
    <w:p w14:paraId="6F0F241C" w14:textId="7CEBD7B5"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Observación General Núm. 2: Aplicación del artículo 2 por los Estados Partes</w:t>
      </w:r>
      <w:r w:rsidRPr="00AC72B5">
        <w:rPr>
          <w:w w:val="98"/>
        </w:rPr>
        <w:t>, ¶ 22, Doc. ONU CAT/C/GC/2 (2008).</w:t>
      </w:r>
    </w:p>
  </w:endnote>
  <w:endnote w:id="1105">
    <w:p w14:paraId="69E4009A" w14:textId="08F7FE2C" w:rsidR="005E3DDD" w:rsidRPr="00AC72B5" w:rsidRDefault="005E3DDD" w:rsidP="00E12C89">
      <w:pPr>
        <w:pStyle w:val="EndnoteText"/>
        <w:ind w:hanging="223"/>
        <w:rPr>
          <w:i/>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Observación General Núm. 2: Aplicación del artículo 2 por los Estados Partes</w:t>
      </w:r>
      <w:r w:rsidRPr="00AC72B5">
        <w:rPr>
          <w:w w:val="98"/>
        </w:rPr>
        <w:t>, ¶ 22, Doc. ONU CAT/C/GC/2 (2008) (la cursiva se ha añadido).</w:t>
      </w:r>
    </w:p>
  </w:endnote>
  <w:endnote w:id="1106">
    <w:p w14:paraId="6F89298D" w14:textId="70DE34C7"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Observación General Núm. 3: Aplicación del artículo 15 por los Estados Partes</w:t>
      </w:r>
      <w:r w:rsidRPr="00AC72B5">
        <w:rPr>
          <w:w w:val="98"/>
        </w:rPr>
        <w:t>, ¶ 2, Doc. ONU CAT/C/GC/3 (2012).</w:t>
      </w:r>
    </w:p>
  </w:endnote>
  <w:endnote w:id="1107">
    <w:p w14:paraId="07A097BC" w14:textId="4BBAB7A0"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Observación General Núm. 3: Aplicación del artículo 15 por los Estados Partes</w:t>
      </w:r>
      <w:r w:rsidRPr="00AC72B5">
        <w:rPr>
          <w:w w:val="98"/>
        </w:rPr>
        <w:t>, ¶ 35, Doc. ONU CAT/C/GC/3 (2012).</w:t>
      </w:r>
    </w:p>
  </w:endnote>
  <w:endnote w:id="1108">
    <w:p w14:paraId="4AA55C12" w14:textId="46570E60"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Observación General Núm. 3: Aplicación del artículo 15 por los Estados Partes</w:t>
      </w:r>
      <w:r w:rsidRPr="00AC72B5">
        <w:rPr>
          <w:w w:val="98"/>
        </w:rPr>
        <w:t>, ¶ 35, Doc. ONU CAT/C/GC/3 (2012).</w:t>
      </w:r>
    </w:p>
  </w:endnote>
  <w:endnote w:id="1109">
    <w:p w14:paraId="1AA5CF94" w14:textId="1C2CF989"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 xml:space="preserve">, Comité CAT, </w:t>
      </w:r>
      <w:r w:rsidRPr="00AC72B5">
        <w:rPr>
          <w:i/>
          <w:w w:val="98"/>
        </w:rPr>
        <w:t>Observaciones Finales: Irak</w:t>
      </w:r>
      <w:r w:rsidRPr="00AC72B5">
        <w:rPr>
          <w:w w:val="98"/>
        </w:rPr>
        <w:t xml:space="preserve">, ¶ 13, Doc. ONU CAT/C/IRQ/CO/1 (2015); </w:t>
      </w:r>
      <w:r w:rsidRPr="00AC72B5">
        <w:rPr>
          <w:i/>
          <w:w w:val="98"/>
        </w:rPr>
        <w:t>Sierra Leona</w:t>
      </w:r>
      <w:r w:rsidRPr="00AC72B5">
        <w:rPr>
          <w:w w:val="98"/>
        </w:rPr>
        <w:t xml:space="preserve">, ¶ 14, Doc. ONU CAT/C/SLE/CO/1 (2014); </w:t>
      </w:r>
      <w:r w:rsidRPr="00AC72B5">
        <w:rPr>
          <w:i/>
          <w:w w:val="98"/>
        </w:rPr>
        <w:t>Bolivia</w:t>
      </w:r>
      <w:r w:rsidRPr="00AC72B5">
        <w:rPr>
          <w:w w:val="98"/>
        </w:rPr>
        <w:t xml:space="preserve">, ¶¶ 15 y 16, Doc. ONU CAT/C/BOL/CO/2 (2014); </w:t>
      </w:r>
      <w:r w:rsidRPr="00AC72B5">
        <w:rPr>
          <w:i/>
          <w:w w:val="98"/>
        </w:rPr>
        <w:t>Perú</w:t>
      </w:r>
      <w:r w:rsidRPr="00AC72B5">
        <w:rPr>
          <w:w w:val="98"/>
        </w:rPr>
        <w:t xml:space="preserve">, ¶ 14, Doc. ONU CAT/C/PER/CO/5-6 (2013); </w:t>
      </w:r>
      <w:r w:rsidRPr="00AC72B5">
        <w:rPr>
          <w:i/>
          <w:w w:val="98"/>
        </w:rPr>
        <w:t>Camboya</w:t>
      </w:r>
      <w:r w:rsidRPr="00AC72B5">
        <w:rPr>
          <w:w w:val="98"/>
        </w:rPr>
        <w:t xml:space="preserve">, ¶ 21, Doc. ONU CAT/C/KHM/CO/2 (2011); </w:t>
      </w:r>
      <w:r w:rsidRPr="00AC72B5">
        <w:rPr>
          <w:i/>
          <w:w w:val="98"/>
        </w:rPr>
        <w:t>Yemen</w:t>
      </w:r>
      <w:r w:rsidRPr="00AC72B5">
        <w:rPr>
          <w:w w:val="98"/>
        </w:rPr>
        <w:t>, ¶ 24, Doc. ONU CAT/C/YEM/CO/2/Rev.1 (2010).</w:t>
      </w:r>
    </w:p>
  </w:endnote>
  <w:endnote w:id="1110">
    <w:p w14:paraId="743008DD" w14:textId="7E5CFA93"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Irak</w:t>
      </w:r>
      <w:r w:rsidRPr="00AC72B5">
        <w:rPr>
          <w:w w:val="98"/>
        </w:rPr>
        <w:t>, ¶ 13, Doc. ONU CAT/C/IRQ/CO/1 (2015).</w:t>
      </w:r>
    </w:p>
  </w:endnote>
  <w:endnote w:id="1111">
    <w:p w14:paraId="663F7AED" w14:textId="5005CC1E"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Yemen</w:t>
      </w:r>
      <w:r w:rsidRPr="00AC72B5">
        <w:rPr>
          <w:w w:val="98"/>
        </w:rPr>
        <w:t>, ¶ 24, Doc. ONU CAT/C/YEM/CO/2/Rev.1 (2010).</w:t>
      </w:r>
    </w:p>
  </w:endnote>
  <w:endnote w:id="1112">
    <w:p w14:paraId="78D093BA" w14:textId="5241C0FD"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Bolivia</w:t>
      </w:r>
      <w:r w:rsidRPr="00AC72B5">
        <w:rPr>
          <w:w w:val="98"/>
        </w:rPr>
        <w:t>, ¶ 16, Doc. ONU CAT/C/BOL/CO/2 (2014).</w:t>
      </w:r>
    </w:p>
  </w:endnote>
  <w:endnote w:id="1113">
    <w:p w14:paraId="4CA9712F" w14:textId="09747856"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Perú</w:t>
      </w:r>
      <w:r w:rsidRPr="00AC72B5">
        <w:rPr>
          <w:w w:val="98"/>
        </w:rPr>
        <w:t>, ¶ 14, Doc. ONU CAT/C/PER/CO/5-6 (2013).</w:t>
      </w:r>
    </w:p>
  </w:endnote>
  <w:endnote w:id="1114">
    <w:p w14:paraId="60DCA3CB" w14:textId="54394220"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Filipinas</w:t>
      </w:r>
      <w:r w:rsidRPr="00AC72B5">
        <w:rPr>
          <w:w w:val="98"/>
        </w:rPr>
        <w:t>, ¶¶ 39-40, Doc. ONU CAT/C/PHL/CO/3 (2016).</w:t>
      </w:r>
    </w:p>
  </w:endnote>
  <w:endnote w:id="1115">
    <w:p w14:paraId="70CA0B13" w14:textId="33AA9905"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Filipinas</w:t>
      </w:r>
      <w:r w:rsidRPr="00AC72B5">
        <w:rPr>
          <w:w w:val="98"/>
        </w:rPr>
        <w:t>, ¶¶ 39-40, Doc. ONU CAT/C/PHL/CO/3 (2016).</w:t>
      </w:r>
    </w:p>
  </w:endnote>
  <w:endnote w:id="1116">
    <w:p w14:paraId="597C05A6" w14:textId="32BD3507"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Filipinas</w:t>
      </w:r>
      <w:r w:rsidRPr="00AC72B5">
        <w:rPr>
          <w:w w:val="98"/>
        </w:rPr>
        <w:t xml:space="preserve">, ¶¶ 39-40, Doc. ONU CAT/C/PHL/CO/3 (2016); </w:t>
      </w:r>
      <w:r w:rsidRPr="00AC72B5">
        <w:rPr>
          <w:i/>
          <w:w w:val="98"/>
        </w:rPr>
        <w:t>Sierra Leona</w:t>
      </w:r>
      <w:r w:rsidRPr="00AC72B5">
        <w:rPr>
          <w:w w:val="98"/>
        </w:rPr>
        <w:t xml:space="preserve">, ¶ 17, Doc. ONU CAT/C/SLE/CO/1 (2014); </w:t>
      </w:r>
      <w:r w:rsidRPr="00AC72B5">
        <w:rPr>
          <w:i/>
          <w:w w:val="98"/>
        </w:rPr>
        <w:t>Nicaragua</w:t>
      </w:r>
      <w:r w:rsidRPr="00AC72B5">
        <w:rPr>
          <w:w w:val="98"/>
        </w:rPr>
        <w:t>, ¶ 16, Doc. ONU CAT/C/NIC/CO/1 (2009).</w:t>
      </w:r>
    </w:p>
  </w:endnote>
  <w:endnote w:id="1117">
    <w:p w14:paraId="33383189" w14:textId="3DBC8A58"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Honduras</w:t>
      </w:r>
      <w:r w:rsidRPr="00AC72B5">
        <w:rPr>
          <w:w w:val="98"/>
        </w:rPr>
        <w:t xml:space="preserve">, ¶¶ 47-48, Doc. ONU CAT/C/HND/CO/2 (2016); </w:t>
      </w:r>
      <w:r w:rsidRPr="00AC72B5">
        <w:rPr>
          <w:i/>
          <w:w w:val="98"/>
        </w:rPr>
        <w:t>Filipinas</w:t>
      </w:r>
      <w:r w:rsidRPr="00AC72B5">
        <w:rPr>
          <w:w w:val="98"/>
        </w:rPr>
        <w:t xml:space="preserve">, ¶¶ 39-40, Doc. ONU CAT/C/PHL/CO/3 (2016); </w:t>
      </w:r>
      <w:r w:rsidRPr="00AC72B5">
        <w:rPr>
          <w:i/>
          <w:w w:val="98"/>
        </w:rPr>
        <w:t>Sierra Leona</w:t>
      </w:r>
      <w:r w:rsidRPr="00AC72B5">
        <w:rPr>
          <w:w w:val="98"/>
        </w:rPr>
        <w:t xml:space="preserve">, ¶ 17, Doc. ONU CAT/C/HND/CO/2 (2016); </w:t>
      </w:r>
      <w:r w:rsidRPr="00AC72B5">
        <w:rPr>
          <w:i/>
          <w:w w:val="98"/>
        </w:rPr>
        <w:t>Kenia</w:t>
      </w:r>
      <w:r w:rsidRPr="00AC72B5">
        <w:rPr>
          <w:w w:val="98"/>
        </w:rPr>
        <w:t xml:space="preserve">, ¶ 28, Doc. ONU CAT/C/KEN/CO/2 (2013); </w:t>
      </w:r>
      <w:r w:rsidRPr="00AC72B5">
        <w:rPr>
          <w:i/>
          <w:w w:val="98"/>
        </w:rPr>
        <w:t>Perú</w:t>
      </w:r>
      <w:r w:rsidRPr="00AC72B5">
        <w:rPr>
          <w:w w:val="98"/>
        </w:rPr>
        <w:t xml:space="preserve">, ¶ 15, Doc. ONU, CAT/C/PER/CO/5-6 (2013); </w:t>
      </w:r>
      <w:r w:rsidRPr="00AC72B5">
        <w:rPr>
          <w:i/>
          <w:w w:val="98"/>
        </w:rPr>
        <w:t>Paraguay</w:t>
      </w:r>
      <w:r w:rsidRPr="00AC72B5">
        <w:rPr>
          <w:w w:val="98"/>
        </w:rPr>
        <w:t xml:space="preserve">, ¶ 22, Doc. ONU CAT/C/PER/CO/5-6 (2013); </w:t>
      </w:r>
      <w:r w:rsidRPr="00AC72B5">
        <w:rPr>
          <w:i/>
          <w:w w:val="98"/>
        </w:rPr>
        <w:t>Nicaragua</w:t>
      </w:r>
      <w:r w:rsidRPr="00AC72B5">
        <w:rPr>
          <w:w w:val="98"/>
        </w:rPr>
        <w:t xml:space="preserve">, ¶ 16, Doc. ONU CAT/C/PER/CO/5-6 (2013); </w:t>
      </w:r>
      <w:r w:rsidRPr="00AC72B5">
        <w:rPr>
          <w:i/>
          <w:w w:val="98"/>
        </w:rPr>
        <w:t>Perú</w:t>
      </w:r>
      <w:r w:rsidRPr="00AC72B5">
        <w:rPr>
          <w:w w:val="98"/>
        </w:rPr>
        <w:t>, ¶ 23, Doc. ONU CAT/C/PER/CO/4 (2006).</w:t>
      </w:r>
    </w:p>
  </w:endnote>
  <w:endnote w:id="1118">
    <w:p w14:paraId="087D15E7" w14:textId="3BAF4AC2"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Kenia</w:t>
      </w:r>
      <w:r w:rsidRPr="00AC72B5">
        <w:rPr>
          <w:w w:val="98"/>
        </w:rPr>
        <w:t xml:space="preserve">, ¶ 28, Doc. ONU CAT/C/KEN/CO/2 (2013); </w:t>
      </w:r>
      <w:r w:rsidRPr="00AC72B5">
        <w:rPr>
          <w:i/>
          <w:w w:val="98"/>
        </w:rPr>
        <w:t>Perú</w:t>
      </w:r>
      <w:r w:rsidRPr="00AC72B5">
        <w:rPr>
          <w:w w:val="98"/>
        </w:rPr>
        <w:t xml:space="preserve">, ¶ 15, Doc. ONU, CAT/C/PER/CO/5-6 (2013); </w:t>
      </w:r>
      <w:r w:rsidRPr="00AC72B5">
        <w:rPr>
          <w:i/>
          <w:w w:val="98"/>
        </w:rPr>
        <w:t>Irlanda</w:t>
      </w:r>
      <w:r w:rsidRPr="00AC72B5">
        <w:rPr>
          <w:w w:val="98"/>
        </w:rPr>
        <w:t>, ¶ 26, Doc. ONU CAT/C/IRL/CO/1 (2011).</w:t>
      </w:r>
    </w:p>
  </w:endnote>
  <w:endnote w:id="1119">
    <w:p w14:paraId="63FDE098" w14:textId="2FFD7B52"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Irlanda</w:t>
      </w:r>
      <w:r w:rsidRPr="00AC72B5">
        <w:rPr>
          <w:w w:val="98"/>
        </w:rPr>
        <w:t xml:space="preserve">, ¶ 26, Doc. ONU CAT/C/IRL/CO/1 (2011); Comité CAT, </w:t>
      </w:r>
      <w:r w:rsidRPr="00AC72B5">
        <w:rPr>
          <w:i/>
          <w:w w:val="98"/>
        </w:rPr>
        <w:t>Observaciones Finales: Nicaragua</w:t>
      </w:r>
      <w:r w:rsidRPr="00AC72B5">
        <w:rPr>
          <w:w w:val="98"/>
        </w:rPr>
        <w:t>, ¶ 16, Doc. ONU CAT/C/NIC/CO/1 (2009).</w:t>
      </w:r>
    </w:p>
  </w:endnote>
  <w:endnote w:id="1120">
    <w:p w14:paraId="414823B4" w14:textId="2A70CE22"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Irlanda</w:t>
      </w:r>
      <w:r w:rsidRPr="00AC72B5">
        <w:rPr>
          <w:w w:val="98"/>
        </w:rPr>
        <w:t>, ¶ 26, Doc. ONU CAT/C/IRL/CO/1 (2011).</w:t>
      </w:r>
    </w:p>
  </w:endnote>
  <w:endnote w:id="1121">
    <w:p w14:paraId="7C66D4D3" w14:textId="44A0C3EB"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Paraguay</w:t>
      </w:r>
      <w:r w:rsidRPr="00AC72B5">
        <w:rPr>
          <w:w w:val="98"/>
        </w:rPr>
        <w:t xml:space="preserve">, ¶ 22, Doc. ONU CAT/C/PRY/CO/4-6 (2011); </w:t>
      </w:r>
      <w:r w:rsidRPr="00AC72B5">
        <w:rPr>
          <w:i/>
          <w:w w:val="98"/>
        </w:rPr>
        <w:t>Irlanda</w:t>
      </w:r>
      <w:r w:rsidRPr="00AC72B5">
        <w:rPr>
          <w:w w:val="98"/>
        </w:rPr>
        <w:t xml:space="preserve">, ¶ 26, Doc. ONU CAT/C/PRY/CO/4-6 (2011); </w:t>
      </w:r>
      <w:r w:rsidRPr="00AC72B5">
        <w:rPr>
          <w:i/>
          <w:w w:val="98"/>
        </w:rPr>
        <w:t>El Salvador</w:t>
      </w:r>
      <w:r w:rsidRPr="00AC72B5">
        <w:rPr>
          <w:w w:val="98"/>
        </w:rPr>
        <w:t xml:space="preserve">, ¶ 23, Doc. ONU CAT/C/SLV/CO/2 (2009); </w:t>
      </w:r>
      <w:r w:rsidRPr="00AC72B5">
        <w:rPr>
          <w:i/>
          <w:w w:val="98"/>
        </w:rPr>
        <w:t>Nicaragua</w:t>
      </w:r>
      <w:r w:rsidRPr="00AC72B5">
        <w:rPr>
          <w:w w:val="98"/>
        </w:rPr>
        <w:t>, ¶ 16, Doc. ONU CAT/C/NIC/CO/1 (2009).</w:t>
      </w:r>
    </w:p>
  </w:endnote>
  <w:endnote w:id="1122">
    <w:p w14:paraId="268A997E" w14:textId="6688F8D8"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Nicaragua</w:t>
      </w:r>
      <w:r w:rsidRPr="00AC72B5">
        <w:rPr>
          <w:w w:val="98"/>
        </w:rPr>
        <w:t>, ¶ 16, Doc. ONU CAT/C/NIC/CO/1 (2009).</w:t>
      </w:r>
    </w:p>
  </w:endnote>
  <w:endnote w:id="1123">
    <w:p w14:paraId="3DF5E81E" w14:textId="2FBF5494"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Sierra Leona</w:t>
      </w:r>
      <w:r w:rsidRPr="00AC72B5">
        <w:rPr>
          <w:w w:val="98"/>
        </w:rPr>
        <w:t xml:space="preserve">, ¶ 17, Doc. ONU CAT/C/SLE/CO/1 (2014); </w:t>
      </w:r>
      <w:r w:rsidRPr="00AC72B5">
        <w:rPr>
          <w:i/>
          <w:w w:val="98"/>
        </w:rPr>
        <w:t>Perú</w:t>
      </w:r>
      <w:r w:rsidRPr="00AC72B5">
        <w:rPr>
          <w:w w:val="98"/>
        </w:rPr>
        <w:t xml:space="preserve">, ¶ 15, Doc. ONU, CAT/C/PER/CO/5-6 (2013); </w:t>
      </w:r>
      <w:r w:rsidRPr="00AC72B5">
        <w:rPr>
          <w:i/>
          <w:w w:val="98"/>
        </w:rPr>
        <w:t>Paraguay</w:t>
      </w:r>
      <w:r w:rsidRPr="00AC72B5">
        <w:rPr>
          <w:w w:val="98"/>
        </w:rPr>
        <w:t xml:space="preserve">, ¶ 22, Doc. ONU CAT/C/PRY/CO/4-6 (2011); </w:t>
      </w:r>
      <w:r w:rsidRPr="00AC72B5">
        <w:rPr>
          <w:i/>
          <w:w w:val="98"/>
        </w:rPr>
        <w:t>Perú</w:t>
      </w:r>
      <w:r w:rsidRPr="00AC72B5">
        <w:rPr>
          <w:w w:val="98"/>
        </w:rPr>
        <w:t>, ¶ 23, Doc. ONU CAT/C/PER/CO/4 (2006).</w:t>
      </w:r>
    </w:p>
  </w:endnote>
  <w:endnote w:id="1124">
    <w:p w14:paraId="568B104E" w14:textId="14F381AC"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w:t>
      </w:r>
      <w:r w:rsidRPr="00AC72B5">
        <w:rPr>
          <w:i/>
          <w:w w:val="98"/>
        </w:rPr>
        <w:t>Véase, por ejemplo</w:t>
      </w:r>
      <w:r w:rsidRPr="00AC72B5">
        <w:rPr>
          <w:w w:val="98"/>
        </w:rPr>
        <w:t xml:space="preserve">, Comité CAT, </w:t>
      </w:r>
      <w:r w:rsidRPr="00AC72B5">
        <w:rPr>
          <w:i/>
          <w:w w:val="98"/>
        </w:rPr>
        <w:t>Observaciones Finales: Honduras</w:t>
      </w:r>
      <w:r w:rsidRPr="00AC72B5">
        <w:rPr>
          <w:w w:val="98"/>
        </w:rPr>
        <w:t xml:space="preserve">, ¶¶ 47-48, Doc. ONU CAT/C/HND/CO/2 (2016); </w:t>
      </w:r>
      <w:r w:rsidRPr="00AC72B5">
        <w:rPr>
          <w:i/>
          <w:w w:val="98"/>
        </w:rPr>
        <w:t>Kenia</w:t>
      </w:r>
      <w:r w:rsidRPr="00AC72B5">
        <w:rPr>
          <w:w w:val="98"/>
        </w:rPr>
        <w:t xml:space="preserve">, ¶ 28, Doc. ONU CAT/C/KEN/CO/2 (2013); </w:t>
      </w:r>
      <w:r w:rsidRPr="00AC72B5">
        <w:rPr>
          <w:i/>
          <w:w w:val="98"/>
        </w:rPr>
        <w:t>Perú</w:t>
      </w:r>
      <w:r w:rsidRPr="00AC72B5">
        <w:rPr>
          <w:w w:val="98"/>
        </w:rPr>
        <w:t xml:space="preserve">, ¶ 15, Doc. ONU, CAT/C/PER/CO/5-6 (2013); </w:t>
      </w:r>
      <w:r w:rsidRPr="00AC72B5">
        <w:rPr>
          <w:i/>
          <w:w w:val="98"/>
        </w:rPr>
        <w:t>Paraguay</w:t>
      </w:r>
      <w:r w:rsidRPr="00AC72B5">
        <w:rPr>
          <w:w w:val="98"/>
        </w:rPr>
        <w:t>, ¶ 22, Doc. ONU CAT/C/PRY/CO/4-6 (2011).</w:t>
      </w:r>
    </w:p>
  </w:endnote>
  <w:endnote w:id="1125">
    <w:p w14:paraId="5CCD97D2" w14:textId="5CC260B3"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Nicaragua</w:t>
      </w:r>
      <w:r w:rsidRPr="00AC72B5">
        <w:rPr>
          <w:w w:val="98"/>
        </w:rPr>
        <w:t>, ¶ 16, Doc. ONU CAT/C/NIC/CO/1 (2009).</w:t>
      </w:r>
    </w:p>
  </w:endnote>
  <w:endnote w:id="1126">
    <w:p w14:paraId="392AB1D4" w14:textId="28049C3A"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Perú</w:t>
      </w:r>
      <w:r w:rsidRPr="00AC72B5">
        <w:rPr>
          <w:w w:val="98"/>
        </w:rPr>
        <w:t>, ¶ 15, Doc. ONU, CAT/C/PER/CO/5-6 (2013).</w:t>
      </w:r>
    </w:p>
  </w:endnote>
  <w:endnote w:id="1127">
    <w:p w14:paraId="763D5B5D" w14:textId="4A451895"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República de Macedonia</w:t>
      </w:r>
      <w:r w:rsidRPr="00AC72B5">
        <w:rPr>
          <w:w w:val="98"/>
        </w:rPr>
        <w:t xml:space="preserve">, ¶ 17, Doc. ONU CAT/C/MKD/CO/3 (2015); </w:t>
      </w:r>
      <w:r w:rsidRPr="00AC72B5">
        <w:rPr>
          <w:i/>
          <w:w w:val="98"/>
        </w:rPr>
        <w:t>Kenia</w:t>
      </w:r>
      <w:r w:rsidRPr="00AC72B5">
        <w:rPr>
          <w:w w:val="98"/>
        </w:rPr>
        <w:t xml:space="preserve">, ¶ 28, Doc. ONU CAT/C/KEN/CO/2 (2013); </w:t>
      </w:r>
      <w:r w:rsidRPr="00AC72B5">
        <w:rPr>
          <w:i/>
          <w:w w:val="98"/>
        </w:rPr>
        <w:t>Bolivia</w:t>
      </w:r>
      <w:r w:rsidRPr="00AC72B5">
        <w:rPr>
          <w:w w:val="98"/>
        </w:rPr>
        <w:t>, ¶ 23, Doc. ONU CAT/C/BOL/CO/2 (2013).</w:t>
      </w:r>
    </w:p>
  </w:endnote>
  <w:endnote w:id="1128">
    <w:p w14:paraId="647271C1" w14:textId="57CCFA59"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Kenia</w:t>
      </w:r>
      <w:r w:rsidRPr="00AC72B5">
        <w:rPr>
          <w:w w:val="98"/>
        </w:rPr>
        <w:t xml:space="preserve">, ¶ 28, Doc. ONU CAT/C/KEN/CO/2 (2013); </w:t>
      </w:r>
      <w:r w:rsidRPr="00AC72B5">
        <w:rPr>
          <w:i/>
          <w:w w:val="98"/>
        </w:rPr>
        <w:t>Bolivia</w:t>
      </w:r>
      <w:r w:rsidRPr="00AC72B5">
        <w:rPr>
          <w:w w:val="98"/>
        </w:rPr>
        <w:t>, ¶ 23, Doc. ONU CAT/C/BOL/CO/2 (2013).</w:t>
      </w:r>
    </w:p>
  </w:endnote>
  <w:endnote w:id="1129">
    <w:p w14:paraId="5958892B" w14:textId="6DAD0996"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Kenia</w:t>
      </w:r>
      <w:r w:rsidRPr="00AC72B5">
        <w:rPr>
          <w:w w:val="98"/>
        </w:rPr>
        <w:t>, ¶ 28, Doc. ONU CAT/C/KEN/CO/2 (2013).</w:t>
      </w:r>
    </w:p>
  </w:endnote>
  <w:endnote w:id="1130">
    <w:p w14:paraId="48E7575D" w14:textId="2255B6DB"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Bolivia</w:t>
      </w:r>
      <w:r w:rsidRPr="00AC72B5">
        <w:rPr>
          <w:w w:val="98"/>
        </w:rPr>
        <w:t>, ¶ 23, Doc. ONU CAT/C/BOL/CO/2 (2013).</w:t>
      </w:r>
    </w:p>
  </w:endnote>
  <w:endnote w:id="1131">
    <w:p w14:paraId="6A3804AA" w14:textId="4D54B0AC"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Bolivia</w:t>
      </w:r>
      <w:r w:rsidRPr="00AC72B5">
        <w:rPr>
          <w:w w:val="98"/>
        </w:rPr>
        <w:t>, ¶ 23, Doc. ONU CAT/C/BOL/CO/2 (2013).</w:t>
      </w:r>
    </w:p>
  </w:endnote>
  <w:endnote w:id="1132">
    <w:p w14:paraId="64D36F1C" w14:textId="450A8A67"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Bolivia</w:t>
      </w:r>
      <w:r w:rsidRPr="00AC72B5">
        <w:rPr>
          <w:w w:val="98"/>
        </w:rPr>
        <w:t>, ¶ 23, Doc. ONU CAT/C/BOL/CO/2 (2013).</w:t>
      </w:r>
    </w:p>
  </w:endnote>
  <w:endnote w:id="1133">
    <w:p w14:paraId="5C9E7EA8" w14:textId="406C7C0B"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Filipinas</w:t>
      </w:r>
      <w:r w:rsidRPr="00AC72B5">
        <w:rPr>
          <w:w w:val="98"/>
        </w:rPr>
        <w:t xml:space="preserve">, ¶¶ 39, Doc. ONU CAT/C/PHL/CO/3 (2016); </w:t>
      </w:r>
      <w:r w:rsidRPr="00AC72B5">
        <w:rPr>
          <w:i/>
          <w:w w:val="98"/>
        </w:rPr>
        <w:t>Sierra Leona</w:t>
      </w:r>
      <w:r w:rsidRPr="00AC72B5">
        <w:rPr>
          <w:w w:val="98"/>
        </w:rPr>
        <w:t xml:space="preserve">, ¶ 17, Doc. ONU CAT/C/SLE/CO/1 (2014); </w:t>
      </w:r>
      <w:r w:rsidRPr="00AC72B5">
        <w:rPr>
          <w:i/>
          <w:w w:val="98"/>
        </w:rPr>
        <w:t>Perú</w:t>
      </w:r>
      <w:r w:rsidRPr="00AC72B5">
        <w:rPr>
          <w:w w:val="98"/>
        </w:rPr>
        <w:t xml:space="preserve">, ¶ 15, Doc. ONU, CAT/C/PER/CO/5-6 (2013); </w:t>
      </w:r>
      <w:r w:rsidRPr="00AC72B5">
        <w:rPr>
          <w:i/>
          <w:w w:val="98"/>
        </w:rPr>
        <w:t>Paraguay</w:t>
      </w:r>
      <w:r w:rsidRPr="00AC72B5">
        <w:rPr>
          <w:w w:val="98"/>
        </w:rPr>
        <w:t>, ¶ 22, Doc. ONU CAT/C/PRY/CO/4-6 (2011).</w:t>
      </w:r>
    </w:p>
  </w:endnote>
  <w:endnote w:id="1134">
    <w:p w14:paraId="344BD7BB" w14:textId="5F105FB8"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Paraguay</w:t>
      </w:r>
      <w:r w:rsidRPr="00AC72B5">
        <w:rPr>
          <w:w w:val="98"/>
        </w:rPr>
        <w:t>, ¶ 22, Doc. ONU CAT/C/PRY/CO/4-6 (2011).</w:t>
      </w:r>
    </w:p>
  </w:endnote>
  <w:endnote w:id="1135">
    <w:p w14:paraId="6271AC1F" w14:textId="00608A06"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Perú</w:t>
      </w:r>
      <w:r w:rsidRPr="00AC72B5">
        <w:rPr>
          <w:w w:val="98"/>
        </w:rPr>
        <w:t xml:space="preserve">, ¶ 15, Doc. ONU, CAT/C/PER/CO/5-6 (2013); </w:t>
      </w:r>
      <w:r w:rsidRPr="00AC72B5">
        <w:rPr>
          <w:i/>
          <w:w w:val="98"/>
        </w:rPr>
        <w:t>Paraguay</w:t>
      </w:r>
      <w:r w:rsidRPr="00AC72B5">
        <w:rPr>
          <w:w w:val="98"/>
        </w:rPr>
        <w:t>, ¶ 22, Doc. ONU CAT/C/PRY/CO/4-6 (2011).</w:t>
      </w:r>
    </w:p>
  </w:endnote>
  <w:endnote w:id="1136">
    <w:p w14:paraId="3DB5C34B" w14:textId="129BB537"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Filipinas</w:t>
      </w:r>
      <w:r w:rsidRPr="00AC72B5">
        <w:rPr>
          <w:w w:val="98"/>
        </w:rPr>
        <w:t>, ¶¶ 40, Doc. ONU CAT/C/PHL/CO/3 (2016).</w:t>
      </w:r>
    </w:p>
  </w:endnote>
  <w:endnote w:id="1137">
    <w:p w14:paraId="422AE530" w14:textId="7A83B8D3"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Sierra Leona</w:t>
      </w:r>
      <w:r w:rsidRPr="00AC72B5">
        <w:rPr>
          <w:w w:val="98"/>
        </w:rPr>
        <w:t xml:space="preserve">, ¶ 17, Doc. ONU CAT/C/SLE/CO/1 (2014); </w:t>
      </w:r>
      <w:r w:rsidRPr="00AC72B5">
        <w:rPr>
          <w:i/>
          <w:w w:val="98"/>
        </w:rPr>
        <w:t>Nicaragua</w:t>
      </w:r>
      <w:r w:rsidRPr="00AC72B5">
        <w:rPr>
          <w:w w:val="98"/>
        </w:rPr>
        <w:t xml:space="preserve">, ¶ 16, Doc. ONU CAT/C/NIC/CO/1 (2009). </w:t>
      </w:r>
      <w:r w:rsidRPr="00AC72B5">
        <w:rPr>
          <w:i/>
          <w:w w:val="98"/>
        </w:rPr>
        <w:t>Véase también</w:t>
      </w:r>
      <w:r w:rsidRPr="00AC72B5">
        <w:rPr>
          <w:w w:val="98"/>
        </w:rPr>
        <w:t xml:space="preserve">, OMS, </w:t>
      </w:r>
      <w:r w:rsidRPr="00AC72B5">
        <w:rPr>
          <w:i/>
          <w:w w:val="98"/>
        </w:rPr>
        <w:t xml:space="preserve">Aborto sin riesgos: guía técnica y de políticas para sistemas de salud </w:t>
      </w:r>
      <w:r w:rsidRPr="00AC72B5">
        <w:rPr>
          <w:w w:val="98"/>
        </w:rPr>
        <w:t xml:space="preserve">5 (2015), </w:t>
      </w:r>
      <w:r w:rsidRPr="00AC72B5">
        <w:rPr>
          <w:i/>
          <w:w w:val="98"/>
        </w:rPr>
        <w:t>disponible en</w:t>
      </w:r>
      <w:r w:rsidRPr="00AC72B5">
        <w:rPr>
          <w:w w:val="98"/>
        </w:rPr>
        <w:t xml:space="preserve"> </w:t>
      </w:r>
      <w:hyperlink r:id="rId3" w:history="1">
        <w:r w:rsidRPr="00AC72B5">
          <w:rPr>
            <w:rStyle w:val="Hyperlink"/>
            <w:w w:val="98"/>
            <w:kern w:val="2"/>
            <w:szCs w:val="20"/>
            <w14:numForm w14:val="default"/>
            <w14:numSpacing w14:val="default"/>
            <w14:cntxtAlts/>
          </w:rPr>
          <w:t>http://apps.who.int/iris/bitstream/10665/173586/1/WHO_RHR_15.04_eng.pdf</w:t>
        </w:r>
      </w:hyperlink>
      <w:r w:rsidRPr="00AC72B5">
        <w:rPr>
          <w:w w:val="98"/>
        </w:rPr>
        <w:t xml:space="preserve">. </w:t>
      </w:r>
    </w:p>
  </w:endnote>
  <w:endnote w:id="1138">
    <w:p w14:paraId="60E40F90" w14:textId="2A56678D"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Perú</w:t>
      </w:r>
      <w:r w:rsidRPr="00AC72B5">
        <w:rPr>
          <w:w w:val="98"/>
        </w:rPr>
        <w:t xml:space="preserve">, ¶ 15, Doc. ONU, CAT/C/PER/CO/5-6 (2013); </w:t>
      </w:r>
      <w:r w:rsidRPr="00AC72B5">
        <w:rPr>
          <w:i/>
          <w:w w:val="98"/>
        </w:rPr>
        <w:t>Chile</w:t>
      </w:r>
      <w:r w:rsidRPr="00AC72B5">
        <w:rPr>
          <w:w w:val="98"/>
        </w:rPr>
        <w:t>, ¶ 7, Doc. ONU CAT/C/CR/32/5 (2004).</w:t>
      </w:r>
    </w:p>
  </w:endnote>
  <w:endnote w:id="1139">
    <w:p w14:paraId="583F88DB" w14:textId="4FCF63AA"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Paraguay</w:t>
      </w:r>
      <w:r w:rsidRPr="00AC72B5">
        <w:rPr>
          <w:w w:val="98"/>
        </w:rPr>
        <w:t>, ¶ 22, Doc. ONU CAT/C/PRY/CO/4-6 (2011).</w:t>
      </w:r>
    </w:p>
  </w:endnote>
  <w:endnote w:id="1140">
    <w:p w14:paraId="3AE2F39F" w14:textId="622F499F"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Chile</w:t>
      </w:r>
      <w:r w:rsidRPr="00AC72B5">
        <w:rPr>
          <w:w w:val="98"/>
        </w:rPr>
        <w:t>, ¶ 7, Doc. ONU CAT/C/CR/32/5 (2004).</w:t>
      </w:r>
    </w:p>
  </w:endnote>
  <w:endnote w:id="1141">
    <w:p w14:paraId="029B54BD" w14:textId="4B2842EF"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Perú</w:t>
      </w:r>
      <w:r w:rsidRPr="00AC72B5">
        <w:rPr>
          <w:w w:val="98"/>
        </w:rPr>
        <w:t>, ¶ 15, Doc. ONU, CAT/C/PER/CO/5-6 (2013).</w:t>
      </w:r>
    </w:p>
  </w:endnote>
  <w:endnote w:id="1142">
    <w:p w14:paraId="31DB8FF5" w14:textId="629CB36C"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Kenia</w:t>
      </w:r>
      <w:r w:rsidRPr="00AC72B5">
        <w:rPr>
          <w:w w:val="98"/>
        </w:rPr>
        <w:t xml:space="preserve">, ¶ 28, Doc. ONU CAT/C/KEN/CO/2 (2013); </w:t>
      </w:r>
      <w:r w:rsidRPr="00AC72B5">
        <w:rPr>
          <w:i/>
          <w:w w:val="98"/>
        </w:rPr>
        <w:t>Perú</w:t>
      </w:r>
      <w:r w:rsidRPr="00AC72B5">
        <w:rPr>
          <w:w w:val="98"/>
        </w:rPr>
        <w:t xml:space="preserve">, ¶ 15, Doc. ONU, CAT/C/PER/CO/5-6 (2013); </w:t>
      </w:r>
      <w:r w:rsidRPr="00AC72B5">
        <w:rPr>
          <w:i/>
          <w:w w:val="98"/>
        </w:rPr>
        <w:t>Irlanda</w:t>
      </w:r>
      <w:r w:rsidRPr="00AC72B5">
        <w:rPr>
          <w:w w:val="98"/>
        </w:rPr>
        <w:t>, ¶ 26, Doc. ONU CAT/C/IRL/CO/1 (2011).</w:t>
      </w:r>
    </w:p>
  </w:endnote>
  <w:endnote w:id="1143">
    <w:p w14:paraId="4F2E650C" w14:textId="309C25F4"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Irlanda</w:t>
      </w:r>
      <w:r w:rsidRPr="00AC72B5">
        <w:rPr>
          <w:w w:val="98"/>
        </w:rPr>
        <w:t xml:space="preserve">, ¶ 26, Doc. ONU CAT/C/IRL/CO/1 (2011); </w:t>
      </w:r>
      <w:r w:rsidRPr="00AC72B5">
        <w:rPr>
          <w:i/>
          <w:w w:val="98"/>
        </w:rPr>
        <w:t>Nicaragua</w:t>
      </w:r>
      <w:r w:rsidRPr="00AC72B5">
        <w:rPr>
          <w:w w:val="98"/>
        </w:rPr>
        <w:t>, ¶ 16, Doc. ONU CAT/C/NIC/CO/1 (2009).</w:t>
      </w:r>
    </w:p>
  </w:endnote>
  <w:endnote w:id="1144">
    <w:p w14:paraId="106AB612" w14:textId="7168D4CF"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lang w:val="es-CO"/>
        </w:rPr>
        <w:t xml:space="preserve"> Comité CAT, </w:t>
      </w:r>
      <w:r w:rsidRPr="00AC72B5">
        <w:rPr>
          <w:i/>
          <w:w w:val="98"/>
          <w:lang w:val="es-CO"/>
        </w:rPr>
        <w:t>Observaciones Finales: Perú</w:t>
      </w:r>
      <w:r w:rsidRPr="00AC72B5">
        <w:rPr>
          <w:w w:val="98"/>
          <w:lang w:val="es-CO"/>
        </w:rPr>
        <w:t xml:space="preserve">, ¶ 15, Doc. </w:t>
      </w:r>
      <w:r w:rsidRPr="00AC72B5">
        <w:rPr>
          <w:w w:val="98"/>
        </w:rPr>
        <w:t>ONU, CAT/C/PER/CO/5-6 (2013).</w:t>
      </w:r>
    </w:p>
  </w:endnote>
  <w:endnote w:id="1145">
    <w:p w14:paraId="67F1C4BA" w14:textId="5DB8FADD"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El Salvador</w:t>
      </w:r>
      <w:r w:rsidRPr="00AC72B5">
        <w:rPr>
          <w:w w:val="98"/>
        </w:rPr>
        <w:t xml:space="preserve">, ¶ 23, Doc. ONU CAT/C/SLV/CO/2 (2009); </w:t>
      </w:r>
      <w:r w:rsidRPr="00AC72B5">
        <w:rPr>
          <w:i/>
          <w:w w:val="98"/>
        </w:rPr>
        <w:t>Perú</w:t>
      </w:r>
      <w:r w:rsidRPr="00AC72B5">
        <w:rPr>
          <w:w w:val="98"/>
        </w:rPr>
        <w:t>, ¶ 23, Doc. ONU CAT/C/PER/CO/4 (2006).</w:t>
      </w:r>
    </w:p>
  </w:endnote>
  <w:endnote w:id="1146">
    <w:p w14:paraId="4114EFF5" w14:textId="1C7CDF42"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Filipinas</w:t>
      </w:r>
      <w:r w:rsidRPr="00AC72B5">
        <w:rPr>
          <w:w w:val="98"/>
        </w:rPr>
        <w:t>, ¶¶ 39-40, Doc. ONU CAT/C/PHL/CO/3 (2016).</w:t>
      </w:r>
    </w:p>
  </w:endnote>
  <w:endnote w:id="1147">
    <w:p w14:paraId="5B46626B" w14:textId="7D8D9AD3"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Filipinas</w:t>
      </w:r>
      <w:r w:rsidRPr="00AC72B5">
        <w:rPr>
          <w:w w:val="98"/>
        </w:rPr>
        <w:t xml:space="preserve">, ¶¶ 39-40, Doc. ONU CAT/C/PHL/CO/3 (2016); </w:t>
      </w:r>
      <w:r w:rsidRPr="00AC72B5">
        <w:rPr>
          <w:i/>
          <w:w w:val="98"/>
        </w:rPr>
        <w:t>Perú</w:t>
      </w:r>
      <w:r w:rsidRPr="00AC72B5">
        <w:rPr>
          <w:w w:val="98"/>
        </w:rPr>
        <w:t>, ¶ 15, Doc. ONU CAT/C/PER/CO/5-6 (2013).</w:t>
      </w:r>
    </w:p>
  </w:endnote>
  <w:endnote w:id="1148">
    <w:p w14:paraId="220D7E6C" w14:textId="3C79852B"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lang w:val="es-CO"/>
        </w:rPr>
        <w:t xml:space="preserve"> Comité CAT, </w:t>
      </w:r>
      <w:r w:rsidRPr="00AC72B5">
        <w:rPr>
          <w:i/>
          <w:w w:val="98"/>
          <w:lang w:val="es-CO"/>
        </w:rPr>
        <w:t>Observaciones Finales: Kenia</w:t>
      </w:r>
      <w:r w:rsidRPr="00AC72B5">
        <w:rPr>
          <w:w w:val="98"/>
          <w:lang w:val="es-CO"/>
        </w:rPr>
        <w:t xml:space="preserve">, ¶ 27, Doc. </w:t>
      </w:r>
      <w:r w:rsidRPr="00AC72B5">
        <w:rPr>
          <w:w w:val="98"/>
        </w:rPr>
        <w:t>ONU CAT/C/KEN/CO/2 (2013).</w:t>
      </w:r>
    </w:p>
  </w:endnote>
  <w:endnote w:id="1149">
    <w:p w14:paraId="7AB7BAD7" w14:textId="1CF6877C"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Kenia</w:t>
      </w:r>
      <w:r w:rsidRPr="00AC72B5">
        <w:rPr>
          <w:w w:val="98"/>
        </w:rPr>
        <w:t>, ¶ 27, Doc. ONU CAT/C/KEN/CO/2 (2013).</w:t>
      </w:r>
    </w:p>
  </w:endnote>
  <w:endnote w:id="1150">
    <w:p w14:paraId="7FE1BFDE" w14:textId="38B850C0"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Sierra Leona</w:t>
      </w:r>
      <w:r w:rsidRPr="00AC72B5">
        <w:rPr>
          <w:w w:val="98"/>
        </w:rPr>
        <w:t xml:space="preserve">, ¶ 17, Doc. ONU CAT/C/SLE/CO/1 (2014); </w:t>
      </w:r>
      <w:r w:rsidRPr="00AC72B5">
        <w:rPr>
          <w:i/>
          <w:w w:val="98"/>
        </w:rPr>
        <w:t>Perú</w:t>
      </w:r>
      <w:r w:rsidRPr="00AC72B5">
        <w:rPr>
          <w:w w:val="98"/>
        </w:rPr>
        <w:t xml:space="preserve">, ¶ 15, Doc. ONU, CAT/C/PER/CO/5-6 (2013); </w:t>
      </w:r>
      <w:r w:rsidRPr="00AC72B5">
        <w:rPr>
          <w:i/>
          <w:w w:val="98"/>
        </w:rPr>
        <w:t>Paraguay</w:t>
      </w:r>
      <w:r w:rsidRPr="00AC72B5">
        <w:rPr>
          <w:w w:val="98"/>
        </w:rPr>
        <w:t xml:space="preserve">, ¶ 22, Doc. ONU CAT/C/PRY/CO/4-6 (2011); </w:t>
      </w:r>
      <w:r w:rsidRPr="00AC72B5">
        <w:rPr>
          <w:i/>
          <w:w w:val="98"/>
        </w:rPr>
        <w:t>Perú</w:t>
      </w:r>
      <w:r w:rsidRPr="00AC72B5">
        <w:rPr>
          <w:w w:val="98"/>
        </w:rPr>
        <w:t>, ¶ 23, Doc. ONU CAT/C/PER/CO/4 (2006).</w:t>
      </w:r>
    </w:p>
  </w:endnote>
  <w:endnote w:id="1151">
    <w:p w14:paraId="3355431F" w14:textId="11FEB224"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Filipinas</w:t>
      </w:r>
      <w:r w:rsidRPr="00AC72B5">
        <w:rPr>
          <w:w w:val="98"/>
        </w:rPr>
        <w:t>, ¶¶ 39, Doc. ONU CAT/C/PHL/CO/3 (2016).</w:t>
      </w:r>
    </w:p>
  </w:endnote>
  <w:endnote w:id="1152">
    <w:p w14:paraId="0E826D32" w14:textId="66EC4884"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República de Macedonia</w:t>
      </w:r>
      <w:r w:rsidRPr="00AC72B5">
        <w:rPr>
          <w:w w:val="98"/>
        </w:rPr>
        <w:t xml:space="preserve">, ¶ 17, Doc. ONU CAT/C/MKD/CO/3 (2015); </w:t>
      </w:r>
      <w:r w:rsidRPr="00AC72B5">
        <w:rPr>
          <w:i/>
          <w:w w:val="98"/>
        </w:rPr>
        <w:t>Sierra Leona</w:t>
      </w:r>
      <w:r w:rsidRPr="00AC72B5">
        <w:rPr>
          <w:w w:val="98"/>
        </w:rPr>
        <w:t xml:space="preserve">, ¶ 17, Doc. ONU CAT/C/SLE/CO/1 (2014); </w:t>
      </w:r>
      <w:r w:rsidRPr="00AC72B5">
        <w:rPr>
          <w:i/>
          <w:w w:val="98"/>
        </w:rPr>
        <w:t>Nicaragua</w:t>
      </w:r>
      <w:r w:rsidRPr="00AC72B5">
        <w:rPr>
          <w:w w:val="98"/>
        </w:rPr>
        <w:t>, ¶ 16, Doc. ONU CAT/C/NIC/CO/1 (2009).</w:t>
      </w:r>
    </w:p>
  </w:endnote>
  <w:endnote w:id="1153">
    <w:p w14:paraId="3E0F7149" w14:textId="11A6E465"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lang w:val="es-CO"/>
        </w:rPr>
        <w:t xml:space="preserve"> Comité CAT, </w:t>
      </w:r>
      <w:r w:rsidRPr="00AC72B5">
        <w:rPr>
          <w:i/>
          <w:w w:val="98"/>
          <w:lang w:val="es-CO"/>
        </w:rPr>
        <w:t>Observaciones Finales: Perú</w:t>
      </w:r>
      <w:r w:rsidRPr="00AC72B5">
        <w:rPr>
          <w:w w:val="98"/>
          <w:lang w:val="es-CO"/>
        </w:rPr>
        <w:t xml:space="preserve">, ¶ 23, Doc. </w:t>
      </w:r>
      <w:r w:rsidRPr="00AC72B5">
        <w:rPr>
          <w:w w:val="98"/>
        </w:rPr>
        <w:t>ONU CAT/C/PER/CO/4 (2006).</w:t>
      </w:r>
    </w:p>
  </w:endnote>
  <w:endnote w:id="1154">
    <w:p w14:paraId="2E319FD7" w14:textId="4A94B482"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Paraguay</w:t>
      </w:r>
      <w:r w:rsidRPr="00AC72B5">
        <w:rPr>
          <w:w w:val="98"/>
        </w:rPr>
        <w:t xml:space="preserve">, ¶ 22, Doc. ONU CAT/C/PER/CO/5-6 (2013); </w:t>
      </w:r>
      <w:r w:rsidRPr="00AC72B5">
        <w:rPr>
          <w:i/>
          <w:w w:val="98"/>
        </w:rPr>
        <w:t>Nicaragua</w:t>
      </w:r>
      <w:r w:rsidRPr="00AC72B5">
        <w:rPr>
          <w:w w:val="98"/>
        </w:rPr>
        <w:t>, ¶ 16, Doc. ONU CAT/C/NIC/CO/1 (2009).</w:t>
      </w:r>
    </w:p>
  </w:endnote>
  <w:endnote w:id="1155">
    <w:p w14:paraId="4976D2EF" w14:textId="45DDB372"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Sierra Leona</w:t>
      </w:r>
      <w:r w:rsidRPr="00AC72B5">
        <w:rPr>
          <w:w w:val="98"/>
        </w:rPr>
        <w:t xml:space="preserve">, ¶ 17, Doc. ONU CAT/C/SLE/CO/1 (2014); </w:t>
      </w:r>
      <w:r w:rsidRPr="00AC72B5">
        <w:rPr>
          <w:i/>
          <w:w w:val="98"/>
        </w:rPr>
        <w:t>Nicaragua</w:t>
      </w:r>
      <w:r w:rsidRPr="00AC72B5">
        <w:rPr>
          <w:w w:val="98"/>
        </w:rPr>
        <w:t>, ¶ 16, Doc. ONU CAT/C/NIC/CO/1 (2009).</w:t>
      </w:r>
      <w:r w:rsidRPr="00AC72B5">
        <w:rPr>
          <w:i/>
          <w:w w:val="98"/>
        </w:rPr>
        <w:t xml:space="preserve"> Véase también</w:t>
      </w:r>
      <w:r w:rsidRPr="00AC72B5">
        <w:rPr>
          <w:w w:val="98"/>
        </w:rPr>
        <w:t xml:space="preserve">, OMS, </w:t>
      </w:r>
      <w:r w:rsidRPr="00AC72B5">
        <w:rPr>
          <w:i/>
          <w:w w:val="98"/>
        </w:rPr>
        <w:t xml:space="preserve">Aborto sin riesgos: guía técnica y de políticas para sistemas de salud </w:t>
      </w:r>
      <w:r w:rsidRPr="00AC72B5">
        <w:rPr>
          <w:w w:val="98"/>
        </w:rPr>
        <w:t xml:space="preserve">5 (2015), </w:t>
      </w:r>
      <w:r w:rsidRPr="00AC72B5">
        <w:rPr>
          <w:i/>
          <w:w w:val="98"/>
        </w:rPr>
        <w:t>disponible en</w:t>
      </w:r>
      <w:r w:rsidRPr="00AC72B5">
        <w:rPr>
          <w:w w:val="98"/>
        </w:rPr>
        <w:t xml:space="preserve"> </w:t>
      </w:r>
      <w:hyperlink r:id="rId4" w:history="1">
        <w:r w:rsidRPr="00AC72B5">
          <w:rPr>
            <w:rStyle w:val="Hyperlink"/>
            <w:w w:val="98"/>
            <w:kern w:val="2"/>
            <w:szCs w:val="20"/>
            <w14:numForm w14:val="default"/>
            <w14:numSpacing w14:val="default"/>
            <w14:cntxtAlts/>
          </w:rPr>
          <w:t>http://apps.who.int/iris/bitstream/10665/173586/1/WHO_RHR_15.04_eng.pdf</w:t>
        </w:r>
      </w:hyperlink>
      <w:r w:rsidRPr="00AC72B5">
        <w:rPr>
          <w:w w:val="98"/>
        </w:rPr>
        <w:t>.</w:t>
      </w:r>
    </w:p>
  </w:endnote>
  <w:endnote w:id="1156">
    <w:p w14:paraId="3288E32E" w14:textId="6539FC8C"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Sierra Leona</w:t>
      </w:r>
      <w:r w:rsidRPr="00AC72B5">
        <w:rPr>
          <w:w w:val="98"/>
        </w:rPr>
        <w:t>, ¶ 17, Doc. ONU CAT/C/SLE/CO/1 (2014).</w:t>
      </w:r>
    </w:p>
  </w:endnote>
  <w:endnote w:id="1157">
    <w:p w14:paraId="581E5BC6" w14:textId="7C9A626B"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Perú</w:t>
      </w:r>
      <w:r w:rsidRPr="00AC72B5">
        <w:rPr>
          <w:w w:val="98"/>
        </w:rPr>
        <w:t>, ¶ 15, Doc. ONU, CAT/C/PER/CO/5-6 (2013).</w:t>
      </w:r>
    </w:p>
  </w:endnote>
  <w:endnote w:id="1158">
    <w:p w14:paraId="665AE1C1" w14:textId="49BEA1B9"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El Salvador</w:t>
      </w:r>
      <w:r w:rsidRPr="00AC72B5">
        <w:rPr>
          <w:w w:val="98"/>
        </w:rPr>
        <w:t xml:space="preserve">, ¶ 23, Doc. ONU CAT/C/SLV/CO/2 (2009); </w:t>
      </w:r>
      <w:r w:rsidRPr="00AC72B5">
        <w:rPr>
          <w:i/>
          <w:w w:val="98"/>
        </w:rPr>
        <w:t>Perú</w:t>
      </w:r>
      <w:r w:rsidRPr="00AC72B5">
        <w:rPr>
          <w:w w:val="98"/>
        </w:rPr>
        <w:t>, ¶ 23, Doc. ONU CAT/C/PER/CO/4 (2006).</w:t>
      </w:r>
    </w:p>
  </w:endnote>
  <w:endnote w:id="1159">
    <w:p w14:paraId="16872F69" w14:textId="78084778"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lang w:val="es-CO"/>
        </w:rPr>
        <w:t xml:space="preserve"> Comité CAT, </w:t>
      </w:r>
      <w:r w:rsidRPr="00AC72B5">
        <w:rPr>
          <w:i/>
          <w:w w:val="98"/>
          <w:lang w:val="es-CO"/>
        </w:rPr>
        <w:t>Observaciones Finales: Eslovaquia</w:t>
      </w:r>
      <w:r w:rsidRPr="00AC72B5">
        <w:rPr>
          <w:w w:val="98"/>
          <w:lang w:val="es-CO"/>
        </w:rPr>
        <w:t xml:space="preserve">, ¶ 12, Doc. </w:t>
      </w:r>
      <w:r w:rsidRPr="00AC72B5">
        <w:rPr>
          <w:w w:val="98"/>
        </w:rPr>
        <w:t xml:space="preserve">ONU CAT/C/SVK/CO/3 (2015); </w:t>
      </w:r>
      <w:r w:rsidRPr="00AC72B5">
        <w:rPr>
          <w:i/>
          <w:w w:val="98"/>
        </w:rPr>
        <w:t>Perú</w:t>
      </w:r>
      <w:r w:rsidRPr="00AC72B5">
        <w:rPr>
          <w:w w:val="98"/>
        </w:rPr>
        <w:t xml:space="preserve">, ¶ 19, Doc. ONU CAT/C/PER/CO/5-6 (2013); </w:t>
      </w:r>
      <w:r w:rsidRPr="00AC72B5">
        <w:rPr>
          <w:i/>
          <w:w w:val="98"/>
        </w:rPr>
        <w:t>Kenia</w:t>
      </w:r>
      <w:r w:rsidRPr="00AC72B5">
        <w:rPr>
          <w:w w:val="98"/>
        </w:rPr>
        <w:t xml:space="preserve">, ¶ 27, Doc. ONU CAT/C/KEN/CO/2 (2013); </w:t>
      </w:r>
      <w:r w:rsidRPr="00AC72B5">
        <w:rPr>
          <w:i/>
          <w:w w:val="98"/>
        </w:rPr>
        <w:t>República Checa</w:t>
      </w:r>
      <w:r w:rsidRPr="00AC72B5">
        <w:rPr>
          <w:w w:val="98"/>
        </w:rPr>
        <w:t xml:space="preserve">, ¶ 12, Doc. ONU CAT/C/KEN/CO/2 (2013); </w:t>
      </w:r>
      <w:r w:rsidRPr="00AC72B5">
        <w:rPr>
          <w:i/>
          <w:w w:val="98"/>
        </w:rPr>
        <w:t>Eslovaquia</w:t>
      </w:r>
      <w:r w:rsidRPr="00AC72B5">
        <w:rPr>
          <w:w w:val="98"/>
        </w:rPr>
        <w:t xml:space="preserve">, ¶ 14, Doc. ONU CAT/C/SVK/CO/2 (2009); </w:t>
      </w:r>
      <w:r w:rsidRPr="00AC72B5">
        <w:rPr>
          <w:i/>
          <w:w w:val="98"/>
        </w:rPr>
        <w:t>Perú</w:t>
      </w:r>
      <w:r w:rsidRPr="00AC72B5">
        <w:rPr>
          <w:w w:val="98"/>
        </w:rPr>
        <w:t>, ¶ 23, Doc. ONU CAT/C/PER/CO/4 (2006).</w:t>
      </w:r>
    </w:p>
  </w:endnote>
  <w:endnote w:id="1160">
    <w:p w14:paraId="6788C844" w14:textId="70AAB616"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lang w:val="es-CO"/>
        </w:rPr>
        <w:t xml:space="preserve"> Comité CAT, </w:t>
      </w:r>
      <w:r w:rsidRPr="00AC72B5">
        <w:rPr>
          <w:i/>
          <w:w w:val="98"/>
          <w:lang w:val="es-CO"/>
        </w:rPr>
        <w:t>Observaciones Finales: Perú</w:t>
      </w:r>
      <w:r w:rsidRPr="00AC72B5">
        <w:rPr>
          <w:w w:val="98"/>
          <w:lang w:val="es-CO"/>
        </w:rPr>
        <w:t xml:space="preserve">, ¶ 15, Doc. </w:t>
      </w:r>
      <w:r w:rsidRPr="00AC72B5">
        <w:rPr>
          <w:w w:val="98"/>
        </w:rPr>
        <w:t>ONU CAT/C/PER/CO/5-6 (2013).</w:t>
      </w:r>
    </w:p>
  </w:endnote>
  <w:endnote w:id="1161">
    <w:p w14:paraId="422BC233" w14:textId="60184E9F"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Eslovaquia</w:t>
      </w:r>
      <w:r w:rsidRPr="00AC72B5">
        <w:rPr>
          <w:w w:val="98"/>
        </w:rPr>
        <w:t xml:space="preserve">, ¶ 12, Doc. ONU CAT/C/SVK/CO/3 (2015); </w:t>
      </w:r>
      <w:r w:rsidRPr="00AC72B5">
        <w:rPr>
          <w:i/>
          <w:w w:val="98"/>
        </w:rPr>
        <w:t>República Checa</w:t>
      </w:r>
      <w:r w:rsidRPr="00AC72B5">
        <w:rPr>
          <w:w w:val="98"/>
        </w:rPr>
        <w:t>, ¶ 12, Doc. ONU CAT/C/CZE/CO/4-5 (2012).</w:t>
      </w:r>
    </w:p>
  </w:endnote>
  <w:endnote w:id="1162">
    <w:p w14:paraId="173CC253" w14:textId="1F8D0181"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Kenia</w:t>
      </w:r>
      <w:r w:rsidRPr="00AC72B5">
        <w:rPr>
          <w:w w:val="98"/>
        </w:rPr>
        <w:t>, ¶ 27, Doc. ONU CAT/C/KEN/CO/2 (2013).</w:t>
      </w:r>
    </w:p>
  </w:endnote>
  <w:endnote w:id="1163">
    <w:p w14:paraId="50431229" w14:textId="7F7F803C"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Kenia</w:t>
      </w:r>
      <w:r w:rsidRPr="00AC72B5">
        <w:rPr>
          <w:w w:val="98"/>
        </w:rPr>
        <w:t xml:space="preserve">, ¶ 27, Doc. ONU CAT/C/KEN/CO/2 (2013); </w:t>
      </w:r>
      <w:r w:rsidRPr="00AC72B5">
        <w:rPr>
          <w:i/>
          <w:w w:val="98"/>
        </w:rPr>
        <w:t>Perú</w:t>
      </w:r>
      <w:r w:rsidRPr="00AC72B5">
        <w:rPr>
          <w:w w:val="98"/>
        </w:rPr>
        <w:t>, ¶ 19, Doc. ONU CAT/C/PER/CO/5-6 (2013).</w:t>
      </w:r>
    </w:p>
  </w:endnote>
  <w:endnote w:id="1164">
    <w:p w14:paraId="57845423" w14:textId="59677DD9"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Francia</w:t>
      </w:r>
      <w:r w:rsidRPr="00AC72B5">
        <w:rPr>
          <w:w w:val="98"/>
        </w:rPr>
        <w:t>, ¶¶ 34-35, Doc. ONU CAT/C/FRA/CO/7 (2016).</w:t>
      </w:r>
    </w:p>
  </w:endnote>
  <w:endnote w:id="1165">
    <w:p w14:paraId="63F9EC76" w14:textId="7253D801"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Perú</w:t>
      </w:r>
      <w:r w:rsidRPr="00AC72B5">
        <w:rPr>
          <w:w w:val="98"/>
        </w:rPr>
        <w:t>, ¶ 19, Doc. ONU CAT/C/PER/CO/5-6 (2013).</w:t>
      </w:r>
    </w:p>
  </w:endnote>
  <w:endnote w:id="1166">
    <w:p w14:paraId="649B037B" w14:textId="159286F7"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Francia</w:t>
      </w:r>
      <w:r w:rsidRPr="00AC72B5">
        <w:rPr>
          <w:w w:val="98"/>
        </w:rPr>
        <w:t>, ¶ 34, Doc. ONU CAT/C/FRA/CO/7 (2016).</w:t>
      </w:r>
    </w:p>
  </w:endnote>
  <w:endnote w:id="1167">
    <w:p w14:paraId="2EAC8E6E" w14:textId="31507B16"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 xml:space="preserve">Observaciones Finales: Dinamarca, </w:t>
      </w:r>
      <w:r w:rsidRPr="00AC72B5">
        <w:rPr>
          <w:w w:val="98"/>
        </w:rPr>
        <w:t>¶ 42, Doc. ONU CAT/C/DNK/CO/6-7 (2015).</w:t>
      </w:r>
    </w:p>
  </w:endnote>
  <w:endnote w:id="1168">
    <w:p w14:paraId="43C31AC8" w14:textId="778ECE29"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Francia</w:t>
      </w:r>
      <w:r w:rsidRPr="00AC72B5">
        <w:rPr>
          <w:w w:val="98"/>
        </w:rPr>
        <w:t>, ¶ 34, Doc. ONU CAT/C/FRA/CO/7 (2016).</w:t>
      </w:r>
    </w:p>
  </w:endnote>
  <w:endnote w:id="1169">
    <w:p w14:paraId="0EF2BB32" w14:textId="3C87EC90"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Francia</w:t>
      </w:r>
      <w:r w:rsidRPr="00AC72B5">
        <w:rPr>
          <w:w w:val="98"/>
        </w:rPr>
        <w:t xml:space="preserve">, ¶ 34, Doc. ONU CAT/C/FRA/CO/7 (2016); </w:t>
      </w:r>
      <w:r w:rsidRPr="00AC72B5">
        <w:rPr>
          <w:i/>
          <w:w w:val="98"/>
        </w:rPr>
        <w:t xml:space="preserve">Dinamarca, </w:t>
      </w:r>
      <w:r w:rsidRPr="00AC72B5">
        <w:rPr>
          <w:w w:val="98"/>
        </w:rPr>
        <w:t>¶ 42, Doc. ONU CAT/C/DNK/CO/6-7 (2015).</w:t>
      </w:r>
    </w:p>
  </w:endnote>
  <w:endnote w:id="1170">
    <w:p w14:paraId="2EF1D7BE" w14:textId="458B18EB" w:rsidR="005E3DDD" w:rsidRPr="00AC72B5" w:rsidRDefault="005E3DDD" w:rsidP="00E12C89">
      <w:pPr>
        <w:pStyle w:val="EndnoteText"/>
        <w:ind w:hanging="223"/>
        <w:rPr>
          <w:i/>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Francia</w:t>
      </w:r>
      <w:r w:rsidRPr="00AC72B5">
        <w:rPr>
          <w:w w:val="98"/>
        </w:rPr>
        <w:t xml:space="preserve">, ¶ 35, Doc. ONU CAT/C/FRA/CO/7 (2016); </w:t>
      </w:r>
      <w:r w:rsidRPr="00AC72B5">
        <w:rPr>
          <w:i/>
          <w:w w:val="98"/>
        </w:rPr>
        <w:t xml:space="preserve">Dinamarca, </w:t>
      </w:r>
      <w:r w:rsidRPr="00AC72B5">
        <w:rPr>
          <w:w w:val="98"/>
        </w:rPr>
        <w:t xml:space="preserve">¶ 43, Doc. ONU CAT/C/DNK/CO/6-7 (2015); </w:t>
      </w:r>
      <w:r w:rsidRPr="00AC72B5">
        <w:rPr>
          <w:i/>
          <w:w w:val="98"/>
        </w:rPr>
        <w:t>Austria</w:t>
      </w:r>
      <w:r w:rsidRPr="00AC72B5">
        <w:rPr>
          <w:w w:val="98"/>
        </w:rPr>
        <w:t>, ¶ 45, Doc. ONU CAT/C/AUT/CO/6 (2015).</w:t>
      </w:r>
    </w:p>
  </w:endnote>
  <w:endnote w:id="1171">
    <w:p w14:paraId="533402BE" w14:textId="0447C997"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Francia</w:t>
      </w:r>
      <w:r w:rsidRPr="00AC72B5">
        <w:rPr>
          <w:w w:val="98"/>
        </w:rPr>
        <w:t>, ¶ 35, Doc. ONU CAT/C/FRA/CO/7 (2016).</w:t>
      </w:r>
    </w:p>
  </w:endnote>
  <w:endnote w:id="1172">
    <w:p w14:paraId="6E98207D" w14:textId="510D4DA4"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 xml:space="preserve">Observaciones Finales: Dinamarca, </w:t>
      </w:r>
      <w:r w:rsidRPr="00AC72B5">
        <w:rPr>
          <w:w w:val="98"/>
        </w:rPr>
        <w:t xml:space="preserve">¶ 43, Doc. ONU CAT/C/DNK/CO/6-7 (2015); </w:t>
      </w:r>
      <w:r w:rsidRPr="00AC72B5">
        <w:rPr>
          <w:i/>
          <w:w w:val="98"/>
        </w:rPr>
        <w:t>Austria</w:t>
      </w:r>
      <w:r w:rsidRPr="00AC72B5">
        <w:rPr>
          <w:w w:val="98"/>
        </w:rPr>
        <w:t>, ¶ 44, Doc. ONU CAT/C/AUT/CO/6 (2015).</w:t>
      </w:r>
    </w:p>
  </w:endnote>
  <w:endnote w:id="1173">
    <w:p w14:paraId="6F528DCD" w14:textId="14470339"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Francia</w:t>
      </w:r>
      <w:r w:rsidRPr="00AC72B5">
        <w:rPr>
          <w:w w:val="98"/>
        </w:rPr>
        <w:t>, ¶ 35, Doc. ONU CAT/C/FRA/CO/7 (2016).</w:t>
      </w:r>
    </w:p>
  </w:endnote>
  <w:endnote w:id="1174">
    <w:p w14:paraId="6966E2B3" w14:textId="03535D81"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Francia</w:t>
      </w:r>
      <w:r w:rsidRPr="00AC72B5">
        <w:rPr>
          <w:w w:val="98"/>
        </w:rPr>
        <w:t xml:space="preserve">, ¶ 35, Doc. ONU CAT/C/FRA/CO/7 (2016); </w:t>
      </w:r>
      <w:r w:rsidRPr="00AC72B5">
        <w:rPr>
          <w:i/>
          <w:w w:val="98"/>
        </w:rPr>
        <w:t>Austria</w:t>
      </w:r>
      <w:r w:rsidRPr="00AC72B5">
        <w:rPr>
          <w:w w:val="98"/>
        </w:rPr>
        <w:t xml:space="preserve">, ¶ 44, Doc. ONU CAT/C/AUT/CO/6 (2015); </w:t>
      </w:r>
      <w:r w:rsidRPr="00AC72B5">
        <w:rPr>
          <w:i/>
          <w:w w:val="98"/>
        </w:rPr>
        <w:t>China</w:t>
      </w:r>
      <w:r w:rsidRPr="00AC72B5">
        <w:rPr>
          <w:w w:val="98"/>
        </w:rPr>
        <w:t xml:space="preserve">, ¶ 52, Doc. ONU CAT/C/CHN/CO/5 (2015); </w:t>
      </w:r>
      <w:r w:rsidRPr="00AC72B5">
        <w:rPr>
          <w:i/>
          <w:w w:val="98"/>
        </w:rPr>
        <w:t>Eslovaquia</w:t>
      </w:r>
      <w:r w:rsidRPr="00AC72B5">
        <w:rPr>
          <w:w w:val="98"/>
        </w:rPr>
        <w:t xml:space="preserve">, ¶ 12, Doc. ONU CAT/C/SVK/CO/3 (2015); </w:t>
      </w:r>
      <w:r w:rsidRPr="00AC72B5">
        <w:rPr>
          <w:i/>
          <w:w w:val="98"/>
        </w:rPr>
        <w:t>Kenia</w:t>
      </w:r>
      <w:r w:rsidRPr="00AC72B5">
        <w:rPr>
          <w:w w:val="98"/>
        </w:rPr>
        <w:t xml:space="preserve">, ¶ 27, Doc. ONU CAT/C/KEN/CO/2 (2013); </w:t>
      </w:r>
      <w:r w:rsidRPr="00AC72B5">
        <w:rPr>
          <w:i/>
          <w:w w:val="98"/>
        </w:rPr>
        <w:t>Perú</w:t>
      </w:r>
      <w:r w:rsidRPr="00AC72B5">
        <w:rPr>
          <w:w w:val="98"/>
        </w:rPr>
        <w:t xml:space="preserve">, ¶ 15, Doc. ONU CAT/C/PER/CO/5-6 (2013); </w:t>
      </w:r>
      <w:r w:rsidRPr="00AC72B5">
        <w:rPr>
          <w:i/>
          <w:w w:val="98"/>
        </w:rPr>
        <w:t>República Checa</w:t>
      </w:r>
      <w:r w:rsidRPr="00AC72B5">
        <w:rPr>
          <w:w w:val="98"/>
        </w:rPr>
        <w:t xml:space="preserve">, ¶ 12, Doc. ONU CAT/C/CZE/CO/4-5 (2012); </w:t>
      </w:r>
      <w:r w:rsidRPr="00AC72B5">
        <w:rPr>
          <w:i/>
          <w:w w:val="98"/>
        </w:rPr>
        <w:t>Eslovaquia</w:t>
      </w:r>
      <w:r w:rsidRPr="00AC72B5">
        <w:rPr>
          <w:w w:val="98"/>
        </w:rPr>
        <w:t>, ¶ 14, Doc. ONU CAT/C/SVK/CO/2 (2009).</w:t>
      </w:r>
    </w:p>
  </w:endnote>
  <w:endnote w:id="1175">
    <w:p w14:paraId="2B13EE94" w14:textId="3036CF64"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China</w:t>
      </w:r>
      <w:r w:rsidRPr="00AC72B5">
        <w:rPr>
          <w:w w:val="98"/>
        </w:rPr>
        <w:t xml:space="preserve">, ¶ 52, Doc. ONU CAT/C/CHN/CO/5 (2015); </w:t>
      </w:r>
      <w:r w:rsidRPr="00AC72B5">
        <w:rPr>
          <w:i/>
          <w:w w:val="98"/>
        </w:rPr>
        <w:t>Eslovaquia</w:t>
      </w:r>
      <w:r w:rsidRPr="00AC72B5">
        <w:rPr>
          <w:w w:val="98"/>
        </w:rPr>
        <w:t xml:space="preserve">, ¶ 12, Doc. ONU CAT/C/SVK/CO/3 (2015); </w:t>
      </w:r>
      <w:r w:rsidRPr="00AC72B5">
        <w:rPr>
          <w:i/>
          <w:w w:val="98"/>
        </w:rPr>
        <w:t>Kenia</w:t>
      </w:r>
      <w:r w:rsidRPr="00AC72B5">
        <w:rPr>
          <w:w w:val="98"/>
        </w:rPr>
        <w:t>, ¶ 27, Doc. ONU CAT/C/KEN/CO/2 (2013).</w:t>
      </w:r>
    </w:p>
  </w:endnote>
  <w:endnote w:id="1176">
    <w:p w14:paraId="36B47FC7" w14:textId="41BF0BA4"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Eslovaquia</w:t>
      </w:r>
      <w:r w:rsidRPr="00AC72B5">
        <w:rPr>
          <w:w w:val="98"/>
        </w:rPr>
        <w:t xml:space="preserve">, ¶ 12, Doc. ONU CAT/C/SVK/CO/3 (2015); </w:t>
      </w:r>
      <w:r w:rsidRPr="00AC72B5">
        <w:rPr>
          <w:i/>
          <w:w w:val="98"/>
        </w:rPr>
        <w:t>Perú</w:t>
      </w:r>
      <w:r w:rsidRPr="00AC72B5">
        <w:rPr>
          <w:w w:val="98"/>
        </w:rPr>
        <w:t xml:space="preserve">, ¶ 19, Doc. ONU CAT/C/PER/CO/5-6 (2013); </w:t>
      </w:r>
      <w:r w:rsidRPr="00AC72B5">
        <w:rPr>
          <w:i/>
          <w:w w:val="98"/>
        </w:rPr>
        <w:t>República Checa</w:t>
      </w:r>
      <w:r w:rsidRPr="00AC72B5">
        <w:rPr>
          <w:w w:val="98"/>
        </w:rPr>
        <w:t xml:space="preserve">, ¶ 12, Doc. ONU CAT/C/CZE/CO/4-5 (2012); </w:t>
      </w:r>
      <w:r w:rsidRPr="00AC72B5">
        <w:rPr>
          <w:i/>
          <w:w w:val="98"/>
        </w:rPr>
        <w:t>Eslovaquia</w:t>
      </w:r>
      <w:r w:rsidRPr="00AC72B5">
        <w:rPr>
          <w:w w:val="98"/>
        </w:rPr>
        <w:t>, ¶ 14, Doc. ONU CAT/C/SVK/CO/2 (2009).</w:t>
      </w:r>
    </w:p>
  </w:endnote>
  <w:endnote w:id="1177">
    <w:p w14:paraId="14060F9C" w14:textId="592E7B07"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República Checa</w:t>
      </w:r>
      <w:r w:rsidRPr="00AC72B5">
        <w:rPr>
          <w:w w:val="98"/>
        </w:rPr>
        <w:t>, ¶ 12, Doc. ONU CAT/C/CZE/CO/4-5 (2012).</w:t>
      </w:r>
    </w:p>
  </w:endnote>
  <w:endnote w:id="1178">
    <w:p w14:paraId="3B589EF5" w14:textId="67329D53"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Eslovaquia</w:t>
      </w:r>
      <w:r w:rsidRPr="00AC72B5">
        <w:rPr>
          <w:w w:val="98"/>
        </w:rPr>
        <w:t xml:space="preserve">, ¶ 12, Doc. ONU CAT/C/SVK/CO/3 (2015); </w:t>
      </w:r>
      <w:r w:rsidRPr="00AC72B5">
        <w:rPr>
          <w:i/>
          <w:w w:val="98"/>
        </w:rPr>
        <w:t>República Checa</w:t>
      </w:r>
      <w:r w:rsidRPr="00AC72B5">
        <w:rPr>
          <w:w w:val="98"/>
        </w:rPr>
        <w:t xml:space="preserve">, ¶ 12, Doc. ONU CAT/C/CZE/CO/4-5 (2012); </w:t>
      </w:r>
      <w:r w:rsidRPr="00AC72B5">
        <w:rPr>
          <w:i/>
          <w:w w:val="98"/>
        </w:rPr>
        <w:t>Eslovaquia</w:t>
      </w:r>
      <w:r w:rsidRPr="00AC72B5">
        <w:rPr>
          <w:w w:val="98"/>
        </w:rPr>
        <w:t>, ¶ 14, Doc. ONU CAT/C/SVK/CO/2 (2009).</w:t>
      </w:r>
    </w:p>
  </w:endnote>
  <w:endnote w:id="1179">
    <w:p w14:paraId="6909FA28" w14:textId="1BCA5491"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Eslovaquia</w:t>
      </w:r>
      <w:r w:rsidRPr="00AC72B5">
        <w:rPr>
          <w:w w:val="98"/>
        </w:rPr>
        <w:t>, ¶ 14, Doc. ONU CAT/C/SVK/CO/2 (2009).</w:t>
      </w:r>
    </w:p>
  </w:endnote>
  <w:endnote w:id="1180">
    <w:p w14:paraId="71DA18C2" w14:textId="3C1B093B"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Eslovaquia</w:t>
      </w:r>
      <w:r w:rsidRPr="00AC72B5">
        <w:rPr>
          <w:w w:val="98"/>
        </w:rPr>
        <w:t>, ¶ 14, Doc. ONU CAT/C/SVK/CO/2 (2009).</w:t>
      </w:r>
    </w:p>
  </w:endnote>
  <w:endnote w:id="1181">
    <w:p w14:paraId="5A70C43A" w14:textId="743DEC01"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Eslovaquia</w:t>
      </w:r>
      <w:r w:rsidRPr="00AC72B5">
        <w:rPr>
          <w:w w:val="98"/>
        </w:rPr>
        <w:t xml:space="preserve">, ¶ 12, Doc. ONU CAT/C/SVK/CO/3 (2015); </w:t>
      </w:r>
      <w:r w:rsidRPr="00AC72B5">
        <w:rPr>
          <w:i/>
          <w:w w:val="98"/>
        </w:rPr>
        <w:t>República Checa</w:t>
      </w:r>
      <w:r w:rsidRPr="00AC72B5">
        <w:rPr>
          <w:w w:val="98"/>
        </w:rPr>
        <w:t>, ¶ 12, Doc. ONU CAT/C/CZE/CO/4-5 (2012).</w:t>
      </w:r>
    </w:p>
  </w:endnote>
  <w:endnote w:id="1182">
    <w:p w14:paraId="299BD0DB" w14:textId="0693DED3"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 xml:space="preserve">Observaciones Finales: Dinamarca, </w:t>
      </w:r>
      <w:r w:rsidRPr="00AC72B5">
        <w:rPr>
          <w:w w:val="98"/>
        </w:rPr>
        <w:t xml:space="preserve">¶ 42, Doc. ONU CAT/C/DNK/CO/6-7 (2015); </w:t>
      </w:r>
      <w:r w:rsidRPr="00AC72B5">
        <w:rPr>
          <w:i/>
          <w:w w:val="98"/>
        </w:rPr>
        <w:t>Austria</w:t>
      </w:r>
      <w:r w:rsidRPr="00AC72B5">
        <w:rPr>
          <w:w w:val="98"/>
        </w:rPr>
        <w:t xml:space="preserve">, ¶ 44, Doc. ONU CAT/C/AUT/CO/6 (2015); </w:t>
      </w:r>
      <w:r w:rsidRPr="00AC72B5">
        <w:rPr>
          <w:i/>
          <w:w w:val="98"/>
        </w:rPr>
        <w:t>Eslovaquia</w:t>
      </w:r>
      <w:r w:rsidRPr="00AC72B5">
        <w:rPr>
          <w:w w:val="98"/>
        </w:rPr>
        <w:t xml:space="preserve">, ¶ 12, Doc. ONU CAT/C/SVK/CO/3 (2015); </w:t>
      </w:r>
      <w:r w:rsidRPr="00AC72B5">
        <w:rPr>
          <w:i/>
          <w:w w:val="98"/>
        </w:rPr>
        <w:t>Perú</w:t>
      </w:r>
      <w:r w:rsidRPr="00AC72B5">
        <w:rPr>
          <w:w w:val="98"/>
        </w:rPr>
        <w:t xml:space="preserve">, ¶¶ 15 y 19, Doc. ONU CAT/C/PER/CO/5-6 (2013); </w:t>
      </w:r>
      <w:r w:rsidRPr="00AC72B5">
        <w:rPr>
          <w:i/>
          <w:w w:val="98"/>
        </w:rPr>
        <w:t>República Checa</w:t>
      </w:r>
      <w:r w:rsidRPr="00AC72B5">
        <w:rPr>
          <w:w w:val="98"/>
        </w:rPr>
        <w:t>, ¶ 12, Doc. ONU CAT/C/CZE/CO/4-5 (2012).</w:t>
      </w:r>
    </w:p>
  </w:endnote>
  <w:endnote w:id="1183">
    <w:p w14:paraId="1AB38E2E" w14:textId="71D7ECE3"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Francia</w:t>
      </w:r>
      <w:r w:rsidRPr="00AC72B5">
        <w:rPr>
          <w:w w:val="98"/>
        </w:rPr>
        <w:t xml:space="preserve">, ¶ 35, Doc. ONU CAT/C/FRA/CO/7 (2016); </w:t>
      </w:r>
      <w:r w:rsidRPr="00AC72B5">
        <w:rPr>
          <w:i/>
          <w:w w:val="98"/>
        </w:rPr>
        <w:t xml:space="preserve">Dinamarca, </w:t>
      </w:r>
      <w:r w:rsidRPr="00AC72B5">
        <w:rPr>
          <w:w w:val="98"/>
        </w:rPr>
        <w:t xml:space="preserve">¶ 42, Doc. ONU CAT/C/DNK/CO/6-7 (2015); </w:t>
      </w:r>
      <w:r w:rsidRPr="00AC72B5">
        <w:rPr>
          <w:i/>
          <w:w w:val="98"/>
        </w:rPr>
        <w:t>China</w:t>
      </w:r>
      <w:r w:rsidRPr="00AC72B5">
        <w:rPr>
          <w:w w:val="98"/>
        </w:rPr>
        <w:t xml:space="preserve">, ¶ 52, Doc. ONU CAT/C/CHN/CO/5 (2015); </w:t>
      </w:r>
      <w:r w:rsidRPr="00AC72B5">
        <w:rPr>
          <w:i/>
          <w:w w:val="98"/>
        </w:rPr>
        <w:t>Eslovaquia</w:t>
      </w:r>
      <w:r w:rsidRPr="00AC72B5">
        <w:rPr>
          <w:w w:val="98"/>
        </w:rPr>
        <w:t xml:space="preserve">, ¶ 12, Doc. ONU CAT/C/SVK/CO/3 (2015); </w:t>
      </w:r>
      <w:r w:rsidRPr="00AC72B5">
        <w:rPr>
          <w:i/>
          <w:w w:val="98"/>
        </w:rPr>
        <w:t>Perú</w:t>
      </w:r>
      <w:r w:rsidRPr="00AC72B5">
        <w:rPr>
          <w:w w:val="98"/>
        </w:rPr>
        <w:t xml:space="preserve">, ¶ 15, Doc. ONU CAT/C/PER/CO/5-6 (2013); </w:t>
      </w:r>
      <w:r w:rsidRPr="00AC72B5">
        <w:rPr>
          <w:i/>
          <w:w w:val="98"/>
        </w:rPr>
        <w:t>República Checa</w:t>
      </w:r>
      <w:r w:rsidRPr="00AC72B5">
        <w:rPr>
          <w:w w:val="98"/>
        </w:rPr>
        <w:t xml:space="preserve">, ¶ 12, Doc. ONU CAT/C/CZE/CO/4-5 (2012); </w:t>
      </w:r>
      <w:r w:rsidRPr="00AC72B5">
        <w:rPr>
          <w:i/>
          <w:w w:val="98"/>
        </w:rPr>
        <w:t>Eslovaquia</w:t>
      </w:r>
      <w:r w:rsidRPr="00AC72B5">
        <w:rPr>
          <w:w w:val="98"/>
        </w:rPr>
        <w:t>, ¶ 14, Doc. ONU CAT/C/SVK/CO/2 (2009).</w:t>
      </w:r>
    </w:p>
  </w:endnote>
  <w:endnote w:id="1184">
    <w:p w14:paraId="656D5988" w14:textId="03A7AF10"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Francia</w:t>
      </w:r>
      <w:r w:rsidRPr="00AC72B5">
        <w:rPr>
          <w:w w:val="98"/>
        </w:rPr>
        <w:t xml:space="preserve">, ¶ 35, Doc. ONU CAT/C/FRA/CO/7 (2016); </w:t>
      </w:r>
      <w:r w:rsidRPr="00AC72B5">
        <w:rPr>
          <w:i/>
          <w:w w:val="98"/>
        </w:rPr>
        <w:t>Austria</w:t>
      </w:r>
      <w:r w:rsidRPr="00AC72B5">
        <w:rPr>
          <w:w w:val="98"/>
        </w:rPr>
        <w:t xml:space="preserve">, ¶ 44, Doc. ONU CAT/C/AUT/CO/6 (2015); </w:t>
      </w:r>
      <w:r w:rsidRPr="00AC72B5">
        <w:rPr>
          <w:i/>
          <w:w w:val="98"/>
        </w:rPr>
        <w:t>Eslovaquia</w:t>
      </w:r>
      <w:r w:rsidRPr="00AC72B5">
        <w:rPr>
          <w:w w:val="98"/>
        </w:rPr>
        <w:t>, ¶ 14, Doc. ONU CAT/C/SVK/CO/2 (2009).</w:t>
      </w:r>
    </w:p>
  </w:endnote>
  <w:endnote w:id="1185">
    <w:p w14:paraId="27D3598C" w14:textId="52F3B02F"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CAT, </w:t>
      </w:r>
      <w:r w:rsidRPr="00AC72B5">
        <w:rPr>
          <w:i/>
          <w:w w:val="98"/>
        </w:rPr>
        <w:t>Observaciones Finales: República Checa</w:t>
      </w:r>
      <w:r w:rsidRPr="00AC72B5">
        <w:rPr>
          <w:w w:val="98"/>
        </w:rPr>
        <w:t>, ¶ 12, Doc. ONU CAT/C/CZE/CO/4-5 (2012).</w:t>
      </w:r>
    </w:p>
  </w:endnote>
  <w:endnote w:id="1186">
    <w:p w14:paraId="5E9B72AB" w14:textId="5011135B"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Pr>
          <w:w w:val="98"/>
        </w:rPr>
        <w:t xml:space="preserve"> </w:t>
      </w:r>
      <w:r w:rsidRPr="00AC72B5">
        <w:rPr>
          <w:w w:val="98"/>
        </w:rPr>
        <w:t xml:space="preserve">Comité para la Eliminación de la Discriminación Racial (Comité CERD), </w:t>
      </w:r>
      <w:r w:rsidRPr="00AC72B5">
        <w:rPr>
          <w:i/>
          <w:w w:val="98"/>
        </w:rPr>
        <w:t>Recomendación General Núm. 25 relativa a las dimensiones de la discriminación racial relacionadas con el género</w:t>
      </w:r>
      <w:r w:rsidRPr="00AC72B5">
        <w:rPr>
          <w:w w:val="98"/>
        </w:rPr>
        <w:t>, ¶ 2 (2000).</w:t>
      </w:r>
    </w:p>
  </w:endnote>
  <w:endnote w:id="1187">
    <w:p w14:paraId="1C55D62C" w14:textId="7CD6F749"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Recomendación General Núm. 25 relativa a las dimensiones de la discriminación racial relacionadas con el género</w:t>
      </w:r>
      <w:r w:rsidRPr="00AC72B5">
        <w:rPr>
          <w:w w:val="98"/>
        </w:rPr>
        <w:t>, ¶ 2 (2000).</w:t>
      </w:r>
    </w:p>
  </w:endnote>
  <w:endnote w:id="1188">
    <w:p w14:paraId="0213BEAB" w14:textId="05416AF1"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Recomendación General Núm. 27 relativa a la discriminación de los romaníes</w:t>
      </w:r>
      <w:r w:rsidRPr="00AC72B5">
        <w:rPr>
          <w:w w:val="98"/>
        </w:rPr>
        <w:t>, ¶ 33 (2000).</w:t>
      </w:r>
    </w:p>
  </w:endnote>
  <w:endnote w:id="1189">
    <w:p w14:paraId="7EA7DC73" w14:textId="39B04DC9"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Paraguay</w:t>
      </w:r>
      <w:r w:rsidRPr="00AC72B5">
        <w:rPr>
          <w:w w:val="98"/>
        </w:rPr>
        <w:t xml:space="preserve">, ¶ 34, Doc. ONU CERD/C/PRY/CO/4-6 (2016); </w:t>
      </w:r>
      <w:r w:rsidRPr="00AC72B5">
        <w:rPr>
          <w:i/>
          <w:w w:val="98"/>
        </w:rPr>
        <w:t>República Checa</w:t>
      </w:r>
      <w:r w:rsidRPr="00AC72B5">
        <w:rPr>
          <w:w w:val="98"/>
        </w:rPr>
        <w:t xml:space="preserve">, ¶ 22, Doc. ONU CERD/C/CZE/CO/10-11 (2015); </w:t>
      </w:r>
      <w:r w:rsidRPr="00AC72B5">
        <w:rPr>
          <w:i/>
          <w:w w:val="98"/>
        </w:rPr>
        <w:t>Estados Unidos de América</w:t>
      </w:r>
      <w:r w:rsidRPr="00AC72B5">
        <w:rPr>
          <w:w w:val="98"/>
        </w:rPr>
        <w:t xml:space="preserve">, ¶ 15, Doc. ONU CERD/C/USA/7-9 (2014); </w:t>
      </w:r>
      <w:r w:rsidRPr="00AC72B5">
        <w:rPr>
          <w:i/>
          <w:w w:val="98"/>
        </w:rPr>
        <w:t>México</w:t>
      </w:r>
      <w:r w:rsidRPr="00AC72B5">
        <w:rPr>
          <w:w w:val="98"/>
        </w:rPr>
        <w:t xml:space="preserve">, ¶ 19, Doc. ONU CERD/C/MEX/CO/16-17 (2012); </w:t>
      </w:r>
      <w:r w:rsidRPr="00AC72B5">
        <w:rPr>
          <w:i/>
          <w:w w:val="98"/>
        </w:rPr>
        <w:t>Panamá</w:t>
      </w:r>
      <w:r w:rsidRPr="00AC72B5">
        <w:rPr>
          <w:w w:val="98"/>
        </w:rPr>
        <w:t xml:space="preserve">, ¶ 19, Doc. ONU CERD/C/MEX/CO/16-17 (2012); </w:t>
      </w:r>
      <w:r w:rsidRPr="00AC72B5">
        <w:rPr>
          <w:i/>
          <w:w w:val="98"/>
        </w:rPr>
        <w:t>Estados Unidos de América</w:t>
      </w:r>
      <w:r w:rsidRPr="00AC72B5">
        <w:rPr>
          <w:w w:val="98"/>
        </w:rPr>
        <w:t xml:space="preserve">, ¶ 33, Doc. ONU CERD/C/USA/CO/6 (2008); </w:t>
      </w:r>
      <w:r w:rsidRPr="00AC72B5">
        <w:rPr>
          <w:i/>
          <w:w w:val="98"/>
        </w:rPr>
        <w:t>Estados Unidos de América</w:t>
      </w:r>
      <w:r w:rsidRPr="00AC72B5">
        <w:rPr>
          <w:w w:val="98"/>
        </w:rPr>
        <w:t>, ¶ 250, Doc. ONU A/56/18 (SUPP) (2001).</w:t>
      </w:r>
    </w:p>
  </w:endnote>
  <w:endnote w:id="1190">
    <w:p w14:paraId="5D5BFBBA" w14:textId="73BA8CD4"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República Checa</w:t>
      </w:r>
      <w:r w:rsidRPr="00AC72B5">
        <w:rPr>
          <w:w w:val="98"/>
        </w:rPr>
        <w:t xml:space="preserve">, ¶ 22, Doc. ONU CERD/C/CZE/CO/10-11 (2015); </w:t>
      </w:r>
      <w:r w:rsidRPr="00AC72B5">
        <w:rPr>
          <w:i/>
          <w:w w:val="98"/>
        </w:rPr>
        <w:t>Estados Unidos de América</w:t>
      </w:r>
      <w:r w:rsidRPr="00AC72B5">
        <w:rPr>
          <w:w w:val="98"/>
        </w:rPr>
        <w:t>, ¶ 33, Doc. ONU CERD/C/USA/CO/6 (2008).</w:t>
      </w:r>
    </w:p>
  </w:endnote>
  <w:endnote w:id="1191">
    <w:p w14:paraId="43D18641" w14:textId="56B98C9D"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Estados Unidos de América</w:t>
      </w:r>
      <w:r w:rsidRPr="00AC72B5">
        <w:rPr>
          <w:w w:val="98"/>
        </w:rPr>
        <w:t xml:space="preserve">, ¶ 15, Doc. ONU CERD/C/USA/7-9 (2014); </w:t>
      </w:r>
      <w:r w:rsidRPr="00AC72B5">
        <w:rPr>
          <w:i/>
          <w:w w:val="98"/>
        </w:rPr>
        <w:t>Estados Unidos de América</w:t>
      </w:r>
      <w:r w:rsidRPr="00AC72B5">
        <w:rPr>
          <w:w w:val="98"/>
        </w:rPr>
        <w:t>, ¶ 250, Doc. ONU A/56/18 (SUPP) (2001).</w:t>
      </w:r>
    </w:p>
  </w:endnote>
  <w:endnote w:id="1192">
    <w:p w14:paraId="5CE92F78" w14:textId="27543695"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Estados Unidos de América</w:t>
      </w:r>
      <w:r w:rsidRPr="00AC72B5">
        <w:rPr>
          <w:w w:val="98"/>
        </w:rPr>
        <w:t>, ¶ 33, Doc. ONU CERD/C/USA/CO/6 (2008).</w:t>
      </w:r>
    </w:p>
  </w:endnote>
  <w:endnote w:id="1193">
    <w:p w14:paraId="4A84F67C" w14:textId="64BEB9E9"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México</w:t>
      </w:r>
      <w:r w:rsidRPr="00AC72B5">
        <w:rPr>
          <w:w w:val="98"/>
        </w:rPr>
        <w:t xml:space="preserve">, ¶ 19, Doc. ONU CERD/C/MEX/CO/16-17 (2012); </w:t>
      </w:r>
      <w:r w:rsidRPr="00AC72B5">
        <w:rPr>
          <w:i/>
          <w:w w:val="98"/>
        </w:rPr>
        <w:t>Panamá</w:t>
      </w:r>
      <w:r w:rsidRPr="00AC72B5">
        <w:rPr>
          <w:w w:val="98"/>
        </w:rPr>
        <w:t>, ¶ 19, Doc. ONU CERD/C/PAN/CO/15-20 (2010).</w:t>
      </w:r>
    </w:p>
  </w:endnote>
  <w:endnote w:id="1194">
    <w:p w14:paraId="72154674" w14:textId="03EEF9F0"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Estados Unidos de América</w:t>
      </w:r>
      <w:r w:rsidRPr="00AC72B5">
        <w:rPr>
          <w:w w:val="98"/>
        </w:rPr>
        <w:t>, ¶ 33, Doc. ONU CERD/C/USA/CO/6 (2008).</w:t>
      </w:r>
    </w:p>
  </w:endnote>
  <w:endnote w:id="1195">
    <w:p w14:paraId="2707D6D6" w14:textId="01F71AF2"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Estados Unidos de América</w:t>
      </w:r>
      <w:r w:rsidRPr="00AC72B5">
        <w:rPr>
          <w:w w:val="98"/>
        </w:rPr>
        <w:t>, ¶ 33, Doc. ONU CERD/C/USA/CO/6 (2008).</w:t>
      </w:r>
    </w:p>
  </w:endnote>
  <w:endnote w:id="1196">
    <w:p w14:paraId="5314F30E" w14:textId="7FD17693"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Estados Unidos de América</w:t>
      </w:r>
      <w:r w:rsidRPr="00AC72B5">
        <w:rPr>
          <w:w w:val="98"/>
        </w:rPr>
        <w:t>, ¶ 33, Doc. ONU CERD/C/USA/CO/6 (2008).</w:t>
      </w:r>
    </w:p>
  </w:endnote>
  <w:endnote w:id="1197">
    <w:p w14:paraId="65BD5353" w14:textId="7450DFC8"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República Checa</w:t>
      </w:r>
      <w:r w:rsidRPr="00AC72B5">
        <w:rPr>
          <w:w w:val="98"/>
        </w:rPr>
        <w:t>, ¶¶ 21-22, Doc. ONU CERD/C/CZE/CO/10-11 (2015).</w:t>
      </w:r>
    </w:p>
  </w:endnote>
  <w:endnote w:id="1198">
    <w:p w14:paraId="2B327EEE" w14:textId="5DA5F88F"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República Checa</w:t>
      </w:r>
      <w:r w:rsidRPr="00AC72B5">
        <w:rPr>
          <w:w w:val="98"/>
        </w:rPr>
        <w:t>, ¶¶ 21-22, Doc. ONU CERD/C/CZE/CO/10-11 (2015).</w:t>
      </w:r>
    </w:p>
  </w:endnote>
  <w:endnote w:id="1199">
    <w:p w14:paraId="78077573" w14:textId="433D7E5C"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Estados Unidos de América</w:t>
      </w:r>
      <w:r w:rsidRPr="00AC72B5">
        <w:rPr>
          <w:w w:val="98"/>
        </w:rPr>
        <w:t xml:space="preserve">, ¶ 15, Doc. ONU CERD/C/USA/CO/7-9 (2014); </w:t>
      </w:r>
      <w:r w:rsidRPr="00AC72B5">
        <w:rPr>
          <w:i/>
          <w:w w:val="98"/>
        </w:rPr>
        <w:t>México</w:t>
      </w:r>
      <w:r w:rsidRPr="00AC72B5">
        <w:rPr>
          <w:w w:val="98"/>
        </w:rPr>
        <w:t xml:space="preserve">, ¶ 19, Doc. ONU CERD/C/MEX/CO/16-17 (2012); </w:t>
      </w:r>
      <w:r w:rsidRPr="00AC72B5">
        <w:rPr>
          <w:i/>
          <w:w w:val="98"/>
        </w:rPr>
        <w:t>Estados Unidos de América</w:t>
      </w:r>
      <w:r w:rsidRPr="00AC72B5">
        <w:rPr>
          <w:w w:val="98"/>
        </w:rPr>
        <w:t>, ¶ 33, Doc. ONU CERD/C/USA/CO/6 (2008).</w:t>
      </w:r>
    </w:p>
  </w:endnote>
  <w:endnote w:id="1200">
    <w:p w14:paraId="20A08F98" w14:textId="2925654B"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México</w:t>
      </w:r>
      <w:r w:rsidRPr="00AC72B5">
        <w:rPr>
          <w:w w:val="98"/>
        </w:rPr>
        <w:t>, ¶ 19, Doc. ONU CERD/C/MEX/CO/16-17 (2012).</w:t>
      </w:r>
    </w:p>
  </w:endnote>
  <w:endnote w:id="1201">
    <w:p w14:paraId="67021CEA" w14:textId="1AABA7DE"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Estados Unidos de América</w:t>
      </w:r>
      <w:r w:rsidRPr="00AC72B5">
        <w:rPr>
          <w:w w:val="98"/>
        </w:rPr>
        <w:t>, ¶ 33, Doc. ONU CERD/C/USA/CO/6 (2008).</w:t>
      </w:r>
    </w:p>
  </w:endnote>
  <w:endnote w:id="1202">
    <w:p w14:paraId="61CED7B8" w14:textId="4653BD46"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Estados Unidos de América</w:t>
      </w:r>
      <w:r w:rsidRPr="00AC72B5">
        <w:rPr>
          <w:w w:val="98"/>
        </w:rPr>
        <w:t>, ¶ 15, Doc. ONU CERD/C/USA/CO/7-9 (2014).</w:t>
      </w:r>
    </w:p>
  </w:endnote>
  <w:endnote w:id="1203">
    <w:p w14:paraId="6BD7A3D7" w14:textId="1591072A"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México</w:t>
      </w:r>
      <w:r w:rsidRPr="00AC72B5">
        <w:rPr>
          <w:w w:val="98"/>
        </w:rPr>
        <w:t>, ¶ 19, Doc. ONU CERD/C/MEX/CO/16-17 (2012).</w:t>
      </w:r>
    </w:p>
  </w:endnote>
  <w:endnote w:id="1204">
    <w:p w14:paraId="6E65ACA9" w14:textId="77CC9CD6"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Estados Unidos de América</w:t>
      </w:r>
      <w:r w:rsidRPr="00AC72B5">
        <w:rPr>
          <w:w w:val="98"/>
        </w:rPr>
        <w:t>, ¶ 33, Doc. ONU CERD/C/USA/CO/6 (2008).</w:t>
      </w:r>
    </w:p>
  </w:endnote>
  <w:endnote w:id="1205">
    <w:p w14:paraId="4D88FBD0" w14:textId="7FA9C1FD"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República Checa</w:t>
      </w:r>
      <w:r w:rsidRPr="00AC72B5">
        <w:rPr>
          <w:w w:val="98"/>
        </w:rPr>
        <w:t xml:space="preserve">, ¶ 21, Doc. ONU CERD/C/CZE/CO/10-11 (2015); </w:t>
      </w:r>
      <w:r w:rsidRPr="00AC72B5">
        <w:rPr>
          <w:i/>
          <w:w w:val="98"/>
        </w:rPr>
        <w:t>Uzbekistán</w:t>
      </w:r>
      <w:r w:rsidRPr="00AC72B5">
        <w:rPr>
          <w:w w:val="98"/>
        </w:rPr>
        <w:t xml:space="preserve">, ¶ 12, Doc. ONU CERD/C/UZB/CO/8-9 (2014); </w:t>
      </w:r>
      <w:r w:rsidRPr="00AC72B5">
        <w:rPr>
          <w:i/>
          <w:w w:val="98"/>
        </w:rPr>
        <w:t>Perú</w:t>
      </w:r>
      <w:r w:rsidRPr="00AC72B5">
        <w:rPr>
          <w:w w:val="98"/>
        </w:rPr>
        <w:t xml:space="preserve">, ¶ 22, Doc. ONU CERD/C/POR/18-21 (2014); </w:t>
      </w:r>
      <w:r w:rsidRPr="00AC72B5">
        <w:rPr>
          <w:i/>
          <w:w w:val="98"/>
        </w:rPr>
        <w:t>República Checa</w:t>
      </w:r>
      <w:r w:rsidRPr="00AC72B5">
        <w:rPr>
          <w:w w:val="98"/>
        </w:rPr>
        <w:t>,</w:t>
      </w:r>
      <w:r w:rsidRPr="00AC72B5">
        <w:rPr>
          <w:i/>
          <w:w w:val="98"/>
        </w:rPr>
        <w:t xml:space="preserve"> </w:t>
      </w:r>
      <w:r w:rsidRPr="00AC72B5">
        <w:rPr>
          <w:w w:val="98"/>
        </w:rPr>
        <w:t xml:space="preserve">¶ 19, Doc. ONU CERD/C/CZE/CO/8-9 (2011); </w:t>
      </w:r>
      <w:r w:rsidRPr="00AC72B5">
        <w:rPr>
          <w:i/>
          <w:w w:val="98"/>
        </w:rPr>
        <w:t>Eslovaquia</w:t>
      </w:r>
      <w:r w:rsidRPr="00AC72B5">
        <w:rPr>
          <w:w w:val="98"/>
        </w:rPr>
        <w:t>,</w:t>
      </w:r>
      <w:r w:rsidRPr="00AC72B5">
        <w:rPr>
          <w:i/>
          <w:w w:val="98"/>
        </w:rPr>
        <w:t xml:space="preserve"> </w:t>
      </w:r>
      <w:r w:rsidRPr="00AC72B5">
        <w:rPr>
          <w:w w:val="98"/>
        </w:rPr>
        <w:t xml:space="preserve">¶ 18, Doc. ONU CERD/C/SVK/CO/6-8 (2010); </w:t>
      </w:r>
      <w:r w:rsidRPr="00AC72B5">
        <w:rPr>
          <w:i/>
          <w:w w:val="98"/>
        </w:rPr>
        <w:t>República Checa</w:t>
      </w:r>
      <w:r w:rsidRPr="00AC72B5">
        <w:rPr>
          <w:w w:val="98"/>
        </w:rPr>
        <w:t xml:space="preserve">, ¶ 14, Doc. ONU CERD/C/CZE/CO/7 (2007); </w:t>
      </w:r>
      <w:r w:rsidRPr="00AC72B5">
        <w:rPr>
          <w:i/>
          <w:w w:val="98"/>
        </w:rPr>
        <w:t>México</w:t>
      </w:r>
      <w:r w:rsidRPr="00AC72B5">
        <w:rPr>
          <w:w w:val="98"/>
        </w:rPr>
        <w:t>,</w:t>
      </w:r>
      <w:r w:rsidRPr="00AC72B5">
        <w:rPr>
          <w:i/>
          <w:w w:val="98"/>
        </w:rPr>
        <w:t xml:space="preserve"> </w:t>
      </w:r>
      <w:r w:rsidRPr="00AC72B5">
        <w:rPr>
          <w:w w:val="98"/>
        </w:rPr>
        <w:t xml:space="preserve">¶ 17, Doc. ONU CERD/C/MEX/CO/15 (2006); </w:t>
      </w:r>
      <w:r w:rsidRPr="00AC72B5">
        <w:rPr>
          <w:i/>
          <w:w w:val="98"/>
        </w:rPr>
        <w:t>Eslovaquia</w:t>
      </w:r>
      <w:r w:rsidRPr="00AC72B5">
        <w:rPr>
          <w:w w:val="98"/>
        </w:rPr>
        <w:t>,</w:t>
      </w:r>
      <w:r w:rsidRPr="00AC72B5">
        <w:rPr>
          <w:i/>
          <w:w w:val="98"/>
        </w:rPr>
        <w:t xml:space="preserve"> </w:t>
      </w:r>
      <w:r w:rsidRPr="00AC72B5">
        <w:rPr>
          <w:w w:val="98"/>
        </w:rPr>
        <w:t xml:space="preserve">¶ 12, Doc. ONU CERD/C/65/CO/7 (2007); </w:t>
      </w:r>
      <w:r w:rsidRPr="00AC72B5">
        <w:rPr>
          <w:i/>
          <w:w w:val="98"/>
        </w:rPr>
        <w:t>Vietnam</w:t>
      </w:r>
      <w:r w:rsidRPr="00AC72B5">
        <w:rPr>
          <w:w w:val="98"/>
        </w:rPr>
        <w:t>,</w:t>
      </w:r>
      <w:r w:rsidRPr="00AC72B5">
        <w:rPr>
          <w:i/>
          <w:w w:val="98"/>
        </w:rPr>
        <w:t xml:space="preserve"> </w:t>
      </w:r>
      <w:r w:rsidRPr="00AC72B5">
        <w:rPr>
          <w:w w:val="98"/>
        </w:rPr>
        <w:t>¶ 417, Doc. ONU A/56/18 (SUPP) (2001).</w:t>
      </w:r>
    </w:p>
  </w:endnote>
  <w:endnote w:id="1206">
    <w:p w14:paraId="6CC7FA0F" w14:textId="2E83F7AE"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República Checa</w:t>
      </w:r>
      <w:r w:rsidRPr="00AC72B5">
        <w:rPr>
          <w:w w:val="98"/>
        </w:rPr>
        <w:t xml:space="preserve">, ¶ 14, Doc. ONU CERD/C/CZE/CO/7 (2007); </w:t>
      </w:r>
      <w:r w:rsidRPr="00AC72B5">
        <w:rPr>
          <w:i/>
          <w:w w:val="98"/>
        </w:rPr>
        <w:t>Vietnam</w:t>
      </w:r>
      <w:r w:rsidRPr="00AC72B5">
        <w:rPr>
          <w:w w:val="98"/>
        </w:rPr>
        <w:t>,</w:t>
      </w:r>
      <w:r w:rsidRPr="00AC72B5">
        <w:rPr>
          <w:i/>
          <w:w w:val="98"/>
        </w:rPr>
        <w:t xml:space="preserve"> </w:t>
      </w:r>
      <w:r w:rsidRPr="00AC72B5">
        <w:rPr>
          <w:w w:val="98"/>
        </w:rPr>
        <w:t>¶ 417, Doc. ONU A/56/18 (SUPP) (2001).</w:t>
      </w:r>
    </w:p>
  </w:endnote>
  <w:endnote w:id="1207">
    <w:p w14:paraId="03029602" w14:textId="17C18FED"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República Checa</w:t>
      </w:r>
      <w:r w:rsidRPr="00AC72B5">
        <w:rPr>
          <w:w w:val="98"/>
        </w:rPr>
        <w:t>, ¶ 14, Doc. ONU CERD/C/CZE/CO/7 (2007).</w:t>
      </w:r>
    </w:p>
  </w:endnote>
  <w:endnote w:id="1208">
    <w:p w14:paraId="4EA34592" w14:textId="77BB3609"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Uzbekistán</w:t>
      </w:r>
      <w:r w:rsidRPr="00AC72B5">
        <w:rPr>
          <w:w w:val="98"/>
        </w:rPr>
        <w:t>, ¶ 12, Doc. ONU CERD/C/UZB/CO/8-9 (2014).</w:t>
      </w:r>
    </w:p>
  </w:endnote>
  <w:endnote w:id="1209">
    <w:p w14:paraId="4E1C850B" w14:textId="6414E749"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República Checa</w:t>
      </w:r>
      <w:r w:rsidRPr="00AC72B5">
        <w:rPr>
          <w:w w:val="98"/>
        </w:rPr>
        <w:t>, ¶ 21, Doc. ONU CERD/C/CZE/CO/10-11 (2015).</w:t>
      </w:r>
    </w:p>
  </w:endnote>
  <w:endnote w:id="1210">
    <w:p w14:paraId="06EEE42D" w14:textId="10F9CAA4"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República Checa</w:t>
      </w:r>
      <w:r w:rsidRPr="00AC72B5">
        <w:rPr>
          <w:w w:val="98"/>
        </w:rPr>
        <w:t xml:space="preserve">, ¶ 21, Doc. ONU CERD/C/CZE/CO/10-11 (2015); </w:t>
      </w:r>
      <w:r w:rsidRPr="00AC72B5">
        <w:rPr>
          <w:i/>
          <w:w w:val="98"/>
        </w:rPr>
        <w:t>Uzbekistán</w:t>
      </w:r>
      <w:r w:rsidRPr="00AC72B5">
        <w:rPr>
          <w:w w:val="98"/>
        </w:rPr>
        <w:t xml:space="preserve">, ¶ 12, Doc. ONU CERD/C/UZB/CO/8-9 (2014); </w:t>
      </w:r>
      <w:r w:rsidRPr="00AC72B5">
        <w:rPr>
          <w:i/>
          <w:w w:val="98"/>
        </w:rPr>
        <w:t>República Checa</w:t>
      </w:r>
      <w:r w:rsidRPr="00AC72B5">
        <w:rPr>
          <w:w w:val="98"/>
        </w:rPr>
        <w:t>,</w:t>
      </w:r>
      <w:r w:rsidRPr="00AC72B5">
        <w:rPr>
          <w:i/>
          <w:w w:val="98"/>
        </w:rPr>
        <w:t xml:space="preserve"> </w:t>
      </w:r>
      <w:r w:rsidRPr="00AC72B5">
        <w:rPr>
          <w:w w:val="98"/>
        </w:rPr>
        <w:t xml:space="preserve">¶ 19, Doc. ONU CERD/C/CZE/CO/8-9 (2011); </w:t>
      </w:r>
      <w:r w:rsidRPr="00AC72B5">
        <w:rPr>
          <w:i/>
          <w:w w:val="98"/>
        </w:rPr>
        <w:t>Eslovaquia</w:t>
      </w:r>
      <w:r w:rsidRPr="00AC72B5">
        <w:rPr>
          <w:w w:val="98"/>
        </w:rPr>
        <w:t>,</w:t>
      </w:r>
      <w:r w:rsidRPr="00AC72B5">
        <w:rPr>
          <w:i/>
          <w:w w:val="98"/>
        </w:rPr>
        <w:t xml:space="preserve"> </w:t>
      </w:r>
      <w:r w:rsidRPr="00AC72B5">
        <w:rPr>
          <w:w w:val="98"/>
        </w:rPr>
        <w:t xml:space="preserve">¶ 18, Doc. ONU CERD/C/SVK/CO/6-8 (2010); </w:t>
      </w:r>
      <w:r w:rsidRPr="00AC72B5">
        <w:rPr>
          <w:i/>
          <w:w w:val="98"/>
        </w:rPr>
        <w:t>República Checa</w:t>
      </w:r>
      <w:r w:rsidRPr="00AC72B5">
        <w:rPr>
          <w:w w:val="98"/>
        </w:rPr>
        <w:t>, ¶ 14, Doc. ONU CERD/C/CZE/CO/7 (2007).</w:t>
      </w:r>
    </w:p>
  </w:endnote>
  <w:endnote w:id="1211">
    <w:p w14:paraId="37E3B8FE" w14:textId="59DFB75D"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Uzbekistán</w:t>
      </w:r>
      <w:r w:rsidRPr="00AC72B5">
        <w:rPr>
          <w:w w:val="98"/>
        </w:rPr>
        <w:t xml:space="preserve">, ¶ 12, Doc. ONU CERD/C/UZB/CO/8-9 (2014); </w:t>
      </w:r>
      <w:r w:rsidRPr="00AC72B5">
        <w:rPr>
          <w:i/>
          <w:w w:val="98"/>
        </w:rPr>
        <w:t>Perú</w:t>
      </w:r>
      <w:r w:rsidRPr="00AC72B5">
        <w:rPr>
          <w:w w:val="98"/>
        </w:rPr>
        <w:t xml:space="preserve">, ¶ 22, Doc. ONU CERD/C/PER/18-21 (2014); </w:t>
      </w:r>
      <w:r w:rsidRPr="00AC72B5">
        <w:rPr>
          <w:i/>
          <w:w w:val="98"/>
        </w:rPr>
        <w:t>Eslovaquia</w:t>
      </w:r>
      <w:r w:rsidRPr="00AC72B5">
        <w:rPr>
          <w:w w:val="98"/>
        </w:rPr>
        <w:t>,</w:t>
      </w:r>
      <w:r w:rsidRPr="00AC72B5">
        <w:rPr>
          <w:i/>
          <w:w w:val="98"/>
        </w:rPr>
        <w:t xml:space="preserve"> </w:t>
      </w:r>
      <w:r w:rsidRPr="00AC72B5">
        <w:rPr>
          <w:w w:val="98"/>
        </w:rPr>
        <w:t xml:space="preserve">¶ 18, Doc. ONU CERD/C/SVK/CO/6-8 (2010); </w:t>
      </w:r>
      <w:r w:rsidRPr="00AC72B5">
        <w:rPr>
          <w:i/>
          <w:w w:val="98"/>
        </w:rPr>
        <w:t>México</w:t>
      </w:r>
      <w:r w:rsidRPr="00AC72B5">
        <w:rPr>
          <w:w w:val="98"/>
        </w:rPr>
        <w:t>,</w:t>
      </w:r>
      <w:r w:rsidRPr="00AC72B5">
        <w:rPr>
          <w:i/>
          <w:w w:val="98"/>
        </w:rPr>
        <w:t xml:space="preserve"> </w:t>
      </w:r>
      <w:r w:rsidRPr="00AC72B5">
        <w:rPr>
          <w:w w:val="98"/>
        </w:rPr>
        <w:t>¶ 17, Doc. ONU CERD/C/MEX/CO/15 (2006).</w:t>
      </w:r>
    </w:p>
  </w:endnote>
  <w:endnote w:id="1212">
    <w:p w14:paraId="3CDE5991" w14:textId="768A570E"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Perú</w:t>
      </w:r>
      <w:r w:rsidRPr="00AC72B5">
        <w:rPr>
          <w:w w:val="98"/>
        </w:rPr>
        <w:t>, ¶ 22, Doc. ONU CERD/C/PER/18-21 (2014).</w:t>
      </w:r>
    </w:p>
  </w:endnote>
  <w:endnote w:id="1213">
    <w:p w14:paraId="57B2B58B" w14:textId="343A9FFC"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República Checa</w:t>
      </w:r>
      <w:r w:rsidRPr="00AC72B5">
        <w:rPr>
          <w:w w:val="98"/>
        </w:rPr>
        <w:t xml:space="preserve">, ¶ 22, Doc. ONU CERD/C/CZE/CO/10-11 (2015); </w:t>
      </w:r>
      <w:r w:rsidRPr="00AC72B5">
        <w:rPr>
          <w:i/>
          <w:w w:val="98"/>
        </w:rPr>
        <w:t>Eslovaquia</w:t>
      </w:r>
      <w:r w:rsidRPr="00AC72B5">
        <w:rPr>
          <w:w w:val="98"/>
        </w:rPr>
        <w:t>,</w:t>
      </w:r>
      <w:r w:rsidRPr="00AC72B5">
        <w:rPr>
          <w:i/>
          <w:w w:val="98"/>
        </w:rPr>
        <w:t xml:space="preserve"> </w:t>
      </w:r>
      <w:r w:rsidRPr="00AC72B5">
        <w:rPr>
          <w:w w:val="98"/>
        </w:rPr>
        <w:t>¶ 18, Doc. ONU CERD/C/SVK/CO/6-8 (2010).</w:t>
      </w:r>
    </w:p>
  </w:endnote>
  <w:endnote w:id="1214">
    <w:p w14:paraId="71A27C13" w14:textId="48184F9A"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Eslovaquia</w:t>
      </w:r>
      <w:r w:rsidRPr="00AC72B5">
        <w:rPr>
          <w:w w:val="98"/>
        </w:rPr>
        <w:t>,</w:t>
      </w:r>
      <w:r w:rsidRPr="00AC72B5">
        <w:rPr>
          <w:i/>
          <w:w w:val="98"/>
        </w:rPr>
        <w:t xml:space="preserve"> </w:t>
      </w:r>
      <w:r w:rsidRPr="00AC72B5">
        <w:rPr>
          <w:w w:val="98"/>
        </w:rPr>
        <w:t xml:space="preserve">¶ 18, Doc. ONU CERD/C/SVK/CO/6-8 (2010); </w:t>
      </w:r>
      <w:r w:rsidRPr="00AC72B5">
        <w:rPr>
          <w:i/>
          <w:w w:val="98"/>
        </w:rPr>
        <w:t>República Checa</w:t>
      </w:r>
      <w:r w:rsidRPr="00AC72B5">
        <w:rPr>
          <w:w w:val="98"/>
        </w:rPr>
        <w:t>, ¶ 14, Doc. ONU CERD/C/CZE/CO/7 (2007).</w:t>
      </w:r>
    </w:p>
  </w:endnote>
  <w:endnote w:id="1215">
    <w:p w14:paraId="032746F7" w14:textId="67B2A49B"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Eslovaquia</w:t>
      </w:r>
      <w:r w:rsidRPr="00AC72B5">
        <w:rPr>
          <w:w w:val="98"/>
        </w:rPr>
        <w:t>,</w:t>
      </w:r>
      <w:r w:rsidRPr="00AC72B5">
        <w:rPr>
          <w:i/>
          <w:w w:val="98"/>
        </w:rPr>
        <w:t xml:space="preserve"> </w:t>
      </w:r>
      <w:r w:rsidRPr="00AC72B5">
        <w:rPr>
          <w:w w:val="98"/>
        </w:rPr>
        <w:t xml:space="preserve">¶ 18, Doc. ONU CERD/C/SVK/CO/6-8 (2010); </w:t>
      </w:r>
      <w:r w:rsidRPr="00AC72B5">
        <w:rPr>
          <w:i/>
          <w:w w:val="98"/>
        </w:rPr>
        <w:t>República Checa</w:t>
      </w:r>
      <w:r w:rsidRPr="00AC72B5">
        <w:rPr>
          <w:w w:val="98"/>
        </w:rPr>
        <w:t>, ¶ 14, Doc. ONU CERD/C/CZE/CO/7 (2007).</w:t>
      </w:r>
    </w:p>
  </w:endnote>
  <w:endnote w:id="1216">
    <w:p w14:paraId="437DEF15" w14:textId="7CC7481C"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República Checa</w:t>
      </w:r>
      <w:r w:rsidRPr="00AC72B5">
        <w:rPr>
          <w:w w:val="98"/>
        </w:rPr>
        <w:t>,</w:t>
      </w:r>
      <w:r w:rsidRPr="00AC72B5">
        <w:rPr>
          <w:i/>
          <w:w w:val="98"/>
        </w:rPr>
        <w:t xml:space="preserve"> </w:t>
      </w:r>
      <w:r w:rsidRPr="00AC72B5">
        <w:rPr>
          <w:w w:val="98"/>
        </w:rPr>
        <w:t xml:space="preserve">¶ 19, Doc. ONU CERD/C/CZE/CO/8-9 (2011); </w:t>
      </w:r>
      <w:r w:rsidRPr="00AC72B5">
        <w:rPr>
          <w:i/>
          <w:w w:val="98"/>
        </w:rPr>
        <w:t>República Checa</w:t>
      </w:r>
      <w:r w:rsidRPr="00AC72B5">
        <w:rPr>
          <w:w w:val="98"/>
        </w:rPr>
        <w:t>, ¶ 14, Doc. ONU CERD/C/CZE/CO/7 (2007).</w:t>
      </w:r>
    </w:p>
  </w:endnote>
  <w:endnote w:id="1217">
    <w:p w14:paraId="7638BA34" w14:textId="49CE9F2F"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Uzbekistán</w:t>
      </w:r>
      <w:r w:rsidRPr="00AC72B5">
        <w:rPr>
          <w:w w:val="98"/>
        </w:rPr>
        <w:t xml:space="preserve">, ¶ 12, Doc. ONU CERD/C/UZB/CO/8-9 (2014); </w:t>
      </w:r>
      <w:r w:rsidRPr="00AC72B5">
        <w:rPr>
          <w:i/>
          <w:w w:val="98"/>
        </w:rPr>
        <w:t>República Checa</w:t>
      </w:r>
      <w:r w:rsidRPr="00AC72B5">
        <w:rPr>
          <w:w w:val="98"/>
        </w:rPr>
        <w:t>,</w:t>
      </w:r>
      <w:r w:rsidRPr="00AC72B5">
        <w:rPr>
          <w:i/>
          <w:w w:val="98"/>
        </w:rPr>
        <w:t xml:space="preserve"> </w:t>
      </w:r>
      <w:r w:rsidRPr="00AC72B5">
        <w:rPr>
          <w:w w:val="98"/>
        </w:rPr>
        <w:t>¶ 19, Doc. ONU CERD/C/CZE/CO/8-9 (2011).</w:t>
      </w:r>
    </w:p>
  </w:endnote>
  <w:endnote w:id="1218">
    <w:p w14:paraId="07958E0B" w14:textId="0821282E"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República Checa</w:t>
      </w:r>
      <w:r w:rsidRPr="00AC72B5">
        <w:rPr>
          <w:w w:val="98"/>
        </w:rPr>
        <w:t>,</w:t>
      </w:r>
      <w:r w:rsidRPr="00AC72B5">
        <w:rPr>
          <w:i/>
          <w:w w:val="98"/>
        </w:rPr>
        <w:t xml:space="preserve"> </w:t>
      </w:r>
      <w:r w:rsidRPr="00AC72B5">
        <w:rPr>
          <w:w w:val="98"/>
        </w:rPr>
        <w:t>¶ 19, Doc. ONU CERD/C/CZE/CO/8-9 (2011).</w:t>
      </w:r>
    </w:p>
  </w:endnote>
  <w:endnote w:id="1219">
    <w:p w14:paraId="2EEAFE5E" w14:textId="642D83E5"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República Checa</w:t>
      </w:r>
      <w:r w:rsidRPr="00AC72B5">
        <w:rPr>
          <w:w w:val="98"/>
        </w:rPr>
        <w:t xml:space="preserve">, ¶ 22, Doc. ONU CERD/C/CZE/CO/10-11 (2015); </w:t>
      </w:r>
      <w:r w:rsidRPr="00AC72B5">
        <w:rPr>
          <w:i/>
          <w:w w:val="98"/>
        </w:rPr>
        <w:t>Perú</w:t>
      </w:r>
      <w:r w:rsidRPr="00AC72B5">
        <w:rPr>
          <w:w w:val="98"/>
        </w:rPr>
        <w:t xml:space="preserve">, ¶ 22, Doc. ONU CERD/C/PER/18-21 (2014); </w:t>
      </w:r>
      <w:r w:rsidRPr="00AC72B5">
        <w:rPr>
          <w:i/>
          <w:w w:val="98"/>
        </w:rPr>
        <w:t>Eslovaquia</w:t>
      </w:r>
      <w:r w:rsidRPr="00AC72B5">
        <w:rPr>
          <w:w w:val="98"/>
        </w:rPr>
        <w:t>,</w:t>
      </w:r>
      <w:r w:rsidRPr="00AC72B5">
        <w:rPr>
          <w:i/>
          <w:w w:val="98"/>
        </w:rPr>
        <w:t xml:space="preserve"> </w:t>
      </w:r>
      <w:r w:rsidRPr="00AC72B5">
        <w:rPr>
          <w:w w:val="98"/>
        </w:rPr>
        <w:t xml:space="preserve">¶ 18, Doc. ONU CERD/C/SVK/CO/6-8 (2010); </w:t>
      </w:r>
      <w:r w:rsidRPr="00AC72B5">
        <w:rPr>
          <w:i/>
          <w:w w:val="98"/>
        </w:rPr>
        <w:t>República Checa</w:t>
      </w:r>
      <w:r w:rsidRPr="00AC72B5">
        <w:rPr>
          <w:w w:val="98"/>
        </w:rPr>
        <w:t xml:space="preserve">, ¶ 14, Doc. ONU CERD/C/CZE/CO/7 (2007); </w:t>
      </w:r>
      <w:r w:rsidRPr="00AC72B5">
        <w:rPr>
          <w:i/>
          <w:w w:val="98"/>
        </w:rPr>
        <w:t>México</w:t>
      </w:r>
      <w:r w:rsidRPr="00AC72B5">
        <w:rPr>
          <w:w w:val="98"/>
        </w:rPr>
        <w:t>,</w:t>
      </w:r>
      <w:r w:rsidRPr="00AC72B5">
        <w:rPr>
          <w:i/>
          <w:w w:val="98"/>
        </w:rPr>
        <w:t xml:space="preserve"> </w:t>
      </w:r>
      <w:r w:rsidRPr="00AC72B5">
        <w:rPr>
          <w:w w:val="98"/>
        </w:rPr>
        <w:t>¶ 17, Doc. ONU CERD/C/MEX/CO/15 (2006).</w:t>
      </w:r>
    </w:p>
  </w:endnote>
  <w:endnote w:id="1220">
    <w:p w14:paraId="2E78C623" w14:textId="4129CB3F"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República Checa</w:t>
      </w:r>
      <w:r w:rsidRPr="00AC72B5">
        <w:rPr>
          <w:w w:val="98"/>
        </w:rPr>
        <w:t>, ¶ 14, Doc. ONU CERD/C/CZE/CO/7 (2007).</w:t>
      </w:r>
    </w:p>
  </w:endnote>
  <w:endnote w:id="1221">
    <w:p w14:paraId="28E7F645" w14:textId="7B670EAB"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República Checa</w:t>
      </w:r>
      <w:r w:rsidRPr="00AC72B5">
        <w:rPr>
          <w:w w:val="98"/>
        </w:rPr>
        <w:t xml:space="preserve">, ¶ 22, Doc. ONU CERD/C/CZE/CO/10-11 (2015); </w:t>
      </w:r>
      <w:r w:rsidRPr="00AC72B5">
        <w:rPr>
          <w:i/>
          <w:w w:val="98"/>
        </w:rPr>
        <w:t>Uzbekistán</w:t>
      </w:r>
      <w:r w:rsidRPr="00AC72B5">
        <w:rPr>
          <w:w w:val="98"/>
        </w:rPr>
        <w:t xml:space="preserve">, ¶ 12, Doc. ONU CERD/C/UZB/CO/8-9 (2014); </w:t>
      </w:r>
      <w:r w:rsidRPr="00AC72B5">
        <w:rPr>
          <w:i/>
          <w:w w:val="98"/>
        </w:rPr>
        <w:t>Perú</w:t>
      </w:r>
      <w:r w:rsidRPr="00AC72B5">
        <w:rPr>
          <w:w w:val="98"/>
        </w:rPr>
        <w:t xml:space="preserve">, ¶ 22, Doc. ONU CERD/C/POR/18-21 (2014); </w:t>
      </w:r>
      <w:r w:rsidRPr="00AC72B5">
        <w:rPr>
          <w:i/>
          <w:w w:val="98"/>
        </w:rPr>
        <w:t>República Checa</w:t>
      </w:r>
      <w:r w:rsidRPr="00AC72B5">
        <w:rPr>
          <w:w w:val="98"/>
        </w:rPr>
        <w:t>,</w:t>
      </w:r>
      <w:r w:rsidRPr="00AC72B5">
        <w:rPr>
          <w:i/>
          <w:w w:val="98"/>
        </w:rPr>
        <w:t xml:space="preserve"> </w:t>
      </w:r>
      <w:r w:rsidRPr="00AC72B5">
        <w:rPr>
          <w:w w:val="98"/>
        </w:rPr>
        <w:t xml:space="preserve">¶ 19, Doc. ONU CERD/C/CZE/CO/8-9 (2011); </w:t>
      </w:r>
      <w:r w:rsidRPr="00AC72B5">
        <w:rPr>
          <w:i/>
          <w:w w:val="98"/>
        </w:rPr>
        <w:t>Eslovaquia</w:t>
      </w:r>
      <w:r w:rsidRPr="00AC72B5">
        <w:rPr>
          <w:w w:val="98"/>
        </w:rPr>
        <w:t>,</w:t>
      </w:r>
      <w:r w:rsidRPr="00AC72B5">
        <w:rPr>
          <w:i/>
          <w:w w:val="98"/>
        </w:rPr>
        <w:t xml:space="preserve"> </w:t>
      </w:r>
      <w:r w:rsidRPr="00AC72B5">
        <w:rPr>
          <w:w w:val="98"/>
        </w:rPr>
        <w:t xml:space="preserve">¶ 18, Doc. ONU CERD/C/SVK/CO/6-8 (2010); </w:t>
      </w:r>
      <w:r w:rsidRPr="00AC72B5">
        <w:rPr>
          <w:i/>
          <w:w w:val="98"/>
        </w:rPr>
        <w:t>República Checa</w:t>
      </w:r>
      <w:r w:rsidRPr="00AC72B5">
        <w:rPr>
          <w:w w:val="98"/>
        </w:rPr>
        <w:t xml:space="preserve">, ¶ 14, Doc. ONU CERD/C/CZE/CO/7 (2007); </w:t>
      </w:r>
      <w:r w:rsidRPr="00AC72B5">
        <w:rPr>
          <w:i/>
          <w:w w:val="98"/>
        </w:rPr>
        <w:t>México</w:t>
      </w:r>
      <w:r w:rsidRPr="00AC72B5">
        <w:rPr>
          <w:w w:val="98"/>
        </w:rPr>
        <w:t>,</w:t>
      </w:r>
      <w:r w:rsidRPr="00AC72B5">
        <w:rPr>
          <w:i/>
          <w:w w:val="98"/>
        </w:rPr>
        <w:t xml:space="preserve"> </w:t>
      </w:r>
      <w:r w:rsidRPr="00AC72B5">
        <w:rPr>
          <w:w w:val="98"/>
        </w:rPr>
        <w:t>¶ 17, Doc. ONU CERD/C/MEX/CO/15 (2006).</w:t>
      </w:r>
    </w:p>
  </w:endnote>
  <w:endnote w:id="1222">
    <w:p w14:paraId="6A8F0A4A" w14:textId="3BAAADB5"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República Checa</w:t>
      </w:r>
      <w:r w:rsidRPr="00AC72B5">
        <w:rPr>
          <w:w w:val="98"/>
        </w:rPr>
        <w:t xml:space="preserve">, ¶ 21, Doc. ONU CERD/C/CZE/CO/10-11 (2015); </w:t>
      </w:r>
      <w:r w:rsidRPr="00AC72B5">
        <w:rPr>
          <w:i/>
          <w:w w:val="98"/>
        </w:rPr>
        <w:t>República Checa</w:t>
      </w:r>
      <w:r w:rsidRPr="00AC72B5">
        <w:rPr>
          <w:w w:val="98"/>
        </w:rPr>
        <w:t>, ¶ 14, Doc. ONU CERD/C/CZE/CO/7 (2007).</w:t>
      </w:r>
    </w:p>
  </w:endnote>
  <w:endnote w:id="1223">
    <w:p w14:paraId="7CCAFA3D" w14:textId="1DD6CEB3"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República Checa</w:t>
      </w:r>
      <w:r w:rsidRPr="00AC72B5">
        <w:rPr>
          <w:w w:val="98"/>
        </w:rPr>
        <w:t xml:space="preserve">, ¶ 22, Doc. ONU CERD/C/CZE/CO/10-11 (2015); </w:t>
      </w:r>
      <w:r w:rsidRPr="00AC72B5">
        <w:rPr>
          <w:i/>
          <w:w w:val="98"/>
        </w:rPr>
        <w:t>República Checa</w:t>
      </w:r>
      <w:r w:rsidRPr="00AC72B5">
        <w:rPr>
          <w:w w:val="98"/>
        </w:rPr>
        <w:t>,</w:t>
      </w:r>
      <w:r w:rsidRPr="00AC72B5">
        <w:rPr>
          <w:i/>
          <w:w w:val="98"/>
        </w:rPr>
        <w:t xml:space="preserve"> </w:t>
      </w:r>
      <w:r w:rsidRPr="00AC72B5">
        <w:rPr>
          <w:w w:val="98"/>
        </w:rPr>
        <w:t>¶ 19, Doc. ONU CERD/C/CZE/CO/8-9 (2011).</w:t>
      </w:r>
    </w:p>
  </w:endnote>
  <w:endnote w:id="1224">
    <w:p w14:paraId="3F60D410" w14:textId="54C4699D"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Comité CERD, </w:t>
      </w:r>
      <w:r w:rsidRPr="00AC72B5">
        <w:rPr>
          <w:i/>
          <w:w w:val="98"/>
        </w:rPr>
        <w:t>Observaciones Finales: República Checa</w:t>
      </w:r>
      <w:r w:rsidRPr="00AC72B5">
        <w:rPr>
          <w:w w:val="98"/>
        </w:rPr>
        <w:t xml:space="preserve">, ¶ 22, Doc. ONU CERD/C/CZE/CO/10-11 (2015); </w:t>
      </w:r>
      <w:r w:rsidRPr="00AC72B5">
        <w:rPr>
          <w:i/>
          <w:w w:val="98"/>
        </w:rPr>
        <w:t>República Checa</w:t>
      </w:r>
      <w:r w:rsidRPr="00AC72B5">
        <w:rPr>
          <w:w w:val="98"/>
        </w:rPr>
        <w:t>, ¶ 14, Doc. ONU CERD/C/CZE/CO/7 (2007).</w:t>
      </w:r>
    </w:p>
  </w:endnote>
  <w:endnote w:id="1225">
    <w:p w14:paraId="7B483C94" w14:textId="5D9050B2"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Asamblea General de la ONU, </w:t>
      </w:r>
      <w:r w:rsidRPr="00AC72B5">
        <w:rPr>
          <w:i/>
          <w:w w:val="98"/>
        </w:rPr>
        <w:t>Informe de la Relatora Especial sobre los derechos de las personas con discapacidad</w:t>
      </w:r>
      <w:r w:rsidRPr="00AC72B5">
        <w:rPr>
          <w:w w:val="98"/>
        </w:rPr>
        <w:t xml:space="preserve">, Doc. ONU A/72/133 (2017). </w:t>
      </w:r>
    </w:p>
  </w:endnote>
  <w:endnote w:id="1226">
    <w:p w14:paraId="6E3E0270" w14:textId="77777777"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Consejo de Derechos Humanos, </w:t>
      </w:r>
      <w:r w:rsidRPr="00AC72B5">
        <w:rPr>
          <w:i/>
          <w:w w:val="98"/>
        </w:rPr>
        <w:t>Informe del Grupo de Trabajo sobre la cuestión de la discriminación contra la mujer en la legislación y en la práctica</w:t>
      </w:r>
      <w:r w:rsidRPr="00AC72B5">
        <w:rPr>
          <w:w w:val="98"/>
        </w:rPr>
        <w:t>, ¶ 33, Doc. ONU A/HRC/32/44 (2016).</w:t>
      </w:r>
    </w:p>
  </w:endnote>
  <w:endnote w:id="1227">
    <w:p w14:paraId="7230F056" w14:textId="77777777"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Consejo de Derechos Humanos, </w:t>
      </w:r>
      <w:r w:rsidRPr="00AC72B5">
        <w:rPr>
          <w:i/>
          <w:w w:val="98"/>
        </w:rPr>
        <w:t>Informe del Grupo de Trabajo sobre la cuestión de la discriminación contra la mujer en la legislación y en la práctica</w:t>
      </w:r>
      <w:r w:rsidRPr="00AC72B5">
        <w:rPr>
          <w:w w:val="98"/>
        </w:rPr>
        <w:t>, ¶ 45, Doc. ONU A/HRC/32/44 (2016).</w:t>
      </w:r>
    </w:p>
  </w:endnote>
  <w:endnote w:id="1228">
    <w:p w14:paraId="3AD3A954" w14:textId="4DB6F0BF"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Consejo de Derechos Humanos, </w:t>
      </w:r>
      <w:r w:rsidRPr="00AC72B5">
        <w:rPr>
          <w:i/>
          <w:w w:val="98"/>
        </w:rPr>
        <w:t>Informe del Relator Especial sobre el derecho de toda persona al disfrute del más alto nivel posible de salud física y mental</w:t>
      </w:r>
      <w:r w:rsidRPr="00AC72B5">
        <w:rPr>
          <w:w w:val="98"/>
        </w:rPr>
        <w:t>, Doc. ONU A/HRC/32/32 (2016).</w:t>
      </w:r>
    </w:p>
  </w:endnote>
  <w:endnote w:id="1229">
    <w:p w14:paraId="7A0E3BF9" w14:textId="71C5A59A"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Consejo de Derechos Humanos, </w:t>
      </w:r>
      <w:r w:rsidRPr="00AC72B5">
        <w:rPr>
          <w:i/>
          <w:w w:val="98"/>
        </w:rPr>
        <w:t>Informe del Relator Especial sobre la tortura y otros tratos o penas crueles, inhumanos o degradantes, Juan E. Méndez</w:t>
      </w:r>
      <w:r w:rsidRPr="00AC72B5">
        <w:rPr>
          <w:w w:val="98"/>
        </w:rPr>
        <w:t>, Doc. ONU A/HRC/22/53 (2013).</w:t>
      </w:r>
    </w:p>
  </w:endnote>
  <w:endnote w:id="1230">
    <w:p w14:paraId="173A2A42" w14:textId="67107B28"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Asamblea General de la ONU, </w:t>
      </w:r>
      <w:r w:rsidRPr="00AC72B5">
        <w:rPr>
          <w:i/>
          <w:w w:val="98"/>
        </w:rPr>
        <w:t>Informe de la Relatora Especial sobre la violencia contra la mujer, sus causas y consecuencias</w:t>
      </w:r>
      <w:r w:rsidRPr="00AC72B5">
        <w:rPr>
          <w:w w:val="98"/>
        </w:rPr>
        <w:t>, Doc. ONU A/67/227 (2012).</w:t>
      </w:r>
    </w:p>
  </w:endnote>
  <w:endnote w:id="1231">
    <w:p w14:paraId="678CD510" w14:textId="7C659ECD" w:rsidR="005E3DDD" w:rsidRPr="00AC72B5" w:rsidRDefault="005E3DDD" w:rsidP="00E12C89">
      <w:pPr>
        <w:pStyle w:val="EndnoteText"/>
        <w:ind w:hanging="223"/>
        <w:rPr>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Asamblea General de la ONU, </w:t>
      </w:r>
      <w:r w:rsidRPr="00AC72B5">
        <w:rPr>
          <w:i/>
          <w:w w:val="98"/>
        </w:rPr>
        <w:t>Informe del Relator Especial de la ONU sobre el Derecho a la Educación</w:t>
      </w:r>
      <w:r w:rsidRPr="00AC72B5">
        <w:rPr>
          <w:w w:val="98"/>
        </w:rPr>
        <w:t>, Doc. ONU A/65/162 (2010).</w:t>
      </w:r>
    </w:p>
  </w:endnote>
  <w:endnote w:id="1232">
    <w:p w14:paraId="30CFE8ED" w14:textId="44F7875B" w:rsidR="005E3DDD" w:rsidRPr="00AC72B5" w:rsidRDefault="005E3DDD" w:rsidP="00E12C89">
      <w:pPr>
        <w:pStyle w:val="EndnoteText"/>
        <w:ind w:hanging="223"/>
        <w:rPr>
          <w:rFonts w:eastAsia="Times New Roman"/>
          <w:w w:val="98"/>
        </w:rPr>
      </w:pPr>
      <w:r w:rsidRPr="00AC72B5">
        <w:rPr>
          <w:rStyle w:val="EndnoteReference"/>
          <w:spacing w:val="-4"/>
          <w:w w:val="98"/>
          <w:kern w:val="2"/>
          <w:position w:val="0"/>
          <w:szCs w:val="20"/>
          <w14:ligatures w14:val="none"/>
          <w14:numForm w14:val="default"/>
          <w14:numSpacing w14:val="default"/>
          <w14:cntxtAlts/>
        </w:rPr>
        <w:endnoteRef/>
      </w:r>
      <w:r w:rsidRPr="00AC72B5">
        <w:rPr>
          <w:w w:val="98"/>
        </w:rPr>
        <w:t xml:space="preserve"> Asamblea General de la ONU, </w:t>
      </w:r>
      <w:r w:rsidRPr="00AC72B5">
        <w:rPr>
          <w:i/>
          <w:w w:val="98"/>
        </w:rPr>
        <w:t>Informe del Relator Especial sobre el derecho de toda persona al disfrute del más alto nivel posible de salud física y mental</w:t>
      </w:r>
      <w:r w:rsidRPr="00AC72B5">
        <w:rPr>
          <w:w w:val="98"/>
        </w:rPr>
        <w:t xml:space="preserve">, </w:t>
      </w:r>
      <w:r w:rsidRPr="00AC72B5">
        <w:rPr>
          <w:rFonts w:eastAsia="Times New Roman"/>
          <w:w w:val="98"/>
        </w:rPr>
        <w:t>Doc. ONU A/61/338 (2006).</w:t>
      </w:r>
    </w:p>
    <w:p w14:paraId="262F4F4E" w14:textId="77777777" w:rsidR="005E3DDD" w:rsidRPr="00AC72B5" w:rsidRDefault="005E3DDD" w:rsidP="00AC72B5">
      <w:pPr>
        <w:pStyle w:val="EndnoteText"/>
        <w:rPr>
          <w:rFonts w:eastAsia="Times New Roman"/>
        </w:rPr>
      </w:pPr>
    </w:p>
    <w:p w14:paraId="0002372F" w14:textId="77777777" w:rsidR="005E3DDD" w:rsidRPr="00AC72B5" w:rsidRDefault="005E3DDD" w:rsidP="00AC72B5">
      <w:pPr>
        <w:pStyle w:val="EndnoteText"/>
        <w:rPr>
          <w:rFonts w:eastAsia="Times New Roman"/>
          <w:szCs w:val="20"/>
        </w:rPr>
      </w:pPr>
    </w:p>
    <w:p w14:paraId="700BC35D" w14:textId="77777777" w:rsidR="005E3DDD" w:rsidRPr="00AC72B5" w:rsidRDefault="005E3DDD" w:rsidP="00AC72B5">
      <w:pPr>
        <w:pStyle w:val="EndnoteText"/>
        <w:rPr>
          <w:rFonts w:eastAsia="Times New Roman"/>
          <w:szCs w:val="20"/>
        </w:rPr>
      </w:pPr>
    </w:p>
    <w:p w14:paraId="0E52B6F5" w14:textId="77777777" w:rsidR="005E3DDD" w:rsidRPr="00AC72B5" w:rsidRDefault="005E3DDD" w:rsidP="00AC72B5">
      <w:pPr>
        <w:pStyle w:val="EndnoteText"/>
        <w:rPr>
          <w:rFonts w:eastAsia="Times New Roman"/>
          <w:szCs w:val="20"/>
        </w:rPr>
      </w:pPr>
    </w:p>
    <w:p w14:paraId="1641931F" w14:textId="77777777" w:rsidR="005E3DDD" w:rsidRPr="00AC72B5" w:rsidRDefault="005E3DDD" w:rsidP="00AC72B5">
      <w:pPr>
        <w:pStyle w:val="EndnoteText"/>
        <w:rPr>
          <w:rFonts w:eastAsia="Times New Roman"/>
          <w:szCs w:val="20"/>
        </w:rPr>
      </w:pPr>
    </w:p>
    <w:p w14:paraId="6CB5D5FD" w14:textId="77777777" w:rsidR="005E3DDD" w:rsidRPr="00AC72B5" w:rsidRDefault="005E3DDD" w:rsidP="00AC72B5">
      <w:pPr>
        <w:pStyle w:val="EndnoteText"/>
        <w:rPr>
          <w:rFonts w:eastAsia="Times New Roman"/>
          <w:szCs w:val="20"/>
        </w:rPr>
      </w:pPr>
    </w:p>
    <w:p w14:paraId="16DF40ED" w14:textId="77777777" w:rsidR="005E3DDD" w:rsidRPr="00AC72B5" w:rsidRDefault="005E3DDD" w:rsidP="00AC72B5">
      <w:pPr>
        <w:pStyle w:val="EndnoteText"/>
        <w:rPr>
          <w:rFonts w:eastAsia="Times New Roman"/>
          <w:szCs w:val="20"/>
        </w:rPr>
      </w:pPr>
    </w:p>
    <w:p w14:paraId="0DCA7AE0" w14:textId="77777777" w:rsidR="005E3DDD" w:rsidRPr="00AC72B5" w:rsidRDefault="005E3DDD" w:rsidP="00AC72B5">
      <w:pPr>
        <w:pStyle w:val="EndnoteText"/>
        <w:rPr>
          <w:rFonts w:eastAsia="Times New Roman"/>
          <w:szCs w:val="20"/>
        </w:rPr>
      </w:pPr>
    </w:p>
    <w:p w14:paraId="2BD88E63" w14:textId="77777777" w:rsidR="005E3DDD" w:rsidRPr="00AC72B5" w:rsidRDefault="005E3DDD" w:rsidP="00AC72B5">
      <w:pPr>
        <w:pStyle w:val="EndnoteText"/>
        <w:rPr>
          <w:rFonts w:eastAsia="Times New Roman"/>
          <w:szCs w:val="20"/>
        </w:rPr>
      </w:pPr>
    </w:p>
    <w:p w14:paraId="2DDB297B" w14:textId="77777777" w:rsidR="005E3DDD" w:rsidRPr="00AC72B5" w:rsidRDefault="005E3DDD" w:rsidP="00AC72B5">
      <w:pPr>
        <w:pStyle w:val="EndnoteText"/>
        <w:rPr>
          <w:rFonts w:eastAsia="Times New Roman"/>
          <w:szCs w:val="20"/>
        </w:rPr>
      </w:pPr>
    </w:p>
    <w:p w14:paraId="4BD33264" w14:textId="77777777" w:rsidR="005E3DDD" w:rsidRPr="00AC72B5" w:rsidRDefault="005E3DDD" w:rsidP="00AC72B5">
      <w:pPr>
        <w:pStyle w:val="EndnoteText"/>
        <w:rPr>
          <w:rFonts w:eastAsia="Times New Roman"/>
          <w:szCs w:val="20"/>
        </w:rPr>
      </w:pPr>
    </w:p>
    <w:p w14:paraId="004116F3" w14:textId="77777777" w:rsidR="005E3DDD" w:rsidRPr="00AC72B5" w:rsidRDefault="005E3DDD" w:rsidP="00AC72B5">
      <w:pPr>
        <w:pStyle w:val="EndnoteText"/>
        <w:rPr>
          <w:rFonts w:eastAsia="Times New Roman"/>
          <w:szCs w:val="20"/>
        </w:rPr>
      </w:pPr>
    </w:p>
    <w:p w14:paraId="5C1A1BFA" w14:textId="77777777" w:rsidR="005E3DDD" w:rsidRPr="00AC72B5" w:rsidRDefault="005E3DDD" w:rsidP="00AC72B5">
      <w:pPr>
        <w:pStyle w:val="EndnoteText"/>
        <w:rPr>
          <w:rFonts w:eastAsia="Times New Roman"/>
          <w:szCs w:val="20"/>
        </w:rPr>
      </w:pPr>
    </w:p>
    <w:p w14:paraId="70B02C65" w14:textId="77777777" w:rsidR="005E3DDD" w:rsidRPr="00AC72B5" w:rsidRDefault="005E3DDD" w:rsidP="00AC72B5">
      <w:pPr>
        <w:pStyle w:val="EndnoteText"/>
        <w:rPr>
          <w:rFonts w:eastAsia="Times New Roman"/>
          <w:szCs w:val="20"/>
        </w:rPr>
      </w:pPr>
    </w:p>
    <w:p w14:paraId="31A42078" w14:textId="77777777" w:rsidR="005E3DDD" w:rsidRPr="00AC72B5" w:rsidRDefault="005E3DDD" w:rsidP="00AC72B5">
      <w:pPr>
        <w:pStyle w:val="EndnoteText"/>
        <w:rPr>
          <w:rFonts w:eastAsia="Times New Roman"/>
          <w:szCs w:val="20"/>
        </w:rPr>
      </w:pPr>
    </w:p>
    <w:p w14:paraId="007E6627" w14:textId="77777777" w:rsidR="005E3DDD" w:rsidRPr="00AC72B5" w:rsidRDefault="005E3DDD" w:rsidP="00AC72B5">
      <w:pPr>
        <w:pStyle w:val="EndnoteText"/>
        <w:rPr>
          <w:rFonts w:eastAsia="Times New Roman"/>
          <w:szCs w:val="20"/>
        </w:rPr>
      </w:pPr>
    </w:p>
    <w:p w14:paraId="0C218F62" w14:textId="77777777" w:rsidR="005E3DDD" w:rsidRPr="00AC72B5" w:rsidRDefault="005E3DDD" w:rsidP="00AC72B5">
      <w:pPr>
        <w:pStyle w:val="EndnoteText"/>
        <w:rPr>
          <w:rFonts w:eastAsia="Times New Roman"/>
          <w:szCs w:val="20"/>
        </w:rPr>
      </w:pPr>
    </w:p>
    <w:p w14:paraId="7E865254" w14:textId="77777777" w:rsidR="005E3DDD" w:rsidRPr="00AC72B5" w:rsidRDefault="005E3DDD" w:rsidP="00AC72B5">
      <w:pPr>
        <w:pStyle w:val="EndnoteText"/>
        <w:rPr>
          <w:rFonts w:eastAsia="Times New Roman"/>
          <w:szCs w:val="20"/>
        </w:rPr>
      </w:pPr>
    </w:p>
    <w:p w14:paraId="021160E9" w14:textId="77777777" w:rsidR="005E3DDD" w:rsidRPr="00AC72B5" w:rsidRDefault="005E3DDD" w:rsidP="00AC72B5">
      <w:pPr>
        <w:pStyle w:val="EndnoteText"/>
        <w:rPr>
          <w:rFonts w:eastAsia="Times New Roman"/>
          <w:szCs w:val="20"/>
        </w:rPr>
      </w:pPr>
    </w:p>
    <w:p w14:paraId="2C5FE09B" w14:textId="77777777" w:rsidR="005E3DDD" w:rsidRPr="00AC72B5" w:rsidRDefault="005E3DDD" w:rsidP="00AC72B5">
      <w:pPr>
        <w:pStyle w:val="EndnoteText"/>
        <w:rPr>
          <w:rFonts w:eastAsia="Times New Roman"/>
          <w:szCs w:val="20"/>
        </w:rPr>
      </w:pPr>
    </w:p>
    <w:p w14:paraId="75385A5F" w14:textId="77777777" w:rsidR="005E3DDD" w:rsidRPr="00AC72B5" w:rsidRDefault="005E3DDD" w:rsidP="00AC72B5">
      <w:pPr>
        <w:pStyle w:val="EndnoteText"/>
        <w:rPr>
          <w:rFonts w:eastAsia="Times New Roman"/>
          <w:szCs w:val="20"/>
        </w:rPr>
      </w:pPr>
    </w:p>
    <w:p w14:paraId="0DEFD3F8" w14:textId="77777777" w:rsidR="005E3DDD" w:rsidRPr="00AC72B5" w:rsidRDefault="005E3DDD" w:rsidP="00AC72B5">
      <w:pPr>
        <w:pStyle w:val="EndnoteText"/>
        <w:rPr>
          <w:rFonts w:eastAsia="Times New Roman"/>
          <w:szCs w:val="20"/>
        </w:rPr>
      </w:pPr>
    </w:p>
    <w:p w14:paraId="44A38279" w14:textId="77777777" w:rsidR="005E3DDD" w:rsidRPr="00AC72B5" w:rsidRDefault="005E3DDD" w:rsidP="00AC72B5">
      <w:pPr>
        <w:pStyle w:val="EndnoteText"/>
        <w:rPr>
          <w:rFonts w:eastAsia="Times New Roman"/>
          <w:szCs w:val="20"/>
        </w:rPr>
      </w:pPr>
    </w:p>
    <w:p w14:paraId="4FD12A55" w14:textId="77777777" w:rsidR="005E3DDD" w:rsidRPr="00AC72B5" w:rsidRDefault="005E3DDD" w:rsidP="00AC72B5">
      <w:pPr>
        <w:pStyle w:val="EndnoteText"/>
        <w:rPr>
          <w:rFonts w:eastAsia="Times New Roman"/>
          <w:szCs w:val="20"/>
        </w:rPr>
      </w:pPr>
    </w:p>
    <w:p w14:paraId="2651D892" w14:textId="77777777" w:rsidR="005E3DDD" w:rsidRPr="00AC72B5" w:rsidRDefault="005E3DDD" w:rsidP="00AC72B5">
      <w:pPr>
        <w:pStyle w:val="EndnoteText"/>
        <w:rPr>
          <w:rFonts w:eastAsia="Times New Roman"/>
          <w:szCs w:val="20"/>
        </w:rPr>
      </w:pPr>
    </w:p>
    <w:p w14:paraId="2CEE1CC7" w14:textId="77777777" w:rsidR="005E3DDD" w:rsidRPr="00AC72B5" w:rsidRDefault="005E3DDD" w:rsidP="00AC72B5">
      <w:pPr>
        <w:pStyle w:val="EndnoteText"/>
        <w:rPr>
          <w:rFonts w:eastAsia="Times New Roman"/>
          <w:szCs w:val="20"/>
        </w:rPr>
      </w:pPr>
    </w:p>
    <w:p w14:paraId="45D2B990" w14:textId="77777777" w:rsidR="005E3DDD" w:rsidRPr="00AC72B5" w:rsidRDefault="005E3DDD" w:rsidP="00AC72B5">
      <w:pPr>
        <w:pStyle w:val="EndnoteText"/>
        <w:rPr>
          <w:rFonts w:eastAsia="Times New Roman"/>
          <w:szCs w:val="20"/>
        </w:rPr>
      </w:pPr>
    </w:p>
    <w:p w14:paraId="402596CA" w14:textId="77777777" w:rsidR="005E3DDD" w:rsidRPr="00AC72B5" w:rsidRDefault="005E3DDD" w:rsidP="00AC72B5">
      <w:pPr>
        <w:pStyle w:val="EndnoteText"/>
        <w:rPr>
          <w:rFonts w:eastAsia="Times New Roman"/>
          <w:szCs w:val="20"/>
        </w:rPr>
      </w:pPr>
    </w:p>
    <w:p w14:paraId="7D16962D" w14:textId="77777777" w:rsidR="005E3DDD" w:rsidRPr="00AC72B5" w:rsidRDefault="005E3DDD" w:rsidP="00AC72B5">
      <w:pPr>
        <w:pStyle w:val="EndnoteText"/>
        <w:rPr>
          <w:rFonts w:eastAsia="Times New Roman"/>
          <w:szCs w:val="20"/>
        </w:rPr>
      </w:pPr>
    </w:p>
    <w:p w14:paraId="668C3189" w14:textId="77777777" w:rsidR="005E3DDD" w:rsidRPr="00AC72B5" w:rsidRDefault="005E3DDD" w:rsidP="00AC72B5">
      <w:pPr>
        <w:pStyle w:val="EndnoteText"/>
        <w:rPr>
          <w:rFonts w:eastAsia="Times New Roman"/>
          <w:szCs w:val="20"/>
        </w:rPr>
      </w:pPr>
    </w:p>
    <w:p w14:paraId="2B5531E8" w14:textId="77777777" w:rsidR="005E3DDD" w:rsidRPr="00AC72B5" w:rsidRDefault="005E3DDD" w:rsidP="00AC72B5">
      <w:pPr>
        <w:pStyle w:val="EndnoteText"/>
        <w:rPr>
          <w:rFonts w:eastAsia="Times New Roman"/>
          <w:szCs w:val="20"/>
        </w:rPr>
      </w:pPr>
    </w:p>
    <w:p w14:paraId="7E6862A6" w14:textId="77777777" w:rsidR="005E3DDD" w:rsidRPr="00AC72B5" w:rsidRDefault="005E3DDD" w:rsidP="00AC72B5">
      <w:pPr>
        <w:pStyle w:val="EndnoteText"/>
        <w:rPr>
          <w:rFonts w:eastAsia="Times New Roman"/>
          <w:szCs w:val="20"/>
        </w:rPr>
      </w:pPr>
    </w:p>
    <w:p w14:paraId="059D848D" w14:textId="77777777" w:rsidR="005E3DDD" w:rsidRPr="00AC72B5" w:rsidRDefault="005E3DDD" w:rsidP="00AC72B5">
      <w:pPr>
        <w:pStyle w:val="EndnoteText"/>
        <w:rPr>
          <w:rFonts w:eastAsia="Times New Roman"/>
          <w:szCs w:val="20"/>
        </w:rPr>
      </w:pPr>
    </w:p>
    <w:p w14:paraId="06F2CDA6" w14:textId="77777777" w:rsidR="005E3DDD" w:rsidRPr="00AC72B5" w:rsidRDefault="005E3DDD" w:rsidP="00AC72B5">
      <w:pPr>
        <w:pStyle w:val="EndnoteText"/>
        <w:rPr>
          <w:rFonts w:eastAsia="Times New Roman"/>
          <w:szCs w:val="20"/>
        </w:rPr>
      </w:pPr>
    </w:p>
    <w:p w14:paraId="2BC8042A" w14:textId="77777777" w:rsidR="005E3DDD" w:rsidRPr="00AC72B5" w:rsidRDefault="005E3DDD" w:rsidP="00AC72B5">
      <w:pPr>
        <w:pStyle w:val="EndnoteText"/>
        <w:rPr>
          <w:rFonts w:eastAsia="Times New Roman"/>
          <w:szCs w:val="20"/>
        </w:rPr>
      </w:pPr>
    </w:p>
    <w:p w14:paraId="33549534" w14:textId="77777777" w:rsidR="005E3DDD" w:rsidRPr="00AC72B5" w:rsidRDefault="005E3DDD" w:rsidP="00AC72B5">
      <w:pPr>
        <w:pStyle w:val="EndnoteText"/>
        <w:rPr>
          <w:rFonts w:eastAsia="Times New Roman"/>
          <w:szCs w:val="20"/>
        </w:rPr>
      </w:pPr>
    </w:p>
    <w:p w14:paraId="4EECAC7A" w14:textId="77777777" w:rsidR="005E3DDD" w:rsidRPr="00AC72B5" w:rsidRDefault="005E3DDD" w:rsidP="00AC72B5">
      <w:pPr>
        <w:pStyle w:val="EndnoteText"/>
        <w:rPr>
          <w:rFonts w:eastAsia="Times New Roman"/>
          <w:szCs w:val="20"/>
        </w:rPr>
      </w:pPr>
    </w:p>
    <w:p w14:paraId="79705374" w14:textId="77777777" w:rsidR="005E3DDD" w:rsidRPr="00AC72B5" w:rsidRDefault="005E3DDD" w:rsidP="00AC72B5">
      <w:pPr>
        <w:pStyle w:val="EndnoteText"/>
        <w:rPr>
          <w:rFonts w:eastAsia="Times New Roman"/>
          <w:szCs w:val="20"/>
        </w:rPr>
      </w:pPr>
    </w:p>
    <w:p w14:paraId="653E77A8" w14:textId="77777777" w:rsidR="005E3DDD" w:rsidRPr="00AC72B5" w:rsidRDefault="005E3DDD" w:rsidP="00AC72B5">
      <w:pPr>
        <w:pStyle w:val="EndnoteText"/>
        <w:rPr>
          <w:rFonts w:eastAsia="Times New Roman"/>
          <w:szCs w:val="20"/>
        </w:rPr>
      </w:pPr>
    </w:p>
    <w:p w14:paraId="2881653D" w14:textId="77777777" w:rsidR="005E3DDD" w:rsidRPr="00AC72B5" w:rsidRDefault="005E3DDD" w:rsidP="00AC72B5">
      <w:pPr>
        <w:pStyle w:val="EndnoteText"/>
        <w:rPr>
          <w:rFonts w:eastAsia="Times New Roman"/>
          <w:szCs w:val="20"/>
        </w:rPr>
      </w:pPr>
    </w:p>
    <w:p w14:paraId="07159CA5" w14:textId="77777777" w:rsidR="005E3DDD" w:rsidRPr="00AC72B5" w:rsidRDefault="005E3DDD" w:rsidP="00AC72B5">
      <w:pPr>
        <w:pStyle w:val="EndnoteText"/>
        <w:rPr>
          <w:rFonts w:eastAsia="Times New Roman"/>
          <w:szCs w:val="20"/>
        </w:rPr>
      </w:pPr>
    </w:p>
    <w:p w14:paraId="6327245B" w14:textId="77777777" w:rsidR="005E3DDD" w:rsidRPr="00AC72B5" w:rsidRDefault="005E3DDD" w:rsidP="00AC72B5">
      <w:pPr>
        <w:pStyle w:val="EndnoteText"/>
        <w:rPr>
          <w:rFonts w:eastAsia="Times New Roman"/>
          <w:szCs w:val="20"/>
        </w:rPr>
      </w:pPr>
    </w:p>
    <w:p w14:paraId="29682EE6" w14:textId="77777777" w:rsidR="005E3DDD" w:rsidRPr="00AC72B5" w:rsidRDefault="005E3DDD" w:rsidP="00AC72B5">
      <w:pPr>
        <w:pStyle w:val="EndnoteText"/>
        <w:rPr>
          <w:rFonts w:eastAsia="Times New Roman"/>
          <w:szCs w:val="20"/>
        </w:rPr>
      </w:pPr>
    </w:p>
    <w:p w14:paraId="1CDBFA22" w14:textId="77777777" w:rsidR="005E3DDD" w:rsidRPr="00AC72B5" w:rsidRDefault="005E3DDD" w:rsidP="00AC72B5">
      <w:pPr>
        <w:pStyle w:val="EndnoteText"/>
        <w:rPr>
          <w:rFonts w:eastAsia="Times New Roman"/>
          <w:szCs w:val="20"/>
        </w:rPr>
      </w:pPr>
    </w:p>
    <w:p w14:paraId="3E17B641" w14:textId="77777777" w:rsidR="005E3DDD" w:rsidRPr="00AC72B5" w:rsidRDefault="005E3DDD" w:rsidP="00AC72B5">
      <w:pPr>
        <w:pStyle w:val="EndnoteText"/>
        <w:rPr>
          <w:rFonts w:eastAsia="Times New Roman"/>
          <w:szCs w:val="20"/>
        </w:rPr>
      </w:pPr>
    </w:p>
    <w:p w14:paraId="2EB7B587" w14:textId="77777777" w:rsidR="005E3DDD" w:rsidRPr="00AC72B5" w:rsidRDefault="005E3DDD" w:rsidP="00AC72B5">
      <w:pPr>
        <w:pStyle w:val="EndnoteText"/>
        <w:rPr>
          <w:rFonts w:eastAsia="Times New Roman"/>
          <w:szCs w:val="20"/>
        </w:rPr>
      </w:pPr>
    </w:p>
    <w:p w14:paraId="58BBD4AF" w14:textId="77777777" w:rsidR="005E3DDD" w:rsidRPr="00AC72B5" w:rsidRDefault="005E3DDD" w:rsidP="00AC72B5">
      <w:pPr>
        <w:pStyle w:val="EndnoteText"/>
        <w:rPr>
          <w:rFonts w:eastAsia="Times New Roman"/>
          <w:szCs w:val="20"/>
        </w:rPr>
      </w:pPr>
    </w:p>
    <w:p w14:paraId="38DB12D8" w14:textId="77777777" w:rsidR="005E3DDD" w:rsidRPr="00AC72B5" w:rsidRDefault="005E3DDD" w:rsidP="00AC72B5">
      <w:pPr>
        <w:pStyle w:val="EndnoteText"/>
        <w:rPr>
          <w:rFonts w:eastAsia="Times New Roman"/>
          <w:szCs w:val="20"/>
        </w:rPr>
      </w:pPr>
    </w:p>
    <w:p w14:paraId="476EB712" w14:textId="77777777" w:rsidR="005E3DDD" w:rsidRPr="00AC72B5" w:rsidRDefault="005E3DDD" w:rsidP="00AC72B5">
      <w:pPr>
        <w:pStyle w:val="EndnoteText"/>
        <w:rPr>
          <w:rFonts w:eastAsia="Times New Roman"/>
          <w:szCs w:val="20"/>
        </w:rPr>
      </w:pPr>
    </w:p>
    <w:p w14:paraId="7D71F5C4" w14:textId="77777777" w:rsidR="005E3DDD" w:rsidRPr="00AC72B5" w:rsidRDefault="005E3DDD" w:rsidP="00AC72B5">
      <w:pPr>
        <w:pStyle w:val="EndnoteText"/>
        <w:rPr>
          <w:rFonts w:eastAsia="Times New Roman"/>
          <w:szCs w:val="20"/>
        </w:rPr>
      </w:pPr>
    </w:p>
    <w:p w14:paraId="17EE644E" w14:textId="77777777" w:rsidR="005E3DDD" w:rsidRPr="00AC72B5" w:rsidRDefault="005E3DDD" w:rsidP="00AC72B5">
      <w:pPr>
        <w:pStyle w:val="EndnoteText"/>
        <w:rPr>
          <w:rFonts w:eastAsia="Times New Roman"/>
          <w:szCs w:val="20"/>
        </w:rPr>
      </w:pPr>
    </w:p>
    <w:p w14:paraId="2F8AC0CE" w14:textId="77777777" w:rsidR="005E3DDD" w:rsidRPr="00AC72B5" w:rsidRDefault="005E3DDD" w:rsidP="00AC72B5">
      <w:pPr>
        <w:pStyle w:val="EndnoteText"/>
        <w:rPr>
          <w:rFonts w:eastAsia="Times New Roman"/>
          <w:szCs w:val="20"/>
        </w:rPr>
      </w:pPr>
    </w:p>
    <w:p w14:paraId="791368B6" w14:textId="77777777" w:rsidR="005E3DDD" w:rsidRPr="00AC72B5" w:rsidRDefault="005E3DDD" w:rsidP="00AC72B5">
      <w:pPr>
        <w:pStyle w:val="EndnoteText"/>
        <w:rPr>
          <w:rFonts w:eastAsia="Times New Roman"/>
          <w:szCs w:val="20"/>
        </w:rPr>
      </w:pPr>
    </w:p>
    <w:p w14:paraId="78A51210" w14:textId="77777777" w:rsidR="005E3DDD" w:rsidRPr="00AC72B5" w:rsidRDefault="005E3DDD" w:rsidP="00AC72B5">
      <w:pPr>
        <w:pStyle w:val="EndnoteText"/>
        <w:rPr>
          <w:rFonts w:eastAsia="Times New Roman"/>
          <w:szCs w:val="20"/>
        </w:rPr>
      </w:pPr>
    </w:p>
    <w:p w14:paraId="6FB2EB11" w14:textId="77777777" w:rsidR="005E3DDD" w:rsidRPr="00AC72B5" w:rsidRDefault="005E3DDD" w:rsidP="00AC72B5">
      <w:pPr>
        <w:pStyle w:val="EndnoteText"/>
        <w:rPr>
          <w:rFonts w:eastAsia="Times New Roman"/>
          <w:szCs w:val="20"/>
        </w:rPr>
      </w:pPr>
    </w:p>
    <w:p w14:paraId="3DF0E3BC" w14:textId="77777777" w:rsidR="005E3DDD" w:rsidRPr="00AC72B5" w:rsidRDefault="005E3DDD" w:rsidP="00AC72B5">
      <w:pPr>
        <w:pStyle w:val="EndnoteText"/>
        <w:rPr>
          <w:rFonts w:eastAsia="Times New Roman"/>
          <w:szCs w:val="20"/>
        </w:rPr>
      </w:pPr>
    </w:p>
    <w:p w14:paraId="5D5D872D" w14:textId="77777777" w:rsidR="005E3DDD" w:rsidRPr="00AC72B5" w:rsidRDefault="005E3DDD" w:rsidP="00AC72B5">
      <w:pPr>
        <w:pStyle w:val="EndnoteText"/>
        <w:rPr>
          <w:rFonts w:eastAsia="Times New Roman"/>
          <w:szCs w:val="20"/>
        </w:rPr>
      </w:pPr>
    </w:p>
    <w:p w14:paraId="6817A80E" w14:textId="77777777" w:rsidR="005E3DDD" w:rsidRPr="00AC72B5" w:rsidRDefault="005E3DDD" w:rsidP="00AC72B5">
      <w:pPr>
        <w:pStyle w:val="EndnoteText"/>
        <w:rPr>
          <w:rFonts w:eastAsia="Times New Roman"/>
          <w:szCs w:val="20"/>
        </w:rPr>
      </w:pPr>
    </w:p>
    <w:p w14:paraId="6E9711B3" w14:textId="77777777" w:rsidR="005E3DDD" w:rsidRPr="00AC72B5" w:rsidRDefault="005E3DDD" w:rsidP="00AC72B5">
      <w:pPr>
        <w:pStyle w:val="EndnoteText"/>
        <w:rPr>
          <w:rFonts w:eastAsia="Times New Roman"/>
          <w:szCs w:val="20"/>
        </w:rPr>
      </w:pPr>
    </w:p>
    <w:p w14:paraId="348F0075" w14:textId="77777777" w:rsidR="005E3DDD" w:rsidRPr="00AC72B5" w:rsidRDefault="005E3DDD" w:rsidP="00AC72B5">
      <w:pPr>
        <w:pStyle w:val="EndnoteText"/>
        <w:rPr>
          <w:rFonts w:eastAsia="Times New Roman"/>
          <w:szCs w:val="20"/>
        </w:rPr>
      </w:pPr>
    </w:p>
    <w:p w14:paraId="6D1148DD" w14:textId="77777777" w:rsidR="005E3DDD" w:rsidRPr="00AC72B5" w:rsidRDefault="005E3DDD" w:rsidP="00AC72B5">
      <w:pPr>
        <w:pStyle w:val="EndnoteText"/>
        <w:rPr>
          <w:rFonts w:eastAsia="Times New Roman"/>
          <w:szCs w:val="20"/>
        </w:rPr>
      </w:pPr>
    </w:p>
    <w:p w14:paraId="4B25479C" w14:textId="77777777" w:rsidR="005E3DDD" w:rsidRPr="00AC72B5" w:rsidRDefault="005E3DDD" w:rsidP="00AC72B5">
      <w:pPr>
        <w:pStyle w:val="EndnoteText"/>
        <w:rPr>
          <w:rFonts w:eastAsia="Times New Roman"/>
          <w:szCs w:val="20"/>
        </w:rPr>
      </w:pPr>
    </w:p>
    <w:p w14:paraId="7039194A" w14:textId="77777777" w:rsidR="005E3DDD" w:rsidRPr="00AC72B5" w:rsidRDefault="005E3DDD" w:rsidP="00AC72B5">
      <w:pPr>
        <w:pStyle w:val="EndnoteText"/>
        <w:rPr>
          <w:rFonts w:eastAsia="Times New Roman"/>
          <w:szCs w:val="20"/>
        </w:rPr>
      </w:pPr>
    </w:p>
    <w:p w14:paraId="598C221E" w14:textId="77777777" w:rsidR="005E3DDD" w:rsidRPr="00AC72B5" w:rsidRDefault="005E3DDD" w:rsidP="00AC72B5">
      <w:pPr>
        <w:pStyle w:val="EndnoteText"/>
        <w:rPr>
          <w:rFonts w:eastAsia="Times New Roman"/>
          <w:szCs w:val="20"/>
        </w:rPr>
      </w:pPr>
    </w:p>
    <w:p w14:paraId="7005CB03" w14:textId="77777777" w:rsidR="005E3DDD" w:rsidRPr="00AC72B5" w:rsidRDefault="005E3DDD" w:rsidP="00AC72B5">
      <w:pPr>
        <w:pStyle w:val="EndnoteText"/>
        <w:rPr>
          <w:rFonts w:eastAsia="Times New Roman"/>
          <w:szCs w:val="20"/>
        </w:rPr>
      </w:pPr>
    </w:p>
    <w:p w14:paraId="294A246F" w14:textId="77777777" w:rsidR="005E3DDD" w:rsidRPr="00AC72B5" w:rsidRDefault="005E3DDD" w:rsidP="00AC72B5">
      <w:pPr>
        <w:pStyle w:val="EndnoteText"/>
        <w:rPr>
          <w:rFonts w:eastAsia="Times New Roman"/>
          <w:szCs w:val="20"/>
        </w:rPr>
      </w:pPr>
    </w:p>
    <w:p w14:paraId="336B01E2" w14:textId="5EFB567A" w:rsidR="005E3DDD" w:rsidRPr="00AC72B5" w:rsidRDefault="005E3DDD" w:rsidP="00AC72B5">
      <w:pPr>
        <w:pStyle w:val="EndnoteText"/>
        <w:rPr>
          <w:rStyle w:val="EndnoteReference"/>
          <w:spacing w:val="-4"/>
          <w:szCs w:val="20"/>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Yu Mincho">
    <w:panose1 w:val="02020400000000000000"/>
    <w:charset w:val="80"/>
    <w:family w:val="roman"/>
    <w:pitch w:val="variable"/>
    <w:sig w:usb0="800002E7" w:usb1="2AC7FCFF" w:usb2="00000012" w:usb3="00000000" w:csb0="0002009F" w:csb1="00000000"/>
  </w:font>
  <w:font w:name="Franklin Gothic Heavy">
    <w:panose1 w:val="020B09030201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Grande">
    <w:altName w:val="Segoe UI"/>
    <w:panose1 w:val="020B0600040502020204"/>
    <w:charset w:val="00"/>
    <w:family w:val="swiss"/>
    <w:pitch w:val="variable"/>
    <w:sig w:usb0="E1000AEF" w:usb1="5000A1FF" w:usb2="00000000" w:usb3="00000000" w:csb0="000001BF" w:csb1="00000000"/>
  </w:font>
  <w:font w:name="AvantGarde Md BT">
    <w:altName w:val="Times New Roman"/>
    <w:panose1 w:val="020B0604020202020204"/>
    <w:charset w:val="00"/>
    <w:family w:val="swiss"/>
    <w:pitch w:val="variable"/>
    <w:sig w:usb0="00000087" w:usb1="00000000" w:usb2="00000000" w:usb3="00000000" w:csb0="0000001B"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Body CS)">
    <w:altName w:val="Times New Roman"/>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IN Next LT Pro">
    <w:altName w:val="Calibri"/>
    <w:panose1 w:val="020B0604020202020204"/>
    <w:charset w:val="00"/>
    <w:family w:val="swiss"/>
    <w:notTrueType/>
    <w:pitch w:val="variable"/>
    <w:sig w:usb0="A00000AF" w:usb1="5000205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3DBEF" w14:textId="77777777" w:rsidR="005E3DDD" w:rsidRDefault="005E3DDD">
    <w:pPr>
      <w:pStyle w:val="Footer"/>
      <w:framePr w:wrap="notBeside" w:vAnchor="page" w:hAnchor="page" w:x="492" w:y="14862" w:anchorLock="1"/>
      <w:rPr>
        <w:rFonts w:ascii="AvantGarde Md BT" w:hAnsi="AvantGarde Md BT"/>
        <w:color w:val="8C75A8"/>
      </w:rPr>
    </w:pPr>
    <w:r w:rsidRPr="007743B7">
      <w:rPr>
        <w:rStyle w:val="PageNumber"/>
      </w:rPr>
      <w:fldChar w:fldCharType="begin"/>
    </w:r>
    <w:r w:rsidRPr="007743B7">
      <w:rPr>
        <w:rStyle w:val="PageNumber"/>
      </w:rPr>
      <w:instrText xml:space="preserve">PAGE  </w:instrText>
    </w:r>
    <w:r w:rsidRPr="007743B7">
      <w:rPr>
        <w:rStyle w:val="PageNumber"/>
      </w:rPr>
      <w:fldChar w:fldCharType="separate"/>
    </w:r>
    <w:r>
      <w:rPr>
        <w:rStyle w:val="PageNumber"/>
        <w:noProof/>
      </w:rPr>
      <w:t>cviii</w:t>
    </w:r>
    <w:r w:rsidRPr="007743B7">
      <w:rPr>
        <w:rStyle w:val="PageNumber"/>
      </w:rPr>
      <w:fldChar w:fldCharType="end"/>
    </w:r>
    <w:r>
      <w:rPr>
        <w:rStyle w:val="PageNumber"/>
        <w:color w:val="716A9D"/>
      </w:rPr>
      <w:t xml:space="preserve">    </w:t>
    </w:r>
    <w:r>
      <w:rPr>
        <w:rStyle w:val="PageNumber"/>
        <w:color w:val="8C75A8"/>
      </w:rPr>
      <w:t>|   Women Enabled International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B9F4E" w14:textId="77777777" w:rsidR="005E3DDD" w:rsidRDefault="005E3DDD">
    <w:pPr>
      <w:pStyle w:val="Foo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13649" w14:textId="309BA78E" w:rsidR="005E3DDD" w:rsidRDefault="005E3DDD">
    <w:pPr>
      <w:pStyle w:val="Footer"/>
      <w:ind w:left="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87BA4" w14:textId="77777777" w:rsidR="005E3DDD" w:rsidRDefault="005E3DD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41EE7" w14:textId="467FC521" w:rsidR="005E3DDD" w:rsidRDefault="005E3DDD">
    <w:pPr>
      <w:pStyle w:val="Footer"/>
      <w:framePr w:wrap="notBeside" w:vAnchor="page" w:hAnchor="page" w:x="491" w:y="14891" w:anchorLock="1"/>
      <w:rPr>
        <w:rFonts w:ascii="AvantGarde Md BT" w:hAnsi="AvantGarde Md BT"/>
        <w:color w:val="A595C0"/>
      </w:rPr>
    </w:pPr>
    <w:r w:rsidRPr="008A234A">
      <w:rPr>
        <w:rStyle w:val="PageNumber"/>
      </w:rPr>
      <w:fldChar w:fldCharType="begin"/>
    </w:r>
    <w:r w:rsidRPr="008A234A">
      <w:rPr>
        <w:rStyle w:val="PageNumber"/>
      </w:rPr>
      <w:instrText xml:space="preserve">PAGE  </w:instrText>
    </w:r>
    <w:r w:rsidRPr="008A234A">
      <w:rPr>
        <w:rStyle w:val="PageNumber"/>
      </w:rPr>
      <w:fldChar w:fldCharType="separate"/>
    </w:r>
    <w:r>
      <w:rPr>
        <w:rStyle w:val="PageNumber"/>
        <w:noProof/>
      </w:rPr>
      <w:t>ii</w:t>
    </w:r>
    <w:r w:rsidRPr="008A234A">
      <w:rPr>
        <w:rStyle w:val="PageNumber"/>
      </w:rPr>
      <w:fldChar w:fldCharType="end"/>
    </w:r>
    <w:r>
      <w:rPr>
        <w:rStyle w:val="PageNumber"/>
        <w:color w:val="A595C0"/>
      </w:rPr>
      <w:t xml:space="preserve">   </w:t>
    </w:r>
    <w:r>
      <w:rPr>
        <w:rStyle w:val="PageNumber"/>
        <w:color w:val="B7A0CB"/>
      </w:rPr>
      <w:t>|</w:t>
    </w:r>
    <w:r>
      <w:rPr>
        <w:rStyle w:val="PageNumber"/>
        <w:color w:val="A997BC"/>
      </w:rPr>
      <w:t xml:space="preserve">    </w:t>
    </w:r>
    <w:r>
      <w:rPr>
        <w:rStyle w:val="PageNumber"/>
        <w:color w:val="7E599A"/>
      </w:rPr>
      <w:t>Women Enabled International</w:t>
    </w:r>
  </w:p>
  <w:p w14:paraId="40827955" w14:textId="77777777" w:rsidR="005E3DDD" w:rsidRDefault="005E3DDD">
    <w:pPr>
      <w:pStyle w:val="Footer"/>
      <w:framePr w:wrap="notBeside" w:vAnchor="page" w:hAnchor="page" w:x="491" w:y="14891" w:anchorLock="1"/>
      <w:rPr>
        <w:rFonts w:ascii="AvantGarde Md BT" w:hAnsi="AvantGarde Md BT"/>
        <w:color w:val="A595C0"/>
      </w:rPr>
    </w:pPr>
  </w:p>
  <w:p w14:paraId="68757DA1" w14:textId="77777777" w:rsidR="005E3DDD" w:rsidRDefault="005E3DD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4BB91" w14:textId="77777777" w:rsidR="005E3DDD" w:rsidRDefault="005E3DDD">
    <w:pPr>
      <w:pStyle w:val="Footer"/>
      <w:ind w:right="-302"/>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1BF59" w14:textId="77777777" w:rsidR="005E3DDD" w:rsidRDefault="005E3DDD" w:rsidP="003B744F">
    <w:pPr>
      <w:pStyle w:val="Footer"/>
      <w:framePr w:wrap="notBeside" w:vAnchor="page" w:hAnchor="page" w:x="621" w:y="14891" w:anchorLock="1"/>
      <w:rPr>
        <w:rFonts w:ascii="AvantGarde Md BT" w:hAnsi="AvantGarde Md BT"/>
        <w:color w:val="A595C0"/>
      </w:rPr>
    </w:pPr>
    <w:r w:rsidRPr="008A234A">
      <w:rPr>
        <w:rStyle w:val="PageNumber"/>
      </w:rPr>
      <w:fldChar w:fldCharType="begin"/>
    </w:r>
    <w:r w:rsidRPr="008A234A">
      <w:rPr>
        <w:rStyle w:val="PageNumber"/>
      </w:rPr>
      <w:instrText xml:space="preserve">PAGE  </w:instrText>
    </w:r>
    <w:r w:rsidRPr="008A234A">
      <w:rPr>
        <w:rStyle w:val="PageNumber"/>
      </w:rPr>
      <w:fldChar w:fldCharType="separate"/>
    </w:r>
    <w:r>
      <w:rPr>
        <w:rStyle w:val="PageNumber"/>
        <w:noProof/>
      </w:rPr>
      <w:t>104</w:t>
    </w:r>
    <w:r w:rsidRPr="008A234A">
      <w:rPr>
        <w:rStyle w:val="PageNumber"/>
      </w:rPr>
      <w:fldChar w:fldCharType="end"/>
    </w:r>
    <w:r>
      <w:rPr>
        <w:rStyle w:val="PageNumber"/>
        <w:color w:val="A595C0"/>
      </w:rPr>
      <w:t xml:space="preserve">   </w:t>
    </w:r>
    <w:r>
      <w:rPr>
        <w:rStyle w:val="PageNumber"/>
        <w:color w:val="B7A0CB"/>
      </w:rPr>
      <w:t>|</w:t>
    </w:r>
    <w:r>
      <w:rPr>
        <w:rStyle w:val="PageNumber"/>
        <w:color w:val="A997BC"/>
      </w:rPr>
      <w:t xml:space="preserve">   </w:t>
    </w:r>
    <w:r>
      <w:rPr>
        <w:rStyle w:val="PageNumber"/>
        <w:color w:val="7E599A"/>
      </w:rPr>
      <w:t>Women Enabled International</w:t>
    </w:r>
  </w:p>
  <w:p w14:paraId="3A068BD4" w14:textId="77777777" w:rsidR="005E3DDD" w:rsidRDefault="005E3DDD" w:rsidP="003B744F">
    <w:pPr>
      <w:pStyle w:val="Footer"/>
      <w:framePr w:wrap="notBeside" w:vAnchor="page" w:hAnchor="page" w:x="621" w:y="14891" w:anchorLock="1"/>
      <w:rPr>
        <w:rFonts w:ascii="AvantGarde Md BT" w:hAnsi="AvantGarde Md BT"/>
        <w:color w:val="A595C0"/>
      </w:rPr>
    </w:pPr>
  </w:p>
  <w:p w14:paraId="282F1D55" w14:textId="77777777" w:rsidR="005E3DDD" w:rsidRDefault="005E3DD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8E7E8" w14:textId="03FBA57B" w:rsidR="005E3DDD" w:rsidRDefault="005E3DDD" w:rsidP="003B744F">
    <w:pPr>
      <w:pStyle w:val="Footer"/>
      <w:framePr w:w="8357" w:wrap="notBeside" w:vAnchor="page" w:hAnchor="page" w:x="3679" w:y="14891"/>
      <w:ind w:right="490" w:firstLine="360"/>
      <w:jc w:val="right"/>
      <w:rPr>
        <w:rStyle w:val="PageNumber"/>
      </w:rPr>
    </w:pPr>
    <w:r>
      <w:rPr>
        <w:rFonts w:ascii="Franklin Gothic Demi" w:hAnsi="Franklin Gothic Demi"/>
        <w:color w:val="AC97C6"/>
      </w:rPr>
      <w:t>account</w:t>
    </w:r>
    <w:r>
      <w:rPr>
        <w:rFonts w:ascii="Franklin Gothic Demi" w:hAnsi="Franklin Gothic Demi"/>
        <w:color w:val="7E599A"/>
      </w:rPr>
      <w:t>ABILITY</w:t>
    </w:r>
    <w:r w:rsidRPr="004B2C96">
      <w:rPr>
        <w:rFonts w:ascii="Franklin Gothic Demi" w:hAnsi="Franklin Gothic Demi"/>
        <w:color w:val="7E599A"/>
      </w:rPr>
      <w:t>:</w:t>
    </w:r>
    <w:r>
      <w:rPr>
        <w:color w:val="5B3584"/>
      </w:rPr>
      <w:t xml:space="preserve"> </w:t>
    </w:r>
    <w:r>
      <w:rPr>
        <w:color w:val="000000"/>
      </w:rPr>
      <w:t>Estándares de la ONU sobre derechos y salud sexual y reproductiva</w:t>
    </w:r>
    <w:r>
      <w:rPr>
        <w:rStyle w:val="PageNumber"/>
      </w:rPr>
      <w:t xml:space="preserve">   </w:t>
    </w:r>
    <w:r>
      <w:rPr>
        <w:rStyle w:val="PageNumber"/>
        <w:color w:val="B7A0CB"/>
      </w:rPr>
      <w:t>|</w:t>
    </w:r>
    <w:r>
      <w:rPr>
        <w:rStyle w:val="PageNumber"/>
        <w:color w:val="716A9D"/>
      </w:rPr>
      <w:t xml:space="preserve"> </w:t>
    </w:r>
    <w:r>
      <w:rPr>
        <w:rStyle w:val="PageNumber"/>
      </w:rPr>
      <w:t xml:space="preserve">  </w:t>
    </w:r>
    <w:r w:rsidRPr="005F1115">
      <w:rPr>
        <w:rStyle w:val="PageNumber"/>
      </w:rPr>
      <w:fldChar w:fldCharType="begin"/>
    </w:r>
    <w:r w:rsidRPr="005F1115">
      <w:rPr>
        <w:rStyle w:val="PageNumber"/>
      </w:rPr>
      <w:instrText xml:space="preserve">PAGE  </w:instrText>
    </w:r>
    <w:r w:rsidRPr="005F1115">
      <w:rPr>
        <w:rStyle w:val="PageNumber"/>
      </w:rPr>
      <w:fldChar w:fldCharType="separate"/>
    </w:r>
    <w:r>
      <w:rPr>
        <w:rStyle w:val="PageNumber"/>
        <w:noProof/>
      </w:rPr>
      <w:t>1</w:t>
    </w:r>
    <w:r w:rsidRPr="005F1115">
      <w:rPr>
        <w:rStyle w:val="PageNumber"/>
      </w:rPr>
      <w:fldChar w:fldCharType="end"/>
    </w:r>
  </w:p>
  <w:p w14:paraId="15F59869" w14:textId="77777777" w:rsidR="005E3DDD" w:rsidRDefault="005E3DDD">
    <w:pPr>
      <w:pStyle w:val="Footer"/>
      <w:ind w:right="-302"/>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97F40" w14:textId="77777777" w:rsidR="005E3DDD" w:rsidRDefault="005E3DDD" w:rsidP="007D743F">
    <w:pPr>
      <w:pStyle w:val="Footer"/>
      <w:framePr w:w="8357" w:wrap="notBeside" w:vAnchor="page" w:hAnchor="page" w:x="3835" w:y="14891"/>
      <w:ind w:right="490" w:firstLine="360"/>
      <w:jc w:val="right"/>
      <w:rPr>
        <w:rStyle w:val="PageNumber"/>
      </w:rPr>
    </w:pPr>
    <w:r>
      <w:rPr>
        <w:rFonts w:ascii="Franklin Gothic Demi" w:hAnsi="Franklin Gothic Demi"/>
        <w:color w:val="AC97C6"/>
      </w:rPr>
      <w:t>account</w:t>
    </w:r>
    <w:r>
      <w:rPr>
        <w:rFonts w:ascii="Franklin Gothic Demi" w:hAnsi="Franklin Gothic Demi"/>
        <w:color w:val="7E599A"/>
      </w:rPr>
      <w:t>ABILITY</w:t>
    </w:r>
    <w:r w:rsidRPr="004B2C96">
      <w:rPr>
        <w:rFonts w:ascii="Franklin Gothic Demi" w:hAnsi="Franklin Gothic Demi"/>
        <w:color w:val="7E599A"/>
      </w:rPr>
      <w:t>:</w:t>
    </w:r>
    <w:r>
      <w:rPr>
        <w:color w:val="5B3584"/>
      </w:rPr>
      <w:t xml:space="preserve"> </w:t>
    </w:r>
    <w:r>
      <w:rPr>
        <w:color w:val="000000"/>
      </w:rPr>
      <w:t>Estándares de la ONU sobre Salud y derechos sexuales y reproductivos</w:t>
    </w:r>
    <w:r>
      <w:rPr>
        <w:rStyle w:val="PageNumber"/>
      </w:rPr>
      <w:t xml:space="preserve">   </w:t>
    </w:r>
    <w:r>
      <w:rPr>
        <w:rStyle w:val="PageNumber"/>
        <w:color w:val="B7A0CB"/>
      </w:rPr>
      <w:t>|</w:t>
    </w:r>
    <w:r>
      <w:rPr>
        <w:rStyle w:val="PageNumber"/>
        <w:color w:val="716A9D"/>
      </w:rPr>
      <w:t xml:space="preserve"> </w:t>
    </w:r>
    <w:r>
      <w:rPr>
        <w:rStyle w:val="PageNumber"/>
      </w:rPr>
      <w:t xml:space="preserve">  </w:t>
    </w:r>
    <w:r w:rsidRPr="005F1115">
      <w:rPr>
        <w:rStyle w:val="PageNumber"/>
      </w:rPr>
      <w:fldChar w:fldCharType="begin"/>
    </w:r>
    <w:r w:rsidRPr="005F1115">
      <w:rPr>
        <w:rStyle w:val="PageNumber"/>
      </w:rPr>
      <w:instrText xml:space="preserve">PAGE  </w:instrText>
    </w:r>
    <w:r w:rsidRPr="005F1115">
      <w:rPr>
        <w:rStyle w:val="PageNumber"/>
      </w:rPr>
      <w:fldChar w:fldCharType="separate"/>
    </w:r>
    <w:r>
      <w:rPr>
        <w:rStyle w:val="PageNumber"/>
        <w:noProof/>
      </w:rPr>
      <w:t>1</w:t>
    </w:r>
    <w:r w:rsidRPr="005F1115">
      <w:rPr>
        <w:rStyle w:val="PageNumber"/>
      </w:rPr>
      <w:fldChar w:fldCharType="end"/>
    </w:r>
  </w:p>
  <w:p w14:paraId="4A439750" w14:textId="77777777" w:rsidR="005E3DDD" w:rsidRPr="00435F1C" w:rsidRDefault="005E3DDD">
    <w:pPr>
      <w:pStyle w:val="Footer"/>
      <w:ind w:right="-302"/>
      <w:jc w:val="right"/>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5313FC" w14:textId="77777777" w:rsidR="006C43B8" w:rsidRDefault="006C43B8">
      <w:pPr>
        <w:pStyle w:val="FootnoteSeparator"/>
        <w:spacing w:line="240" w:lineRule="auto"/>
      </w:pPr>
    </w:p>
  </w:footnote>
  <w:footnote w:type="continuationSeparator" w:id="0">
    <w:p w14:paraId="00A9AE35" w14:textId="77777777" w:rsidR="006C43B8" w:rsidRDefault="006C43B8">
      <w:r>
        <w:continuationSeparator/>
      </w:r>
    </w:p>
  </w:footnote>
  <w:footnote w:type="continuationNotice" w:id="1">
    <w:p w14:paraId="1EA1AA41" w14:textId="77777777" w:rsidR="006C43B8" w:rsidRDefault="006C43B8">
      <w:pPr>
        <w:spacing w:after="0" w:line="240" w:lineRule="auto"/>
      </w:pPr>
    </w:p>
  </w:footnote>
  <w:footnote w:id="2">
    <w:p w14:paraId="72C08731" w14:textId="4C8CE3C3" w:rsidR="005E3DDD" w:rsidRDefault="005E3DDD">
      <w:pPr>
        <w:pStyle w:val="FootnoteText"/>
      </w:pPr>
      <w:r>
        <w:rPr>
          <w:rStyle w:val="FootnoteReference"/>
          <w:sz w:val="20"/>
        </w:rPr>
        <w:footnoteRef/>
      </w:r>
      <w:r>
        <w:t xml:space="preserve"> </w:t>
      </w:r>
      <w:r>
        <w:tab/>
        <w:t xml:space="preserve">Enlaces a páginas web del país para todos los Estados miembros  de la ONU pueden encontrarse en el sitio web de la Oficina del Alto Comisionado de Derechos Humanos (ACNUDH) aquí: </w:t>
      </w:r>
      <w:hyperlink r:id="rId1" w:history="1">
        <w:r w:rsidRPr="002E2F35">
          <w:rPr>
            <w:rStyle w:val="Hyperlink"/>
          </w:rPr>
          <w:t>https://www.ohchr.org/SP/Countries/Pages/HumanRightsintheWorld.aspx</w:t>
        </w:r>
      </w:hyperlink>
      <w:r>
        <w:t xml:space="preserve">.  </w:t>
      </w:r>
    </w:p>
  </w:footnote>
  <w:footnote w:id="3">
    <w:p w14:paraId="742E8FEA" w14:textId="25911070" w:rsidR="005E3DDD" w:rsidRDefault="005E3DDD">
      <w:pPr>
        <w:pStyle w:val="FootnoteText"/>
      </w:pPr>
      <w:r>
        <w:rPr>
          <w:rStyle w:val="FootnoteReference"/>
        </w:rPr>
        <w:footnoteRef/>
      </w:r>
      <w:r>
        <w:t xml:space="preserve"> </w:t>
      </w:r>
      <w:r>
        <w:tab/>
        <w:t>A lo largo de este documento, el término "mujeres" debe ser interpretado para incluir a las mujeres y las niñas de todas las edades, a menos que se indique lo contrario.</w:t>
      </w:r>
    </w:p>
  </w:footnote>
  <w:footnote w:id="4">
    <w:p w14:paraId="7317C1AD" w14:textId="7FDB3B1B" w:rsidR="005E3DDD" w:rsidRDefault="005E3DDD">
      <w:pPr>
        <w:pStyle w:val="FootnoteText"/>
      </w:pPr>
      <w:r>
        <w:rPr>
          <w:rStyle w:val="FootnoteReference"/>
        </w:rPr>
        <w:footnoteRef/>
      </w:r>
      <w:r>
        <w:t xml:space="preserve"> </w:t>
      </w:r>
      <w:r>
        <w:tab/>
      </w:r>
      <w:r w:rsidRPr="00982B2F">
        <w:t xml:space="preserve">Los Órganos de Tratados de la ONU usan o la frase “anomalía fetal” o “malformación fetal” como causal de aborto legal en los casos en que la persona embarazada ha recibido un diagnóstico prenatal sobre dicha anomalía. En algunas oportunidades, los Órganos de Tratados entendieron que dicho diagnóstico debe indicar que la anomalía fetal es incompatible con la vida. Esta publicación usa la frase “anomalía fetal" o "anomalía fetal </w:t>
      </w:r>
      <w:r>
        <w:t>inviable</w:t>
      </w:r>
      <w:r w:rsidRPr="00982B2F">
        <w:t>” para ser consistente con el lenguaje de los estándares actuales. Sin embargo, cabe señalar que el lenguaje de "anomalía" o "malformación" puede reforzar el estereotipo nocivo de acuerdo al cual un embarazo que concluye en el nacimiento de una persona con discapacidad es "anormal." Por eso, en su trabajo de incidencia, Women Enabled International prefiere usar el lenguaje que se enfoque en la persona embarazada y no en el desarrollo del feto.</w:t>
      </w:r>
    </w:p>
  </w:footnote>
  <w:footnote w:id="5">
    <w:p w14:paraId="3613D887" w14:textId="59A09F82" w:rsidR="005E3DDD" w:rsidRDefault="005E3DDD">
      <w:pPr>
        <w:pStyle w:val="FootnoteText"/>
        <w:tabs>
          <w:tab w:val="clear" w:pos="274"/>
          <w:tab w:val="left" w:pos="360"/>
        </w:tabs>
      </w:pPr>
      <w:r>
        <w:rPr>
          <w:rStyle w:val="FootnoteReference"/>
        </w:rPr>
        <w:footnoteRef/>
      </w:r>
      <w:r>
        <w:t xml:space="preserve"> </w:t>
      </w:r>
      <w:r>
        <w:tab/>
        <w:t xml:space="preserve">Federación Internacional de Gynecologogy y Obstetricia (FIGO), </w:t>
      </w:r>
      <w:r>
        <w:rPr>
          <w:i/>
        </w:rPr>
        <w:t>Cuestiones éticas en Obstetricia y Ginecología</w:t>
      </w:r>
      <w:r>
        <w:t xml:space="preserve"> </w:t>
      </w:r>
      <w:r w:rsidR="00E84D03">
        <w:t>436</w:t>
      </w:r>
      <w:r>
        <w:t xml:space="preserve"> (octubre de 2012), </w:t>
      </w:r>
      <w:hyperlink r:id="rId2" w:history="1">
        <w:r w:rsidR="00E84D03" w:rsidRPr="002E2F35">
          <w:rPr>
            <w:rStyle w:val="Hyperlink"/>
          </w:rPr>
          <w:t>https://www.figo.org/sites/default/files/uploads/wg-publications/ethics/Spanish%20Ethical%20Issues%20in%20Obstetrics%20and%20Gynecology.pdf</w:t>
        </w:r>
      </w:hyperlink>
      <w:r w:rsidR="00E84D03">
        <w:t xml:space="preserve">. </w:t>
      </w:r>
    </w:p>
  </w:footnote>
  <w:footnote w:id="6">
    <w:p w14:paraId="7B6D2321" w14:textId="62DA83EB" w:rsidR="005E3DDD" w:rsidRDefault="005E3DDD">
      <w:pPr>
        <w:pStyle w:val="FootnoteText"/>
      </w:pPr>
      <w:r>
        <w:rPr>
          <w:rStyle w:val="FootnoteReference"/>
        </w:rPr>
        <w:footnoteRef/>
      </w:r>
      <w:r>
        <w:t xml:space="preserve"> </w:t>
      </w:r>
      <w:hyperlink r:id="rId3" w:history="1">
        <w:r>
          <w:rPr>
            <w:rStyle w:val="Hyperlink"/>
          </w:rPr>
          <w:t>http://www.ohchr.org/EN/Countries/Pages/HumanRightsintheWorld.aspx</w:t>
        </w:r>
      </w:hyperlink>
      <w:r>
        <w:t xml:space="preserve">. </w:t>
      </w:r>
    </w:p>
  </w:footnote>
  <w:footnote w:id="7">
    <w:p w14:paraId="196A89B5" w14:textId="36AF716C" w:rsidR="005E3DDD" w:rsidRDefault="005E3DDD">
      <w:pPr>
        <w:pStyle w:val="FootnoteText"/>
      </w:pPr>
      <w:r>
        <w:rPr>
          <w:rStyle w:val="FootnoteReference"/>
        </w:rPr>
        <w:footnoteRef/>
      </w:r>
      <w:r>
        <w:t xml:space="preserve"> Oficina del Alto Comisionado de los Derechos Humanos, </w:t>
      </w:r>
      <w:r w:rsidRPr="00F82D5D">
        <w:rPr>
          <w:i/>
        </w:rPr>
        <w:t>Guía Técnica sobre</w:t>
      </w:r>
      <w:r>
        <w:t xml:space="preserve"> </w:t>
      </w:r>
      <w:r>
        <w:rPr>
          <w:i/>
        </w:rPr>
        <w:t>sobre la aplicación de los derechos humanos</w:t>
      </w:r>
      <w:r w:rsidDel="004655FC">
        <w:rPr>
          <w:i/>
        </w:rPr>
        <w:t xml:space="preserve"> </w:t>
      </w:r>
      <w:r>
        <w:rPr>
          <w:i/>
        </w:rPr>
        <w:t>en la implementación de políticas y programas para reducir la mortalidad y la morbilidad materna prevenible</w:t>
      </w:r>
      <w:r>
        <w:t xml:space="preserve">, Doc. ONU A/HRC/21/22 (julio de 2012), </w:t>
      </w:r>
      <w:hyperlink r:id="rId4" w:history="1">
        <w:r>
          <w:rPr>
            <w:rStyle w:val="Hyperlink"/>
          </w:rPr>
          <w:t>http://undocs.org/A/HRC/21/22</w:t>
        </w:r>
      </w:hyperlink>
      <w:r>
        <w:t xml:space="preserve">. </w:t>
      </w:r>
    </w:p>
  </w:footnote>
  <w:footnote w:id="8">
    <w:p w14:paraId="3FA6540D" w14:textId="1250373D" w:rsidR="005E3DDD" w:rsidRDefault="005E3DDD">
      <w:pPr>
        <w:pStyle w:val="FootnoteText"/>
      </w:pPr>
      <w:r>
        <w:rPr>
          <w:rStyle w:val="FootnoteReference"/>
        </w:rPr>
        <w:footnoteRef/>
      </w:r>
      <w:r>
        <w:t xml:space="preserve"> </w:t>
      </w:r>
      <w:hyperlink r:id="rId5" w:history="1">
        <w:r>
          <w:rPr>
            <w:rStyle w:val="Hyperlink"/>
          </w:rPr>
          <w:t>https://sustainabledevelopment.un.org/sdgs</w:t>
        </w:r>
      </w:hyperlink>
      <w:r>
        <w:t xml:space="preserve">. </w:t>
      </w:r>
    </w:p>
  </w:footnote>
  <w:footnote w:id="9">
    <w:p w14:paraId="419B3751" w14:textId="0946E6C4" w:rsidR="005E3DDD" w:rsidRDefault="005E3DDD">
      <w:pPr>
        <w:pStyle w:val="FootnoteText"/>
      </w:pPr>
      <w:r>
        <w:rPr>
          <w:rStyle w:val="FootnoteReference"/>
        </w:rPr>
        <w:footnoteRef/>
      </w:r>
      <w:r>
        <w:t xml:space="preserve"> Oficina del Alto Comisionado de los Derechos Humanos, </w:t>
      </w:r>
      <w:r w:rsidRPr="002E7C95">
        <w:rPr>
          <w:i/>
        </w:rPr>
        <w:t>Guía Técnica sobre</w:t>
      </w:r>
      <w:r>
        <w:t xml:space="preserve"> </w:t>
      </w:r>
      <w:r>
        <w:rPr>
          <w:i/>
        </w:rPr>
        <w:t>sobre la aplicación de los derechos humanos</w:t>
      </w:r>
      <w:r w:rsidDel="004655FC">
        <w:rPr>
          <w:i/>
        </w:rPr>
        <w:t xml:space="preserve"> </w:t>
      </w:r>
      <w:r>
        <w:rPr>
          <w:i/>
        </w:rPr>
        <w:t>en la implementación de políticas y programas para reducir la mortalidad y la morbilidad materna prevenible</w:t>
      </w:r>
      <w:r>
        <w:t xml:space="preserve">, Doc. ONU A/HRC/21/22 (julio de 2012), </w:t>
      </w:r>
      <w:hyperlink r:id="rId6" w:history="1">
        <w:r>
          <w:rPr>
            <w:rStyle w:val="Hyperlink"/>
          </w:rPr>
          <w:t>http://undocs.org/A/HRC/21/22</w:t>
        </w:r>
      </w:hyperlink>
      <w:r>
        <w:t xml:space="preserve">. </w:t>
      </w:r>
    </w:p>
  </w:footnote>
  <w:footnote w:id="10">
    <w:p w14:paraId="74F2F77F" w14:textId="4CF806BD" w:rsidR="005E3DDD" w:rsidRDefault="005E3DDD">
      <w:pPr>
        <w:pStyle w:val="FootnoteText"/>
      </w:pPr>
      <w:r>
        <w:rPr>
          <w:rStyle w:val="FootnoteReference"/>
        </w:rPr>
        <w:footnoteRef/>
      </w:r>
      <w:r>
        <w:t xml:space="preserve"> FIGO, </w:t>
      </w:r>
      <w:r>
        <w:rPr>
          <w:i/>
        </w:rPr>
        <w:t>Cuestiones Éticas en Obstetricia y Ginecología</w:t>
      </w:r>
      <w:r>
        <w:t xml:space="preserve"> (octubre de 2012), </w:t>
      </w:r>
      <w:hyperlink r:id="rId7" w:history="1">
        <w:r w:rsidR="00E84D03" w:rsidRPr="002E2F35">
          <w:rPr>
            <w:rStyle w:val="Hyperlink"/>
          </w:rPr>
          <w:t>https://www.figo.org/sites/default/files/uploads/wg-publications/ethics/Spanish%20Ethical%20Issues%20in%20Obstetrics%20and%20Gynecology.pdf</w:t>
        </w:r>
      </w:hyperlink>
      <w:r w:rsidR="00E84D03">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DD027" w14:textId="77777777" w:rsidR="005E3DDD" w:rsidRDefault="005E3D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0CA46" w14:textId="77777777" w:rsidR="005E3DDD" w:rsidRDefault="005E3D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88AEC" w14:textId="77777777" w:rsidR="005E3DDD" w:rsidRDefault="005E3D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D7A36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4EADC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38022E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2A2224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6CEE0E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38C32C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C0C99A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4E80D2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A9A4B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28458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F393C90"/>
    <w:multiLevelType w:val="hybridMultilevel"/>
    <w:tmpl w:val="4E0A453A"/>
    <w:lvl w:ilvl="0" w:tplc="21006154">
      <w:start w:val="1"/>
      <w:numFmt w:val="bullet"/>
      <w:pStyle w:val="ListParagraph"/>
      <w:lvlText w:val=""/>
      <w:lvlJc w:val="left"/>
      <w:pPr>
        <w:ind w:left="1440" w:hanging="360"/>
      </w:pPr>
      <w:rPr>
        <w:rFonts w:ascii="Wingdings 3" w:hAnsi="Wingdings 3"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6B26575"/>
    <w:multiLevelType w:val="hybridMultilevel"/>
    <w:tmpl w:val="54FE2E20"/>
    <w:lvl w:ilvl="0" w:tplc="38185974">
      <w:start w:val="1"/>
      <w:numFmt w:val="upperRoman"/>
      <w:pStyle w:val="HeadingIAccountabilityTool"/>
      <w:lvlText w:val="%1."/>
      <w:lvlJc w:val="left"/>
      <w:pPr>
        <w:ind w:left="135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FF64E2"/>
    <w:multiLevelType w:val="hybridMultilevel"/>
    <w:tmpl w:val="4B405292"/>
    <w:lvl w:ilvl="0" w:tplc="0D9ECBC8">
      <w:start w:val="1"/>
      <w:numFmt w:val="bullet"/>
      <w:pStyle w:val="Heading3GeneralComments"/>
      <w:lvlText w:val=""/>
      <w:lvlJc w:val="left"/>
      <w:pPr>
        <w:ind w:left="806" w:hanging="360"/>
      </w:pPr>
      <w:rPr>
        <w:rFonts w:ascii="Wingdings" w:hAnsi="Wingdings" w:hint="default"/>
        <w:position w:val="-2"/>
        <w:sz w:val="32"/>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num w:numId="1">
    <w:abstractNumId w:val="12"/>
  </w:num>
  <w:num w:numId="2">
    <w:abstractNumId w:val="10"/>
  </w:num>
  <w:num w:numId="3">
    <w:abstractNumId w:val="11"/>
  </w:num>
  <w:num w:numId="4">
    <w:abstractNumId w:val="9"/>
  </w:num>
  <w:num w:numId="5">
    <w:abstractNumId w:val="8"/>
  </w:num>
  <w:num w:numId="6">
    <w:abstractNumId w:val="0"/>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0"/>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drawingGridHorizontalSpacing w:val="217"/>
  <w:displayVerticalDrawingGridEvery w:val="2"/>
  <w:characterSpacingControl w:val="doNotCompress"/>
  <w:hdrShapeDefaults>
    <o:shapedefaults v:ext="edit" spidmax="2049"/>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625"/>
    <w:rsid w:val="0000043B"/>
    <w:rsid w:val="00000894"/>
    <w:rsid w:val="00000ACE"/>
    <w:rsid w:val="0000219B"/>
    <w:rsid w:val="00002610"/>
    <w:rsid w:val="00002967"/>
    <w:rsid w:val="00003F2F"/>
    <w:rsid w:val="00011982"/>
    <w:rsid w:val="00012219"/>
    <w:rsid w:val="000124D6"/>
    <w:rsid w:val="00014563"/>
    <w:rsid w:val="00015053"/>
    <w:rsid w:val="00015D58"/>
    <w:rsid w:val="00016911"/>
    <w:rsid w:val="00016E25"/>
    <w:rsid w:val="000171BE"/>
    <w:rsid w:val="00017B93"/>
    <w:rsid w:val="000200FA"/>
    <w:rsid w:val="00021550"/>
    <w:rsid w:val="00021820"/>
    <w:rsid w:val="00021D8A"/>
    <w:rsid w:val="00022774"/>
    <w:rsid w:val="00022A46"/>
    <w:rsid w:val="00023A2D"/>
    <w:rsid w:val="00023C0C"/>
    <w:rsid w:val="00023C3A"/>
    <w:rsid w:val="000240F8"/>
    <w:rsid w:val="00024B9A"/>
    <w:rsid w:val="00031AC8"/>
    <w:rsid w:val="00032C5B"/>
    <w:rsid w:val="00034F5E"/>
    <w:rsid w:val="000350F8"/>
    <w:rsid w:val="00035949"/>
    <w:rsid w:val="00037EC6"/>
    <w:rsid w:val="00040D4C"/>
    <w:rsid w:val="00040E99"/>
    <w:rsid w:val="00043227"/>
    <w:rsid w:val="00043728"/>
    <w:rsid w:val="00044170"/>
    <w:rsid w:val="00044C7C"/>
    <w:rsid w:val="00044DF2"/>
    <w:rsid w:val="000459DC"/>
    <w:rsid w:val="00045E62"/>
    <w:rsid w:val="0004666E"/>
    <w:rsid w:val="000475BD"/>
    <w:rsid w:val="000520DF"/>
    <w:rsid w:val="0005470C"/>
    <w:rsid w:val="00055AF0"/>
    <w:rsid w:val="00056345"/>
    <w:rsid w:val="00056716"/>
    <w:rsid w:val="00056725"/>
    <w:rsid w:val="0005780D"/>
    <w:rsid w:val="00057958"/>
    <w:rsid w:val="00060672"/>
    <w:rsid w:val="00060A1D"/>
    <w:rsid w:val="00060ABF"/>
    <w:rsid w:val="00062C91"/>
    <w:rsid w:val="00063A1B"/>
    <w:rsid w:val="0006423B"/>
    <w:rsid w:val="0006461C"/>
    <w:rsid w:val="00064985"/>
    <w:rsid w:val="00064AD7"/>
    <w:rsid w:val="00064C88"/>
    <w:rsid w:val="00065FF0"/>
    <w:rsid w:val="00066103"/>
    <w:rsid w:val="00066ACF"/>
    <w:rsid w:val="00067143"/>
    <w:rsid w:val="00067AEE"/>
    <w:rsid w:val="0007017B"/>
    <w:rsid w:val="00071585"/>
    <w:rsid w:val="00071875"/>
    <w:rsid w:val="00073077"/>
    <w:rsid w:val="0007315A"/>
    <w:rsid w:val="00073C05"/>
    <w:rsid w:val="00073D42"/>
    <w:rsid w:val="000768B7"/>
    <w:rsid w:val="00076E16"/>
    <w:rsid w:val="000805D1"/>
    <w:rsid w:val="000810C9"/>
    <w:rsid w:val="00081E71"/>
    <w:rsid w:val="00082281"/>
    <w:rsid w:val="0008283F"/>
    <w:rsid w:val="00083009"/>
    <w:rsid w:val="00085DA4"/>
    <w:rsid w:val="00087418"/>
    <w:rsid w:val="00090DCF"/>
    <w:rsid w:val="00091767"/>
    <w:rsid w:val="00092525"/>
    <w:rsid w:val="000947BE"/>
    <w:rsid w:val="00094F1E"/>
    <w:rsid w:val="0009563B"/>
    <w:rsid w:val="00095A60"/>
    <w:rsid w:val="00095BDC"/>
    <w:rsid w:val="000961D6"/>
    <w:rsid w:val="000967B5"/>
    <w:rsid w:val="00096AA2"/>
    <w:rsid w:val="000A0074"/>
    <w:rsid w:val="000A069C"/>
    <w:rsid w:val="000A06F9"/>
    <w:rsid w:val="000A0B31"/>
    <w:rsid w:val="000A0E93"/>
    <w:rsid w:val="000A0F1C"/>
    <w:rsid w:val="000A1AD0"/>
    <w:rsid w:val="000A1F86"/>
    <w:rsid w:val="000A2178"/>
    <w:rsid w:val="000A22A9"/>
    <w:rsid w:val="000A3981"/>
    <w:rsid w:val="000A3DD9"/>
    <w:rsid w:val="000A4589"/>
    <w:rsid w:val="000A56C5"/>
    <w:rsid w:val="000A589E"/>
    <w:rsid w:val="000A64C8"/>
    <w:rsid w:val="000A712E"/>
    <w:rsid w:val="000A7E11"/>
    <w:rsid w:val="000A7EF9"/>
    <w:rsid w:val="000B061D"/>
    <w:rsid w:val="000B11CA"/>
    <w:rsid w:val="000B2307"/>
    <w:rsid w:val="000B46D5"/>
    <w:rsid w:val="000B6C67"/>
    <w:rsid w:val="000B7F4B"/>
    <w:rsid w:val="000C0C0F"/>
    <w:rsid w:val="000C11D5"/>
    <w:rsid w:val="000C2718"/>
    <w:rsid w:val="000C2D73"/>
    <w:rsid w:val="000C2E53"/>
    <w:rsid w:val="000C31E0"/>
    <w:rsid w:val="000C3774"/>
    <w:rsid w:val="000C3CAA"/>
    <w:rsid w:val="000C4352"/>
    <w:rsid w:val="000C4B1A"/>
    <w:rsid w:val="000C5925"/>
    <w:rsid w:val="000C63F9"/>
    <w:rsid w:val="000C6A19"/>
    <w:rsid w:val="000D0916"/>
    <w:rsid w:val="000D0E7E"/>
    <w:rsid w:val="000D1481"/>
    <w:rsid w:val="000D1652"/>
    <w:rsid w:val="000D187F"/>
    <w:rsid w:val="000D24B7"/>
    <w:rsid w:val="000D30E9"/>
    <w:rsid w:val="000D3403"/>
    <w:rsid w:val="000D6B4C"/>
    <w:rsid w:val="000D6B82"/>
    <w:rsid w:val="000D7A54"/>
    <w:rsid w:val="000E07F6"/>
    <w:rsid w:val="000E3950"/>
    <w:rsid w:val="000E5BC6"/>
    <w:rsid w:val="000E720A"/>
    <w:rsid w:val="000E785A"/>
    <w:rsid w:val="000E794C"/>
    <w:rsid w:val="000E7FCE"/>
    <w:rsid w:val="000F0E53"/>
    <w:rsid w:val="000F1223"/>
    <w:rsid w:val="000F1467"/>
    <w:rsid w:val="000F1B48"/>
    <w:rsid w:val="000F1D89"/>
    <w:rsid w:val="000F646C"/>
    <w:rsid w:val="000F7656"/>
    <w:rsid w:val="000F7693"/>
    <w:rsid w:val="000F7D40"/>
    <w:rsid w:val="0010056B"/>
    <w:rsid w:val="00100905"/>
    <w:rsid w:val="00102C66"/>
    <w:rsid w:val="0010301C"/>
    <w:rsid w:val="0010446E"/>
    <w:rsid w:val="0010656A"/>
    <w:rsid w:val="00107A1F"/>
    <w:rsid w:val="00110676"/>
    <w:rsid w:val="00111E71"/>
    <w:rsid w:val="001142E5"/>
    <w:rsid w:val="001172C3"/>
    <w:rsid w:val="001213FD"/>
    <w:rsid w:val="00121766"/>
    <w:rsid w:val="0012244D"/>
    <w:rsid w:val="00122573"/>
    <w:rsid w:val="0012291F"/>
    <w:rsid w:val="00122EBF"/>
    <w:rsid w:val="0012351D"/>
    <w:rsid w:val="001239D9"/>
    <w:rsid w:val="001245C3"/>
    <w:rsid w:val="0012479A"/>
    <w:rsid w:val="00124C40"/>
    <w:rsid w:val="001261E1"/>
    <w:rsid w:val="001262AD"/>
    <w:rsid w:val="00126445"/>
    <w:rsid w:val="00126457"/>
    <w:rsid w:val="00127044"/>
    <w:rsid w:val="00130847"/>
    <w:rsid w:val="00132DC5"/>
    <w:rsid w:val="00133884"/>
    <w:rsid w:val="00133F57"/>
    <w:rsid w:val="001340DE"/>
    <w:rsid w:val="00134E42"/>
    <w:rsid w:val="00141BAF"/>
    <w:rsid w:val="00141BEF"/>
    <w:rsid w:val="0014341E"/>
    <w:rsid w:val="001438C2"/>
    <w:rsid w:val="00144A2B"/>
    <w:rsid w:val="00144B45"/>
    <w:rsid w:val="00144C09"/>
    <w:rsid w:val="00145EC6"/>
    <w:rsid w:val="001502EA"/>
    <w:rsid w:val="001524A5"/>
    <w:rsid w:val="00153080"/>
    <w:rsid w:val="0015425E"/>
    <w:rsid w:val="00155C72"/>
    <w:rsid w:val="001561E6"/>
    <w:rsid w:val="00157AD2"/>
    <w:rsid w:val="00162192"/>
    <w:rsid w:val="00162E40"/>
    <w:rsid w:val="00164B21"/>
    <w:rsid w:val="00164F16"/>
    <w:rsid w:val="00165D4C"/>
    <w:rsid w:val="00167E7F"/>
    <w:rsid w:val="001705E8"/>
    <w:rsid w:val="00170B15"/>
    <w:rsid w:val="001713AF"/>
    <w:rsid w:val="001719AB"/>
    <w:rsid w:val="00171A04"/>
    <w:rsid w:val="001730A4"/>
    <w:rsid w:val="001735ED"/>
    <w:rsid w:val="001738B8"/>
    <w:rsid w:val="00173F89"/>
    <w:rsid w:val="001744B4"/>
    <w:rsid w:val="0017576F"/>
    <w:rsid w:val="0017633A"/>
    <w:rsid w:val="00176751"/>
    <w:rsid w:val="0017723F"/>
    <w:rsid w:val="0017753D"/>
    <w:rsid w:val="00177962"/>
    <w:rsid w:val="00177CE4"/>
    <w:rsid w:val="0018035E"/>
    <w:rsid w:val="001827B8"/>
    <w:rsid w:val="00182DF9"/>
    <w:rsid w:val="00182F35"/>
    <w:rsid w:val="0018430B"/>
    <w:rsid w:val="00185F1C"/>
    <w:rsid w:val="0018678C"/>
    <w:rsid w:val="00187B87"/>
    <w:rsid w:val="001909BB"/>
    <w:rsid w:val="0019111E"/>
    <w:rsid w:val="00191BA7"/>
    <w:rsid w:val="0019391D"/>
    <w:rsid w:val="0019401F"/>
    <w:rsid w:val="001953FB"/>
    <w:rsid w:val="0019704A"/>
    <w:rsid w:val="00197973"/>
    <w:rsid w:val="001A07BB"/>
    <w:rsid w:val="001A1C36"/>
    <w:rsid w:val="001A27E8"/>
    <w:rsid w:val="001A432A"/>
    <w:rsid w:val="001A44D9"/>
    <w:rsid w:val="001A493D"/>
    <w:rsid w:val="001A4DEF"/>
    <w:rsid w:val="001A5564"/>
    <w:rsid w:val="001A55D1"/>
    <w:rsid w:val="001A6328"/>
    <w:rsid w:val="001A67C6"/>
    <w:rsid w:val="001A6871"/>
    <w:rsid w:val="001A7327"/>
    <w:rsid w:val="001A760C"/>
    <w:rsid w:val="001B1794"/>
    <w:rsid w:val="001B1892"/>
    <w:rsid w:val="001B257C"/>
    <w:rsid w:val="001B324B"/>
    <w:rsid w:val="001B4E97"/>
    <w:rsid w:val="001B591D"/>
    <w:rsid w:val="001B64BA"/>
    <w:rsid w:val="001B79B2"/>
    <w:rsid w:val="001C3C48"/>
    <w:rsid w:val="001C41D1"/>
    <w:rsid w:val="001C4BB3"/>
    <w:rsid w:val="001C4EF1"/>
    <w:rsid w:val="001C527F"/>
    <w:rsid w:val="001C5F06"/>
    <w:rsid w:val="001C7C8B"/>
    <w:rsid w:val="001D034B"/>
    <w:rsid w:val="001D0EFD"/>
    <w:rsid w:val="001D307A"/>
    <w:rsid w:val="001D37B4"/>
    <w:rsid w:val="001D3CA8"/>
    <w:rsid w:val="001D45D0"/>
    <w:rsid w:val="001D460F"/>
    <w:rsid w:val="001D48C3"/>
    <w:rsid w:val="001D5573"/>
    <w:rsid w:val="001D798A"/>
    <w:rsid w:val="001E0F9A"/>
    <w:rsid w:val="001E182A"/>
    <w:rsid w:val="001E2CA9"/>
    <w:rsid w:val="001E57DF"/>
    <w:rsid w:val="001E69B8"/>
    <w:rsid w:val="001E7B3F"/>
    <w:rsid w:val="001F0F41"/>
    <w:rsid w:val="001F15E8"/>
    <w:rsid w:val="001F34B8"/>
    <w:rsid w:val="001F52D6"/>
    <w:rsid w:val="001F617B"/>
    <w:rsid w:val="001F7A30"/>
    <w:rsid w:val="001F7C8F"/>
    <w:rsid w:val="00200FB4"/>
    <w:rsid w:val="00201B89"/>
    <w:rsid w:val="00201F8C"/>
    <w:rsid w:val="00202084"/>
    <w:rsid w:val="002020C4"/>
    <w:rsid w:val="002023F9"/>
    <w:rsid w:val="002028B2"/>
    <w:rsid w:val="002038EC"/>
    <w:rsid w:val="00203D53"/>
    <w:rsid w:val="00203D70"/>
    <w:rsid w:val="002040F7"/>
    <w:rsid w:val="00204806"/>
    <w:rsid w:val="00205B70"/>
    <w:rsid w:val="00207B49"/>
    <w:rsid w:val="00210350"/>
    <w:rsid w:val="002112C7"/>
    <w:rsid w:val="002117F7"/>
    <w:rsid w:val="002125CD"/>
    <w:rsid w:val="0021289D"/>
    <w:rsid w:val="00214241"/>
    <w:rsid w:val="00214D93"/>
    <w:rsid w:val="00215A00"/>
    <w:rsid w:val="00215D6A"/>
    <w:rsid w:val="002166B8"/>
    <w:rsid w:val="0022083C"/>
    <w:rsid w:val="00221D15"/>
    <w:rsid w:val="00223DA6"/>
    <w:rsid w:val="00224368"/>
    <w:rsid w:val="002278AC"/>
    <w:rsid w:val="00227F4C"/>
    <w:rsid w:val="002321FE"/>
    <w:rsid w:val="00233C1B"/>
    <w:rsid w:val="00234180"/>
    <w:rsid w:val="0023483C"/>
    <w:rsid w:val="00235F5A"/>
    <w:rsid w:val="002361C4"/>
    <w:rsid w:val="00237C30"/>
    <w:rsid w:val="0024050B"/>
    <w:rsid w:val="00241858"/>
    <w:rsid w:val="00242E82"/>
    <w:rsid w:val="002430AD"/>
    <w:rsid w:val="00246545"/>
    <w:rsid w:val="002477E9"/>
    <w:rsid w:val="00247877"/>
    <w:rsid w:val="00250EA2"/>
    <w:rsid w:val="002521CA"/>
    <w:rsid w:val="002545E4"/>
    <w:rsid w:val="00254C8D"/>
    <w:rsid w:val="00255A50"/>
    <w:rsid w:val="0026066E"/>
    <w:rsid w:val="00260B7D"/>
    <w:rsid w:val="00263244"/>
    <w:rsid w:val="002658F3"/>
    <w:rsid w:val="00265DD0"/>
    <w:rsid w:val="002661C1"/>
    <w:rsid w:val="00266648"/>
    <w:rsid w:val="00266CED"/>
    <w:rsid w:val="00270525"/>
    <w:rsid w:val="00270929"/>
    <w:rsid w:val="00270B80"/>
    <w:rsid w:val="00271BA2"/>
    <w:rsid w:val="00272673"/>
    <w:rsid w:val="00273354"/>
    <w:rsid w:val="00273FAB"/>
    <w:rsid w:val="00274445"/>
    <w:rsid w:val="00274714"/>
    <w:rsid w:val="002750BD"/>
    <w:rsid w:val="002757DB"/>
    <w:rsid w:val="00275834"/>
    <w:rsid w:val="00276FD4"/>
    <w:rsid w:val="00277272"/>
    <w:rsid w:val="002775B1"/>
    <w:rsid w:val="00280C31"/>
    <w:rsid w:val="00280E06"/>
    <w:rsid w:val="00283324"/>
    <w:rsid w:val="00284407"/>
    <w:rsid w:val="00284EC7"/>
    <w:rsid w:val="00285610"/>
    <w:rsid w:val="00285838"/>
    <w:rsid w:val="00285D62"/>
    <w:rsid w:val="00287D85"/>
    <w:rsid w:val="00292DAC"/>
    <w:rsid w:val="00293EE3"/>
    <w:rsid w:val="00294547"/>
    <w:rsid w:val="00294F35"/>
    <w:rsid w:val="00295772"/>
    <w:rsid w:val="00296E0B"/>
    <w:rsid w:val="00297144"/>
    <w:rsid w:val="002976D7"/>
    <w:rsid w:val="00297DF7"/>
    <w:rsid w:val="00297EA0"/>
    <w:rsid w:val="002A0A33"/>
    <w:rsid w:val="002A223E"/>
    <w:rsid w:val="002A2AF3"/>
    <w:rsid w:val="002A3298"/>
    <w:rsid w:val="002A3379"/>
    <w:rsid w:val="002A4691"/>
    <w:rsid w:val="002A66A3"/>
    <w:rsid w:val="002A7652"/>
    <w:rsid w:val="002A7ACB"/>
    <w:rsid w:val="002A7E8F"/>
    <w:rsid w:val="002B04A2"/>
    <w:rsid w:val="002B06E3"/>
    <w:rsid w:val="002B0F62"/>
    <w:rsid w:val="002B2D7C"/>
    <w:rsid w:val="002B4480"/>
    <w:rsid w:val="002B454F"/>
    <w:rsid w:val="002B67C5"/>
    <w:rsid w:val="002B67F5"/>
    <w:rsid w:val="002B71FA"/>
    <w:rsid w:val="002C07D8"/>
    <w:rsid w:val="002C3103"/>
    <w:rsid w:val="002C4934"/>
    <w:rsid w:val="002C495B"/>
    <w:rsid w:val="002C7112"/>
    <w:rsid w:val="002D0151"/>
    <w:rsid w:val="002D0A69"/>
    <w:rsid w:val="002D0CD9"/>
    <w:rsid w:val="002D1A02"/>
    <w:rsid w:val="002D4325"/>
    <w:rsid w:val="002D594F"/>
    <w:rsid w:val="002D611B"/>
    <w:rsid w:val="002D624D"/>
    <w:rsid w:val="002D654D"/>
    <w:rsid w:val="002D7F1C"/>
    <w:rsid w:val="002E1740"/>
    <w:rsid w:val="002E2AEB"/>
    <w:rsid w:val="002E3447"/>
    <w:rsid w:val="002E36C2"/>
    <w:rsid w:val="002E3CBB"/>
    <w:rsid w:val="002E422D"/>
    <w:rsid w:val="002E553D"/>
    <w:rsid w:val="002E59E2"/>
    <w:rsid w:val="002E695B"/>
    <w:rsid w:val="002E70D8"/>
    <w:rsid w:val="002F046F"/>
    <w:rsid w:val="002F08DC"/>
    <w:rsid w:val="00301444"/>
    <w:rsid w:val="00302714"/>
    <w:rsid w:val="00304376"/>
    <w:rsid w:val="003043EB"/>
    <w:rsid w:val="00304479"/>
    <w:rsid w:val="00305243"/>
    <w:rsid w:val="00305576"/>
    <w:rsid w:val="00305904"/>
    <w:rsid w:val="0030613C"/>
    <w:rsid w:val="0030656F"/>
    <w:rsid w:val="00307267"/>
    <w:rsid w:val="00307484"/>
    <w:rsid w:val="00307769"/>
    <w:rsid w:val="0031316E"/>
    <w:rsid w:val="00313597"/>
    <w:rsid w:val="00313D1D"/>
    <w:rsid w:val="00321464"/>
    <w:rsid w:val="00321746"/>
    <w:rsid w:val="003221FF"/>
    <w:rsid w:val="003234A5"/>
    <w:rsid w:val="00323AC1"/>
    <w:rsid w:val="00324408"/>
    <w:rsid w:val="00326624"/>
    <w:rsid w:val="00326892"/>
    <w:rsid w:val="00327E68"/>
    <w:rsid w:val="00330447"/>
    <w:rsid w:val="00330543"/>
    <w:rsid w:val="003306F6"/>
    <w:rsid w:val="00331C4D"/>
    <w:rsid w:val="00332BD1"/>
    <w:rsid w:val="00333B20"/>
    <w:rsid w:val="003348A5"/>
    <w:rsid w:val="00335029"/>
    <w:rsid w:val="00337311"/>
    <w:rsid w:val="00337AA4"/>
    <w:rsid w:val="00337D90"/>
    <w:rsid w:val="00340B31"/>
    <w:rsid w:val="00341E75"/>
    <w:rsid w:val="00342328"/>
    <w:rsid w:val="00344F6F"/>
    <w:rsid w:val="00346190"/>
    <w:rsid w:val="00346400"/>
    <w:rsid w:val="00351C22"/>
    <w:rsid w:val="00353A4A"/>
    <w:rsid w:val="00353FC3"/>
    <w:rsid w:val="003547DD"/>
    <w:rsid w:val="00355021"/>
    <w:rsid w:val="003559B3"/>
    <w:rsid w:val="00355C11"/>
    <w:rsid w:val="00356638"/>
    <w:rsid w:val="003566A4"/>
    <w:rsid w:val="00356978"/>
    <w:rsid w:val="00356EB1"/>
    <w:rsid w:val="00360557"/>
    <w:rsid w:val="00360D88"/>
    <w:rsid w:val="0036115E"/>
    <w:rsid w:val="0036287D"/>
    <w:rsid w:val="00362D8C"/>
    <w:rsid w:val="003630B1"/>
    <w:rsid w:val="00363303"/>
    <w:rsid w:val="003648BE"/>
    <w:rsid w:val="00364A85"/>
    <w:rsid w:val="00364FF2"/>
    <w:rsid w:val="00370851"/>
    <w:rsid w:val="0037116B"/>
    <w:rsid w:val="00372093"/>
    <w:rsid w:val="003723AC"/>
    <w:rsid w:val="00372702"/>
    <w:rsid w:val="00372913"/>
    <w:rsid w:val="00372933"/>
    <w:rsid w:val="003733DE"/>
    <w:rsid w:val="00373CFF"/>
    <w:rsid w:val="00374CC0"/>
    <w:rsid w:val="00374DF8"/>
    <w:rsid w:val="003752F4"/>
    <w:rsid w:val="003757C5"/>
    <w:rsid w:val="00375A7B"/>
    <w:rsid w:val="00376BE5"/>
    <w:rsid w:val="003775E1"/>
    <w:rsid w:val="00377799"/>
    <w:rsid w:val="00380279"/>
    <w:rsid w:val="003817DB"/>
    <w:rsid w:val="00384EAD"/>
    <w:rsid w:val="00385FD1"/>
    <w:rsid w:val="00394706"/>
    <w:rsid w:val="0039777C"/>
    <w:rsid w:val="00397FA6"/>
    <w:rsid w:val="003A163D"/>
    <w:rsid w:val="003A1A0A"/>
    <w:rsid w:val="003A1BB1"/>
    <w:rsid w:val="003A3773"/>
    <w:rsid w:val="003A5F92"/>
    <w:rsid w:val="003A76F5"/>
    <w:rsid w:val="003A7D98"/>
    <w:rsid w:val="003B04B7"/>
    <w:rsid w:val="003B0AC0"/>
    <w:rsid w:val="003B251F"/>
    <w:rsid w:val="003B4C07"/>
    <w:rsid w:val="003B5DE5"/>
    <w:rsid w:val="003B5ED3"/>
    <w:rsid w:val="003B744F"/>
    <w:rsid w:val="003C0C60"/>
    <w:rsid w:val="003C1188"/>
    <w:rsid w:val="003C154D"/>
    <w:rsid w:val="003C2250"/>
    <w:rsid w:val="003C29DC"/>
    <w:rsid w:val="003C2BAB"/>
    <w:rsid w:val="003C437D"/>
    <w:rsid w:val="003C56F9"/>
    <w:rsid w:val="003C5B45"/>
    <w:rsid w:val="003C6F44"/>
    <w:rsid w:val="003C7208"/>
    <w:rsid w:val="003C7687"/>
    <w:rsid w:val="003C7D99"/>
    <w:rsid w:val="003D157C"/>
    <w:rsid w:val="003D17A5"/>
    <w:rsid w:val="003D1B2C"/>
    <w:rsid w:val="003D2998"/>
    <w:rsid w:val="003D2BED"/>
    <w:rsid w:val="003D2E58"/>
    <w:rsid w:val="003D51F0"/>
    <w:rsid w:val="003D58DD"/>
    <w:rsid w:val="003D5A8C"/>
    <w:rsid w:val="003D6335"/>
    <w:rsid w:val="003D69EB"/>
    <w:rsid w:val="003D78D5"/>
    <w:rsid w:val="003D7AD4"/>
    <w:rsid w:val="003E170E"/>
    <w:rsid w:val="003E1957"/>
    <w:rsid w:val="003E1A42"/>
    <w:rsid w:val="003E1AA5"/>
    <w:rsid w:val="003E2DC2"/>
    <w:rsid w:val="003E3F55"/>
    <w:rsid w:val="003E4607"/>
    <w:rsid w:val="003E4FA8"/>
    <w:rsid w:val="003E5260"/>
    <w:rsid w:val="003E5902"/>
    <w:rsid w:val="003E6CD1"/>
    <w:rsid w:val="003E7213"/>
    <w:rsid w:val="003E72D5"/>
    <w:rsid w:val="003E7D25"/>
    <w:rsid w:val="003F4027"/>
    <w:rsid w:val="003F4124"/>
    <w:rsid w:val="003F452C"/>
    <w:rsid w:val="003F5C5B"/>
    <w:rsid w:val="003F68DA"/>
    <w:rsid w:val="003F73E7"/>
    <w:rsid w:val="003F7E72"/>
    <w:rsid w:val="0040146E"/>
    <w:rsid w:val="00404433"/>
    <w:rsid w:val="0040553A"/>
    <w:rsid w:val="00406184"/>
    <w:rsid w:val="00406525"/>
    <w:rsid w:val="00406877"/>
    <w:rsid w:val="0041045F"/>
    <w:rsid w:val="004157D2"/>
    <w:rsid w:val="00417AA2"/>
    <w:rsid w:val="0042271B"/>
    <w:rsid w:val="00423460"/>
    <w:rsid w:val="004234F1"/>
    <w:rsid w:val="00423562"/>
    <w:rsid w:val="004270A0"/>
    <w:rsid w:val="004273D6"/>
    <w:rsid w:val="00427E19"/>
    <w:rsid w:val="004310F1"/>
    <w:rsid w:val="00431368"/>
    <w:rsid w:val="004313E0"/>
    <w:rsid w:val="00433798"/>
    <w:rsid w:val="0043422F"/>
    <w:rsid w:val="00434D6F"/>
    <w:rsid w:val="00435F1C"/>
    <w:rsid w:val="00436E5F"/>
    <w:rsid w:val="004379C2"/>
    <w:rsid w:val="00440206"/>
    <w:rsid w:val="00440C97"/>
    <w:rsid w:val="00441944"/>
    <w:rsid w:val="00441FCA"/>
    <w:rsid w:val="00442108"/>
    <w:rsid w:val="004422BB"/>
    <w:rsid w:val="00442AEC"/>
    <w:rsid w:val="00444466"/>
    <w:rsid w:val="004448B5"/>
    <w:rsid w:val="00444D35"/>
    <w:rsid w:val="0044542F"/>
    <w:rsid w:val="00447358"/>
    <w:rsid w:val="00452236"/>
    <w:rsid w:val="004527CA"/>
    <w:rsid w:val="00454232"/>
    <w:rsid w:val="00454670"/>
    <w:rsid w:val="00455FAA"/>
    <w:rsid w:val="00457BDD"/>
    <w:rsid w:val="004604CE"/>
    <w:rsid w:val="00462FA7"/>
    <w:rsid w:val="004648FC"/>
    <w:rsid w:val="004655FC"/>
    <w:rsid w:val="00466412"/>
    <w:rsid w:val="00466433"/>
    <w:rsid w:val="0047079D"/>
    <w:rsid w:val="00472E64"/>
    <w:rsid w:val="00473DB2"/>
    <w:rsid w:val="0047602C"/>
    <w:rsid w:val="00476671"/>
    <w:rsid w:val="0048083C"/>
    <w:rsid w:val="00486801"/>
    <w:rsid w:val="0049019C"/>
    <w:rsid w:val="00491CAE"/>
    <w:rsid w:val="00491D12"/>
    <w:rsid w:val="0049499E"/>
    <w:rsid w:val="0049547A"/>
    <w:rsid w:val="00495F3A"/>
    <w:rsid w:val="00497DDD"/>
    <w:rsid w:val="004A09C7"/>
    <w:rsid w:val="004A0B0C"/>
    <w:rsid w:val="004A0B7F"/>
    <w:rsid w:val="004A1265"/>
    <w:rsid w:val="004A1283"/>
    <w:rsid w:val="004A169B"/>
    <w:rsid w:val="004A3C94"/>
    <w:rsid w:val="004A43E7"/>
    <w:rsid w:val="004A481A"/>
    <w:rsid w:val="004A6026"/>
    <w:rsid w:val="004A7E1E"/>
    <w:rsid w:val="004B05B1"/>
    <w:rsid w:val="004B0D69"/>
    <w:rsid w:val="004B2C96"/>
    <w:rsid w:val="004B36AB"/>
    <w:rsid w:val="004B61D5"/>
    <w:rsid w:val="004B6A21"/>
    <w:rsid w:val="004B737D"/>
    <w:rsid w:val="004B7453"/>
    <w:rsid w:val="004B7AFF"/>
    <w:rsid w:val="004C0209"/>
    <w:rsid w:val="004C044F"/>
    <w:rsid w:val="004C26B3"/>
    <w:rsid w:val="004C2DC8"/>
    <w:rsid w:val="004C41D4"/>
    <w:rsid w:val="004C5FB3"/>
    <w:rsid w:val="004C66D5"/>
    <w:rsid w:val="004C7390"/>
    <w:rsid w:val="004C7AD7"/>
    <w:rsid w:val="004D27E4"/>
    <w:rsid w:val="004D3933"/>
    <w:rsid w:val="004D538F"/>
    <w:rsid w:val="004D635B"/>
    <w:rsid w:val="004D670E"/>
    <w:rsid w:val="004E0DDA"/>
    <w:rsid w:val="004E11BB"/>
    <w:rsid w:val="004E159B"/>
    <w:rsid w:val="004E33E5"/>
    <w:rsid w:val="004E359A"/>
    <w:rsid w:val="004E3E41"/>
    <w:rsid w:val="004E4361"/>
    <w:rsid w:val="004E56ED"/>
    <w:rsid w:val="004E6D1C"/>
    <w:rsid w:val="004E7D73"/>
    <w:rsid w:val="004F1267"/>
    <w:rsid w:val="004F3D71"/>
    <w:rsid w:val="004F4793"/>
    <w:rsid w:val="004F5892"/>
    <w:rsid w:val="004F6EFD"/>
    <w:rsid w:val="004F752C"/>
    <w:rsid w:val="004F7B00"/>
    <w:rsid w:val="00500496"/>
    <w:rsid w:val="00501CED"/>
    <w:rsid w:val="0050308F"/>
    <w:rsid w:val="00503A16"/>
    <w:rsid w:val="00503E1D"/>
    <w:rsid w:val="005044ED"/>
    <w:rsid w:val="0050497A"/>
    <w:rsid w:val="005053D2"/>
    <w:rsid w:val="005061C7"/>
    <w:rsid w:val="00510533"/>
    <w:rsid w:val="00510FC5"/>
    <w:rsid w:val="00511FB1"/>
    <w:rsid w:val="00512E09"/>
    <w:rsid w:val="0051395C"/>
    <w:rsid w:val="00515135"/>
    <w:rsid w:val="0051594E"/>
    <w:rsid w:val="00516626"/>
    <w:rsid w:val="00517724"/>
    <w:rsid w:val="00517BBE"/>
    <w:rsid w:val="005227DE"/>
    <w:rsid w:val="00522EF1"/>
    <w:rsid w:val="0052338F"/>
    <w:rsid w:val="00523D18"/>
    <w:rsid w:val="0052428A"/>
    <w:rsid w:val="00524603"/>
    <w:rsid w:val="00525616"/>
    <w:rsid w:val="00525DB5"/>
    <w:rsid w:val="00526DFC"/>
    <w:rsid w:val="005300FE"/>
    <w:rsid w:val="00534258"/>
    <w:rsid w:val="00534A7C"/>
    <w:rsid w:val="00535C54"/>
    <w:rsid w:val="005374B8"/>
    <w:rsid w:val="00537F17"/>
    <w:rsid w:val="00540FD6"/>
    <w:rsid w:val="00543F78"/>
    <w:rsid w:val="0054598C"/>
    <w:rsid w:val="00546B37"/>
    <w:rsid w:val="00546C29"/>
    <w:rsid w:val="00546FB5"/>
    <w:rsid w:val="00550B3B"/>
    <w:rsid w:val="005512AB"/>
    <w:rsid w:val="0055174E"/>
    <w:rsid w:val="00552021"/>
    <w:rsid w:val="00555BCF"/>
    <w:rsid w:val="00556241"/>
    <w:rsid w:val="005571BA"/>
    <w:rsid w:val="00557322"/>
    <w:rsid w:val="005606D5"/>
    <w:rsid w:val="00563DF3"/>
    <w:rsid w:val="00564995"/>
    <w:rsid w:val="00565988"/>
    <w:rsid w:val="00566B17"/>
    <w:rsid w:val="00566C53"/>
    <w:rsid w:val="00566CB1"/>
    <w:rsid w:val="00567541"/>
    <w:rsid w:val="00567EA3"/>
    <w:rsid w:val="00570694"/>
    <w:rsid w:val="00572861"/>
    <w:rsid w:val="00572C06"/>
    <w:rsid w:val="00575467"/>
    <w:rsid w:val="005764CC"/>
    <w:rsid w:val="005765C5"/>
    <w:rsid w:val="005768EA"/>
    <w:rsid w:val="005778E7"/>
    <w:rsid w:val="0057795C"/>
    <w:rsid w:val="0058000E"/>
    <w:rsid w:val="00580D79"/>
    <w:rsid w:val="00581AC5"/>
    <w:rsid w:val="00581ED4"/>
    <w:rsid w:val="0058257E"/>
    <w:rsid w:val="005826E3"/>
    <w:rsid w:val="005828CF"/>
    <w:rsid w:val="00582A5F"/>
    <w:rsid w:val="0058434E"/>
    <w:rsid w:val="00586C8E"/>
    <w:rsid w:val="00587F5B"/>
    <w:rsid w:val="0059012A"/>
    <w:rsid w:val="0059157D"/>
    <w:rsid w:val="00592149"/>
    <w:rsid w:val="0059245F"/>
    <w:rsid w:val="00592B08"/>
    <w:rsid w:val="00593C19"/>
    <w:rsid w:val="00595806"/>
    <w:rsid w:val="00595BCC"/>
    <w:rsid w:val="00597627"/>
    <w:rsid w:val="00597AED"/>
    <w:rsid w:val="00597EE5"/>
    <w:rsid w:val="005A0589"/>
    <w:rsid w:val="005A26A1"/>
    <w:rsid w:val="005A3691"/>
    <w:rsid w:val="005A4762"/>
    <w:rsid w:val="005A5599"/>
    <w:rsid w:val="005B0EF0"/>
    <w:rsid w:val="005B331A"/>
    <w:rsid w:val="005B5828"/>
    <w:rsid w:val="005B5858"/>
    <w:rsid w:val="005B6745"/>
    <w:rsid w:val="005C0582"/>
    <w:rsid w:val="005C12AD"/>
    <w:rsid w:val="005C1AB3"/>
    <w:rsid w:val="005C391A"/>
    <w:rsid w:val="005C5EA6"/>
    <w:rsid w:val="005C7AB4"/>
    <w:rsid w:val="005D055C"/>
    <w:rsid w:val="005D1B80"/>
    <w:rsid w:val="005D4E27"/>
    <w:rsid w:val="005D5673"/>
    <w:rsid w:val="005D59FF"/>
    <w:rsid w:val="005D5D8F"/>
    <w:rsid w:val="005D6DEB"/>
    <w:rsid w:val="005D7B52"/>
    <w:rsid w:val="005E012A"/>
    <w:rsid w:val="005E04F1"/>
    <w:rsid w:val="005E084C"/>
    <w:rsid w:val="005E0AEF"/>
    <w:rsid w:val="005E3DDD"/>
    <w:rsid w:val="005E3E76"/>
    <w:rsid w:val="005E4329"/>
    <w:rsid w:val="005E43C1"/>
    <w:rsid w:val="005E55D7"/>
    <w:rsid w:val="005E571A"/>
    <w:rsid w:val="005E6646"/>
    <w:rsid w:val="005E701E"/>
    <w:rsid w:val="005E7FF3"/>
    <w:rsid w:val="005F1FDF"/>
    <w:rsid w:val="005F2A75"/>
    <w:rsid w:val="005F2B02"/>
    <w:rsid w:val="005F3566"/>
    <w:rsid w:val="005F3792"/>
    <w:rsid w:val="005F3E27"/>
    <w:rsid w:val="005F6226"/>
    <w:rsid w:val="005F62F4"/>
    <w:rsid w:val="005F637E"/>
    <w:rsid w:val="005F78E4"/>
    <w:rsid w:val="005F795C"/>
    <w:rsid w:val="0060001C"/>
    <w:rsid w:val="00601EC3"/>
    <w:rsid w:val="006031C4"/>
    <w:rsid w:val="0060447C"/>
    <w:rsid w:val="00604EAF"/>
    <w:rsid w:val="0060528F"/>
    <w:rsid w:val="0060557E"/>
    <w:rsid w:val="006072A0"/>
    <w:rsid w:val="006108A7"/>
    <w:rsid w:val="00613D72"/>
    <w:rsid w:val="006140D8"/>
    <w:rsid w:val="00614D3D"/>
    <w:rsid w:val="00614E3F"/>
    <w:rsid w:val="00615844"/>
    <w:rsid w:val="0061613E"/>
    <w:rsid w:val="00616415"/>
    <w:rsid w:val="006164A3"/>
    <w:rsid w:val="00616B1D"/>
    <w:rsid w:val="00620582"/>
    <w:rsid w:val="00620C02"/>
    <w:rsid w:val="006227F8"/>
    <w:rsid w:val="00623F45"/>
    <w:rsid w:val="006253C8"/>
    <w:rsid w:val="00625DEA"/>
    <w:rsid w:val="006265E4"/>
    <w:rsid w:val="00626A8E"/>
    <w:rsid w:val="00627B46"/>
    <w:rsid w:val="0063051E"/>
    <w:rsid w:val="00630BC8"/>
    <w:rsid w:val="006311D1"/>
    <w:rsid w:val="00632A1C"/>
    <w:rsid w:val="006338C9"/>
    <w:rsid w:val="00637C86"/>
    <w:rsid w:val="006402C1"/>
    <w:rsid w:val="00641486"/>
    <w:rsid w:val="0064194D"/>
    <w:rsid w:val="00641EA9"/>
    <w:rsid w:val="0064249C"/>
    <w:rsid w:val="0064441E"/>
    <w:rsid w:val="00645D91"/>
    <w:rsid w:val="0064642F"/>
    <w:rsid w:val="00647804"/>
    <w:rsid w:val="00647B6B"/>
    <w:rsid w:val="00650C9C"/>
    <w:rsid w:val="00651A19"/>
    <w:rsid w:val="00654D4C"/>
    <w:rsid w:val="00655062"/>
    <w:rsid w:val="00655815"/>
    <w:rsid w:val="00660A3E"/>
    <w:rsid w:val="00660C5F"/>
    <w:rsid w:val="00661EBE"/>
    <w:rsid w:val="00661F5E"/>
    <w:rsid w:val="00662079"/>
    <w:rsid w:val="00663022"/>
    <w:rsid w:val="00663E78"/>
    <w:rsid w:val="00663ED1"/>
    <w:rsid w:val="006653BC"/>
    <w:rsid w:val="00665D49"/>
    <w:rsid w:val="00670917"/>
    <w:rsid w:val="00671A3D"/>
    <w:rsid w:val="0067201C"/>
    <w:rsid w:val="00672A6C"/>
    <w:rsid w:val="00673EF4"/>
    <w:rsid w:val="00674026"/>
    <w:rsid w:val="00675043"/>
    <w:rsid w:val="006758BD"/>
    <w:rsid w:val="00675ED0"/>
    <w:rsid w:val="00676987"/>
    <w:rsid w:val="00677847"/>
    <w:rsid w:val="00680F4F"/>
    <w:rsid w:val="00681264"/>
    <w:rsid w:val="00681DEE"/>
    <w:rsid w:val="0068265C"/>
    <w:rsid w:val="00683D32"/>
    <w:rsid w:val="006860D5"/>
    <w:rsid w:val="006877AC"/>
    <w:rsid w:val="00687CB4"/>
    <w:rsid w:val="00687EF8"/>
    <w:rsid w:val="006903DB"/>
    <w:rsid w:val="00690964"/>
    <w:rsid w:val="00691408"/>
    <w:rsid w:val="00691DD8"/>
    <w:rsid w:val="006923EC"/>
    <w:rsid w:val="006925DE"/>
    <w:rsid w:val="006927B9"/>
    <w:rsid w:val="006928AF"/>
    <w:rsid w:val="00692FCF"/>
    <w:rsid w:val="0069321E"/>
    <w:rsid w:val="00694F59"/>
    <w:rsid w:val="006974D4"/>
    <w:rsid w:val="0069766A"/>
    <w:rsid w:val="006A09C0"/>
    <w:rsid w:val="006A0F18"/>
    <w:rsid w:val="006A1210"/>
    <w:rsid w:val="006A1885"/>
    <w:rsid w:val="006A229C"/>
    <w:rsid w:val="006A431A"/>
    <w:rsid w:val="006A6364"/>
    <w:rsid w:val="006A735E"/>
    <w:rsid w:val="006A7AB5"/>
    <w:rsid w:val="006B0149"/>
    <w:rsid w:val="006B0990"/>
    <w:rsid w:val="006B131D"/>
    <w:rsid w:val="006B14A1"/>
    <w:rsid w:val="006B1D2F"/>
    <w:rsid w:val="006B23D2"/>
    <w:rsid w:val="006B2E6A"/>
    <w:rsid w:val="006B33D1"/>
    <w:rsid w:val="006B4324"/>
    <w:rsid w:val="006B451A"/>
    <w:rsid w:val="006B4BF0"/>
    <w:rsid w:val="006B5417"/>
    <w:rsid w:val="006B5A99"/>
    <w:rsid w:val="006B66A7"/>
    <w:rsid w:val="006B6C2D"/>
    <w:rsid w:val="006B709C"/>
    <w:rsid w:val="006C0C4C"/>
    <w:rsid w:val="006C14DB"/>
    <w:rsid w:val="006C37B9"/>
    <w:rsid w:val="006C3FA9"/>
    <w:rsid w:val="006C43B8"/>
    <w:rsid w:val="006C4C9C"/>
    <w:rsid w:val="006C6E49"/>
    <w:rsid w:val="006C6F22"/>
    <w:rsid w:val="006D1DC8"/>
    <w:rsid w:val="006D2E15"/>
    <w:rsid w:val="006D2F85"/>
    <w:rsid w:val="006D3478"/>
    <w:rsid w:val="006D3FF9"/>
    <w:rsid w:val="006D448C"/>
    <w:rsid w:val="006D60DF"/>
    <w:rsid w:val="006D708D"/>
    <w:rsid w:val="006E164F"/>
    <w:rsid w:val="006E3B4C"/>
    <w:rsid w:val="006E5800"/>
    <w:rsid w:val="006E5ECD"/>
    <w:rsid w:val="006E64FD"/>
    <w:rsid w:val="006E6B7C"/>
    <w:rsid w:val="006E6E90"/>
    <w:rsid w:val="006E7976"/>
    <w:rsid w:val="006F0071"/>
    <w:rsid w:val="006F0992"/>
    <w:rsid w:val="006F0AA5"/>
    <w:rsid w:val="006F228D"/>
    <w:rsid w:val="006F2A81"/>
    <w:rsid w:val="006F372A"/>
    <w:rsid w:val="006F5696"/>
    <w:rsid w:val="006F5BEF"/>
    <w:rsid w:val="006F5E4D"/>
    <w:rsid w:val="006F6DA9"/>
    <w:rsid w:val="006F6FB0"/>
    <w:rsid w:val="00700203"/>
    <w:rsid w:val="00701062"/>
    <w:rsid w:val="0070211E"/>
    <w:rsid w:val="00703714"/>
    <w:rsid w:val="00703819"/>
    <w:rsid w:val="0070715D"/>
    <w:rsid w:val="007100B9"/>
    <w:rsid w:val="00711D64"/>
    <w:rsid w:val="00715FE0"/>
    <w:rsid w:val="00715FFC"/>
    <w:rsid w:val="00716370"/>
    <w:rsid w:val="00717514"/>
    <w:rsid w:val="00717C3E"/>
    <w:rsid w:val="007205AB"/>
    <w:rsid w:val="00721538"/>
    <w:rsid w:val="0072154E"/>
    <w:rsid w:val="0072160D"/>
    <w:rsid w:val="00721EE8"/>
    <w:rsid w:val="0072259E"/>
    <w:rsid w:val="00722D78"/>
    <w:rsid w:val="007240DD"/>
    <w:rsid w:val="00724A14"/>
    <w:rsid w:val="007258CE"/>
    <w:rsid w:val="0073024D"/>
    <w:rsid w:val="007314D5"/>
    <w:rsid w:val="00731512"/>
    <w:rsid w:val="00732408"/>
    <w:rsid w:val="0073327B"/>
    <w:rsid w:val="007333F3"/>
    <w:rsid w:val="00733EAE"/>
    <w:rsid w:val="00735234"/>
    <w:rsid w:val="0073523D"/>
    <w:rsid w:val="0073762D"/>
    <w:rsid w:val="00741256"/>
    <w:rsid w:val="00741722"/>
    <w:rsid w:val="00742491"/>
    <w:rsid w:val="00742647"/>
    <w:rsid w:val="00742A3F"/>
    <w:rsid w:val="00743A12"/>
    <w:rsid w:val="00744947"/>
    <w:rsid w:val="007453CB"/>
    <w:rsid w:val="00746157"/>
    <w:rsid w:val="00746D6A"/>
    <w:rsid w:val="007477F9"/>
    <w:rsid w:val="00747FA2"/>
    <w:rsid w:val="007505E1"/>
    <w:rsid w:val="00753A59"/>
    <w:rsid w:val="00753D03"/>
    <w:rsid w:val="007610E3"/>
    <w:rsid w:val="00761B06"/>
    <w:rsid w:val="00762DE1"/>
    <w:rsid w:val="00763B60"/>
    <w:rsid w:val="00764B05"/>
    <w:rsid w:val="00765851"/>
    <w:rsid w:val="00765C97"/>
    <w:rsid w:val="00770F37"/>
    <w:rsid w:val="00772992"/>
    <w:rsid w:val="007743E6"/>
    <w:rsid w:val="00774497"/>
    <w:rsid w:val="00774A7A"/>
    <w:rsid w:val="00774EF0"/>
    <w:rsid w:val="00775880"/>
    <w:rsid w:val="007761F5"/>
    <w:rsid w:val="007762A1"/>
    <w:rsid w:val="00776564"/>
    <w:rsid w:val="00776AC6"/>
    <w:rsid w:val="00776C8E"/>
    <w:rsid w:val="007770E1"/>
    <w:rsid w:val="0078002B"/>
    <w:rsid w:val="00780083"/>
    <w:rsid w:val="00781277"/>
    <w:rsid w:val="007840BF"/>
    <w:rsid w:val="00784B2A"/>
    <w:rsid w:val="00785A8C"/>
    <w:rsid w:val="00786C59"/>
    <w:rsid w:val="007875F5"/>
    <w:rsid w:val="00790FC1"/>
    <w:rsid w:val="007923B1"/>
    <w:rsid w:val="00792F4E"/>
    <w:rsid w:val="00793759"/>
    <w:rsid w:val="0079597D"/>
    <w:rsid w:val="00796B6B"/>
    <w:rsid w:val="00796D2B"/>
    <w:rsid w:val="00797ACD"/>
    <w:rsid w:val="00797B36"/>
    <w:rsid w:val="007A01DC"/>
    <w:rsid w:val="007A0642"/>
    <w:rsid w:val="007A238A"/>
    <w:rsid w:val="007A3052"/>
    <w:rsid w:val="007A33E5"/>
    <w:rsid w:val="007A3A76"/>
    <w:rsid w:val="007A3F9F"/>
    <w:rsid w:val="007A4043"/>
    <w:rsid w:val="007A5F50"/>
    <w:rsid w:val="007A6C2F"/>
    <w:rsid w:val="007A7FAE"/>
    <w:rsid w:val="007B12C6"/>
    <w:rsid w:val="007B1625"/>
    <w:rsid w:val="007B2154"/>
    <w:rsid w:val="007B4D7F"/>
    <w:rsid w:val="007B4EBF"/>
    <w:rsid w:val="007B5375"/>
    <w:rsid w:val="007C0313"/>
    <w:rsid w:val="007C0E2C"/>
    <w:rsid w:val="007C1F66"/>
    <w:rsid w:val="007C2239"/>
    <w:rsid w:val="007C38ED"/>
    <w:rsid w:val="007C42AE"/>
    <w:rsid w:val="007C665E"/>
    <w:rsid w:val="007C7026"/>
    <w:rsid w:val="007D0A1D"/>
    <w:rsid w:val="007D0B0C"/>
    <w:rsid w:val="007D1807"/>
    <w:rsid w:val="007D1DDC"/>
    <w:rsid w:val="007D2205"/>
    <w:rsid w:val="007D4468"/>
    <w:rsid w:val="007D57D1"/>
    <w:rsid w:val="007D5E0C"/>
    <w:rsid w:val="007D7330"/>
    <w:rsid w:val="007D743F"/>
    <w:rsid w:val="007E0DE6"/>
    <w:rsid w:val="007E0EBD"/>
    <w:rsid w:val="007E1112"/>
    <w:rsid w:val="007E1143"/>
    <w:rsid w:val="007E1560"/>
    <w:rsid w:val="007E4551"/>
    <w:rsid w:val="007E4A96"/>
    <w:rsid w:val="007E6452"/>
    <w:rsid w:val="007E6BF7"/>
    <w:rsid w:val="007F02AD"/>
    <w:rsid w:val="007F1037"/>
    <w:rsid w:val="007F17FC"/>
    <w:rsid w:val="007F280A"/>
    <w:rsid w:val="007F4521"/>
    <w:rsid w:val="007F5A6F"/>
    <w:rsid w:val="007F657D"/>
    <w:rsid w:val="007F6616"/>
    <w:rsid w:val="007F7E88"/>
    <w:rsid w:val="00800D19"/>
    <w:rsid w:val="008017E9"/>
    <w:rsid w:val="008021E7"/>
    <w:rsid w:val="00802417"/>
    <w:rsid w:val="0080279F"/>
    <w:rsid w:val="0080333F"/>
    <w:rsid w:val="00804323"/>
    <w:rsid w:val="00804DB0"/>
    <w:rsid w:val="008073C9"/>
    <w:rsid w:val="0081246E"/>
    <w:rsid w:val="00812B19"/>
    <w:rsid w:val="0081368A"/>
    <w:rsid w:val="00813F49"/>
    <w:rsid w:val="008157CA"/>
    <w:rsid w:val="008158A8"/>
    <w:rsid w:val="00816538"/>
    <w:rsid w:val="00817028"/>
    <w:rsid w:val="008174B9"/>
    <w:rsid w:val="00817F80"/>
    <w:rsid w:val="00821B7C"/>
    <w:rsid w:val="00821E48"/>
    <w:rsid w:val="0082259D"/>
    <w:rsid w:val="00823311"/>
    <w:rsid w:val="00823647"/>
    <w:rsid w:val="00824033"/>
    <w:rsid w:val="0082499D"/>
    <w:rsid w:val="0082560E"/>
    <w:rsid w:val="00826827"/>
    <w:rsid w:val="00827713"/>
    <w:rsid w:val="00830581"/>
    <w:rsid w:val="00830960"/>
    <w:rsid w:val="00831E2C"/>
    <w:rsid w:val="00833166"/>
    <w:rsid w:val="008337B7"/>
    <w:rsid w:val="00834DD0"/>
    <w:rsid w:val="00834DD2"/>
    <w:rsid w:val="00836DA9"/>
    <w:rsid w:val="00837DC9"/>
    <w:rsid w:val="00840C86"/>
    <w:rsid w:val="00840E3B"/>
    <w:rsid w:val="008438A1"/>
    <w:rsid w:val="0084536F"/>
    <w:rsid w:val="00846B40"/>
    <w:rsid w:val="00846B67"/>
    <w:rsid w:val="0084738A"/>
    <w:rsid w:val="008500AB"/>
    <w:rsid w:val="008505FA"/>
    <w:rsid w:val="00851742"/>
    <w:rsid w:val="008525A1"/>
    <w:rsid w:val="00853140"/>
    <w:rsid w:val="0085381A"/>
    <w:rsid w:val="00853854"/>
    <w:rsid w:val="008545BC"/>
    <w:rsid w:val="008546B3"/>
    <w:rsid w:val="00854B93"/>
    <w:rsid w:val="00854DCD"/>
    <w:rsid w:val="008554AD"/>
    <w:rsid w:val="00855BF7"/>
    <w:rsid w:val="00855C47"/>
    <w:rsid w:val="00855EB5"/>
    <w:rsid w:val="0086038A"/>
    <w:rsid w:val="008612A8"/>
    <w:rsid w:val="00862371"/>
    <w:rsid w:val="00862E3A"/>
    <w:rsid w:val="0086421C"/>
    <w:rsid w:val="00864AF1"/>
    <w:rsid w:val="00865061"/>
    <w:rsid w:val="00867584"/>
    <w:rsid w:val="00870BD8"/>
    <w:rsid w:val="00870C59"/>
    <w:rsid w:val="00873267"/>
    <w:rsid w:val="00874891"/>
    <w:rsid w:val="00874CBB"/>
    <w:rsid w:val="008769FE"/>
    <w:rsid w:val="008774B4"/>
    <w:rsid w:val="00877AE8"/>
    <w:rsid w:val="00883995"/>
    <w:rsid w:val="00884B43"/>
    <w:rsid w:val="008852CD"/>
    <w:rsid w:val="00885BA9"/>
    <w:rsid w:val="00885F05"/>
    <w:rsid w:val="008876F6"/>
    <w:rsid w:val="00890AFD"/>
    <w:rsid w:val="00890CEB"/>
    <w:rsid w:val="00891739"/>
    <w:rsid w:val="008917EF"/>
    <w:rsid w:val="0089286E"/>
    <w:rsid w:val="00893E27"/>
    <w:rsid w:val="00893FCC"/>
    <w:rsid w:val="00894C2C"/>
    <w:rsid w:val="00896C95"/>
    <w:rsid w:val="00897E76"/>
    <w:rsid w:val="008A0064"/>
    <w:rsid w:val="008A090E"/>
    <w:rsid w:val="008A23FA"/>
    <w:rsid w:val="008A3250"/>
    <w:rsid w:val="008A3EC8"/>
    <w:rsid w:val="008A403F"/>
    <w:rsid w:val="008A49AB"/>
    <w:rsid w:val="008A4F06"/>
    <w:rsid w:val="008A54A0"/>
    <w:rsid w:val="008A55EF"/>
    <w:rsid w:val="008A67A7"/>
    <w:rsid w:val="008A6919"/>
    <w:rsid w:val="008A6B4D"/>
    <w:rsid w:val="008A728F"/>
    <w:rsid w:val="008A734A"/>
    <w:rsid w:val="008A7C4F"/>
    <w:rsid w:val="008B13FF"/>
    <w:rsid w:val="008B1F9C"/>
    <w:rsid w:val="008B4D22"/>
    <w:rsid w:val="008B5F9F"/>
    <w:rsid w:val="008B64C6"/>
    <w:rsid w:val="008B6EB4"/>
    <w:rsid w:val="008C0B0C"/>
    <w:rsid w:val="008C116B"/>
    <w:rsid w:val="008C1D01"/>
    <w:rsid w:val="008C2D5F"/>
    <w:rsid w:val="008C3306"/>
    <w:rsid w:val="008C5B16"/>
    <w:rsid w:val="008C613C"/>
    <w:rsid w:val="008C6A8B"/>
    <w:rsid w:val="008C6AE2"/>
    <w:rsid w:val="008C7E38"/>
    <w:rsid w:val="008D0216"/>
    <w:rsid w:val="008D09A7"/>
    <w:rsid w:val="008D17FC"/>
    <w:rsid w:val="008D195B"/>
    <w:rsid w:val="008D1FFB"/>
    <w:rsid w:val="008D23C6"/>
    <w:rsid w:val="008D31FF"/>
    <w:rsid w:val="008D3454"/>
    <w:rsid w:val="008D422D"/>
    <w:rsid w:val="008D423B"/>
    <w:rsid w:val="008D4D65"/>
    <w:rsid w:val="008E1822"/>
    <w:rsid w:val="008E18DB"/>
    <w:rsid w:val="008E3C5B"/>
    <w:rsid w:val="008E4319"/>
    <w:rsid w:val="008E4C1A"/>
    <w:rsid w:val="008E4F65"/>
    <w:rsid w:val="008E63E7"/>
    <w:rsid w:val="008E7F65"/>
    <w:rsid w:val="008F2B18"/>
    <w:rsid w:val="008F353A"/>
    <w:rsid w:val="008F3DC1"/>
    <w:rsid w:val="008F5417"/>
    <w:rsid w:val="008F5ADB"/>
    <w:rsid w:val="008F637C"/>
    <w:rsid w:val="008F6F2E"/>
    <w:rsid w:val="008F6F68"/>
    <w:rsid w:val="0090166C"/>
    <w:rsid w:val="009020A0"/>
    <w:rsid w:val="009021CD"/>
    <w:rsid w:val="0090245F"/>
    <w:rsid w:val="0090398C"/>
    <w:rsid w:val="0090639B"/>
    <w:rsid w:val="00907275"/>
    <w:rsid w:val="009075E5"/>
    <w:rsid w:val="00907C3A"/>
    <w:rsid w:val="00907E0C"/>
    <w:rsid w:val="0091035D"/>
    <w:rsid w:val="009110A0"/>
    <w:rsid w:val="00912213"/>
    <w:rsid w:val="00913EF2"/>
    <w:rsid w:val="009140F3"/>
    <w:rsid w:val="009149EC"/>
    <w:rsid w:val="009155CB"/>
    <w:rsid w:val="00915B90"/>
    <w:rsid w:val="00917AE6"/>
    <w:rsid w:val="00920AC8"/>
    <w:rsid w:val="00920DEC"/>
    <w:rsid w:val="00920E9D"/>
    <w:rsid w:val="009210A8"/>
    <w:rsid w:val="009218E0"/>
    <w:rsid w:val="0092315E"/>
    <w:rsid w:val="009247BC"/>
    <w:rsid w:val="00926519"/>
    <w:rsid w:val="0092756A"/>
    <w:rsid w:val="009275DC"/>
    <w:rsid w:val="0093154C"/>
    <w:rsid w:val="00931799"/>
    <w:rsid w:val="00931B6F"/>
    <w:rsid w:val="009334B9"/>
    <w:rsid w:val="0093424A"/>
    <w:rsid w:val="00934C29"/>
    <w:rsid w:val="009355CF"/>
    <w:rsid w:val="0093568C"/>
    <w:rsid w:val="00936FBA"/>
    <w:rsid w:val="009402F6"/>
    <w:rsid w:val="009405F6"/>
    <w:rsid w:val="00941653"/>
    <w:rsid w:val="00941FDD"/>
    <w:rsid w:val="00942A3E"/>
    <w:rsid w:val="00942C4B"/>
    <w:rsid w:val="00942DF6"/>
    <w:rsid w:val="00943BCE"/>
    <w:rsid w:val="00944724"/>
    <w:rsid w:val="0094680C"/>
    <w:rsid w:val="00947E9B"/>
    <w:rsid w:val="00950446"/>
    <w:rsid w:val="00950ADD"/>
    <w:rsid w:val="00951B7D"/>
    <w:rsid w:val="00953771"/>
    <w:rsid w:val="00955B72"/>
    <w:rsid w:val="0095640B"/>
    <w:rsid w:val="00956632"/>
    <w:rsid w:val="00957375"/>
    <w:rsid w:val="009574B5"/>
    <w:rsid w:val="00957B4E"/>
    <w:rsid w:val="00960D0C"/>
    <w:rsid w:val="009611C4"/>
    <w:rsid w:val="00962508"/>
    <w:rsid w:val="0096273C"/>
    <w:rsid w:val="009639C6"/>
    <w:rsid w:val="00963B22"/>
    <w:rsid w:val="00964741"/>
    <w:rsid w:val="00965194"/>
    <w:rsid w:val="0096722B"/>
    <w:rsid w:val="00967E5B"/>
    <w:rsid w:val="00970364"/>
    <w:rsid w:val="00971AB7"/>
    <w:rsid w:val="009743F5"/>
    <w:rsid w:val="0097501E"/>
    <w:rsid w:val="00975255"/>
    <w:rsid w:val="0097570B"/>
    <w:rsid w:val="00976727"/>
    <w:rsid w:val="00977198"/>
    <w:rsid w:val="0098017E"/>
    <w:rsid w:val="00980506"/>
    <w:rsid w:val="00982B2F"/>
    <w:rsid w:val="00984358"/>
    <w:rsid w:val="00986600"/>
    <w:rsid w:val="00986D76"/>
    <w:rsid w:val="009901C4"/>
    <w:rsid w:val="00991790"/>
    <w:rsid w:val="00991E5F"/>
    <w:rsid w:val="00993466"/>
    <w:rsid w:val="009940D6"/>
    <w:rsid w:val="00997CDB"/>
    <w:rsid w:val="009A06A7"/>
    <w:rsid w:val="009A2668"/>
    <w:rsid w:val="009A2B92"/>
    <w:rsid w:val="009A40EE"/>
    <w:rsid w:val="009A486B"/>
    <w:rsid w:val="009A4AEC"/>
    <w:rsid w:val="009A4C8F"/>
    <w:rsid w:val="009A6046"/>
    <w:rsid w:val="009A707E"/>
    <w:rsid w:val="009A7183"/>
    <w:rsid w:val="009A7760"/>
    <w:rsid w:val="009B0CC4"/>
    <w:rsid w:val="009B216B"/>
    <w:rsid w:val="009B2A43"/>
    <w:rsid w:val="009B3A5B"/>
    <w:rsid w:val="009B43AD"/>
    <w:rsid w:val="009B4518"/>
    <w:rsid w:val="009B47CD"/>
    <w:rsid w:val="009B5D46"/>
    <w:rsid w:val="009B6A28"/>
    <w:rsid w:val="009B6FA9"/>
    <w:rsid w:val="009C0D86"/>
    <w:rsid w:val="009C1B79"/>
    <w:rsid w:val="009C2557"/>
    <w:rsid w:val="009C3126"/>
    <w:rsid w:val="009C34AF"/>
    <w:rsid w:val="009C43C7"/>
    <w:rsid w:val="009C6279"/>
    <w:rsid w:val="009C691C"/>
    <w:rsid w:val="009C7F89"/>
    <w:rsid w:val="009D2693"/>
    <w:rsid w:val="009D2805"/>
    <w:rsid w:val="009D2BDA"/>
    <w:rsid w:val="009D39E8"/>
    <w:rsid w:val="009D545B"/>
    <w:rsid w:val="009E0187"/>
    <w:rsid w:val="009E01D1"/>
    <w:rsid w:val="009E1FF9"/>
    <w:rsid w:val="009E20E5"/>
    <w:rsid w:val="009E402A"/>
    <w:rsid w:val="009E4D40"/>
    <w:rsid w:val="009E5DD5"/>
    <w:rsid w:val="009E610C"/>
    <w:rsid w:val="009E679A"/>
    <w:rsid w:val="009E6F4D"/>
    <w:rsid w:val="009E7528"/>
    <w:rsid w:val="009F24C6"/>
    <w:rsid w:val="009F3219"/>
    <w:rsid w:val="009F3F6E"/>
    <w:rsid w:val="009F4750"/>
    <w:rsid w:val="009F4D57"/>
    <w:rsid w:val="009F692B"/>
    <w:rsid w:val="00A00D4F"/>
    <w:rsid w:val="00A02728"/>
    <w:rsid w:val="00A028E5"/>
    <w:rsid w:val="00A03521"/>
    <w:rsid w:val="00A03BB6"/>
    <w:rsid w:val="00A0444D"/>
    <w:rsid w:val="00A046D4"/>
    <w:rsid w:val="00A04C11"/>
    <w:rsid w:val="00A07E0C"/>
    <w:rsid w:val="00A100BC"/>
    <w:rsid w:val="00A105D7"/>
    <w:rsid w:val="00A10E2C"/>
    <w:rsid w:val="00A1183E"/>
    <w:rsid w:val="00A11DF1"/>
    <w:rsid w:val="00A11E55"/>
    <w:rsid w:val="00A14043"/>
    <w:rsid w:val="00A14D80"/>
    <w:rsid w:val="00A15D95"/>
    <w:rsid w:val="00A15DA2"/>
    <w:rsid w:val="00A2064B"/>
    <w:rsid w:val="00A21077"/>
    <w:rsid w:val="00A23217"/>
    <w:rsid w:val="00A23340"/>
    <w:rsid w:val="00A236D2"/>
    <w:rsid w:val="00A23A32"/>
    <w:rsid w:val="00A23B32"/>
    <w:rsid w:val="00A23EB9"/>
    <w:rsid w:val="00A23FC2"/>
    <w:rsid w:val="00A2463B"/>
    <w:rsid w:val="00A24BF3"/>
    <w:rsid w:val="00A24CF0"/>
    <w:rsid w:val="00A25398"/>
    <w:rsid w:val="00A25828"/>
    <w:rsid w:val="00A26DD1"/>
    <w:rsid w:val="00A30AA1"/>
    <w:rsid w:val="00A31F93"/>
    <w:rsid w:val="00A32B6A"/>
    <w:rsid w:val="00A33205"/>
    <w:rsid w:val="00A34371"/>
    <w:rsid w:val="00A34471"/>
    <w:rsid w:val="00A35445"/>
    <w:rsid w:val="00A3574C"/>
    <w:rsid w:val="00A36325"/>
    <w:rsid w:val="00A36C62"/>
    <w:rsid w:val="00A41278"/>
    <w:rsid w:val="00A41A17"/>
    <w:rsid w:val="00A4336A"/>
    <w:rsid w:val="00A448F2"/>
    <w:rsid w:val="00A45FD2"/>
    <w:rsid w:val="00A51FE2"/>
    <w:rsid w:val="00A54005"/>
    <w:rsid w:val="00A54A14"/>
    <w:rsid w:val="00A56C80"/>
    <w:rsid w:val="00A57762"/>
    <w:rsid w:val="00A6026E"/>
    <w:rsid w:val="00A60F52"/>
    <w:rsid w:val="00A61304"/>
    <w:rsid w:val="00A61633"/>
    <w:rsid w:val="00A623CA"/>
    <w:rsid w:val="00A663EC"/>
    <w:rsid w:val="00A674BA"/>
    <w:rsid w:val="00A722BC"/>
    <w:rsid w:val="00A7400B"/>
    <w:rsid w:val="00A76BD2"/>
    <w:rsid w:val="00A77169"/>
    <w:rsid w:val="00A77CA0"/>
    <w:rsid w:val="00A80185"/>
    <w:rsid w:val="00A807FD"/>
    <w:rsid w:val="00A80D14"/>
    <w:rsid w:val="00A82AA8"/>
    <w:rsid w:val="00A83145"/>
    <w:rsid w:val="00A84346"/>
    <w:rsid w:val="00A84D04"/>
    <w:rsid w:val="00A85DA8"/>
    <w:rsid w:val="00A86732"/>
    <w:rsid w:val="00A86BD5"/>
    <w:rsid w:val="00A875F0"/>
    <w:rsid w:val="00A90700"/>
    <w:rsid w:val="00A9085D"/>
    <w:rsid w:val="00A90E3E"/>
    <w:rsid w:val="00A92F47"/>
    <w:rsid w:val="00A959D2"/>
    <w:rsid w:val="00A95ABB"/>
    <w:rsid w:val="00A96607"/>
    <w:rsid w:val="00A9677D"/>
    <w:rsid w:val="00A96E67"/>
    <w:rsid w:val="00A96FB2"/>
    <w:rsid w:val="00AA0656"/>
    <w:rsid w:val="00AA101C"/>
    <w:rsid w:val="00AA1EA7"/>
    <w:rsid w:val="00AA349B"/>
    <w:rsid w:val="00AA36B9"/>
    <w:rsid w:val="00AA3F17"/>
    <w:rsid w:val="00AA422E"/>
    <w:rsid w:val="00AA5539"/>
    <w:rsid w:val="00AA5661"/>
    <w:rsid w:val="00AA62B7"/>
    <w:rsid w:val="00AB1DC5"/>
    <w:rsid w:val="00AB22AA"/>
    <w:rsid w:val="00AB5C7D"/>
    <w:rsid w:val="00AB6624"/>
    <w:rsid w:val="00AB6E30"/>
    <w:rsid w:val="00AB7948"/>
    <w:rsid w:val="00AC0EBB"/>
    <w:rsid w:val="00AC12DE"/>
    <w:rsid w:val="00AC290D"/>
    <w:rsid w:val="00AC3013"/>
    <w:rsid w:val="00AC31D6"/>
    <w:rsid w:val="00AC50ED"/>
    <w:rsid w:val="00AC5B29"/>
    <w:rsid w:val="00AC6900"/>
    <w:rsid w:val="00AC6B03"/>
    <w:rsid w:val="00AC6B77"/>
    <w:rsid w:val="00AC70F9"/>
    <w:rsid w:val="00AC72B5"/>
    <w:rsid w:val="00AC7FAD"/>
    <w:rsid w:val="00AD08ED"/>
    <w:rsid w:val="00AD3515"/>
    <w:rsid w:val="00AD4951"/>
    <w:rsid w:val="00AD4E60"/>
    <w:rsid w:val="00AD6306"/>
    <w:rsid w:val="00AD731E"/>
    <w:rsid w:val="00AD7CFE"/>
    <w:rsid w:val="00AE1A09"/>
    <w:rsid w:val="00AE27E7"/>
    <w:rsid w:val="00AE50C8"/>
    <w:rsid w:val="00AE6154"/>
    <w:rsid w:val="00AF03CB"/>
    <w:rsid w:val="00AF107F"/>
    <w:rsid w:val="00AF270B"/>
    <w:rsid w:val="00AF2F92"/>
    <w:rsid w:val="00AF336B"/>
    <w:rsid w:val="00AF360F"/>
    <w:rsid w:val="00AF4173"/>
    <w:rsid w:val="00AF452B"/>
    <w:rsid w:val="00AF4A64"/>
    <w:rsid w:val="00AF4BE0"/>
    <w:rsid w:val="00AF4CF2"/>
    <w:rsid w:val="00AF69E8"/>
    <w:rsid w:val="00AF7E85"/>
    <w:rsid w:val="00B00B5C"/>
    <w:rsid w:val="00B034D0"/>
    <w:rsid w:val="00B03F6A"/>
    <w:rsid w:val="00B055AA"/>
    <w:rsid w:val="00B073DC"/>
    <w:rsid w:val="00B1184D"/>
    <w:rsid w:val="00B14556"/>
    <w:rsid w:val="00B14BF5"/>
    <w:rsid w:val="00B15EE3"/>
    <w:rsid w:val="00B1631D"/>
    <w:rsid w:val="00B16F64"/>
    <w:rsid w:val="00B176FF"/>
    <w:rsid w:val="00B17AF0"/>
    <w:rsid w:val="00B17EDE"/>
    <w:rsid w:val="00B22066"/>
    <w:rsid w:val="00B22F5A"/>
    <w:rsid w:val="00B240AC"/>
    <w:rsid w:val="00B24A42"/>
    <w:rsid w:val="00B25485"/>
    <w:rsid w:val="00B25733"/>
    <w:rsid w:val="00B25835"/>
    <w:rsid w:val="00B278C5"/>
    <w:rsid w:val="00B30967"/>
    <w:rsid w:val="00B32AC3"/>
    <w:rsid w:val="00B32E28"/>
    <w:rsid w:val="00B3488A"/>
    <w:rsid w:val="00B34903"/>
    <w:rsid w:val="00B36AE5"/>
    <w:rsid w:val="00B4197A"/>
    <w:rsid w:val="00B42997"/>
    <w:rsid w:val="00B4337D"/>
    <w:rsid w:val="00B44E12"/>
    <w:rsid w:val="00B45343"/>
    <w:rsid w:val="00B457A5"/>
    <w:rsid w:val="00B47748"/>
    <w:rsid w:val="00B50726"/>
    <w:rsid w:val="00B50D35"/>
    <w:rsid w:val="00B524A2"/>
    <w:rsid w:val="00B53A79"/>
    <w:rsid w:val="00B53B2F"/>
    <w:rsid w:val="00B54390"/>
    <w:rsid w:val="00B54B0C"/>
    <w:rsid w:val="00B54C07"/>
    <w:rsid w:val="00B54F83"/>
    <w:rsid w:val="00B561A0"/>
    <w:rsid w:val="00B56E2D"/>
    <w:rsid w:val="00B62541"/>
    <w:rsid w:val="00B639AE"/>
    <w:rsid w:val="00B643BC"/>
    <w:rsid w:val="00B6633B"/>
    <w:rsid w:val="00B67C4A"/>
    <w:rsid w:val="00B70266"/>
    <w:rsid w:val="00B718BE"/>
    <w:rsid w:val="00B722B0"/>
    <w:rsid w:val="00B73009"/>
    <w:rsid w:val="00B730CA"/>
    <w:rsid w:val="00B73DD7"/>
    <w:rsid w:val="00B740C8"/>
    <w:rsid w:val="00B7484A"/>
    <w:rsid w:val="00B74E2C"/>
    <w:rsid w:val="00B75D19"/>
    <w:rsid w:val="00B75FB9"/>
    <w:rsid w:val="00B775FC"/>
    <w:rsid w:val="00B80082"/>
    <w:rsid w:val="00B80AE7"/>
    <w:rsid w:val="00B81FE8"/>
    <w:rsid w:val="00B82963"/>
    <w:rsid w:val="00B82F5B"/>
    <w:rsid w:val="00B8376C"/>
    <w:rsid w:val="00B839FA"/>
    <w:rsid w:val="00B83F00"/>
    <w:rsid w:val="00B85222"/>
    <w:rsid w:val="00B857FA"/>
    <w:rsid w:val="00B86DEE"/>
    <w:rsid w:val="00B8793B"/>
    <w:rsid w:val="00B91F2B"/>
    <w:rsid w:val="00B939D6"/>
    <w:rsid w:val="00B94157"/>
    <w:rsid w:val="00B947E9"/>
    <w:rsid w:val="00B95284"/>
    <w:rsid w:val="00B9552E"/>
    <w:rsid w:val="00BA02E2"/>
    <w:rsid w:val="00BA3059"/>
    <w:rsid w:val="00BA354B"/>
    <w:rsid w:val="00BA3ECA"/>
    <w:rsid w:val="00BA4C28"/>
    <w:rsid w:val="00BA54B5"/>
    <w:rsid w:val="00BA5E39"/>
    <w:rsid w:val="00BA6309"/>
    <w:rsid w:val="00BA650C"/>
    <w:rsid w:val="00BA66FD"/>
    <w:rsid w:val="00BA7175"/>
    <w:rsid w:val="00BA7224"/>
    <w:rsid w:val="00BB1E2F"/>
    <w:rsid w:val="00BB26B5"/>
    <w:rsid w:val="00BB3A69"/>
    <w:rsid w:val="00BB59C9"/>
    <w:rsid w:val="00BB6117"/>
    <w:rsid w:val="00BB754B"/>
    <w:rsid w:val="00BC3A60"/>
    <w:rsid w:val="00BC3B81"/>
    <w:rsid w:val="00BC4F8D"/>
    <w:rsid w:val="00BC52E8"/>
    <w:rsid w:val="00BC55EE"/>
    <w:rsid w:val="00BC6622"/>
    <w:rsid w:val="00BC6DF6"/>
    <w:rsid w:val="00BC7363"/>
    <w:rsid w:val="00BC7844"/>
    <w:rsid w:val="00BC7C85"/>
    <w:rsid w:val="00BD0D6A"/>
    <w:rsid w:val="00BD1500"/>
    <w:rsid w:val="00BD1B65"/>
    <w:rsid w:val="00BD22A9"/>
    <w:rsid w:val="00BD2A8F"/>
    <w:rsid w:val="00BD2D9C"/>
    <w:rsid w:val="00BD3877"/>
    <w:rsid w:val="00BD3ACA"/>
    <w:rsid w:val="00BD6A14"/>
    <w:rsid w:val="00BD6BF9"/>
    <w:rsid w:val="00BD6EA5"/>
    <w:rsid w:val="00BE07EB"/>
    <w:rsid w:val="00BE19D9"/>
    <w:rsid w:val="00BE3251"/>
    <w:rsid w:val="00BE3EE8"/>
    <w:rsid w:val="00BE4171"/>
    <w:rsid w:val="00BE45B6"/>
    <w:rsid w:val="00BE68BB"/>
    <w:rsid w:val="00BE6F87"/>
    <w:rsid w:val="00BE7345"/>
    <w:rsid w:val="00BE75B3"/>
    <w:rsid w:val="00BE7632"/>
    <w:rsid w:val="00BF00D3"/>
    <w:rsid w:val="00BF012D"/>
    <w:rsid w:val="00BF0D1E"/>
    <w:rsid w:val="00BF2D46"/>
    <w:rsid w:val="00BF50F9"/>
    <w:rsid w:val="00BF5515"/>
    <w:rsid w:val="00BF757D"/>
    <w:rsid w:val="00C00AC5"/>
    <w:rsid w:val="00C027F9"/>
    <w:rsid w:val="00C03254"/>
    <w:rsid w:val="00C03325"/>
    <w:rsid w:val="00C04275"/>
    <w:rsid w:val="00C04397"/>
    <w:rsid w:val="00C04961"/>
    <w:rsid w:val="00C04975"/>
    <w:rsid w:val="00C0581C"/>
    <w:rsid w:val="00C05926"/>
    <w:rsid w:val="00C06DFD"/>
    <w:rsid w:val="00C10488"/>
    <w:rsid w:val="00C10BA8"/>
    <w:rsid w:val="00C11CA6"/>
    <w:rsid w:val="00C12190"/>
    <w:rsid w:val="00C1796B"/>
    <w:rsid w:val="00C21E14"/>
    <w:rsid w:val="00C22D7F"/>
    <w:rsid w:val="00C2339B"/>
    <w:rsid w:val="00C23804"/>
    <w:rsid w:val="00C239C6"/>
    <w:rsid w:val="00C23CA0"/>
    <w:rsid w:val="00C2495F"/>
    <w:rsid w:val="00C30515"/>
    <w:rsid w:val="00C30E66"/>
    <w:rsid w:val="00C31F55"/>
    <w:rsid w:val="00C32E51"/>
    <w:rsid w:val="00C34320"/>
    <w:rsid w:val="00C34E6D"/>
    <w:rsid w:val="00C34F6A"/>
    <w:rsid w:val="00C3549A"/>
    <w:rsid w:val="00C35D1F"/>
    <w:rsid w:val="00C36DBD"/>
    <w:rsid w:val="00C40502"/>
    <w:rsid w:val="00C407D9"/>
    <w:rsid w:val="00C42509"/>
    <w:rsid w:val="00C42C89"/>
    <w:rsid w:val="00C42EC0"/>
    <w:rsid w:val="00C44C55"/>
    <w:rsid w:val="00C44CA8"/>
    <w:rsid w:val="00C4644E"/>
    <w:rsid w:val="00C471D9"/>
    <w:rsid w:val="00C473AC"/>
    <w:rsid w:val="00C50B8D"/>
    <w:rsid w:val="00C51F3A"/>
    <w:rsid w:val="00C53342"/>
    <w:rsid w:val="00C53351"/>
    <w:rsid w:val="00C546C3"/>
    <w:rsid w:val="00C5535A"/>
    <w:rsid w:val="00C56884"/>
    <w:rsid w:val="00C578AE"/>
    <w:rsid w:val="00C57CB3"/>
    <w:rsid w:val="00C6179A"/>
    <w:rsid w:val="00C61975"/>
    <w:rsid w:val="00C621E5"/>
    <w:rsid w:val="00C62A64"/>
    <w:rsid w:val="00C62C21"/>
    <w:rsid w:val="00C639EB"/>
    <w:rsid w:val="00C646F0"/>
    <w:rsid w:val="00C64ECF"/>
    <w:rsid w:val="00C655F9"/>
    <w:rsid w:val="00C65CFA"/>
    <w:rsid w:val="00C65EBF"/>
    <w:rsid w:val="00C666D9"/>
    <w:rsid w:val="00C66E9A"/>
    <w:rsid w:val="00C6780E"/>
    <w:rsid w:val="00C709D6"/>
    <w:rsid w:val="00C70A2D"/>
    <w:rsid w:val="00C716CC"/>
    <w:rsid w:val="00C728E9"/>
    <w:rsid w:val="00C72FC2"/>
    <w:rsid w:val="00C732DC"/>
    <w:rsid w:val="00C73CBA"/>
    <w:rsid w:val="00C757AD"/>
    <w:rsid w:val="00C75B2D"/>
    <w:rsid w:val="00C76234"/>
    <w:rsid w:val="00C76425"/>
    <w:rsid w:val="00C76538"/>
    <w:rsid w:val="00C76B88"/>
    <w:rsid w:val="00C76F4D"/>
    <w:rsid w:val="00C771AF"/>
    <w:rsid w:val="00C779BB"/>
    <w:rsid w:val="00C80F81"/>
    <w:rsid w:val="00C82666"/>
    <w:rsid w:val="00C827AA"/>
    <w:rsid w:val="00C84003"/>
    <w:rsid w:val="00C84F9D"/>
    <w:rsid w:val="00C85D64"/>
    <w:rsid w:val="00C87D5C"/>
    <w:rsid w:val="00C917C1"/>
    <w:rsid w:val="00C91A05"/>
    <w:rsid w:val="00C93CC7"/>
    <w:rsid w:val="00C941D6"/>
    <w:rsid w:val="00C94E61"/>
    <w:rsid w:val="00C96401"/>
    <w:rsid w:val="00C97519"/>
    <w:rsid w:val="00C97C1F"/>
    <w:rsid w:val="00CA16D7"/>
    <w:rsid w:val="00CA1919"/>
    <w:rsid w:val="00CA1EE8"/>
    <w:rsid w:val="00CA6EC2"/>
    <w:rsid w:val="00CA75DB"/>
    <w:rsid w:val="00CA77B6"/>
    <w:rsid w:val="00CB17ED"/>
    <w:rsid w:val="00CB1B27"/>
    <w:rsid w:val="00CB383C"/>
    <w:rsid w:val="00CB3930"/>
    <w:rsid w:val="00CB4D46"/>
    <w:rsid w:val="00CB540C"/>
    <w:rsid w:val="00CB589B"/>
    <w:rsid w:val="00CB6964"/>
    <w:rsid w:val="00CB74BD"/>
    <w:rsid w:val="00CC0536"/>
    <w:rsid w:val="00CC25D9"/>
    <w:rsid w:val="00CC29ED"/>
    <w:rsid w:val="00CC51AB"/>
    <w:rsid w:val="00CC55F8"/>
    <w:rsid w:val="00CC7F6D"/>
    <w:rsid w:val="00CD0023"/>
    <w:rsid w:val="00CD09C8"/>
    <w:rsid w:val="00CD0EAF"/>
    <w:rsid w:val="00CD202E"/>
    <w:rsid w:val="00CD34D7"/>
    <w:rsid w:val="00CD5754"/>
    <w:rsid w:val="00CD57D2"/>
    <w:rsid w:val="00CD5E23"/>
    <w:rsid w:val="00CD67AC"/>
    <w:rsid w:val="00CD71F9"/>
    <w:rsid w:val="00CE139C"/>
    <w:rsid w:val="00CE4B1F"/>
    <w:rsid w:val="00CE549B"/>
    <w:rsid w:val="00CE6D5A"/>
    <w:rsid w:val="00CE726D"/>
    <w:rsid w:val="00CE7865"/>
    <w:rsid w:val="00CE7EEB"/>
    <w:rsid w:val="00CF3A04"/>
    <w:rsid w:val="00CF676C"/>
    <w:rsid w:val="00CF7771"/>
    <w:rsid w:val="00D000D0"/>
    <w:rsid w:val="00D004A2"/>
    <w:rsid w:val="00D011C2"/>
    <w:rsid w:val="00D019F3"/>
    <w:rsid w:val="00D02598"/>
    <w:rsid w:val="00D027B9"/>
    <w:rsid w:val="00D04BC0"/>
    <w:rsid w:val="00D05255"/>
    <w:rsid w:val="00D06258"/>
    <w:rsid w:val="00D066A9"/>
    <w:rsid w:val="00D10278"/>
    <w:rsid w:val="00D10F38"/>
    <w:rsid w:val="00D111E8"/>
    <w:rsid w:val="00D1123E"/>
    <w:rsid w:val="00D1180E"/>
    <w:rsid w:val="00D120F8"/>
    <w:rsid w:val="00D156E1"/>
    <w:rsid w:val="00D15DFD"/>
    <w:rsid w:val="00D170ED"/>
    <w:rsid w:val="00D225A9"/>
    <w:rsid w:val="00D225FE"/>
    <w:rsid w:val="00D23EE6"/>
    <w:rsid w:val="00D24444"/>
    <w:rsid w:val="00D269D5"/>
    <w:rsid w:val="00D3062C"/>
    <w:rsid w:val="00D348FC"/>
    <w:rsid w:val="00D355B8"/>
    <w:rsid w:val="00D40019"/>
    <w:rsid w:val="00D40B0C"/>
    <w:rsid w:val="00D40F36"/>
    <w:rsid w:val="00D410D0"/>
    <w:rsid w:val="00D420AE"/>
    <w:rsid w:val="00D423CB"/>
    <w:rsid w:val="00D4284A"/>
    <w:rsid w:val="00D43043"/>
    <w:rsid w:val="00D442C1"/>
    <w:rsid w:val="00D44D6F"/>
    <w:rsid w:val="00D4571F"/>
    <w:rsid w:val="00D45988"/>
    <w:rsid w:val="00D45F47"/>
    <w:rsid w:val="00D46533"/>
    <w:rsid w:val="00D47255"/>
    <w:rsid w:val="00D50BE3"/>
    <w:rsid w:val="00D50F9C"/>
    <w:rsid w:val="00D515FF"/>
    <w:rsid w:val="00D53B86"/>
    <w:rsid w:val="00D568F4"/>
    <w:rsid w:val="00D56C60"/>
    <w:rsid w:val="00D60865"/>
    <w:rsid w:val="00D624B7"/>
    <w:rsid w:val="00D62C13"/>
    <w:rsid w:val="00D63694"/>
    <w:rsid w:val="00D63C31"/>
    <w:rsid w:val="00D64BC1"/>
    <w:rsid w:val="00D659B5"/>
    <w:rsid w:val="00D65EEE"/>
    <w:rsid w:val="00D70AC4"/>
    <w:rsid w:val="00D72A1C"/>
    <w:rsid w:val="00D745C2"/>
    <w:rsid w:val="00D74833"/>
    <w:rsid w:val="00D753A9"/>
    <w:rsid w:val="00D7699F"/>
    <w:rsid w:val="00D769A0"/>
    <w:rsid w:val="00D773FA"/>
    <w:rsid w:val="00D804D3"/>
    <w:rsid w:val="00D807EA"/>
    <w:rsid w:val="00D80C7A"/>
    <w:rsid w:val="00D815E1"/>
    <w:rsid w:val="00D818B4"/>
    <w:rsid w:val="00D81958"/>
    <w:rsid w:val="00D825A3"/>
    <w:rsid w:val="00D829D8"/>
    <w:rsid w:val="00D83825"/>
    <w:rsid w:val="00D83915"/>
    <w:rsid w:val="00D84ED5"/>
    <w:rsid w:val="00D85B10"/>
    <w:rsid w:val="00D87A8B"/>
    <w:rsid w:val="00D902B8"/>
    <w:rsid w:val="00D903AC"/>
    <w:rsid w:val="00D90644"/>
    <w:rsid w:val="00D912C5"/>
    <w:rsid w:val="00D91E25"/>
    <w:rsid w:val="00D9299F"/>
    <w:rsid w:val="00D97855"/>
    <w:rsid w:val="00DA09B6"/>
    <w:rsid w:val="00DA0A70"/>
    <w:rsid w:val="00DA2404"/>
    <w:rsid w:val="00DA34CF"/>
    <w:rsid w:val="00DA3FA9"/>
    <w:rsid w:val="00DA4F3A"/>
    <w:rsid w:val="00DA5FA5"/>
    <w:rsid w:val="00DA6A2C"/>
    <w:rsid w:val="00DB1FDA"/>
    <w:rsid w:val="00DB2F7C"/>
    <w:rsid w:val="00DB43E8"/>
    <w:rsid w:val="00DB49BA"/>
    <w:rsid w:val="00DB4EAF"/>
    <w:rsid w:val="00DB5E4C"/>
    <w:rsid w:val="00DB6273"/>
    <w:rsid w:val="00DB6406"/>
    <w:rsid w:val="00DB68D0"/>
    <w:rsid w:val="00DB780E"/>
    <w:rsid w:val="00DC00CA"/>
    <w:rsid w:val="00DC0FFD"/>
    <w:rsid w:val="00DC1011"/>
    <w:rsid w:val="00DC2B72"/>
    <w:rsid w:val="00DC4360"/>
    <w:rsid w:val="00DC44ED"/>
    <w:rsid w:val="00DC546A"/>
    <w:rsid w:val="00DC6B4A"/>
    <w:rsid w:val="00DC6BA0"/>
    <w:rsid w:val="00DC71D9"/>
    <w:rsid w:val="00DC7714"/>
    <w:rsid w:val="00DD0AB5"/>
    <w:rsid w:val="00DD195A"/>
    <w:rsid w:val="00DD3D16"/>
    <w:rsid w:val="00DD45AD"/>
    <w:rsid w:val="00DD4884"/>
    <w:rsid w:val="00DD4F41"/>
    <w:rsid w:val="00DD5302"/>
    <w:rsid w:val="00DD5835"/>
    <w:rsid w:val="00DD74EE"/>
    <w:rsid w:val="00DE09C5"/>
    <w:rsid w:val="00DE0C05"/>
    <w:rsid w:val="00DE0DDB"/>
    <w:rsid w:val="00DE1669"/>
    <w:rsid w:val="00DE240A"/>
    <w:rsid w:val="00DE2B42"/>
    <w:rsid w:val="00DE4321"/>
    <w:rsid w:val="00DE5201"/>
    <w:rsid w:val="00DE68F2"/>
    <w:rsid w:val="00DF0D4D"/>
    <w:rsid w:val="00DF1F98"/>
    <w:rsid w:val="00DF2869"/>
    <w:rsid w:val="00DF2E02"/>
    <w:rsid w:val="00DF521F"/>
    <w:rsid w:val="00DF76E7"/>
    <w:rsid w:val="00DF7FCC"/>
    <w:rsid w:val="00E0035B"/>
    <w:rsid w:val="00E00F88"/>
    <w:rsid w:val="00E015AE"/>
    <w:rsid w:val="00E023A6"/>
    <w:rsid w:val="00E02A34"/>
    <w:rsid w:val="00E02C40"/>
    <w:rsid w:val="00E0485A"/>
    <w:rsid w:val="00E04C79"/>
    <w:rsid w:val="00E04D79"/>
    <w:rsid w:val="00E04FF1"/>
    <w:rsid w:val="00E12115"/>
    <w:rsid w:val="00E12C89"/>
    <w:rsid w:val="00E20B4E"/>
    <w:rsid w:val="00E21DCD"/>
    <w:rsid w:val="00E2246E"/>
    <w:rsid w:val="00E2329C"/>
    <w:rsid w:val="00E236CA"/>
    <w:rsid w:val="00E24896"/>
    <w:rsid w:val="00E24D9B"/>
    <w:rsid w:val="00E25F2D"/>
    <w:rsid w:val="00E26AAD"/>
    <w:rsid w:val="00E273EB"/>
    <w:rsid w:val="00E31046"/>
    <w:rsid w:val="00E3146B"/>
    <w:rsid w:val="00E320AB"/>
    <w:rsid w:val="00E323DE"/>
    <w:rsid w:val="00E34015"/>
    <w:rsid w:val="00E345B3"/>
    <w:rsid w:val="00E34E24"/>
    <w:rsid w:val="00E36FB4"/>
    <w:rsid w:val="00E372BA"/>
    <w:rsid w:val="00E3797D"/>
    <w:rsid w:val="00E401BF"/>
    <w:rsid w:val="00E40C44"/>
    <w:rsid w:val="00E42211"/>
    <w:rsid w:val="00E42357"/>
    <w:rsid w:val="00E42474"/>
    <w:rsid w:val="00E42826"/>
    <w:rsid w:val="00E438F0"/>
    <w:rsid w:val="00E47E5B"/>
    <w:rsid w:val="00E500DF"/>
    <w:rsid w:val="00E535A9"/>
    <w:rsid w:val="00E539AF"/>
    <w:rsid w:val="00E53B58"/>
    <w:rsid w:val="00E55340"/>
    <w:rsid w:val="00E55664"/>
    <w:rsid w:val="00E5579C"/>
    <w:rsid w:val="00E60338"/>
    <w:rsid w:val="00E610B9"/>
    <w:rsid w:val="00E6163F"/>
    <w:rsid w:val="00E61B08"/>
    <w:rsid w:val="00E61CDE"/>
    <w:rsid w:val="00E641F2"/>
    <w:rsid w:val="00E64438"/>
    <w:rsid w:val="00E64762"/>
    <w:rsid w:val="00E65F9C"/>
    <w:rsid w:val="00E6690A"/>
    <w:rsid w:val="00E67D51"/>
    <w:rsid w:val="00E70DD9"/>
    <w:rsid w:val="00E716A1"/>
    <w:rsid w:val="00E718DB"/>
    <w:rsid w:val="00E719E2"/>
    <w:rsid w:val="00E74EC3"/>
    <w:rsid w:val="00E7531B"/>
    <w:rsid w:val="00E761BF"/>
    <w:rsid w:val="00E7659E"/>
    <w:rsid w:val="00E77064"/>
    <w:rsid w:val="00E80E07"/>
    <w:rsid w:val="00E81947"/>
    <w:rsid w:val="00E81B1B"/>
    <w:rsid w:val="00E81C09"/>
    <w:rsid w:val="00E82B4A"/>
    <w:rsid w:val="00E82CBE"/>
    <w:rsid w:val="00E84988"/>
    <w:rsid w:val="00E84D03"/>
    <w:rsid w:val="00E855D6"/>
    <w:rsid w:val="00E91E56"/>
    <w:rsid w:val="00E94BB2"/>
    <w:rsid w:val="00EA1830"/>
    <w:rsid w:val="00EA1F63"/>
    <w:rsid w:val="00EA595A"/>
    <w:rsid w:val="00EA7D8A"/>
    <w:rsid w:val="00EB1C2E"/>
    <w:rsid w:val="00EB33D1"/>
    <w:rsid w:val="00EB3E55"/>
    <w:rsid w:val="00EB4B34"/>
    <w:rsid w:val="00EB5140"/>
    <w:rsid w:val="00EB6ADD"/>
    <w:rsid w:val="00EB7C16"/>
    <w:rsid w:val="00EC0ECC"/>
    <w:rsid w:val="00EC1D01"/>
    <w:rsid w:val="00EC34EC"/>
    <w:rsid w:val="00EC411F"/>
    <w:rsid w:val="00EC4299"/>
    <w:rsid w:val="00EC433F"/>
    <w:rsid w:val="00EC4B4B"/>
    <w:rsid w:val="00EC4D8C"/>
    <w:rsid w:val="00EC5B93"/>
    <w:rsid w:val="00EC5EB3"/>
    <w:rsid w:val="00EC6994"/>
    <w:rsid w:val="00EC7A2D"/>
    <w:rsid w:val="00ED15B9"/>
    <w:rsid w:val="00ED16A1"/>
    <w:rsid w:val="00ED17C6"/>
    <w:rsid w:val="00ED2ADB"/>
    <w:rsid w:val="00ED36B1"/>
    <w:rsid w:val="00ED3FEB"/>
    <w:rsid w:val="00ED46A2"/>
    <w:rsid w:val="00ED5219"/>
    <w:rsid w:val="00ED5409"/>
    <w:rsid w:val="00ED55DA"/>
    <w:rsid w:val="00ED5BF8"/>
    <w:rsid w:val="00ED67B5"/>
    <w:rsid w:val="00ED6B08"/>
    <w:rsid w:val="00EE10B3"/>
    <w:rsid w:val="00EE16C9"/>
    <w:rsid w:val="00EE30D5"/>
    <w:rsid w:val="00EE57E4"/>
    <w:rsid w:val="00EE6FAF"/>
    <w:rsid w:val="00EF07F8"/>
    <w:rsid w:val="00EF2475"/>
    <w:rsid w:val="00EF2C7C"/>
    <w:rsid w:val="00EF38EC"/>
    <w:rsid w:val="00EF4024"/>
    <w:rsid w:val="00EF4066"/>
    <w:rsid w:val="00EF60F4"/>
    <w:rsid w:val="00EF7572"/>
    <w:rsid w:val="00EF7886"/>
    <w:rsid w:val="00F00668"/>
    <w:rsid w:val="00F010BC"/>
    <w:rsid w:val="00F01A3E"/>
    <w:rsid w:val="00F023B4"/>
    <w:rsid w:val="00F02B91"/>
    <w:rsid w:val="00F02BC5"/>
    <w:rsid w:val="00F033C6"/>
    <w:rsid w:val="00F03EEF"/>
    <w:rsid w:val="00F05252"/>
    <w:rsid w:val="00F05734"/>
    <w:rsid w:val="00F05EEC"/>
    <w:rsid w:val="00F06ACD"/>
    <w:rsid w:val="00F070B1"/>
    <w:rsid w:val="00F0772F"/>
    <w:rsid w:val="00F10B36"/>
    <w:rsid w:val="00F10BBF"/>
    <w:rsid w:val="00F10D03"/>
    <w:rsid w:val="00F1123B"/>
    <w:rsid w:val="00F12497"/>
    <w:rsid w:val="00F1366C"/>
    <w:rsid w:val="00F14448"/>
    <w:rsid w:val="00F150F5"/>
    <w:rsid w:val="00F17522"/>
    <w:rsid w:val="00F1758B"/>
    <w:rsid w:val="00F2155D"/>
    <w:rsid w:val="00F216F6"/>
    <w:rsid w:val="00F218D7"/>
    <w:rsid w:val="00F242F4"/>
    <w:rsid w:val="00F2513A"/>
    <w:rsid w:val="00F25B1B"/>
    <w:rsid w:val="00F2701D"/>
    <w:rsid w:val="00F30334"/>
    <w:rsid w:val="00F30F65"/>
    <w:rsid w:val="00F325CE"/>
    <w:rsid w:val="00F32795"/>
    <w:rsid w:val="00F32A23"/>
    <w:rsid w:val="00F32E12"/>
    <w:rsid w:val="00F32FB4"/>
    <w:rsid w:val="00F3491B"/>
    <w:rsid w:val="00F34D64"/>
    <w:rsid w:val="00F356CA"/>
    <w:rsid w:val="00F35AE8"/>
    <w:rsid w:val="00F35EC3"/>
    <w:rsid w:val="00F37A84"/>
    <w:rsid w:val="00F41B18"/>
    <w:rsid w:val="00F41D97"/>
    <w:rsid w:val="00F43412"/>
    <w:rsid w:val="00F43C61"/>
    <w:rsid w:val="00F43EFA"/>
    <w:rsid w:val="00F4475C"/>
    <w:rsid w:val="00F45990"/>
    <w:rsid w:val="00F45DB7"/>
    <w:rsid w:val="00F46962"/>
    <w:rsid w:val="00F47C26"/>
    <w:rsid w:val="00F503AD"/>
    <w:rsid w:val="00F50A99"/>
    <w:rsid w:val="00F5216F"/>
    <w:rsid w:val="00F5730B"/>
    <w:rsid w:val="00F6024A"/>
    <w:rsid w:val="00F60609"/>
    <w:rsid w:val="00F61811"/>
    <w:rsid w:val="00F62AD4"/>
    <w:rsid w:val="00F6345C"/>
    <w:rsid w:val="00F64118"/>
    <w:rsid w:val="00F64AD0"/>
    <w:rsid w:val="00F6649C"/>
    <w:rsid w:val="00F6773B"/>
    <w:rsid w:val="00F70506"/>
    <w:rsid w:val="00F72D6F"/>
    <w:rsid w:val="00F73683"/>
    <w:rsid w:val="00F74C0D"/>
    <w:rsid w:val="00F756BF"/>
    <w:rsid w:val="00F7587A"/>
    <w:rsid w:val="00F75B92"/>
    <w:rsid w:val="00F75D9A"/>
    <w:rsid w:val="00F77A34"/>
    <w:rsid w:val="00F77F32"/>
    <w:rsid w:val="00F8022C"/>
    <w:rsid w:val="00F80BB5"/>
    <w:rsid w:val="00F82D5D"/>
    <w:rsid w:val="00F831C0"/>
    <w:rsid w:val="00F84AA8"/>
    <w:rsid w:val="00F869CE"/>
    <w:rsid w:val="00F875A8"/>
    <w:rsid w:val="00F90512"/>
    <w:rsid w:val="00F92335"/>
    <w:rsid w:val="00F9283F"/>
    <w:rsid w:val="00F92B18"/>
    <w:rsid w:val="00F92B88"/>
    <w:rsid w:val="00F9369C"/>
    <w:rsid w:val="00F95148"/>
    <w:rsid w:val="00F95B9D"/>
    <w:rsid w:val="00F964FC"/>
    <w:rsid w:val="00F97537"/>
    <w:rsid w:val="00FA031C"/>
    <w:rsid w:val="00FA1246"/>
    <w:rsid w:val="00FA20F9"/>
    <w:rsid w:val="00FA233E"/>
    <w:rsid w:val="00FA3C0F"/>
    <w:rsid w:val="00FA4311"/>
    <w:rsid w:val="00FA676C"/>
    <w:rsid w:val="00FA6F53"/>
    <w:rsid w:val="00FA731C"/>
    <w:rsid w:val="00FB037E"/>
    <w:rsid w:val="00FB1FBD"/>
    <w:rsid w:val="00FB4404"/>
    <w:rsid w:val="00FB610F"/>
    <w:rsid w:val="00FB6E46"/>
    <w:rsid w:val="00FB7883"/>
    <w:rsid w:val="00FB7F08"/>
    <w:rsid w:val="00FC02D1"/>
    <w:rsid w:val="00FC03CE"/>
    <w:rsid w:val="00FC071C"/>
    <w:rsid w:val="00FC230A"/>
    <w:rsid w:val="00FC249A"/>
    <w:rsid w:val="00FC262D"/>
    <w:rsid w:val="00FC2ABC"/>
    <w:rsid w:val="00FC2E5A"/>
    <w:rsid w:val="00FC32D9"/>
    <w:rsid w:val="00FC36C2"/>
    <w:rsid w:val="00FC38B2"/>
    <w:rsid w:val="00FC49B4"/>
    <w:rsid w:val="00FC4ED5"/>
    <w:rsid w:val="00FC4F7A"/>
    <w:rsid w:val="00FC5049"/>
    <w:rsid w:val="00FC7A8F"/>
    <w:rsid w:val="00FD0210"/>
    <w:rsid w:val="00FD04DB"/>
    <w:rsid w:val="00FD1963"/>
    <w:rsid w:val="00FD22A3"/>
    <w:rsid w:val="00FD2A49"/>
    <w:rsid w:val="00FD2E28"/>
    <w:rsid w:val="00FD31A9"/>
    <w:rsid w:val="00FD3FB6"/>
    <w:rsid w:val="00FD435D"/>
    <w:rsid w:val="00FD5079"/>
    <w:rsid w:val="00FD57C6"/>
    <w:rsid w:val="00FD6918"/>
    <w:rsid w:val="00FD7033"/>
    <w:rsid w:val="00FD7243"/>
    <w:rsid w:val="00FE058C"/>
    <w:rsid w:val="00FE0955"/>
    <w:rsid w:val="00FE0C32"/>
    <w:rsid w:val="00FE0EC8"/>
    <w:rsid w:val="00FE2D40"/>
    <w:rsid w:val="00FE48DA"/>
    <w:rsid w:val="00FE4D34"/>
    <w:rsid w:val="00FE6D46"/>
    <w:rsid w:val="00FE702D"/>
    <w:rsid w:val="00FE7782"/>
    <w:rsid w:val="00FF0DE2"/>
    <w:rsid w:val="00FF0E44"/>
    <w:rsid w:val="00FF16A2"/>
    <w:rsid w:val="00FF3040"/>
    <w:rsid w:val="00FF672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96E77D"/>
  <w15:docId w15:val="{7F7B53E5-6565-4A49-8D71-D8C243537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B08"/>
    <w:pPr>
      <w:spacing w:after="180" w:line="260" w:lineRule="atLeast"/>
      <w:ind w:left="86" w:right="58"/>
      <w:jc w:val="both"/>
    </w:pPr>
    <w:rPr>
      <w:rFonts w:ascii="Franklin Gothic Book" w:eastAsiaTheme="minorEastAsia" w:hAnsi="Franklin Gothic Book"/>
      <w:color w:val="000000"/>
      <w:spacing w:val="-3"/>
      <w:kern w:val="20"/>
      <w:sz w:val="22"/>
      <w:lang w:val="en-US" w:eastAsia="ja-JP"/>
      <w14:numForm w14:val="oldStyle"/>
      <w14:numSpacing w14:val="proportional"/>
    </w:rPr>
  </w:style>
  <w:style w:type="paragraph" w:styleId="Heading1">
    <w:name w:val="heading 1"/>
    <w:basedOn w:val="AccountabilityHeading1"/>
    <w:next w:val="Normal"/>
    <w:link w:val="Heading1Char"/>
    <w:autoRedefine/>
    <w:uiPriority w:val="9"/>
    <w:qFormat/>
    <w:rsid w:val="0052428A"/>
    <w:pPr>
      <w:ind w:left="86"/>
      <w:jc w:val="left"/>
    </w:pPr>
    <w:rPr>
      <w:spacing w:val="0"/>
    </w:rPr>
  </w:style>
  <w:style w:type="paragraph" w:styleId="Heading2">
    <w:name w:val="heading 2"/>
    <w:basedOn w:val="AccountabilitySubheading1"/>
    <w:next w:val="Normal"/>
    <w:link w:val="Heading2Char"/>
    <w:uiPriority w:val="9"/>
    <w:unhideWhenUsed/>
    <w:qFormat/>
    <w:rsid w:val="00515135"/>
    <w:pPr>
      <w:framePr w:hSpace="0" w:wrap="auto" w:vAnchor="margin" w:hAnchor="text" w:xAlign="left" w:yAlign="inline"/>
      <w:numPr>
        <w:ilvl w:val="1"/>
      </w:numPr>
      <w:pBdr>
        <w:bottom w:val="single" w:sz="18" w:space="1" w:color="1E3E85"/>
      </w:pBdr>
      <w:spacing w:before="360" w:after="160" w:line="280" w:lineRule="exact"/>
      <w:ind w:left="86"/>
      <w:suppressOverlap w:val="0"/>
      <w:jc w:val="left"/>
      <w:outlineLvl w:val="1"/>
    </w:pPr>
    <w:rPr>
      <w:rFonts w:ascii="Franklin Gothic Heavy" w:hAnsi="Franklin Gothic Heavy"/>
      <w:b/>
      <w:bCs/>
      <w:i w:val="0"/>
      <w:iCs w:val="0"/>
      <w:color w:val="2A3D8F"/>
      <w:sz w:val="28"/>
    </w:rPr>
  </w:style>
  <w:style w:type="paragraph" w:styleId="Heading3">
    <w:name w:val="heading 3"/>
    <w:basedOn w:val="Subtitle"/>
    <w:next w:val="Normal"/>
    <w:link w:val="Heading3Char"/>
    <w:uiPriority w:val="9"/>
    <w:unhideWhenUsed/>
    <w:qFormat/>
    <w:rsid w:val="00855BF7"/>
    <w:pPr>
      <w:adjustRightInd w:val="0"/>
      <w:spacing w:before="480" w:after="120"/>
      <w:jc w:val="left"/>
      <w:outlineLvl w:val="2"/>
    </w:pPr>
    <w:rPr>
      <w:rFonts w:ascii="Franklin Gothic Heavy" w:eastAsiaTheme="majorEastAsia" w:hAnsi="Franklin Gothic Heavy" w:cstheme="majorBidi"/>
      <w:caps/>
      <w:color w:val="7E599A"/>
      <w:spacing w:val="0"/>
      <w:sz w:val="25"/>
      <w14:ligatures w14:val="standard"/>
    </w:rPr>
  </w:style>
  <w:style w:type="paragraph" w:styleId="Heading4">
    <w:name w:val="heading 4"/>
    <w:next w:val="Normal"/>
    <w:link w:val="Heading4Char"/>
    <w:uiPriority w:val="9"/>
    <w:unhideWhenUsed/>
    <w:qFormat/>
    <w:rsid w:val="00592B08"/>
    <w:pPr>
      <w:spacing w:after="60"/>
      <w:ind w:left="86"/>
      <w:outlineLvl w:val="3"/>
    </w:pPr>
    <w:rPr>
      <w:rFonts w:ascii="Franklin Gothic Demi" w:eastAsiaTheme="minorEastAsia" w:hAnsi="Franklin Gothic Demi"/>
      <w:bCs/>
      <w:color w:val="7E599A"/>
      <w:spacing w:val="-3"/>
      <w:kern w:val="20"/>
      <w:sz w:val="22"/>
      <w:szCs w:val="20"/>
      <w:u w:val="single"/>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2B08"/>
    <w:pPr>
      <w:numPr>
        <w:numId w:val="2"/>
      </w:numPr>
      <w:spacing w:after="120"/>
      <w:contextualSpacing/>
    </w:pPr>
  </w:style>
  <w:style w:type="paragraph" w:styleId="FootnoteText">
    <w:name w:val="footnote text"/>
    <w:link w:val="FootnoteTextChar"/>
    <w:uiPriority w:val="99"/>
    <w:unhideWhenUsed/>
    <w:rsid w:val="00592B08"/>
    <w:pPr>
      <w:tabs>
        <w:tab w:val="left" w:pos="274"/>
      </w:tabs>
      <w:spacing w:line="200" w:lineRule="exact"/>
      <w:ind w:left="270" w:hanging="180"/>
    </w:pPr>
    <w:rPr>
      <w:rFonts w:ascii="Franklin Gothic Book" w:eastAsiaTheme="minorEastAsia" w:hAnsi="Franklin Gothic Book"/>
      <w:color w:val="000000"/>
      <w:spacing w:val="-5"/>
      <w:kern w:val="18"/>
      <w:sz w:val="18"/>
      <w:lang w:val="en-US" w:eastAsia="ja-JP"/>
      <w14:ligatures w14:val="standard"/>
      <w14:numForm w14:val="lining"/>
    </w:rPr>
  </w:style>
  <w:style w:type="character" w:customStyle="1" w:styleId="FootnoteTextChar">
    <w:name w:val="Footnote Text Char"/>
    <w:basedOn w:val="DefaultParagraphFont"/>
    <w:link w:val="FootnoteText"/>
    <w:uiPriority w:val="99"/>
    <w:rsid w:val="00592B08"/>
    <w:rPr>
      <w:rFonts w:ascii="Franklin Gothic Book" w:eastAsiaTheme="minorEastAsia" w:hAnsi="Franklin Gothic Book"/>
      <w:color w:val="000000"/>
      <w:spacing w:val="-5"/>
      <w:kern w:val="18"/>
      <w:sz w:val="18"/>
      <w:lang w:val="en-US" w:eastAsia="ja-JP"/>
      <w14:ligatures w14:val="standard"/>
      <w14:numForm w14:val="lining"/>
    </w:rPr>
  </w:style>
  <w:style w:type="character" w:styleId="FootnoteReference">
    <w:name w:val="footnote reference"/>
    <w:basedOn w:val="DefaultParagraphFont"/>
    <w:uiPriority w:val="99"/>
    <w:unhideWhenUsed/>
    <w:rsid w:val="00592B08"/>
    <w:rPr>
      <w:vertAlign w:val="superscript"/>
    </w:rPr>
  </w:style>
  <w:style w:type="paragraph" w:styleId="Title">
    <w:name w:val="Title"/>
    <w:aliases w:val="Accountability Title"/>
    <w:basedOn w:val="Normal"/>
    <w:next w:val="Normal"/>
    <w:link w:val="TitleChar"/>
    <w:uiPriority w:val="10"/>
    <w:qFormat/>
    <w:rsid w:val="00592B08"/>
    <w:pPr>
      <w:pBdr>
        <w:bottom w:val="single" w:sz="8" w:space="4" w:color="5B9BD5" w:themeColor="accent1"/>
      </w:pBdr>
      <w:spacing w:after="300"/>
      <w:contextualSpacing/>
    </w:pPr>
    <w:rPr>
      <w:rFonts w:eastAsiaTheme="majorEastAsia" w:cstheme="majorBidi"/>
      <w:b/>
      <w:bCs/>
      <w:color w:val="23518A"/>
      <w:spacing w:val="5"/>
      <w:kern w:val="28"/>
      <w:sz w:val="28"/>
      <w:szCs w:val="52"/>
    </w:rPr>
  </w:style>
  <w:style w:type="character" w:customStyle="1" w:styleId="TitleChar">
    <w:name w:val="Title Char"/>
    <w:aliases w:val="Accountability Title Char"/>
    <w:basedOn w:val="DefaultParagraphFont"/>
    <w:link w:val="Title"/>
    <w:uiPriority w:val="10"/>
    <w:rsid w:val="00592B08"/>
    <w:rPr>
      <w:rFonts w:ascii="Franklin Gothic Book" w:eastAsiaTheme="majorEastAsia" w:hAnsi="Franklin Gothic Book" w:cstheme="majorBidi"/>
      <w:b/>
      <w:bCs/>
      <w:color w:val="23518A"/>
      <w:spacing w:val="5"/>
      <w:kern w:val="28"/>
      <w:sz w:val="28"/>
      <w:szCs w:val="52"/>
      <w:lang w:val="en-US" w:eastAsia="ja-JP"/>
      <w14:numForm w14:val="oldStyle"/>
      <w14:numSpacing w14:val="proportional"/>
    </w:rPr>
  </w:style>
  <w:style w:type="paragraph" w:customStyle="1" w:styleId="HeadingIAccountabilityTool">
    <w:name w:val="Heading I Accountability Tool"/>
    <w:basedOn w:val="ListParagraph"/>
    <w:qFormat/>
    <w:rsid w:val="00592B08"/>
    <w:pPr>
      <w:keepNext/>
      <w:keepLines/>
      <w:numPr>
        <w:numId w:val="3"/>
      </w:numPr>
      <w:spacing w:before="240"/>
      <w:outlineLvl w:val="0"/>
    </w:pPr>
    <w:rPr>
      <w:rFonts w:eastAsiaTheme="majorEastAsia" w:cstheme="majorBidi"/>
      <w:b/>
      <w:color w:val="345B8A"/>
      <w:szCs w:val="32"/>
    </w:rPr>
  </w:style>
  <w:style w:type="paragraph" w:styleId="EndnoteText">
    <w:name w:val="endnote text"/>
    <w:basedOn w:val="Normal"/>
    <w:link w:val="EndnoteTextChar"/>
    <w:uiPriority w:val="99"/>
    <w:unhideWhenUsed/>
    <w:rsid w:val="00AC72B5"/>
    <w:pPr>
      <w:widowControl w:val="0"/>
      <w:spacing w:after="60" w:line="200" w:lineRule="exact"/>
      <w:ind w:left="187" w:right="0" w:hanging="187"/>
      <w:jc w:val="left"/>
      <w:textboxTightWrap w:val="allLines"/>
    </w:pPr>
    <w:rPr>
      <w:spacing w:val="-4"/>
      <w:kern w:val="16"/>
      <w:sz w:val="20"/>
      <w14:numForm w14:val="lining"/>
    </w:rPr>
  </w:style>
  <w:style w:type="character" w:customStyle="1" w:styleId="EndnoteTextChar">
    <w:name w:val="Endnote Text Char"/>
    <w:basedOn w:val="DefaultParagraphFont"/>
    <w:link w:val="EndnoteText"/>
    <w:uiPriority w:val="99"/>
    <w:rsid w:val="00AC72B5"/>
    <w:rPr>
      <w:rFonts w:ascii="Franklin Gothic Book" w:eastAsiaTheme="minorEastAsia" w:hAnsi="Franklin Gothic Book"/>
      <w:color w:val="000000"/>
      <w:spacing w:val="-4"/>
      <w:kern w:val="16"/>
      <w:sz w:val="20"/>
      <w:lang w:val="en-US" w:eastAsia="ja-JP"/>
      <w14:numForm w14:val="lining"/>
      <w14:numSpacing w14:val="proportional"/>
    </w:rPr>
  </w:style>
  <w:style w:type="character" w:styleId="EndnoteReference">
    <w:name w:val="endnote reference"/>
    <w:basedOn w:val="DefaultParagraphFont"/>
    <w:uiPriority w:val="99"/>
    <w:unhideWhenUsed/>
    <w:rsid w:val="008E1822"/>
    <w:rPr>
      <w:rFonts w:ascii="Arial Narrow" w:hAnsi="Arial Narrow"/>
      <w:spacing w:val="-3"/>
      <w:w w:val="100"/>
      <w:kern w:val="15"/>
      <w:position w:val="4"/>
      <w:sz w:val="20"/>
      <w:vertAlign w:val="superscript"/>
      <w14:ligatures w14:val="standard"/>
      <w14:numSpacing w14:val="proportional"/>
    </w:rPr>
  </w:style>
  <w:style w:type="paragraph" w:customStyle="1" w:styleId="AccountabilitySubheading1">
    <w:name w:val="Accountability Subheading 1"/>
    <w:basedOn w:val="TOC2"/>
    <w:next w:val="Normal"/>
    <w:autoRedefine/>
    <w:qFormat/>
    <w:rsid w:val="00592B08"/>
    <w:pPr>
      <w:framePr w:hSpace="187" w:wrap="around" w:vAnchor="text" w:hAnchor="page" w:x="1455" w:y="1"/>
      <w:spacing w:line="240" w:lineRule="auto"/>
      <w:ind w:left="86" w:right="58"/>
      <w:suppressOverlap/>
      <w:jc w:val="center"/>
    </w:pPr>
    <w:rPr>
      <w:i/>
      <w:iCs/>
      <w:color w:val="B19ECC"/>
    </w:rPr>
  </w:style>
  <w:style w:type="paragraph" w:customStyle="1" w:styleId="AccountabilitySubtitle2">
    <w:name w:val="Accountability Subtitle 2"/>
    <w:basedOn w:val="Normal"/>
    <w:next w:val="AccountabilitySubheading1"/>
    <w:qFormat/>
    <w:rsid w:val="00592B08"/>
    <w:pPr>
      <w:ind w:firstLine="360"/>
    </w:pPr>
    <w:rPr>
      <w:rFonts w:cs="Times New Roman"/>
      <w:color w:val="4F81BD"/>
    </w:rPr>
  </w:style>
  <w:style w:type="paragraph" w:customStyle="1" w:styleId="AccountabilitySubtitle3">
    <w:name w:val="Accountability Subtitle 3"/>
    <w:basedOn w:val="Normal"/>
    <w:next w:val="Subtitle"/>
    <w:qFormat/>
    <w:rsid w:val="00592B08"/>
    <w:rPr>
      <w:rFonts w:cs="Times New Roman"/>
      <w:u w:val="single"/>
    </w:rPr>
  </w:style>
  <w:style w:type="paragraph" w:styleId="Subtitle">
    <w:name w:val="Subtitle"/>
    <w:basedOn w:val="Normal"/>
    <w:next w:val="Normal"/>
    <w:link w:val="SubtitleChar"/>
    <w:uiPriority w:val="11"/>
    <w:qFormat/>
    <w:rsid w:val="00592B08"/>
    <w:pPr>
      <w:numPr>
        <w:ilvl w:val="1"/>
      </w:numPr>
      <w:spacing w:after="160"/>
      <w:ind w:left="86"/>
    </w:pPr>
    <w:rPr>
      <w:rFonts w:asciiTheme="minorHAnsi" w:hAnsiTheme="minorHAnsi"/>
      <w:spacing w:val="15"/>
      <w:szCs w:val="22"/>
    </w:rPr>
  </w:style>
  <w:style w:type="character" w:customStyle="1" w:styleId="SubtitleChar">
    <w:name w:val="Subtitle Char"/>
    <w:basedOn w:val="DefaultParagraphFont"/>
    <w:link w:val="Subtitle"/>
    <w:uiPriority w:val="11"/>
    <w:rsid w:val="00592B08"/>
    <w:rPr>
      <w:rFonts w:eastAsiaTheme="minorEastAsia"/>
      <w:color w:val="000000"/>
      <w:spacing w:val="15"/>
      <w:kern w:val="20"/>
      <w:sz w:val="22"/>
      <w:szCs w:val="22"/>
      <w:lang w:val="en-US" w:eastAsia="ja-JP"/>
      <w14:numForm w14:val="oldStyle"/>
      <w14:numSpacing w14:val="proportional"/>
    </w:rPr>
  </w:style>
  <w:style w:type="character" w:styleId="Hyperlink">
    <w:name w:val="Hyperlink"/>
    <w:basedOn w:val="DefaultParagraphFont"/>
    <w:uiPriority w:val="99"/>
    <w:unhideWhenUsed/>
    <w:rsid w:val="009B47CD"/>
    <w:rPr>
      <w:color w:val="0000FF"/>
      <w:u w:val="single"/>
    </w:rPr>
  </w:style>
  <w:style w:type="character" w:styleId="CommentReference">
    <w:name w:val="annotation reference"/>
    <w:basedOn w:val="DefaultParagraphFont"/>
    <w:uiPriority w:val="99"/>
    <w:semiHidden/>
    <w:unhideWhenUsed/>
    <w:rsid w:val="00592B08"/>
    <w:rPr>
      <w:sz w:val="18"/>
      <w:szCs w:val="18"/>
    </w:rPr>
  </w:style>
  <w:style w:type="paragraph" w:styleId="CommentText">
    <w:name w:val="annotation text"/>
    <w:basedOn w:val="Normal"/>
    <w:link w:val="CommentTextChar"/>
    <w:uiPriority w:val="99"/>
    <w:semiHidden/>
    <w:unhideWhenUsed/>
    <w:rsid w:val="00592B08"/>
    <w:rPr>
      <w:color w:val="70AD47" w:themeColor="accent6"/>
    </w:rPr>
  </w:style>
  <w:style w:type="character" w:customStyle="1" w:styleId="CommentTextChar">
    <w:name w:val="Comment Text Char"/>
    <w:basedOn w:val="DefaultParagraphFont"/>
    <w:link w:val="CommentText"/>
    <w:uiPriority w:val="99"/>
    <w:semiHidden/>
    <w:rsid w:val="00592B08"/>
    <w:rPr>
      <w:rFonts w:ascii="Franklin Gothic Book" w:eastAsiaTheme="minorEastAsia" w:hAnsi="Franklin Gothic Book"/>
      <w:color w:val="70AD47" w:themeColor="accent6"/>
      <w:spacing w:val="-3"/>
      <w:kern w:val="20"/>
      <w:sz w:val="22"/>
      <w:lang w:val="en-US" w:eastAsia="ja-JP"/>
      <w14:numForm w14:val="oldStyle"/>
      <w14:numSpacing w14:val="proportional"/>
    </w:rPr>
  </w:style>
  <w:style w:type="paragraph" w:styleId="CommentSubject">
    <w:name w:val="annotation subject"/>
    <w:basedOn w:val="CommentText"/>
    <w:next w:val="CommentText"/>
    <w:link w:val="CommentSubjectChar"/>
    <w:uiPriority w:val="99"/>
    <w:semiHidden/>
    <w:unhideWhenUsed/>
    <w:rsid w:val="00592B08"/>
    <w:rPr>
      <w:b/>
      <w:bCs/>
      <w:szCs w:val="20"/>
    </w:rPr>
  </w:style>
  <w:style w:type="character" w:customStyle="1" w:styleId="CommentSubjectChar">
    <w:name w:val="Comment Subject Char"/>
    <w:basedOn w:val="CommentTextChar"/>
    <w:link w:val="CommentSubject"/>
    <w:uiPriority w:val="99"/>
    <w:semiHidden/>
    <w:rsid w:val="00592B08"/>
    <w:rPr>
      <w:rFonts w:ascii="Franklin Gothic Book" w:eastAsiaTheme="minorEastAsia" w:hAnsi="Franklin Gothic Book"/>
      <w:b/>
      <w:bCs/>
      <w:color w:val="70AD47" w:themeColor="accent6"/>
      <w:spacing w:val="-3"/>
      <w:kern w:val="20"/>
      <w:sz w:val="22"/>
      <w:szCs w:val="20"/>
      <w:lang w:val="en-US" w:eastAsia="ja-JP"/>
      <w14:numForm w14:val="oldStyle"/>
      <w14:numSpacing w14:val="proportional"/>
    </w:rPr>
  </w:style>
  <w:style w:type="paragraph" w:styleId="BalloonText">
    <w:name w:val="Balloon Text"/>
    <w:basedOn w:val="Normal"/>
    <w:link w:val="BalloonTextChar"/>
    <w:uiPriority w:val="99"/>
    <w:semiHidden/>
    <w:unhideWhenUsed/>
    <w:rsid w:val="00592B08"/>
    <w:pPr>
      <w:spacing w:after="0"/>
    </w:pPr>
    <w:rPr>
      <w:rFonts w:ascii="Lucida Grande" w:hAnsi="Lucida Grande" w:cs="Lucida Grande"/>
      <w:color w:val="70AD47" w:themeColor="accent6"/>
      <w:szCs w:val="18"/>
    </w:rPr>
  </w:style>
  <w:style w:type="character" w:customStyle="1" w:styleId="BalloonTextChar">
    <w:name w:val="Balloon Text Char"/>
    <w:basedOn w:val="DefaultParagraphFont"/>
    <w:link w:val="BalloonText"/>
    <w:uiPriority w:val="99"/>
    <w:semiHidden/>
    <w:rsid w:val="00592B08"/>
    <w:rPr>
      <w:rFonts w:ascii="Lucida Grande" w:eastAsiaTheme="minorEastAsia" w:hAnsi="Lucida Grande" w:cs="Lucida Grande"/>
      <w:color w:val="70AD47" w:themeColor="accent6"/>
      <w:spacing w:val="-3"/>
      <w:kern w:val="20"/>
      <w:sz w:val="22"/>
      <w:szCs w:val="18"/>
      <w:lang w:val="en-US" w:eastAsia="ja-JP"/>
      <w14:numForm w14:val="oldStyle"/>
      <w14:numSpacing w14:val="proportional"/>
    </w:rPr>
  </w:style>
  <w:style w:type="paragraph" w:styleId="Header">
    <w:name w:val="header"/>
    <w:basedOn w:val="Normal"/>
    <w:link w:val="HeaderChar"/>
    <w:uiPriority w:val="99"/>
    <w:unhideWhenUsed/>
    <w:rsid w:val="00592B08"/>
    <w:pPr>
      <w:tabs>
        <w:tab w:val="center" w:pos="4320"/>
        <w:tab w:val="right" w:pos="8640"/>
      </w:tabs>
      <w:spacing w:after="0"/>
    </w:pPr>
    <w:rPr>
      <w:color w:val="70AD47" w:themeColor="accent6"/>
    </w:rPr>
  </w:style>
  <w:style w:type="character" w:customStyle="1" w:styleId="HeaderChar">
    <w:name w:val="Header Char"/>
    <w:basedOn w:val="DefaultParagraphFont"/>
    <w:link w:val="Header"/>
    <w:uiPriority w:val="99"/>
    <w:rsid w:val="00592B08"/>
    <w:rPr>
      <w:rFonts w:ascii="Franklin Gothic Book" w:eastAsiaTheme="minorEastAsia" w:hAnsi="Franklin Gothic Book"/>
      <w:color w:val="70AD47" w:themeColor="accent6"/>
      <w:spacing w:val="-3"/>
      <w:kern w:val="20"/>
      <w:sz w:val="22"/>
      <w:lang w:val="en-US" w:eastAsia="ja-JP"/>
      <w14:numForm w14:val="oldStyle"/>
      <w14:numSpacing w14:val="proportional"/>
    </w:rPr>
  </w:style>
  <w:style w:type="paragraph" w:styleId="Footer">
    <w:name w:val="footer"/>
    <w:basedOn w:val="Normal"/>
    <w:link w:val="FooterChar"/>
    <w:uiPriority w:val="99"/>
    <w:unhideWhenUsed/>
    <w:rsid w:val="00592B08"/>
    <w:pPr>
      <w:tabs>
        <w:tab w:val="center" w:pos="4320"/>
        <w:tab w:val="right" w:pos="8640"/>
      </w:tabs>
      <w:spacing w:after="0"/>
    </w:pPr>
    <w:rPr>
      <w:color w:val="70AD47" w:themeColor="accent6"/>
      <w:sz w:val="18"/>
    </w:rPr>
  </w:style>
  <w:style w:type="character" w:customStyle="1" w:styleId="FooterChar">
    <w:name w:val="Footer Char"/>
    <w:basedOn w:val="DefaultParagraphFont"/>
    <w:link w:val="Footer"/>
    <w:uiPriority w:val="99"/>
    <w:rsid w:val="00592B08"/>
    <w:rPr>
      <w:rFonts w:ascii="Franklin Gothic Book" w:eastAsiaTheme="minorEastAsia" w:hAnsi="Franklin Gothic Book"/>
      <w:color w:val="70AD47" w:themeColor="accent6"/>
      <w:spacing w:val="-3"/>
      <w:kern w:val="20"/>
      <w:sz w:val="18"/>
      <w:lang w:val="en-US" w:eastAsia="ja-JP"/>
      <w14:numForm w14:val="oldStyle"/>
      <w14:numSpacing w14:val="proportional"/>
    </w:rPr>
  </w:style>
  <w:style w:type="character" w:styleId="PageNumber">
    <w:name w:val="page number"/>
    <w:basedOn w:val="Bolderbold"/>
    <w:uiPriority w:val="99"/>
    <w:unhideWhenUsed/>
    <w:rsid w:val="00592B08"/>
    <w:rPr>
      <w:rFonts w:ascii="AvantGarde Md BT" w:hAnsi="AvantGarde Md BT"/>
      <w:b w:val="0"/>
      <w:bCs/>
      <w:color w:val="000000"/>
      <w:kern w:val="2"/>
      <w:sz w:val="17"/>
      <w:szCs w:val="17"/>
      <w:lang w:val="en-GB"/>
    </w:rPr>
  </w:style>
  <w:style w:type="character" w:styleId="FollowedHyperlink">
    <w:name w:val="FollowedHyperlink"/>
    <w:basedOn w:val="DefaultParagraphFont"/>
    <w:uiPriority w:val="99"/>
    <w:semiHidden/>
    <w:unhideWhenUsed/>
    <w:rsid w:val="00592B08"/>
    <w:rPr>
      <w:color w:val="954F72" w:themeColor="followedHyperlink"/>
      <w:u w:val="single"/>
    </w:rPr>
  </w:style>
  <w:style w:type="paragraph" w:styleId="NormalWeb">
    <w:name w:val="Normal (Web)"/>
    <w:basedOn w:val="Normal"/>
    <w:uiPriority w:val="99"/>
    <w:semiHidden/>
    <w:unhideWhenUsed/>
    <w:rsid w:val="00592B08"/>
    <w:rPr>
      <w:rFonts w:cs="Times New Roman"/>
    </w:rPr>
  </w:style>
  <w:style w:type="character" w:styleId="Strong">
    <w:name w:val="Strong"/>
    <w:basedOn w:val="DefaultParagraphFont"/>
    <w:uiPriority w:val="22"/>
    <w:qFormat/>
    <w:rsid w:val="00592B08"/>
    <w:rPr>
      <w:b/>
      <w:bCs/>
    </w:rPr>
  </w:style>
  <w:style w:type="character" w:customStyle="1" w:styleId="Heading3Char">
    <w:name w:val="Heading 3 Char"/>
    <w:basedOn w:val="DefaultParagraphFont"/>
    <w:link w:val="Heading3"/>
    <w:uiPriority w:val="9"/>
    <w:rsid w:val="00855BF7"/>
    <w:rPr>
      <w:rFonts w:ascii="Franklin Gothic Heavy" w:eastAsiaTheme="majorEastAsia" w:hAnsi="Franklin Gothic Heavy" w:cstheme="majorBidi"/>
      <w:caps/>
      <w:color w:val="7E599A"/>
      <w:kern w:val="20"/>
      <w:sz w:val="25"/>
      <w:szCs w:val="22"/>
      <w:lang w:val="en-US" w:eastAsia="ja-JP"/>
      <w14:ligatures w14:val="standard"/>
      <w14:numForm w14:val="oldStyle"/>
      <w14:numSpacing w14:val="proportional"/>
    </w:rPr>
  </w:style>
  <w:style w:type="paragraph" w:customStyle="1" w:styleId="Body">
    <w:name w:val="Body"/>
    <w:rsid w:val="00592B08"/>
    <w:pPr>
      <w:pBdr>
        <w:top w:val="nil"/>
        <w:left w:val="nil"/>
        <w:bottom w:val="nil"/>
        <w:right w:val="nil"/>
        <w:between w:val="nil"/>
        <w:bar w:val="nil"/>
      </w:pBdr>
    </w:pPr>
    <w:rPr>
      <w:rFonts w:ascii="Helvetica" w:eastAsia="Arial Unicode MS" w:hAnsi="Helvetica" w:cs="Arial Unicode MS"/>
      <w:color w:val="000000"/>
      <w:sz w:val="22"/>
      <w:szCs w:val="22"/>
      <w:bdr w:val="nil"/>
      <w:lang w:val="en-US"/>
    </w:rPr>
  </w:style>
  <w:style w:type="paragraph" w:customStyle="1" w:styleId="Default">
    <w:name w:val="Default"/>
    <w:rsid w:val="00592B08"/>
    <w:pPr>
      <w:autoSpaceDE w:val="0"/>
      <w:autoSpaceDN w:val="0"/>
      <w:adjustRightInd w:val="0"/>
    </w:pPr>
    <w:rPr>
      <w:rFonts w:ascii="Times New Roman" w:eastAsia="Times New Roman" w:hAnsi="Times New Roman" w:cs="Times New Roman"/>
      <w:color w:val="000000"/>
      <w:lang w:val="en-GB" w:eastAsia="en-GB"/>
    </w:rPr>
  </w:style>
  <w:style w:type="paragraph" w:styleId="BodyText">
    <w:name w:val="Body Text"/>
    <w:basedOn w:val="Normal"/>
    <w:link w:val="BodyTextChar"/>
    <w:semiHidden/>
    <w:rsid w:val="00592B08"/>
    <w:pPr>
      <w:spacing w:after="240"/>
      <w:jc w:val="left"/>
    </w:pPr>
    <w:rPr>
      <w:sz w:val="18"/>
    </w:rPr>
  </w:style>
  <w:style w:type="character" w:customStyle="1" w:styleId="BodyTextChar">
    <w:name w:val="Body Text Char"/>
    <w:basedOn w:val="DefaultParagraphFont"/>
    <w:link w:val="BodyText"/>
    <w:semiHidden/>
    <w:rsid w:val="00592B08"/>
    <w:rPr>
      <w:rFonts w:ascii="Franklin Gothic Book" w:eastAsiaTheme="minorEastAsia" w:hAnsi="Franklin Gothic Book"/>
      <w:color w:val="000000"/>
      <w:spacing w:val="-3"/>
      <w:kern w:val="20"/>
      <w:sz w:val="18"/>
      <w:lang w:val="en-US" w:eastAsia="ja-JP"/>
      <w14:numForm w14:val="oldStyle"/>
      <w14:numSpacing w14:val="proportional"/>
    </w:rPr>
  </w:style>
  <w:style w:type="character" w:customStyle="1" w:styleId="Bolderbold">
    <w:name w:val="Bolder bold"/>
    <w:basedOn w:val="DefaultParagraphFont"/>
    <w:uiPriority w:val="1"/>
    <w:qFormat/>
    <w:rsid w:val="00592B08"/>
    <w:rPr>
      <w:rFonts w:ascii="Franklin Gothic Demi" w:hAnsi="Franklin Gothic Demi"/>
      <w:b w:val="0"/>
      <w:bCs/>
      <w:color w:val="000000"/>
      <w:lang w:val="en-GB"/>
    </w:rPr>
  </w:style>
  <w:style w:type="paragraph" w:styleId="ListNumber">
    <w:name w:val="List Number"/>
    <w:basedOn w:val="Normal"/>
    <w:uiPriority w:val="99"/>
    <w:semiHidden/>
    <w:unhideWhenUsed/>
    <w:rsid w:val="00592B08"/>
    <w:pPr>
      <w:numPr>
        <w:numId w:val="5"/>
      </w:numPr>
      <w:contextualSpacing/>
    </w:pPr>
    <w:rPr>
      <w:color w:val="70AD47" w:themeColor="accent6"/>
    </w:rPr>
  </w:style>
  <w:style w:type="character" w:customStyle="1" w:styleId="Heading1Char">
    <w:name w:val="Heading 1 Char"/>
    <w:basedOn w:val="DefaultParagraphFont"/>
    <w:link w:val="Heading1"/>
    <w:uiPriority w:val="9"/>
    <w:rsid w:val="0052428A"/>
    <w:rPr>
      <w:rFonts w:ascii="Franklin Gothic Heavy" w:eastAsiaTheme="minorEastAsia" w:hAnsi="Franklin Gothic Heavy" w:cs="Times New Roman"/>
      <w:noProof/>
      <w:color w:val="FFFFFF"/>
      <w:kern w:val="20"/>
      <w:position w:val="4"/>
      <w:sz w:val="28"/>
      <w:szCs w:val="22"/>
      <w:shd w:val="clear" w:color="auto" w:fill="B7A0CB"/>
      <w:lang w:val="en-US" w:eastAsia="ja-JP"/>
    </w:rPr>
  </w:style>
  <w:style w:type="paragraph" w:styleId="TOCHeading">
    <w:name w:val="TOC Heading"/>
    <w:basedOn w:val="Heading1"/>
    <w:next w:val="Normal"/>
    <w:uiPriority w:val="39"/>
    <w:unhideWhenUsed/>
    <w:qFormat/>
    <w:rsid w:val="00592B08"/>
    <w:pPr>
      <w:spacing w:before="480" w:line="276" w:lineRule="auto"/>
      <w:outlineLvl w:val="9"/>
    </w:pPr>
    <w:rPr>
      <w:b/>
      <w:bCs/>
      <w:szCs w:val="28"/>
    </w:rPr>
  </w:style>
  <w:style w:type="paragraph" w:styleId="TOC1">
    <w:name w:val="toc 1"/>
    <w:aliases w:val="TOC 1 Demi"/>
    <w:autoRedefine/>
    <w:uiPriority w:val="39"/>
    <w:unhideWhenUsed/>
    <w:rsid w:val="00592B08"/>
    <w:pPr>
      <w:tabs>
        <w:tab w:val="right" w:leader="dot" w:pos="9000"/>
      </w:tabs>
      <w:spacing w:before="120"/>
      <w:ind w:firstLine="1080"/>
    </w:pPr>
    <w:rPr>
      <w:rFonts w:ascii="Franklin Gothic Demi" w:eastAsiaTheme="minorEastAsia" w:hAnsi="Franklin Gothic Demi" w:cs="Times New Roman"/>
      <w:noProof/>
      <w:color w:val="7E599A"/>
      <w:spacing w:val="-5"/>
      <w:kern w:val="20"/>
      <w:sz w:val="22"/>
      <w:szCs w:val="22"/>
      <w:lang w:val="en-US" w:eastAsia="ja-JP"/>
    </w:rPr>
  </w:style>
  <w:style w:type="paragraph" w:styleId="TOC2">
    <w:name w:val="toc 2"/>
    <w:next w:val="Normal"/>
    <w:autoRedefine/>
    <w:uiPriority w:val="39"/>
    <w:unhideWhenUsed/>
    <w:rsid w:val="00592B08"/>
    <w:pPr>
      <w:tabs>
        <w:tab w:val="right" w:leader="dot" w:pos="9000"/>
      </w:tabs>
      <w:spacing w:line="260" w:lineRule="atLeast"/>
      <w:ind w:left="1080"/>
      <w:contextualSpacing/>
    </w:pPr>
    <w:rPr>
      <w:rFonts w:ascii="Franklin Gothic Book" w:eastAsiaTheme="minorEastAsia" w:hAnsi="Franklin Gothic Book"/>
      <w:color w:val="000000"/>
      <w:kern w:val="20"/>
      <w:sz w:val="22"/>
      <w:szCs w:val="22"/>
      <w:lang w:val="en-US" w:eastAsia="ja-JP"/>
      <w14:numForm w14:val="oldStyle"/>
      <w14:numSpacing w14:val="proportional"/>
    </w:rPr>
  </w:style>
  <w:style w:type="paragraph" w:styleId="TOC3">
    <w:name w:val="toc 3"/>
    <w:basedOn w:val="Normal"/>
    <w:next w:val="Normal"/>
    <w:autoRedefine/>
    <w:uiPriority w:val="39"/>
    <w:unhideWhenUsed/>
    <w:rsid w:val="00592B08"/>
    <w:pPr>
      <w:spacing w:after="0"/>
      <w:ind w:left="240"/>
      <w:jc w:val="left"/>
    </w:pPr>
    <w:rPr>
      <w:rFonts w:asciiTheme="minorHAnsi" w:hAnsiTheme="minorHAnsi"/>
      <w:i/>
      <w:iCs/>
      <w:szCs w:val="22"/>
    </w:rPr>
  </w:style>
  <w:style w:type="paragraph" w:styleId="TOC4">
    <w:name w:val="toc 4"/>
    <w:basedOn w:val="Normal"/>
    <w:next w:val="Normal"/>
    <w:autoRedefine/>
    <w:uiPriority w:val="39"/>
    <w:unhideWhenUsed/>
    <w:rsid w:val="00592B08"/>
    <w:pPr>
      <w:pBdr>
        <w:between w:val="double" w:sz="6" w:space="0" w:color="auto"/>
      </w:pBdr>
      <w:spacing w:after="0"/>
      <w:ind w:left="480"/>
      <w:jc w:val="left"/>
    </w:pPr>
    <w:rPr>
      <w:rFonts w:asciiTheme="minorHAnsi" w:hAnsiTheme="minorHAnsi"/>
      <w:szCs w:val="20"/>
    </w:rPr>
  </w:style>
  <w:style w:type="paragraph" w:styleId="TOC5">
    <w:name w:val="toc 5"/>
    <w:basedOn w:val="Normal"/>
    <w:next w:val="Normal"/>
    <w:autoRedefine/>
    <w:uiPriority w:val="39"/>
    <w:unhideWhenUsed/>
    <w:rsid w:val="00592B08"/>
    <w:pPr>
      <w:pBdr>
        <w:between w:val="double" w:sz="6" w:space="0" w:color="auto"/>
      </w:pBdr>
      <w:spacing w:after="0"/>
      <w:ind w:left="720"/>
      <w:jc w:val="left"/>
    </w:pPr>
    <w:rPr>
      <w:rFonts w:asciiTheme="minorHAnsi" w:hAnsiTheme="minorHAnsi"/>
      <w:szCs w:val="20"/>
    </w:rPr>
  </w:style>
  <w:style w:type="paragraph" w:styleId="TOC6">
    <w:name w:val="toc 6"/>
    <w:basedOn w:val="Normal"/>
    <w:next w:val="Normal"/>
    <w:autoRedefine/>
    <w:uiPriority w:val="39"/>
    <w:unhideWhenUsed/>
    <w:rsid w:val="00592B08"/>
    <w:pPr>
      <w:pBdr>
        <w:between w:val="double" w:sz="6" w:space="0" w:color="auto"/>
      </w:pBdr>
      <w:spacing w:after="0"/>
      <w:ind w:left="960"/>
      <w:jc w:val="left"/>
    </w:pPr>
    <w:rPr>
      <w:rFonts w:asciiTheme="minorHAnsi" w:hAnsiTheme="minorHAnsi"/>
      <w:szCs w:val="20"/>
    </w:rPr>
  </w:style>
  <w:style w:type="paragraph" w:styleId="TOC7">
    <w:name w:val="toc 7"/>
    <w:basedOn w:val="Normal"/>
    <w:next w:val="Normal"/>
    <w:autoRedefine/>
    <w:uiPriority w:val="39"/>
    <w:unhideWhenUsed/>
    <w:rsid w:val="00592B08"/>
    <w:pPr>
      <w:pBdr>
        <w:between w:val="double" w:sz="6" w:space="0" w:color="auto"/>
      </w:pBdr>
      <w:spacing w:after="0"/>
      <w:ind w:left="1200"/>
      <w:jc w:val="left"/>
    </w:pPr>
    <w:rPr>
      <w:rFonts w:asciiTheme="minorHAnsi" w:hAnsiTheme="minorHAnsi"/>
      <w:szCs w:val="20"/>
    </w:rPr>
  </w:style>
  <w:style w:type="paragraph" w:styleId="TOC8">
    <w:name w:val="toc 8"/>
    <w:basedOn w:val="Normal"/>
    <w:next w:val="Normal"/>
    <w:autoRedefine/>
    <w:uiPriority w:val="39"/>
    <w:unhideWhenUsed/>
    <w:rsid w:val="00592B08"/>
    <w:pPr>
      <w:pBdr>
        <w:between w:val="double" w:sz="6" w:space="0" w:color="auto"/>
      </w:pBdr>
      <w:spacing w:after="0"/>
      <w:ind w:left="1440"/>
      <w:jc w:val="left"/>
    </w:pPr>
    <w:rPr>
      <w:rFonts w:asciiTheme="minorHAnsi" w:hAnsiTheme="minorHAnsi"/>
      <w:szCs w:val="20"/>
    </w:rPr>
  </w:style>
  <w:style w:type="paragraph" w:styleId="TOC9">
    <w:name w:val="toc 9"/>
    <w:basedOn w:val="Normal"/>
    <w:next w:val="Normal"/>
    <w:autoRedefine/>
    <w:uiPriority w:val="39"/>
    <w:unhideWhenUsed/>
    <w:rsid w:val="00592B08"/>
    <w:pPr>
      <w:pBdr>
        <w:between w:val="double" w:sz="6" w:space="0" w:color="auto"/>
      </w:pBdr>
      <w:spacing w:after="0"/>
      <w:ind w:left="1680"/>
      <w:jc w:val="left"/>
    </w:pPr>
    <w:rPr>
      <w:rFonts w:asciiTheme="minorHAnsi" w:hAnsiTheme="minorHAnsi"/>
      <w:szCs w:val="20"/>
    </w:rPr>
  </w:style>
  <w:style w:type="paragraph" w:styleId="DocumentMap">
    <w:name w:val="Document Map"/>
    <w:basedOn w:val="Normal"/>
    <w:link w:val="DocumentMapChar"/>
    <w:uiPriority w:val="99"/>
    <w:semiHidden/>
    <w:unhideWhenUsed/>
    <w:rsid w:val="00592B08"/>
    <w:pPr>
      <w:spacing w:after="0" w:line="240" w:lineRule="auto"/>
    </w:pPr>
    <w:rPr>
      <w:rFonts w:ascii="Times New Roman" w:hAnsi="Times New Roman" w:cs="Times New Roman"/>
      <w:color w:val="70AD47" w:themeColor="accent6"/>
      <w:sz w:val="24"/>
    </w:rPr>
  </w:style>
  <w:style w:type="character" w:customStyle="1" w:styleId="DocumentMapChar">
    <w:name w:val="Document Map Char"/>
    <w:basedOn w:val="DefaultParagraphFont"/>
    <w:link w:val="DocumentMap"/>
    <w:uiPriority w:val="99"/>
    <w:semiHidden/>
    <w:rsid w:val="00592B08"/>
    <w:rPr>
      <w:rFonts w:ascii="Times New Roman" w:eastAsiaTheme="minorEastAsia" w:hAnsi="Times New Roman" w:cs="Times New Roman"/>
      <w:color w:val="70AD47" w:themeColor="accent6"/>
      <w:spacing w:val="-3"/>
      <w:kern w:val="20"/>
      <w:lang w:val="en-US" w:eastAsia="ja-JP"/>
      <w14:numForm w14:val="oldStyle"/>
      <w14:numSpacing w14:val="proportional"/>
    </w:rPr>
  </w:style>
  <w:style w:type="character" w:customStyle="1" w:styleId="Heading2Char">
    <w:name w:val="Heading 2 Char"/>
    <w:basedOn w:val="DefaultParagraphFont"/>
    <w:link w:val="Heading2"/>
    <w:uiPriority w:val="9"/>
    <w:rsid w:val="00515135"/>
    <w:rPr>
      <w:rFonts w:ascii="Franklin Gothic Heavy" w:eastAsiaTheme="minorEastAsia" w:hAnsi="Franklin Gothic Heavy"/>
      <w:b/>
      <w:bCs/>
      <w:color w:val="2A3D8F"/>
      <w:kern w:val="20"/>
      <w:sz w:val="28"/>
      <w:szCs w:val="22"/>
      <w:lang w:val="en-US" w:eastAsia="ja-JP"/>
      <w14:numForm w14:val="oldStyle"/>
      <w14:numSpacing w14:val="proportional"/>
    </w:rPr>
  </w:style>
  <w:style w:type="character" w:customStyle="1" w:styleId="Heading4Char">
    <w:name w:val="Heading 4 Char"/>
    <w:basedOn w:val="DefaultParagraphFont"/>
    <w:link w:val="Heading4"/>
    <w:uiPriority w:val="9"/>
    <w:rsid w:val="00592B08"/>
    <w:rPr>
      <w:rFonts w:ascii="Franklin Gothic Demi" w:eastAsiaTheme="minorEastAsia" w:hAnsi="Franklin Gothic Demi"/>
      <w:bCs/>
      <w:color w:val="7E599A"/>
      <w:spacing w:val="-3"/>
      <w:kern w:val="20"/>
      <w:sz w:val="22"/>
      <w:szCs w:val="20"/>
      <w:u w:val="single"/>
      <w:lang w:val="en-US" w:eastAsia="ja-JP"/>
    </w:rPr>
  </w:style>
  <w:style w:type="paragraph" w:customStyle="1" w:styleId="NormalIndented">
    <w:name w:val="Normal Indented"/>
    <w:basedOn w:val="Normal"/>
    <w:qFormat/>
    <w:rsid w:val="00592B08"/>
    <w:rPr>
      <w:szCs w:val="22"/>
    </w:rPr>
  </w:style>
  <w:style w:type="paragraph" w:styleId="ListBullet">
    <w:name w:val="List Bullet"/>
    <w:basedOn w:val="Normal"/>
    <w:uiPriority w:val="99"/>
    <w:unhideWhenUsed/>
    <w:rsid w:val="00592B08"/>
    <w:pPr>
      <w:numPr>
        <w:numId w:val="4"/>
      </w:numPr>
      <w:contextualSpacing/>
    </w:pPr>
    <w:rPr>
      <w:color w:val="70AD47" w:themeColor="accent6"/>
    </w:rPr>
  </w:style>
  <w:style w:type="paragraph" w:customStyle="1" w:styleId="GeneralCommentH3">
    <w:name w:val="General Comment H3"/>
    <w:basedOn w:val="Heading3"/>
    <w:qFormat/>
    <w:rsid w:val="00592B08"/>
    <w:rPr>
      <w:caps w:val="0"/>
      <w:color w:val="2A3D8F"/>
      <w:sz w:val="27"/>
    </w:rPr>
  </w:style>
  <w:style w:type="paragraph" w:customStyle="1" w:styleId="AccountabilityHeading1">
    <w:name w:val="Accountability Heading 1"/>
    <w:basedOn w:val="Normal"/>
    <w:autoRedefine/>
    <w:qFormat/>
    <w:rsid w:val="00592B08"/>
    <w:pPr>
      <w:pageBreakBefore/>
      <w:pBdr>
        <w:top w:val="single" w:sz="4" w:space="6" w:color="B7A0CB"/>
        <w:left w:val="single" w:sz="4" w:space="4" w:color="B7A0CB"/>
        <w:bottom w:val="single" w:sz="4" w:space="0" w:color="B7A0CB"/>
        <w:right w:val="single" w:sz="4" w:space="4" w:color="B7A0CB"/>
      </w:pBdr>
      <w:shd w:val="clear" w:color="auto" w:fill="B7A0CB"/>
      <w:spacing w:before="120" w:after="200" w:line="300" w:lineRule="exact"/>
      <w:ind w:left="0" w:right="0"/>
      <w:contextualSpacing/>
      <w:outlineLvl w:val="0"/>
    </w:pPr>
    <w:rPr>
      <w:rFonts w:ascii="Franklin Gothic Heavy" w:hAnsi="Franklin Gothic Heavy" w:cs="Times New Roman"/>
      <w:noProof/>
      <w:color w:val="FFFFFF"/>
      <w:spacing w:val="5"/>
      <w:position w:val="4"/>
      <w:sz w:val="28"/>
      <w:szCs w:val="22"/>
      <w14:numForm w14:val="default"/>
      <w14:numSpacing w14:val="default"/>
    </w:rPr>
  </w:style>
  <w:style w:type="paragraph" w:customStyle="1" w:styleId="AccountabilitySubheading3">
    <w:name w:val="Accountability Subheading 3"/>
    <w:basedOn w:val="TOC4"/>
    <w:autoRedefine/>
    <w:qFormat/>
    <w:rsid w:val="00592B08"/>
    <w:pPr>
      <w:ind w:left="0"/>
    </w:pPr>
    <w:rPr>
      <w:color w:val="1F497D"/>
      <w:u w:val="single"/>
    </w:rPr>
  </w:style>
  <w:style w:type="character" w:customStyle="1" w:styleId="apple-converted-space">
    <w:name w:val="apple-converted-space"/>
    <w:basedOn w:val="DefaultParagraphFont"/>
    <w:rsid w:val="00592B08"/>
  </w:style>
  <w:style w:type="paragraph" w:customStyle="1" w:styleId="Boxed">
    <w:name w:val="Boxed"/>
    <w:qFormat/>
    <w:rsid w:val="00592B08"/>
    <w:pPr>
      <w:keepNext/>
      <w:keepLines/>
      <w:framePr w:w="9360" w:hSpace="144" w:vSpace="43" w:wrap="notBeside" w:vAnchor="text" w:hAnchor="page" w:xAlign="center" w:y="1"/>
      <w:pBdr>
        <w:top w:val="single" w:sz="12" w:space="8" w:color="7E599A"/>
        <w:left w:val="single" w:sz="12" w:space="9" w:color="7E599A"/>
        <w:bottom w:val="single" w:sz="12" w:space="8" w:color="7E599A"/>
        <w:right w:val="single" w:sz="12" w:space="9" w:color="7E599A"/>
      </w:pBdr>
      <w:spacing w:after="120"/>
      <w:ind w:left="288" w:right="288"/>
    </w:pPr>
    <w:rPr>
      <w:rFonts w:ascii="Franklin Gothic Book" w:eastAsiaTheme="minorEastAsia" w:hAnsi="Franklin Gothic Book" w:cs="Times New Roman"/>
      <w:color w:val="70AD47" w:themeColor="accent6"/>
      <w:kern w:val="20"/>
      <w:sz w:val="22"/>
      <w:lang w:val="en-US" w:eastAsia="ja-JP"/>
    </w:rPr>
  </w:style>
  <w:style w:type="paragraph" w:styleId="Caption">
    <w:name w:val="caption"/>
    <w:basedOn w:val="Normal"/>
    <w:next w:val="Normal"/>
    <w:uiPriority w:val="35"/>
    <w:unhideWhenUsed/>
    <w:qFormat/>
    <w:rsid w:val="00592B08"/>
    <w:rPr>
      <w:b/>
      <w:bCs/>
      <w:color w:val="5B9BD5" w:themeColor="accent1"/>
      <w:sz w:val="18"/>
      <w:szCs w:val="18"/>
    </w:rPr>
  </w:style>
  <w:style w:type="paragraph" w:customStyle="1" w:styleId="CommitteeContactTighter">
    <w:name w:val="Committee Contact Tighter"/>
    <w:qFormat/>
    <w:rsid w:val="00592B08"/>
    <w:pPr>
      <w:spacing w:after="120"/>
      <w:ind w:left="1440" w:hanging="1440"/>
    </w:pPr>
    <w:rPr>
      <w:rFonts w:ascii="Franklin Gothic Book" w:eastAsiaTheme="minorEastAsia" w:hAnsi="Franklin Gothic Book" w:cs="Times New Roman"/>
      <w:kern w:val="20"/>
      <w:sz w:val="22"/>
      <w:lang w:val="en-US" w:eastAsia="ja-JP"/>
    </w:rPr>
  </w:style>
  <w:style w:type="table" w:customStyle="1" w:styleId="FigureCaptionTable">
    <w:name w:val="Figure Caption Table"/>
    <w:basedOn w:val="TableNormal"/>
    <w:uiPriority w:val="99"/>
    <w:rsid w:val="00592B08"/>
    <w:rPr>
      <w:rFonts w:ascii="Times New Roman" w:eastAsiaTheme="minorEastAsia" w:hAnsi="Times New Roman"/>
      <w:lang w:val="en-US" w:eastAsia="ja-JP"/>
    </w:rPr>
    <w:tblPr/>
  </w:style>
  <w:style w:type="paragraph" w:customStyle="1" w:styleId="FigureLabel">
    <w:name w:val="Figure Label"/>
    <w:qFormat/>
    <w:rsid w:val="00592B08"/>
    <w:pPr>
      <w:pBdr>
        <w:bottom w:val="single" w:sz="4" w:space="1" w:color="auto"/>
      </w:pBdr>
      <w:shd w:val="clear" w:color="auto" w:fill="FFFFFF" w:themeFill="background1"/>
      <w:spacing w:after="200"/>
    </w:pPr>
    <w:rPr>
      <w:rFonts w:ascii="Franklin Gothic Book" w:eastAsiaTheme="minorEastAsia" w:hAnsi="Franklin Gothic Book"/>
      <w:iCs/>
      <w:color w:val="70AD47" w:themeColor="accent6"/>
      <w:kern w:val="20"/>
      <w:sz w:val="22"/>
      <w:szCs w:val="22"/>
      <w:lang w:val="en-US" w:eastAsia="ja-JP"/>
    </w:rPr>
  </w:style>
  <w:style w:type="table" w:customStyle="1" w:styleId="FigureLabelTable">
    <w:name w:val="Figure Label Table"/>
    <w:basedOn w:val="TableNormal"/>
    <w:uiPriority w:val="99"/>
    <w:rsid w:val="00592B08"/>
    <w:rPr>
      <w:rFonts w:ascii="Times New Roman" w:eastAsiaTheme="minorEastAsia" w:hAnsi="Times New Roman"/>
      <w:lang w:val="en-US" w:eastAsia="ja-JP"/>
    </w:rPr>
    <w:tblPr>
      <w:jc w:val="center"/>
    </w:tblPr>
    <w:trPr>
      <w:jc w:val="center"/>
    </w:trPr>
  </w:style>
  <w:style w:type="paragraph" w:customStyle="1" w:styleId="FigureTabs">
    <w:name w:val="Figure Tabs"/>
    <w:basedOn w:val="Normal"/>
    <w:qFormat/>
    <w:rsid w:val="00592B08"/>
    <w:pPr>
      <w:framePr w:wrap="around" w:hAnchor="page" w:x="1009" w:yAlign="top"/>
      <w:spacing w:after="0" w:line="240" w:lineRule="auto"/>
      <w:ind w:left="0" w:right="0"/>
      <w:jc w:val="center"/>
    </w:pPr>
    <w:rPr>
      <w:rFonts w:ascii="Franklin Gothic Demi" w:hAnsi="Franklin Gothic Demi"/>
      <w:color w:val="FFFFFF" w:themeColor="background1"/>
    </w:rPr>
  </w:style>
  <w:style w:type="paragraph" w:customStyle="1" w:styleId="FootnoteSeparator">
    <w:name w:val="Footnote Separator"/>
    <w:basedOn w:val="Footer"/>
    <w:qFormat/>
    <w:rsid w:val="00592B08"/>
    <w:pPr>
      <w:pBdr>
        <w:top w:val="single" w:sz="4" w:space="1" w:color="AF85C7"/>
      </w:pBdr>
    </w:pPr>
    <w:rPr>
      <w:color w:val="000000" w:themeColor="text1"/>
      <w:sz w:val="10"/>
    </w:rPr>
  </w:style>
  <w:style w:type="paragraph" w:customStyle="1" w:styleId="GlossaryNormal">
    <w:name w:val="Glossary Normal"/>
    <w:basedOn w:val="Normal"/>
    <w:autoRedefine/>
    <w:qFormat/>
    <w:rsid w:val="00592B08"/>
    <w:pPr>
      <w:spacing w:after="120"/>
      <w:ind w:left="2250" w:hanging="2250"/>
    </w:pPr>
    <w:rPr>
      <w:rFonts w:cs="Times New Roman"/>
      <w:color w:val="70AD47" w:themeColor="accent6"/>
    </w:rPr>
  </w:style>
  <w:style w:type="paragraph" w:customStyle="1" w:styleId="NormalbutNoParagraphSpace">
    <w:name w:val="Normal but No Paragraph Space"/>
    <w:basedOn w:val="Normal"/>
    <w:qFormat/>
    <w:rsid w:val="00592B08"/>
    <w:pPr>
      <w:spacing w:after="0"/>
    </w:pPr>
    <w:rPr>
      <w:rFonts w:cs="Times New Roman"/>
    </w:rPr>
  </w:style>
  <w:style w:type="table" w:customStyle="1" w:styleId="PlainTable11">
    <w:name w:val="Plain Table 11"/>
    <w:basedOn w:val="TableNormal"/>
    <w:uiPriority w:val="41"/>
    <w:rsid w:val="00592B08"/>
    <w:rPr>
      <w:rFonts w:ascii="Times New Roman" w:eastAsiaTheme="minorEastAsia" w:hAnsi="Times New Roman"/>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FootnoteReferenceText1">
    <w:name w:val="Style Footnote Reference + Text 1"/>
    <w:basedOn w:val="FootnoteReference"/>
    <w:rsid w:val="00592B08"/>
    <w:rPr>
      <w:color w:val="000000"/>
      <w:vertAlign w:val="superscript"/>
    </w:rPr>
  </w:style>
  <w:style w:type="table" w:styleId="TableGrid">
    <w:name w:val="Table Grid"/>
    <w:basedOn w:val="TableNormal"/>
    <w:uiPriority w:val="59"/>
    <w:rsid w:val="00592B08"/>
    <w:rPr>
      <w:rFonts w:ascii="Times New Roman" w:eastAsiaTheme="minorEastAsia" w:hAnsi="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Title">
    <w:name w:val="Title Page Title"/>
    <w:qFormat/>
    <w:rsid w:val="00592B08"/>
    <w:pPr>
      <w:spacing w:after="200"/>
      <w:jc w:val="center"/>
    </w:pPr>
    <w:rPr>
      <w:rFonts w:ascii="Franklin Gothic Demi" w:eastAsiaTheme="majorEastAsia" w:hAnsi="Franklin Gothic Demi" w:cstheme="majorBidi"/>
      <w:b/>
      <w:bCs/>
      <w:color w:val="71578F"/>
      <w:spacing w:val="5"/>
      <w:kern w:val="28"/>
      <w:sz w:val="44"/>
      <w:szCs w:val="52"/>
      <w:lang w:val="en-US" w:eastAsia="ja-JP"/>
    </w:rPr>
  </w:style>
  <w:style w:type="character" w:customStyle="1" w:styleId="UnresolvedMention1">
    <w:name w:val="Unresolved Mention1"/>
    <w:basedOn w:val="DefaultParagraphFont"/>
    <w:uiPriority w:val="99"/>
    <w:rsid w:val="00592B08"/>
    <w:rPr>
      <w:color w:val="808080"/>
      <w:shd w:val="clear" w:color="auto" w:fill="E6E6E6"/>
    </w:rPr>
  </w:style>
  <w:style w:type="paragraph" w:customStyle="1" w:styleId="Heading3GeneralComments">
    <w:name w:val="Heading 3 General Comments"/>
    <w:basedOn w:val="Heading3"/>
    <w:qFormat/>
    <w:rsid w:val="00753A59"/>
    <w:pPr>
      <w:numPr>
        <w:ilvl w:val="0"/>
        <w:numId w:val="1"/>
      </w:numPr>
      <w:spacing w:before="200" w:after="60"/>
      <w:ind w:left="288" w:hanging="234"/>
    </w:pPr>
    <w:rPr>
      <w:caps w:val="0"/>
    </w:rPr>
  </w:style>
  <w:style w:type="paragraph" w:customStyle="1" w:styleId="HEADING3firstinstance">
    <w:name w:val="HEADING 3 first instance"/>
    <w:basedOn w:val="Heading3"/>
    <w:qFormat/>
    <w:rsid w:val="00592B08"/>
    <w:pPr>
      <w:spacing w:before="240"/>
    </w:pPr>
  </w:style>
  <w:style w:type="paragraph" w:styleId="NoSpacing">
    <w:name w:val="No Spacing"/>
    <w:link w:val="NoSpacingChar"/>
    <w:uiPriority w:val="1"/>
    <w:qFormat/>
    <w:rsid w:val="00592B08"/>
    <w:rPr>
      <w:rFonts w:eastAsiaTheme="minorEastAsia"/>
      <w:sz w:val="22"/>
      <w:szCs w:val="22"/>
      <w:lang w:val="en-US" w:eastAsia="zh-CN"/>
    </w:rPr>
  </w:style>
  <w:style w:type="character" w:customStyle="1" w:styleId="NoSpacingChar">
    <w:name w:val="No Spacing Char"/>
    <w:basedOn w:val="DefaultParagraphFont"/>
    <w:link w:val="NoSpacing"/>
    <w:uiPriority w:val="1"/>
    <w:rsid w:val="00592B08"/>
    <w:rPr>
      <w:rFonts w:eastAsiaTheme="minorEastAsia"/>
      <w:sz w:val="22"/>
      <w:szCs w:val="22"/>
      <w:lang w:val="en-US" w:eastAsia="zh-CN"/>
    </w:rPr>
  </w:style>
  <w:style w:type="paragraph" w:styleId="Revision">
    <w:name w:val="Revision"/>
    <w:hidden/>
    <w:uiPriority w:val="99"/>
    <w:semiHidden/>
    <w:rsid w:val="00247877"/>
    <w:rPr>
      <w:rFonts w:ascii="Franklin Gothic Book" w:eastAsiaTheme="minorEastAsia" w:hAnsi="Franklin Gothic Book"/>
      <w:color w:val="000000"/>
      <w:spacing w:val="-3"/>
      <w:kern w:val="20"/>
      <w:sz w:val="22"/>
      <w:lang w:eastAsia="ja-JP"/>
      <w14:numForm w14:val="oldStyle"/>
      <w14:numSpacing w14:val="proportional"/>
    </w:rPr>
  </w:style>
  <w:style w:type="paragraph" w:styleId="HTMLPreformatted">
    <w:name w:val="HTML Preformatted"/>
    <w:basedOn w:val="Normal"/>
    <w:link w:val="HTMLPreformattedChar"/>
    <w:uiPriority w:val="99"/>
    <w:unhideWhenUsed/>
    <w:rsid w:val="00A54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jc w:val="left"/>
    </w:pPr>
    <w:rPr>
      <w:rFonts w:ascii="Courier New" w:eastAsia="Times New Roman" w:hAnsi="Courier New" w:cs="Courier New"/>
      <w:color w:val="auto"/>
      <w:spacing w:val="0"/>
      <w:kern w:val="0"/>
      <w:sz w:val="20"/>
      <w:szCs w:val="20"/>
      <w:lang w:eastAsia="en-US"/>
      <w14:numForm w14:val="default"/>
      <w14:numSpacing w14:val="default"/>
    </w:rPr>
  </w:style>
  <w:style w:type="character" w:customStyle="1" w:styleId="HTMLPreformattedChar">
    <w:name w:val="HTML Preformatted Char"/>
    <w:basedOn w:val="DefaultParagraphFont"/>
    <w:link w:val="HTMLPreformatted"/>
    <w:uiPriority w:val="99"/>
    <w:rsid w:val="00A54005"/>
    <w:rPr>
      <w:rFonts w:ascii="Courier New" w:eastAsia="Times New Roman" w:hAnsi="Courier New" w:cs="Courier New"/>
      <w:sz w:val="20"/>
      <w:szCs w:val="20"/>
      <w:lang w:val="en-US"/>
    </w:rPr>
  </w:style>
  <w:style w:type="character" w:styleId="Emphasis">
    <w:name w:val="Emphasis"/>
    <w:basedOn w:val="DefaultParagraphFont"/>
    <w:uiPriority w:val="20"/>
    <w:qFormat/>
    <w:rsid w:val="00260B7D"/>
    <w:rPr>
      <w:i/>
      <w:iCs/>
    </w:rPr>
  </w:style>
  <w:style w:type="character" w:styleId="UnresolvedMention">
    <w:name w:val="Unresolved Mention"/>
    <w:basedOn w:val="DefaultParagraphFont"/>
    <w:uiPriority w:val="99"/>
    <w:semiHidden/>
    <w:unhideWhenUsed/>
    <w:rsid w:val="00C04397"/>
    <w:rPr>
      <w:color w:val="605E5C"/>
      <w:shd w:val="clear" w:color="auto" w:fill="E1DFDD"/>
    </w:rPr>
  </w:style>
  <w:style w:type="paragraph" w:customStyle="1" w:styleId="indentedafterbulletp">
    <w:name w:val="indented after bullet p"/>
    <w:basedOn w:val="NormalIndented"/>
    <w:qFormat/>
    <w:rsid w:val="00592B08"/>
    <w:pPr>
      <w:ind w:left="2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30241">
      <w:bodyDiv w:val="1"/>
      <w:marLeft w:val="0"/>
      <w:marRight w:val="0"/>
      <w:marTop w:val="0"/>
      <w:marBottom w:val="0"/>
      <w:divBdr>
        <w:top w:val="none" w:sz="0" w:space="0" w:color="auto"/>
        <w:left w:val="none" w:sz="0" w:space="0" w:color="auto"/>
        <w:bottom w:val="none" w:sz="0" w:space="0" w:color="auto"/>
        <w:right w:val="none" w:sz="0" w:space="0" w:color="auto"/>
      </w:divBdr>
    </w:div>
    <w:div w:id="10760547">
      <w:bodyDiv w:val="1"/>
      <w:marLeft w:val="0"/>
      <w:marRight w:val="0"/>
      <w:marTop w:val="0"/>
      <w:marBottom w:val="0"/>
      <w:divBdr>
        <w:top w:val="none" w:sz="0" w:space="0" w:color="auto"/>
        <w:left w:val="none" w:sz="0" w:space="0" w:color="auto"/>
        <w:bottom w:val="none" w:sz="0" w:space="0" w:color="auto"/>
        <w:right w:val="none" w:sz="0" w:space="0" w:color="auto"/>
      </w:divBdr>
    </w:div>
    <w:div w:id="12386757">
      <w:bodyDiv w:val="1"/>
      <w:marLeft w:val="0"/>
      <w:marRight w:val="0"/>
      <w:marTop w:val="0"/>
      <w:marBottom w:val="0"/>
      <w:divBdr>
        <w:top w:val="none" w:sz="0" w:space="0" w:color="auto"/>
        <w:left w:val="none" w:sz="0" w:space="0" w:color="auto"/>
        <w:bottom w:val="none" w:sz="0" w:space="0" w:color="auto"/>
        <w:right w:val="none" w:sz="0" w:space="0" w:color="auto"/>
      </w:divBdr>
    </w:div>
    <w:div w:id="14037438">
      <w:bodyDiv w:val="1"/>
      <w:marLeft w:val="0"/>
      <w:marRight w:val="0"/>
      <w:marTop w:val="0"/>
      <w:marBottom w:val="0"/>
      <w:divBdr>
        <w:top w:val="none" w:sz="0" w:space="0" w:color="auto"/>
        <w:left w:val="none" w:sz="0" w:space="0" w:color="auto"/>
        <w:bottom w:val="none" w:sz="0" w:space="0" w:color="auto"/>
        <w:right w:val="none" w:sz="0" w:space="0" w:color="auto"/>
      </w:divBdr>
    </w:div>
    <w:div w:id="15230151">
      <w:bodyDiv w:val="1"/>
      <w:marLeft w:val="0"/>
      <w:marRight w:val="0"/>
      <w:marTop w:val="0"/>
      <w:marBottom w:val="0"/>
      <w:divBdr>
        <w:top w:val="none" w:sz="0" w:space="0" w:color="auto"/>
        <w:left w:val="none" w:sz="0" w:space="0" w:color="auto"/>
        <w:bottom w:val="none" w:sz="0" w:space="0" w:color="auto"/>
        <w:right w:val="none" w:sz="0" w:space="0" w:color="auto"/>
      </w:divBdr>
    </w:div>
    <w:div w:id="17705469">
      <w:bodyDiv w:val="1"/>
      <w:marLeft w:val="0"/>
      <w:marRight w:val="0"/>
      <w:marTop w:val="0"/>
      <w:marBottom w:val="0"/>
      <w:divBdr>
        <w:top w:val="none" w:sz="0" w:space="0" w:color="auto"/>
        <w:left w:val="none" w:sz="0" w:space="0" w:color="auto"/>
        <w:bottom w:val="none" w:sz="0" w:space="0" w:color="auto"/>
        <w:right w:val="none" w:sz="0" w:space="0" w:color="auto"/>
      </w:divBdr>
    </w:div>
    <w:div w:id="20666997">
      <w:bodyDiv w:val="1"/>
      <w:marLeft w:val="0"/>
      <w:marRight w:val="0"/>
      <w:marTop w:val="0"/>
      <w:marBottom w:val="0"/>
      <w:divBdr>
        <w:top w:val="none" w:sz="0" w:space="0" w:color="auto"/>
        <w:left w:val="none" w:sz="0" w:space="0" w:color="auto"/>
        <w:bottom w:val="none" w:sz="0" w:space="0" w:color="auto"/>
        <w:right w:val="none" w:sz="0" w:space="0" w:color="auto"/>
      </w:divBdr>
    </w:div>
    <w:div w:id="32311973">
      <w:bodyDiv w:val="1"/>
      <w:marLeft w:val="0"/>
      <w:marRight w:val="0"/>
      <w:marTop w:val="0"/>
      <w:marBottom w:val="0"/>
      <w:divBdr>
        <w:top w:val="none" w:sz="0" w:space="0" w:color="auto"/>
        <w:left w:val="none" w:sz="0" w:space="0" w:color="auto"/>
        <w:bottom w:val="none" w:sz="0" w:space="0" w:color="auto"/>
        <w:right w:val="none" w:sz="0" w:space="0" w:color="auto"/>
      </w:divBdr>
    </w:div>
    <w:div w:id="42487252">
      <w:bodyDiv w:val="1"/>
      <w:marLeft w:val="0"/>
      <w:marRight w:val="0"/>
      <w:marTop w:val="0"/>
      <w:marBottom w:val="0"/>
      <w:divBdr>
        <w:top w:val="none" w:sz="0" w:space="0" w:color="auto"/>
        <w:left w:val="none" w:sz="0" w:space="0" w:color="auto"/>
        <w:bottom w:val="none" w:sz="0" w:space="0" w:color="auto"/>
        <w:right w:val="none" w:sz="0" w:space="0" w:color="auto"/>
      </w:divBdr>
    </w:div>
    <w:div w:id="46955169">
      <w:bodyDiv w:val="1"/>
      <w:marLeft w:val="0"/>
      <w:marRight w:val="0"/>
      <w:marTop w:val="0"/>
      <w:marBottom w:val="0"/>
      <w:divBdr>
        <w:top w:val="none" w:sz="0" w:space="0" w:color="auto"/>
        <w:left w:val="none" w:sz="0" w:space="0" w:color="auto"/>
        <w:bottom w:val="none" w:sz="0" w:space="0" w:color="auto"/>
        <w:right w:val="none" w:sz="0" w:space="0" w:color="auto"/>
      </w:divBdr>
    </w:div>
    <w:div w:id="49229630">
      <w:bodyDiv w:val="1"/>
      <w:marLeft w:val="0"/>
      <w:marRight w:val="0"/>
      <w:marTop w:val="0"/>
      <w:marBottom w:val="0"/>
      <w:divBdr>
        <w:top w:val="none" w:sz="0" w:space="0" w:color="auto"/>
        <w:left w:val="none" w:sz="0" w:space="0" w:color="auto"/>
        <w:bottom w:val="none" w:sz="0" w:space="0" w:color="auto"/>
        <w:right w:val="none" w:sz="0" w:space="0" w:color="auto"/>
      </w:divBdr>
    </w:div>
    <w:div w:id="56560413">
      <w:bodyDiv w:val="1"/>
      <w:marLeft w:val="0"/>
      <w:marRight w:val="0"/>
      <w:marTop w:val="0"/>
      <w:marBottom w:val="0"/>
      <w:divBdr>
        <w:top w:val="none" w:sz="0" w:space="0" w:color="auto"/>
        <w:left w:val="none" w:sz="0" w:space="0" w:color="auto"/>
        <w:bottom w:val="none" w:sz="0" w:space="0" w:color="auto"/>
        <w:right w:val="none" w:sz="0" w:space="0" w:color="auto"/>
      </w:divBdr>
    </w:div>
    <w:div w:id="65536645">
      <w:bodyDiv w:val="1"/>
      <w:marLeft w:val="0"/>
      <w:marRight w:val="0"/>
      <w:marTop w:val="0"/>
      <w:marBottom w:val="0"/>
      <w:divBdr>
        <w:top w:val="none" w:sz="0" w:space="0" w:color="auto"/>
        <w:left w:val="none" w:sz="0" w:space="0" w:color="auto"/>
        <w:bottom w:val="none" w:sz="0" w:space="0" w:color="auto"/>
        <w:right w:val="none" w:sz="0" w:space="0" w:color="auto"/>
      </w:divBdr>
    </w:div>
    <w:div w:id="67534429">
      <w:bodyDiv w:val="1"/>
      <w:marLeft w:val="0"/>
      <w:marRight w:val="0"/>
      <w:marTop w:val="0"/>
      <w:marBottom w:val="0"/>
      <w:divBdr>
        <w:top w:val="none" w:sz="0" w:space="0" w:color="auto"/>
        <w:left w:val="none" w:sz="0" w:space="0" w:color="auto"/>
        <w:bottom w:val="none" w:sz="0" w:space="0" w:color="auto"/>
        <w:right w:val="none" w:sz="0" w:space="0" w:color="auto"/>
      </w:divBdr>
    </w:div>
    <w:div w:id="78253348">
      <w:bodyDiv w:val="1"/>
      <w:marLeft w:val="0"/>
      <w:marRight w:val="0"/>
      <w:marTop w:val="0"/>
      <w:marBottom w:val="0"/>
      <w:divBdr>
        <w:top w:val="none" w:sz="0" w:space="0" w:color="auto"/>
        <w:left w:val="none" w:sz="0" w:space="0" w:color="auto"/>
        <w:bottom w:val="none" w:sz="0" w:space="0" w:color="auto"/>
        <w:right w:val="none" w:sz="0" w:space="0" w:color="auto"/>
      </w:divBdr>
    </w:div>
    <w:div w:id="88474338">
      <w:bodyDiv w:val="1"/>
      <w:marLeft w:val="0"/>
      <w:marRight w:val="0"/>
      <w:marTop w:val="0"/>
      <w:marBottom w:val="0"/>
      <w:divBdr>
        <w:top w:val="none" w:sz="0" w:space="0" w:color="auto"/>
        <w:left w:val="none" w:sz="0" w:space="0" w:color="auto"/>
        <w:bottom w:val="none" w:sz="0" w:space="0" w:color="auto"/>
        <w:right w:val="none" w:sz="0" w:space="0" w:color="auto"/>
      </w:divBdr>
    </w:div>
    <w:div w:id="88937947">
      <w:bodyDiv w:val="1"/>
      <w:marLeft w:val="0"/>
      <w:marRight w:val="0"/>
      <w:marTop w:val="0"/>
      <w:marBottom w:val="0"/>
      <w:divBdr>
        <w:top w:val="none" w:sz="0" w:space="0" w:color="auto"/>
        <w:left w:val="none" w:sz="0" w:space="0" w:color="auto"/>
        <w:bottom w:val="none" w:sz="0" w:space="0" w:color="auto"/>
        <w:right w:val="none" w:sz="0" w:space="0" w:color="auto"/>
      </w:divBdr>
    </w:div>
    <w:div w:id="96221413">
      <w:bodyDiv w:val="1"/>
      <w:marLeft w:val="0"/>
      <w:marRight w:val="0"/>
      <w:marTop w:val="0"/>
      <w:marBottom w:val="0"/>
      <w:divBdr>
        <w:top w:val="none" w:sz="0" w:space="0" w:color="auto"/>
        <w:left w:val="none" w:sz="0" w:space="0" w:color="auto"/>
        <w:bottom w:val="none" w:sz="0" w:space="0" w:color="auto"/>
        <w:right w:val="none" w:sz="0" w:space="0" w:color="auto"/>
      </w:divBdr>
    </w:div>
    <w:div w:id="97220887">
      <w:bodyDiv w:val="1"/>
      <w:marLeft w:val="0"/>
      <w:marRight w:val="0"/>
      <w:marTop w:val="0"/>
      <w:marBottom w:val="0"/>
      <w:divBdr>
        <w:top w:val="none" w:sz="0" w:space="0" w:color="auto"/>
        <w:left w:val="none" w:sz="0" w:space="0" w:color="auto"/>
        <w:bottom w:val="none" w:sz="0" w:space="0" w:color="auto"/>
        <w:right w:val="none" w:sz="0" w:space="0" w:color="auto"/>
      </w:divBdr>
    </w:div>
    <w:div w:id="98987290">
      <w:bodyDiv w:val="1"/>
      <w:marLeft w:val="0"/>
      <w:marRight w:val="0"/>
      <w:marTop w:val="0"/>
      <w:marBottom w:val="0"/>
      <w:divBdr>
        <w:top w:val="none" w:sz="0" w:space="0" w:color="auto"/>
        <w:left w:val="none" w:sz="0" w:space="0" w:color="auto"/>
        <w:bottom w:val="none" w:sz="0" w:space="0" w:color="auto"/>
        <w:right w:val="none" w:sz="0" w:space="0" w:color="auto"/>
      </w:divBdr>
    </w:div>
    <w:div w:id="100534207">
      <w:bodyDiv w:val="1"/>
      <w:marLeft w:val="0"/>
      <w:marRight w:val="0"/>
      <w:marTop w:val="0"/>
      <w:marBottom w:val="0"/>
      <w:divBdr>
        <w:top w:val="none" w:sz="0" w:space="0" w:color="auto"/>
        <w:left w:val="none" w:sz="0" w:space="0" w:color="auto"/>
        <w:bottom w:val="none" w:sz="0" w:space="0" w:color="auto"/>
        <w:right w:val="none" w:sz="0" w:space="0" w:color="auto"/>
      </w:divBdr>
    </w:div>
    <w:div w:id="104010403">
      <w:bodyDiv w:val="1"/>
      <w:marLeft w:val="0"/>
      <w:marRight w:val="0"/>
      <w:marTop w:val="0"/>
      <w:marBottom w:val="0"/>
      <w:divBdr>
        <w:top w:val="none" w:sz="0" w:space="0" w:color="auto"/>
        <w:left w:val="none" w:sz="0" w:space="0" w:color="auto"/>
        <w:bottom w:val="none" w:sz="0" w:space="0" w:color="auto"/>
        <w:right w:val="none" w:sz="0" w:space="0" w:color="auto"/>
      </w:divBdr>
    </w:div>
    <w:div w:id="140393725">
      <w:bodyDiv w:val="1"/>
      <w:marLeft w:val="0"/>
      <w:marRight w:val="0"/>
      <w:marTop w:val="0"/>
      <w:marBottom w:val="0"/>
      <w:divBdr>
        <w:top w:val="none" w:sz="0" w:space="0" w:color="auto"/>
        <w:left w:val="none" w:sz="0" w:space="0" w:color="auto"/>
        <w:bottom w:val="none" w:sz="0" w:space="0" w:color="auto"/>
        <w:right w:val="none" w:sz="0" w:space="0" w:color="auto"/>
      </w:divBdr>
    </w:div>
    <w:div w:id="152380068">
      <w:bodyDiv w:val="1"/>
      <w:marLeft w:val="0"/>
      <w:marRight w:val="0"/>
      <w:marTop w:val="0"/>
      <w:marBottom w:val="0"/>
      <w:divBdr>
        <w:top w:val="none" w:sz="0" w:space="0" w:color="auto"/>
        <w:left w:val="none" w:sz="0" w:space="0" w:color="auto"/>
        <w:bottom w:val="none" w:sz="0" w:space="0" w:color="auto"/>
        <w:right w:val="none" w:sz="0" w:space="0" w:color="auto"/>
      </w:divBdr>
    </w:div>
    <w:div w:id="181744960">
      <w:bodyDiv w:val="1"/>
      <w:marLeft w:val="0"/>
      <w:marRight w:val="0"/>
      <w:marTop w:val="0"/>
      <w:marBottom w:val="0"/>
      <w:divBdr>
        <w:top w:val="none" w:sz="0" w:space="0" w:color="auto"/>
        <w:left w:val="none" w:sz="0" w:space="0" w:color="auto"/>
        <w:bottom w:val="none" w:sz="0" w:space="0" w:color="auto"/>
        <w:right w:val="none" w:sz="0" w:space="0" w:color="auto"/>
      </w:divBdr>
    </w:div>
    <w:div w:id="184096287">
      <w:bodyDiv w:val="1"/>
      <w:marLeft w:val="0"/>
      <w:marRight w:val="0"/>
      <w:marTop w:val="0"/>
      <w:marBottom w:val="0"/>
      <w:divBdr>
        <w:top w:val="none" w:sz="0" w:space="0" w:color="auto"/>
        <w:left w:val="none" w:sz="0" w:space="0" w:color="auto"/>
        <w:bottom w:val="none" w:sz="0" w:space="0" w:color="auto"/>
        <w:right w:val="none" w:sz="0" w:space="0" w:color="auto"/>
      </w:divBdr>
    </w:div>
    <w:div w:id="186335391">
      <w:bodyDiv w:val="1"/>
      <w:marLeft w:val="0"/>
      <w:marRight w:val="0"/>
      <w:marTop w:val="0"/>
      <w:marBottom w:val="0"/>
      <w:divBdr>
        <w:top w:val="none" w:sz="0" w:space="0" w:color="auto"/>
        <w:left w:val="none" w:sz="0" w:space="0" w:color="auto"/>
        <w:bottom w:val="none" w:sz="0" w:space="0" w:color="auto"/>
        <w:right w:val="none" w:sz="0" w:space="0" w:color="auto"/>
      </w:divBdr>
    </w:div>
    <w:div w:id="193151004">
      <w:bodyDiv w:val="1"/>
      <w:marLeft w:val="0"/>
      <w:marRight w:val="0"/>
      <w:marTop w:val="0"/>
      <w:marBottom w:val="0"/>
      <w:divBdr>
        <w:top w:val="none" w:sz="0" w:space="0" w:color="auto"/>
        <w:left w:val="none" w:sz="0" w:space="0" w:color="auto"/>
        <w:bottom w:val="none" w:sz="0" w:space="0" w:color="auto"/>
        <w:right w:val="none" w:sz="0" w:space="0" w:color="auto"/>
      </w:divBdr>
    </w:div>
    <w:div w:id="207953725">
      <w:bodyDiv w:val="1"/>
      <w:marLeft w:val="0"/>
      <w:marRight w:val="0"/>
      <w:marTop w:val="0"/>
      <w:marBottom w:val="0"/>
      <w:divBdr>
        <w:top w:val="none" w:sz="0" w:space="0" w:color="auto"/>
        <w:left w:val="none" w:sz="0" w:space="0" w:color="auto"/>
        <w:bottom w:val="none" w:sz="0" w:space="0" w:color="auto"/>
        <w:right w:val="none" w:sz="0" w:space="0" w:color="auto"/>
      </w:divBdr>
    </w:div>
    <w:div w:id="234515352">
      <w:bodyDiv w:val="1"/>
      <w:marLeft w:val="0"/>
      <w:marRight w:val="0"/>
      <w:marTop w:val="0"/>
      <w:marBottom w:val="0"/>
      <w:divBdr>
        <w:top w:val="none" w:sz="0" w:space="0" w:color="auto"/>
        <w:left w:val="none" w:sz="0" w:space="0" w:color="auto"/>
        <w:bottom w:val="none" w:sz="0" w:space="0" w:color="auto"/>
        <w:right w:val="none" w:sz="0" w:space="0" w:color="auto"/>
      </w:divBdr>
    </w:div>
    <w:div w:id="242185964">
      <w:bodyDiv w:val="1"/>
      <w:marLeft w:val="0"/>
      <w:marRight w:val="0"/>
      <w:marTop w:val="0"/>
      <w:marBottom w:val="0"/>
      <w:divBdr>
        <w:top w:val="none" w:sz="0" w:space="0" w:color="auto"/>
        <w:left w:val="none" w:sz="0" w:space="0" w:color="auto"/>
        <w:bottom w:val="none" w:sz="0" w:space="0" w:color="auto"/>
        <w:right w:val="none" w:sz="0" w:space="0" w:color="auto"/>
      </w:divBdr>
    </w:div>
    <w:div w:id="269363151">
      <w:bodyDiv w:val="1"/>
      <w:marLeft w:val="0"/>
      <w:marRight w:val="0"/>
      <w:marTop w:val="0"/>
      <w:marBottom w:val="0"/>
      <w:divBdr>
        <w:top w:val="none" w:sz="0" w:space="0" w:color="auto"/>
        <w:left w:val="none" w:sz="0" w:space="0" w:color="auto"/>
        <w:bottom w:val="none" w:sz="0" w:space="0" w:color="auto"/>
        <w:right w:val="none" w:sz="0" w:space="0" w:color="auto"/>
      </w:divBdr>
    </w:div>
    <w:div w:id="274169750">
      <w:bodyDiv w:val="1"/>
      <w:marLeft w:val="0"/>
      <w:marRight w:val="0"/>
      <w:marTop w:val="0"/>
      <w:marBottom w:val="0"/>
      <w:divBdr>
        <w:top w:val="none" w:sz="0" w:space="0" w:color="auto"/>
        <w:left w:val="none" w:sz="0" w:space="0" w:color="auto"/>
        <w:bottom w:val="none" w:sz="0" w:space="0" w:color="auto"/>
        <w:right w:val="none" w:sz="0" w:space="0" w:color="auto"/>
      </w:divBdr>
    </w:div>
    <w:div w:id="334383832">
      <w:bodyDiv w:val="1"/>
      <w:marLeft w:val="0"/>
      <w:marRight w:val="0"/>
      <w:marTop w:val="0"/>
      <w:marBottom w:val="0"/>
      <w:divBdr>
        <w:top w:val="none" w:sz="0" w:space="0" w:color="auto"/>
        <w:left w:val="none" w:sz="0" w:space="0" w:color="auto"/>
        <w:bottom w:val="none" w:sz="0" w:space="0" w:color="auto"/>
        <w:right w:val="none" w:sz="0" w:space="0" w:color="auto"/>
      </w:divBdr>
    </w:div>
    <w:div w:id="341124289">
      <w:bodyDiv w:val="1"/>
      <w:marLeft w:val="0"/>
      <w:marRight w:val="0"/>
      <w:marTop w:val="0"/>
      <w:marBottom w:val="0"/>
      <w:divBdr>
        <w:top w:val="none" w:sz="0" w:space="0" w:color="auto"/>
        <w:left w:val="none" w:sz="0" w:space="0" w:color="auto"/>
        <w:bottom w:val="none" w:sz="0" w:space="0" w:color="auto"/>
        <w:right w:val="none" w:sz="0" w:space="0" w:color="auto"/>
      </w:divBdr>
    </w:div>
    <w:div w:id="352194050">
      <w:bodyDiv w:val="1"/>
      <w:marLeft w:val="0"/>
      <w:marRight w:val="0"/>
      <w:marTop w:val="0"/>
      <w:marBottom w:val="0"/>
      <w:divBdr>
        <w:top w:val="none" w:sz="0" w:space="0" w:color="auto"/>
        <w:left w:val="none" w:sz="0" w:space="0" w:color="auto"/>
        <w:bottom w:val="none" w:sz="0" w:space="0" w:color="auto"/>
        <w:right w:val="none" w:sz="0" w:space="0" w:color="auto"/>
      </w:divBdr>
    </w:div>
    <w:div w:id="354818698">
      <w:bodyDiv w:val="1"/>
      <w:marLeft w:val="0"/>
      <w:marRight w:val="0"/>
      <w:marTop w:val="0"/>
      <w:marBottom w:val="0"/>
      <w:divBdr>
        <w:top w:val="none" w:sz="0" w:space="0" w:color="auto"/>
        <w:left w:val="none" w:sz="0" w:space="0" w:color="auto"/>
        <w:bottom w:val="none" w:sz="0" w:space="0" w:color="auto"/>
        <w:right w:val="none" w:sz="0" w:space="0" w:color="auto"/>
      </w:divBdr>
    </w:div>
    <w:div w:id="366835612">
      <w:bodyDiv w:val="1"/>
      <w:marLeft w:val="0"/>
      <w:marRight w:val="0"/>
      <w:marTop w:val="0"/>
      <w:marBottom w:val="0"/>
      <w:divBdr>
        <w:top w:val="none" w:sz="0" w:space="0" w:color="auto"/>
        <w:left w:val="none" w:sz="0" w:space="0" w:color="auto"/>
        <w:bottom w:val="none" w:sz="0" w:space="0" w:color="auto"/>
        <w:right w:val="none" w:sz="0" w:space="0" w:color="auto"/>
      </w:divBdr>
    </w:div>
    <w:div w:id="370348853">
      <w:bodyDiv w:val="1"/>
      <w:marLeft w:val="0"/>
      <w:marRight w:val="0"/>
      <w:marTop w:val="0"/>
      <w:marBottom w:val="0"/>
      <w:divBdr>
        <w:top w:val="none" w:sz="0" w:space="0" w:color="auto"/>
        <w:left w:val="none" w:sz="0" w:space="0" w:color="auto"/>
        <w:bottom w:val="none" w:sz="0" w:space="0" w:color="auto"/>
        <w:right w:val="none" w:sz="0" w:space="0" w:color="auto"/>
      </w:divBdr>
    </w:div>
    <w:div w:id="375929642">
      <w:bodyDiv w:val="1"/>
      <w:marLeft w:val="0"/>
      <w:marRight w:val="0"/>
      <w:marTop w:val="0"/>
      <w:marBottom w:val="0"/>
      <w:divBdr>
        <w:top w:val="none" w:sz="0" w:space="0" w:color="auto"/>
        <w:left w:val="none" w:sz="0" w:space="0" w:color="auto"/>
        <w:bottom w:val="none" w:sz="0" w:space="0" w:color="auto"/>
        <w:right w:val="none" w:sz="0" w:space="0" w:color="auto"/>
      </w:divBdr>
    </w:div>
    <w:div w:id="391780217">
      <w:bodyDiv w:val="1"/>
      <w:marLeft w:val="0"/>
      <w:marRight w:val="0"/>
      <w:marTop w:val="0"/>
      <w:marBottom w:val="0"/>
      <w:divBdr>
        <w:top w:val="none" w:sz="0" w:space="0" w:color="auto"/>
        <w:left w:val="none" w:sz="0" w:space="0" w:color="auto"/>
        <w:bottom w:val="none" w:sz="0" w:space="0" w:color="auto"/>
        <w:right w:val="none" w:sz="0" w:space="0" w:color="auto"/>
      </w:divBdr>
    </w:div>
    <w:div w:id="400758418">
      <w:bodyDiv w:val="1"/>
      <w:marLeft w:val="0"/>
      <w:marRight w:val="0"/>
      <w:marTop w:val="0"/>
      <w:marBottom w:val="0"/>
      <w:divBdr>
        <w:top w:val="none" w:sz="0" w:space="0" w:color="auto"/>
        <w:left w:val="none" w:sz="0" w:space="0" w:color="auto"/>
        <w:bottom w:val="none" w:sz="0" w:space="0" w:color="auto"/>
        <w:right w:val="none" w:sz="0" w:space="0" w:color="auto"/>
      </w:divBdr>
    </w:div>
    <w:div w:id="412313202">
      <w:bodyDiv w:val="1"/>
      <w:marLeft w:val="0"/>
      <w:marRight w:val="0"/>
      <w:marTop w:val="0"/>
      <w:marBottom w:val="0"/>
      <w:divBdr>
        <w:top w:val="none" w:sz="0" w:space="0" w:color="auto"/>
        <w:left w:val="none" w:sz="0" w:space="0" w:color="auto"/>
        <w:bottom w:val="none" w:sz="0" w:space="0" w:color="auto"/>
        <w:right w:val="none" w:sz="0" w:space="0" w:color="auto"/>
      </w:divBdr>
    </w:div>
    <w:div w:id="425274707">
      <w:bodyDiv w:val="1"/>
      <w:marLeft w:val="0"/>
      <w:marRight w:val="0"/>
      <w:marTop w:val="0"/>
      <w:marBottom w:val="0"/>
      <w:divBdr>
        <w:top w:val="none" w:sz="0" w:space="0" w:color="auto"/>
        <w:left w:val="none" w:sz="0" w:space="0" w:color="auto"/>
        <w:bottom w:val="none" w:sz="0" w:space="0" w:color="auto"/>
        <w:right w:val="none" w:sz="0" w:space="0" w:color="auto"/>
      </w:divBdr>
    </w:div>
    <w:div w:id="437525635">
      <w:bodyDiv w:val="1"/>
      <w:marLeft w:val="0"/>
      <w:marRight w:val="0"/>
      <w:marTop w:val="0"/>
      <w:marBottom w:val="0"/>
      <w:divBdr>
        <w:top w:val="none" w:sz="0" w:space="0" w:color="auto"/>
        <w:left w:val="none" w:sz="0" w:space="0" w:color="auto"/>
        <w:bottom w:val="none" w:sz="0" w:space="0" w:color="auto"/>
        <w:right w:val="none" w:sz="0" w:space="0" w:color="auto"/>
      </w:divBdr>
    </w:div>
    <w:div w:id="439187093">
      <w:bodyDiv w:val="1"/>
      <w:marLeft w:val="0"/>
      <w:marRight w:val="0"/>
      <w:marTop w:val="0"/>
      <w:marBottom w:val="0"/>
      <w:divBdr>
        <w:top w:val="none" w:sz="0" w:space="0" w:color="auto"/>
        <w:left w:val="none" w:sz="0" w:space="0" w:color="auto"/>
        <w:bottom w:val="none" w:sz="0" w:space="0" w:color="auto"/>
        <w:right w:val="none" w:sz="0" w:space="0" w:color="auto"/>
      </w:divBdr>
    </w:div>
    <w:div w:id="453402807">
      <w:bodyDiv w:val="1"/>
      <w:marLeft w:val="0"/>
      <w:marRight w:val="0"/>
      <w:marTop w:val="0"/>
      <w:marBottom w:val="0"/>
      <w:divBdr>
        <w:top w:val="none" w:sz="0" w:space="0" w:color="auto"/>
        <w:left w:val="none" w:sz="0" w:space="0" w:color="auto"/>
        <w:bottom w:val="none" w:sz="0" w:space="0" w:color="auto"/>
        <w:right w:val="none" w:sz="0" w:space="0" w:color="auto"/>
      </w:divBdr>
      <w:divsChild>
        <w:div w:id="431358039">
          <w:marLeft w:val="0"/>
          <w:marRight w:val="0"/>
          <w:marTop w:val="0"/>
          <w:marBottom w:val="0"/>
          <w:divBdr>
            <w:top w:val="none" w:sz="0" w:space="0" w:color="auto"/>
            <w:left w:val="none" w:sz="0" w:space="0" w:color="auto"/>
            <w:bottom w:val="none" w:sz="0" w:space="0" w:color="auto"/>
            <w:right w:val="none" w:sz="0" w:space="0" w:color="auto"/>
          </w:divBdr>
          <w:divsChild>
            <w:div w:id="954562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2398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4615658">
      <w:bodyDiv w:val="1"/>
      <w:marLeft w:val="0"/>
      <w:marRight w:val="0"/>
      <w:marTop w:val="0"/>
      <w:marBottom w:val="0"/>
      <w:divBdr>
        <w:top w:val="none" w:sz="0" w:space="0" w:color="auto"/>
        <w:left w:val="none" w:sz="0" w:space="0" w:color="auto"/>
        <w:bottom w:val="none" w:sz="0" w:space="0" w:color="auto"/>
        <w:right w:val="none" w:sz="0" w:space="0" w:color="auto"/>
      </w:divBdr>
    </w:div>
    <w:div w:id="497313187">
      <w:bodyDiv w:val="1"/>
      <w:marLeft w:val="0"/>
      <w:marRight w:val="0"/>
      <w:marTop w:val="0"/>
      <w:marBottom w:val="0"/>
      <w:divBdr>
        <w:top w:val="none" w:sz="0" w:space="0" w:color="auto"/>
        <w:left w:val="none" w:sz="0" w:space="0" w:color="auto"/>
        <w:bottom w:val="none" w:sz="0" w:space="0" w:color="auto"/>
        <w:right w:val="none" w:sz="0" w:space="0" w:color="auto"/>
      </w:divBdr>
    </w:div>
    <w:div w:id="504440952">
      <w:bodyDiv w:val="1"/>
      <w:marLeft w:val="0"/>
      <w:marRight w:val="0"/>
      <w:marTop w:val="0"/>
      <w:marBottom w:val="0"/>
      <w:divBdr>
        <w:top w:val="none" w:sz="0" w:space="0" w:color="auto"/>
        <w:left w:val="none" w:sz="0" w:space="0" w:color="auto"/>
        <w:bottom w:val="none" w:sz="0" w:space="0" w:color="auto"/>
        <w:right w:val="none" w:sz="0" w:space="0" w:color="auto"/>
      </w:divBdr>
    </w:div>
    <w:div w:id="509219914">
      <w:bodyDiv w:val="1"/>
      <w:marLeft w:val="0"/>
      <w:marRight w:val="0"/>
      <w:marTop w:val="0"/>
      <w:marBottom w:val="0"/>
      <w:divBdr>
        <w:top w:val="none" w:sz="0" w:space="0" w:color="auto"/>
        <w:left w:val="none" w:sz="0" w:space="0" w:color="auto"/>
        <w:bottom w:val="none" w:sz="0" w:space="0" w:color="auto"/>
        <w:right w:val="none" w:sz="0" w:space="0" w:color="auto"/>
      </w:divBdr>
    </w:div>
    <w:div w:id="511604868">
      <w:bodyDiv w:val="1"/>
      <w:marLeft w:val="0"/>
      <w:marRight w:val="0"/>
      <w:marTop w:val="0"/>
      <w:marBottom w:val="0"/>
      <w:divBdr>
        <w:top w:val="none" w:sz="0" w:space="0" w:color="auto"/>
        <w:left w:val="none" w:sz="0" w:space="0" w:color="auto"/>
        <w:bottom w:val="none" w:sz="0" w:space="0" w:color="auto"/>
        <w:right w:val="none" w:sz="0" w:space="0" w:color="auto"/>
      </w:divBdr>
    </w:div>
    <w:div w:id="541869711">
      <w:bodyDiv w:val="1"/>
      <w:marLeft w:val="0"/>
      <w:marRight w:val="0"/>
      <w:marTop w:val="0"/>
      <w:marBottom w:val="0"/>
      <w:divBdr>
        <w:top w:val="none" w:sz="0" w:space="0" w:color="auto"/>
        <w:left w:val="none" w:sz="0" w:space="0" w:color="auto"/>
        <w:bottom w:val="none" w:sz="0" w:space="0" w:color="auto"/>
        <w:right w:val="none" w:sz="0" w:space="0" w:color="auto"/>
      </w:divBdr>
      <w:divsChild>
        <w:div w:id="619462126">
          <w:marLeft w:val="0"/>
          <w:marRight w:val="0"/>
          <w:marTop w:val="0"/>
          <w:marBottom w:val="0"/>
          <w:divBdr>
            <w:top w:val="none" w:sz="0" w:space="0" w:color="auto"/>
            <w:left w:val="none" w:sz="0" w:space="0" w:color="auto"/>
            <w:bottom w:val="none" w:sz="0" w:space="0" w:color="auto"/>
            <w:right w:val="none" w:sz="0" w:space="0" w:color="auto"/>
          </w:divBdr>
          <w:divsChild>
            <w:div w:id="10012731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8001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11589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42332881">
      <w:bodyDiv w:val="1"/>
      <w:marLeft w:val="0"/>
      <w:marRight w:val="0"/>
      <w:marTop w:val="0"/>
      <w:marBottom w:val="0"/>
      <w:divBdr>
        <w:top w:val="none" w:sz="0" w:space="0" w:color="auto"/>
        <w:left w:val="none" w:sz="0" w:space="0" w:color="auto"/>
        <w:bottom w:val="none" w:sz="0" w:space="0" w:color="auto"/>
        <w:right w:val="none" w:sz="0" w:space="0" w:color="auto"/>
      </w:divBdr>
    </w:div>
    <w:div w:id="542792736">
      <w:bodyDiv w:val="1"/>
      <w:marLeft w:val="0"/>
      <w:marRight w:val="0"/>
      <w:marTop w:val="0"/>
      <w:marBottom w:val="0"/>
      <w:divBdr>
        <w:top w:val="none" w:sz="0" w:space="0" w:color="auto"/>
        <w:left w:val="none" w:sz="0" w:space="0" w:color="auto"/>
        <w:bottom w:val="none" w:sz="0" w:space="0" w:color="auto"/>
        <w:right w:val="none" w:sz="0" w:space="0" w:color="auto"/>
      </w:divBdr>
    </w:div>
    <w:div w:id="551381188">
      <w:bodyDiv w:val="1"/>
      <w:marLeft w:val="0"/>
      <w:marRight w:val="0"/>
      <w:marTop w:val="0"/>
      <w:marBottom w:val="0"/>
      <w:divBdr>
        <w:top w:val="none" w:sz="0" w:space="0" w:color="auto"/>
        <w:left w:val="none" w:sz="0" w:space="0" w:color="auto"/>
        <w:bottom w:val="none" w:sz="0" w:space="0" w:color="auto"/>
        <w:right w:val="none" w:sz="0" w:space="0" w:color="auto"/>
      </w:divBdr>
      <w:divsChild>
        <w:div w:id="64911787">
          <w:marLeft w:val="0"/>
          <w:marRight w:val="0"/>
          <w:marTop w:val="0"/>
          <w:marBottom w:val="0"/>
          <w:divBdr>
            <w:top w:val="none" w:sz="0" w:space="0" w:color="auto"/>
            <w:left w:val="none" w:sz="0" w:space="0" w:color="auto"/>
            <w:bottom w:val="none" w:sz="0" w:space="0" w:color="auto"/>
            <w:right w:val="none" w:sz="0" w:space="0" w:color="auto"/>
          </w:divBdr>
          <w:divsChild>
            <w:div w:id="152601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1244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2235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56086509">
      <w:bodyDiv w:val="1"/>
      <w:marLeft w:val="0"/>
      <w:marRight w:val="0"/>
      <w:marTop w:val="0"/>
      <w:marBottom w:val="0"/>
      <w:divBdr>
        <w:top w:val="none" w:sz="0" w:space="0" w:color="auto"/>
        <w:left w:val="none" w:sz="0" w:space="0" w:color="auto"/>
        <w:bottom w:val="none" w:sz="0" w:space="0" w:color="auto"/>
        <w:right w:val="none" w:sz="0" w:space="0" w:color="auto"/>
      </w:divBdr>
    </w:div>
    <w:div w:id="560412573">
      <w:bodyDiv w:val="1"/>
      <w:marLeft w:val="0"/>
      <w:marRight w:val="0"/>
      <w:marTop w:val="0"/>
      <w:marBottom w:val="0"/>
      <w:divBdr>
        <w:top w:val="none" w:sz="0" w:space="0" w:color="auto"/>
        <w:left w:val="none" w:sz="0" w:space="0" w:color="auto"/>
        <w:bottom w:val="none" w:sz="0" w:space="0" w:color="auto"/>
        <w:right w:val="none" w:sz="0" w:space="0" w:color="auto"/>
      </w:divBdr>
    </w:div>
    <w:div w:id="565066317">
      <w:bodyDiv w:val="1"/>
      <w:marLeft w:val="0"/>
      <w:marRight w:val="0"/>
      <w:marTop w:val="0"/>
      <w:marBottom w:val="0"/>
      <w:divBdr>
        <w:top w:val="none" w:sz="0" w:space="0" w:color="auto"/>
        <w:left w:val="none" w:sz="0" w:space="0" w:color="auto"/>
        <w:bottom w:val="none" w:sz="0" w:space="0" w:color="auto"/>
        <w:right w:val="none" w:sz="0" w:space="0" w:color="auto"/>
      </w:divBdr>
    </w:div>
    <w:div w:id="577177447">
      <w:bodyDiv w:val="1"/>
      <w:marLeft w:val="0"/>
      <w:marRight w:val="0"/>
      <w:marTop w:val="0"/>
      <w:marBottom w:val="0"/>
      <w:divBdr>
        <w:top w:val="none" w:sz="0" w:space="0" w:color="auto"/>
        <w:left w:val="none" w:sz="0" w:space="0" w:color="auto"/>
        <w:bottom w:val="none" w:sz="0" w:space="0" w:color="auto"/>
        <w:right w:val="none" w:sz="0" w:space="0" w:color="auto"/>
      </w:divBdr>
    </w:div>
    <w:div w:id="578442222">
      <w:bodyDiv w:val="1"/>
      <w:marLeft w:val="0"/>
      <w:marRight w:val="0"/>
      <w:marTop w:val="0"/>
      <w:marBottom w:val="0"/>
      <w:divBdr>
        <w:top w:val="none" w:sz="0" w:space="0" w:color="auto"/>
        <w:left w:val="none" w:sz="0" w:space="0" w:color="auto"/>
        <w:bottom w:val="none" w:sz="0" w:space="0" w:color="auto"/>
        <w:right w:val="none" w:sz="0" w:space="0" w:color="auto"/>
      </w:divBdr>
    </w:div>
    <w:div w:id="580681011">
      <w:bodyDiv w:val="1"/>
      <w:marLeft w:val="0"/>
      <w:marRight w:val="0"/>
      <w:marTop w:val="0"/>
      <w:marBottom w:val="0"/>
      <w:divBdr>
        <w:top w:val="none" w:sz="0" w:space="0" w:color="auto"/>
        <w:left w:val="none" w:sz="0" w:space="0" w:color="auto"/>
        <w:bottom w:val="none" w:sz="0" w:space="0" w:color="auto"/>
        <w:right w:val="none" w:sz="0" w:space="0" w:color="auto"/>
      </w:divBdr>
    </w:div>
    <w:div w:id="584843766">
      <w:bodyDiv w:val="1"/>
      <w:marLeft w:val="0"/>
      <w:marRight w:val="0"/>
      <w:marTop w:val="0"/>
      <w:marBottom w:val="0"/>
      <w:divBdr>
        <w:top w:val="none" w:sz="0" w:space="0" w:color="auto"/>
        <w:left w:val="none" w:sz="0" w:space="0" w:color="auto"/>
        <w:bottom w:val="none" w:sz="0" w:space="0" w:color="auto"/>
        <w:right w:val="none" w:sz="0" w:space="0" w:color="auto"/>
      </w:divBdr>
    </w:div>
    <w:div w:id="586501407">
      <w:bodyDiv w:val="1"/>
      <w:marLeft w:val="0"/>
      <w:marRight w:val="0"/>
      <w:marTop w:val="0"/>
      <w:marBottom w:val="0"/>
      <w:divBdr>
        <w:top w:val="none" w:sz="0" w:space="0" w:color="auto"/>
        <w:left w:val="none" w:sz="0" w:space="0" w:color="auto"/>
        <w:bottom w:val="none" w:sz="0" w:space="0" w:color="auto"/>
        <w:right w:val="none" w:sz="0" w:space="0" w:color="auto"/>
      </w:divBdr>
    </w:div>
    <w:div w:id="589630945">
      <w:bodyDiv w:val="1"/>
      <w:marLeft w:val="0"/>
      <w:marRight w:val="0"/>
      <w:marTop w:val="0"/>
      <w:marBottom w:val="0"/>
      <w:divBdr>
        <w:top w:val="none" w:sz="0" w:space="0" w:color="auto"/>
        <w:left w:val="none" w:sz="0" w:space="0" w:color="auto"/>
        <w:bottom w:val="none" w:sz="0" w:space="0" w:color="auto"/>
        <w:right w:val="none" w:sz="0" w:space="0" w:color="auto"/>
      </w:divBdr>
    </w:div>
    <w:div w:id="598415391">
      <w:bodyDiv w:val="1"/>
      <w:marLeft w:val="0"/>
      <w:marRight w:val="0"/>
      <w:marTop w:val="0"/>
      <w:marBottom w:val="0"/>
      <w:divBdr>
        <w:top w:val="none" w:sz="0" w:space="0" w:color="auto"/>
        <w:left w:val="none" w:sz="0" w:space="0" w:color="auto"/>
        <w:bottom w:val="none" w:sz="0" w:space="0" w:color="auto"/>
        <w:right w:val="none" w:sz="0" w:space="0" w:color="auto"/>
      </w:divBdr>
      <w:divsChild>
        <w:div w:id="866865609">
          <w:marLeft w:val="0"/>
          <w:marRight w:val="0"/>
          <w:marTop w:val="0"/>
          <w:marBottom w:val="0"/>
          <w:divBdr>
            <w:top w:val="none" w:sz="0" w:space="0" w:color="auto"/>
            <w:left w:val="none" w:sz="0" w:space="0" w:color="auto"/>
            <w:bottom w:val="none" w:sz="0" w:space="0" w:color="auto"/>
            <w:right w:val="none" w:sz="0" w:space="0" w:color="auto"/>
          </w:divBdr>
          <w:divsChild>
            <w:div w:id="502477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2651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94494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43121810">
      <w:bodyDiv w:val="1"/>
      <w:marLeft w:val="0"/>
      <w:marRight w:val="0"/>
      <w:marTop w:val="0"/>
      <w:marBottom w:val="0"/>
      <w:divBdr>
        <w:top w:val="none" w:sz="0" w:space="0" w:color="auto"/>
        <w:left w:val="none" w:sz="0" w:space="0" w:color="auto"/>
        <w:bottom w:val="none" w:sz="0" w:space="0" w:color="auto"/>
        <w:right w:val="none" w:sz="0" w:space="0" w:color="auto"/>
      </w:divBdr>
    </w:div>
    <w:div w:id="646861110">
      <w:bodyDiv w:val="1"/>
      <w:marLeft w:val="0"/>
      <w:marRight w:val="0"/>
      <w:marTop w:val="0"/>
      <w:marBottom w:val="0"/>
      <w:divBdr>
        <w:top w:val="none" w:sz="0" w:space="0" w:color="auto"/>
        <w:left w:val="none" w:sz="0" w:space="0" w:color="auto"/>
        <w:bottom w:val="none" w:sz="0" w:space="0" w:color="auto"/>
        <w:right w:val="none" w:sz="0" w:space="0" w:color="auto"/>
      </w:divBdr>
    </w:div>
    <w:div w:id="646936841">
      <w:bodyDiv w:val="1"/>
      <w:marLeft w:val="0"/>
      <w:marRight w:val="0"/>
      <w:marTop w:val="0"/>
      <w:marBottom w:val="0"/>
      <w:divBdr>
        <w:top w:val="none" w:sz="0" w:space="0" w:color="auto"/>
        <w:left w:val="none" w:sz="0" w:space="0" w:color="auto"/>
        <w:bottom w:val="none" w:sz="0" w:space="0" w:color="auto"/>
        <w:right w:val="none" w:sz="0" w:space="0" w:color="auto"/>
      </w:divBdr>
    </w:div>
    <w:div w:id="650211129">
      <w:bodyDiv w:val="1"/>
      <w:marLeft w:val="0"/>
      <w:marRight w:val="0"/>
      <w:marTop w:val="0"/>
      <w:marBottom w:val="0"/>
      <w:divBdr>
        <w:top w:val="none" w:sz="0" w:space="0" w:color="auto"/>
        <w:left w:val="none" w:sz="0" w:space="0" w:color="auto"/>
        <w:bottom w:val="none" w:sz="0" w:space="0" w:color="auto"/>
        <w:right w:val="none" w:sz="0" w:space="0" w:color="auto"/>
      </w:divBdr>
    </w:div>
    <w:div w:id="665672256">
      <w:bodyDiv w:val="1"/>
      <w:marLeft w:val="0"/>
      <w:marRight w:val="0"/>
      <w:marTop w:val="0"/>
      <w:marBottom w:val="0"/>
      <w:divBdr>
        <w:top w:val="none" w:sz="0" w:space="0" w:color="auto"/>
        <w:left w:val="none" w:sz="0" w:space="0" w:color="auto"/>
        <w:bottom w:val="none" w:sz="0" w:space="0" w:color="auto"/>
        <w:right w:val="none" w:sz="0" w:space="0" w:color="auto"/>
      </w:divBdr>
    </w:div>
    <w:div w:id="671185378">
      <w:bodyDiv w:val="1"/>
      <w:marLeft w:val="0"/>
      <w:marRight w:val="0"/>
      <w:marTop w:val="0"/>
      <w:marBottom w:val="0"/>
      <w:divBdr>
        <w:top w:val="none" w:sz="0" w:space="0" w:color="auto"/>
        <w:left w:val="none" w:sz="0" w:space="0" w:color="auto"/>
        <w:bottom w:val="none" w:sz="0" w:space="0" w:color="auto"/>
        <w:right w:val="none" w:sz="0" w:space="0" w:color="auto"/>
      </w:divBdr>
    </w:div>
    <w:div w:id="677272694">
      <w:bodyDiv w:val="1"/>
      <w:marLeft w:val="0"/>
      <w:marRight w:val="0"/>
      <w:marTop w:val="0"/>
      <w:marBottom w:val="0"/>
      <w:divBdr>
        <w:top w:val="none" w:sz="0" w:space="0" w:color="auto"/>
        <w:left w:val="none" w:sz="0" w:space="0" w:color="auto"/>
        <w:bottom w:val="none" w:sz="0" w:space="0" w:color="auto"/>
        <w:right w:val="none" w:sz="0" w:space="0" w:color="auto"/>
      </w:divBdr>
    </w:div>
    <w:div w:id="724451488">
      <w:bodyDiv w:val="1"/>
      <w:marLeft w:val="0"/>
      <w:marRight w:val="0"/>
      <w:marTop w:val="0"/>
      <w:marBottom w:val="0"/>
      <w:divBdr>
        <w:top w:val="none" w:sz="0" w:space="0" w:color="auto"/>
        <w:left w:val="none" w:sz="0" w:space="0" w:color="auto"/>
        <w:bottom w:val="none" w:sz="0" w:space="0" w:color="auto"/>
        <w:right w:val="none" w:sz="0" w:space="0" w:color="auto"/>
      </w:divBdr>
    </w:div>
    <w:div w:id="736828884">
      <w:bodyDiv w:val="1"/>
      <w:marLeft w:val="0"/>
      <w:marRight w:val="0"/>
      <w:marTop w:val="0"/>
      <w:marBottom w:val="0"/>
      <w:divBdr>
        <w:top w:val="none" w:sz="0" w:space="0" w:color="auto"/>
        <w:left w:val="none" w:sz="0" w:space="0" w:color="auto"/>
        <w:bottom w:val="none" w:sz="0" w:space="0" w:color="auto"/>
        <w:right w:val="none" w:sz="0" w:space="0" w:color="auto"/>
      </w:divBdr>
    </w:div>
    <w:div w:id="745028914">
      <w:bodyDiv w:val="1"/>
      <w:marLeft w:val="0"/>
      <w:marRight w:val="0"/>
      <w:marTop w:val="0"/>
      <w:marBottom w:val="0"/>
      <w:divBdr>
        <w:top w:val="none" w:sz="0" w:space="0" w:color="auto"/>
        <w:left w:val="none" w:sz="0" w:space="0" w:color="auto"/>
        <w:bottom w:val="none" w:sz="0" w:space="0" w:color="auto"/>
        <w:right w:val="none" w:sz="0" w:space="0" w:color="auto"/>
      </w:divBdr>
    </w:div>
    <w:div w:id="777992648">
      <w:bodyDiv w:val="1"/>
      <w:marLeft w:val="0"/>
      <w:marRight w:val="0"/>
      <w:marTop w:val="0"/>
      <w:marBottom w:val="0"/>
      <w:divBdr>
        <w:top w:val="none" w:sz="0" w:space="0" w:color="auto"/>
        <w:left w:val="none" w:sz="0" w:space="0" w:color="auto"/>
        <w:bottom w:val="none" w:sz="0" w:space="0" w:color="auto"/>
        <w:right w:val="none" w:sz="0" w:space="0" w:color="auto"/>
      </w:divBdr>
    </w:div>
    <w:div w:id="780107144">
      <w:bodyDiv w:val="1"/>
      <w:marLeft w:val="0"/>
      <w:marRight w:val="0"/>
      <w:marTop w:val="0"/>
      <w:marBottom w:val="0"/>
      <w:divBdr>
        <w:top w:val="none" w:sz="0" w:space="0" w:color="auto"/>
        <w:left w:val="none" w:sz="0" w:space="0" w:color="auto"/>
        <w:bottom w:val="none" w:sz="0" w:space="0" w:color="auto"/>
        <w:right w:val="none" w:sz="0" w:space="0" w:color="auto"/>
      </w:divBdr>
    </w:div>
    <w:div w:id="788551356">
      <w:bodyDiv w:val="1"/>
      <w:marLeft w:val="0"/>
      <w:marRight w:val="0"/>
      <w:marTop w:val="0"/>
      <w:marBottom w:val="0"/>
      <w:divBdr>
        <w:top w:val="none" w:sz="0" w:space="0" w:color="auto"/>
        <w:left w:val="none" w:sz="0" w:space="0" w:color="auto"/>
        <w:bottom w:val="none" w:sz="0" w:space="0" w:color="auto"/>
        <w:right w:val="none" w:sz="0" w:space="0" w:color="auto"/>
      </w:divBdr>
    </w:div>
    <w:div w:id="803472707">
      <w:bodyDiv w:val="1"/>
      <w:marLeft w:val="0"/>
      <w:marRight w:val="0"/>
      <w:marTop w:val="0"/>
      <w:marBottom w:val="0"/>
      <w:divBdr>
        <w:top w:val="none" w:sz="0" w:space="0" w:color="auto"/>
        <w:left w:val="none" w:sz="0" w:space="0" w:color="auto"/>
        <w:bottom w:val="none" w:sz="0" w:space="0" w:color="auto"/>
        <w:right w:val="none" w:sz="0" w:space="0" w:color="auto"/>
      </w:divBdr>
    </w:div>
    <w:div w:id="812714501">
      <w:bodyDiv w:val="1"/>
      <w:marLeft w:val="0"/>
      <w:marRight w:val="0"/>
      <w:marTop w:val="0"/>
      <w:marBottom w:val="0"/>
      <w:divBdr>
        <w:top w:val="none" w:sz="0" w:space="0" w:color="auto"/>
        <w:left w:val="none" w:sz="0" w:space="0" w:color="auto"/>
        <w:bottom w:val="none" w:sz="0" w:space="0" w:color="auto"/>
        <w:right w:val="none" w:sz="0" w:space="0" w:color="auto"/>
      </w:divBdr>
    </w:div>
    <w:div w:id="819003823">
      <w:bodyDiv w:val="1"/>
      <w:marLeft w:val="0"/>
      <w:marRight w:val="0"/>
      <w:marTop w:val="0"/>
      <w:marBottom w:val="0"/>
      <w:divBdr>
        <w:top w:val="none" w:sz="0" w:space="0" w:color="auto"/>
        <w:left w:val="none" w:sz="0" w:space="0" w:color="auto"/>
        <w:bottom w:val="none" w:sz="0" w:space="0" w:color="auto"/>
        <w:right w:val="none" w:sz="0" w:space="0" w:color="auto"/>
      </w:divBdr>
    </w:div>
    <w:div w:id="841285758">
      <w:bodyDiv w:val="1"/>
      <w:marLeft w:val="0"/>
      <w:marRight w:val="0"/>
      <w:marTop w:val="0"/>
      <w:marBottom w:val="0"/>
      <w:divBdr>
        <w:top w:val="none" w:sz="0" w:space="0" w:color="auto"/>
        <w:left w:val="none" w:sz="0" w:space="0" w:color="auto"/>
        <w:bottom w:val="none" w:sz="0" w:space="0" w:color="auto"/>
        <w:right w:val="none" w:sz="0" w:space="0" w:color="auto"/>
      </w:divBdr>
    </w:div>
    <w:div w:id="856890162">
      <w:bodyDiv w:val="1"/>
      <w:marLeft w:val="0"/>
      <w:marRight w:val="0"/>
      <w:marTop w:val="0"/>
      <w:marBottom w:val="0"/>
      <w:divBdr>
        <w:top w:val="none" w:sz="0" w:space="0" w:color="auto"/>
        <w:left w:val="none" w:sz="0" w:space="0" w:color="auto"/>
        <w:bottom w:val="none" w:sz="0" w:space="0" w:color="auto"/>
        <w:right w:val="none" w:sz="0" w:space="0" w:color="auto"/>
      </w:divBdr>
    </w:div>
    <w:div w:id="868226967">
      <w:bodyDiv w:val="1"/>
      <w:marLeft w:val="0"/>
      <w:marRight w:val="0"/>
      <w:marTop w:val="0"/>
      <w:marBottom w:val="0"/>
      <w:divBdr>
        <w:top w:val="none" w:sz="0" w:space="0" w:color="auto"/>
        <w:left w:val="none" w:sz="0" w:space="0" w:color="auto"/>
        <w:bottom w:val="none" w:sz="0" w:space="0" w:color="auto"/>
        <w:right w:val="none" w:sz="0" w:space="0" w:color="auto"/>
      </w:divBdr>
    </w:div>
    <w:div w:id="871261268">
      <w:bodyDiv w:val="1"/>
      <w:marLeft w:val="0"/>
      <w:marRight w:val="0"/>
      <w:marTop w:val="0"/>
      <w:marBottom w:val="0"/>
      <w:divBdr>
        <w:top w:val="none" w:sz="0" w:space="0" w:color="auto"/>
        <w:left w:val="none" w:sz="0" w:space="0" w:color="auto"/>
        <w:bottom w:val="none" w:sz="0" w:space="0" w:color="auto"/>
        <w:right w:val="none" w:sz="0" w:space="0" w:color="auto"/>
      </w:divBdr>
    </w:div>
    <w:div w:id="886064855">
      <w:bodyDiv w:val="1"/>
      <w:marLeft w:val="0"/>
      <w:marRight w:val="0"/>
      <w:marTop w:val="0"/>
      <w:marBottom w:val="0"/>
      <w:divBdr>
        <w:top w:val="none" w:sz="0" w:space="0" w:color="auto"/>
        <w:left w:val="none" w:sz="0" w:space="0" w:color="auto"/>
        <w:bottom w:val="none" w:sz="0" w:space="0" w:color="auto"/>
        <w:right w:val="none" w:sz="0" w:space="0" w:color="auto"/>
      </w:divBdr>
    </w:div>
    <w:div w:id="891846314">
      <w:bodyDiv w:val="1"/>
      <w:marLeft w:val="0"/>
      <w:marRight w:val="0"/>
      <w:marTop w:val="0"/>
      <w:marBottom w:val="0"/>
      <w:divBdr>
        <w:top w:val="none" w:sz="0" w:space="0" w:color="auto"/>
        <w:left w:val="none" w:sz="0" w:space="0" w:color="auto"/>
        <w:bottom w:val="none" w:sz="0" w:space="0" w:color="auto"/>
        <w:right w:val="none" w:sz="0" w:space="0" w:color="auto"/>
      </w:divBdr>
    </w:div>
    <w:div w:id="924001210">
      <w:bodyDiv w:val="1"/>
      <w:marLeft w:val="0"/>
      <w:marRight w:val="0"/>
      <w:marTop w:val="0"/>
      <w:marBottom w:val="0"/>
      <w:divBdr>
        <w:top w:val="none" w:sz="0" w:space="0" w:color="auto"/>
        <w:left w:val="none" w:sz="0" w:space="0" w:color="auto"/>
        <w:bottom w:val="none" w:sz="0" w:space="0" w:color="auto"/>
        <w:right w:val="none" w:sz="0" w:space="0" w:color="auto"/>
      </w:divBdr>
    </w:div>
    <w:div w:id="942149005">
      <w:bodyDiv w:val="1"/>
      <w:marLeft w:val="0"/>
      <w:marRight w:val="0"/>
      <w:marTop w:val="0"/>
      <w:marBottom w:val="0"/>
      <w:divBdr>
        <w:top w:val="none" w:sz="0" w:space="0" w:color="auto"/>
        <w:left w:val="none" w:sz="0" w:space="0" w:color="auto"/>
        <w:bottom w:val="none" w:sz="0" w:space="0" w:color="auto"/>
        <w:right w:val="none" w:sz="0" w:space="0" w:color="auto"/>
      </w:divBdr>
    </w:div>
    <w:div w:id="948200723">
      <w:bodyDiv w:val="1"/>
      <w:marLeft w:val="0"/>
      <w:marRight w:val="0"/>
      <w:marTop w:val="0"/>
      <w:marBottom w:val="0"/>
      <w:divBdr>
        <w:top w:val="none" w:sz="0" w:space="0" w:color="auto"/>
        <w:left w:val="none" w:sz="0" w:space="0" w:color="auto"/>
        <w:bottom w:val="none" w:sz="0" w:space="0" w:color="auto"/>
        <w:right w:val="none" w:sz="0" w:space="0" w:color="auto"/>
      </w:divBdr>
    </w:div>
    <w:div w:id="949892846">
      <w:bodyDiv w:val="1"/>
      <w:marLeft w:val="0"/>
      <w:marRight w:val="0"/>
      <w:marTop w:val="0"/>
      <w:marBottom w:val="0"/>
      <w:divBdr>
        <w:top w:val="none" w:sz="0" w:space="0" w:color="auto"/>
        <w:left w:val="none" w:sz="0" w:space="0" w:color="auto"/>
        <w:bottom w:val="none" w:sz="0" w:space="0" w:color="auto"/>
        <w:right w:val="none" w:sz="0" w:space="0" w:color="auto"/>
      </w:divBdr>
    </w:div>
    <w:div w:id="954016680">
      <w:bodyDiv w:val="1"/>
      <w:marLeft w:val="0"/>
      <w:marRight w:val="0"/>
      <w:marTop w:val="0"/>
      <w:marBottom w:val="0"/>
      <w:divBdr>
        <w:top w:val="none" w:sz="0" w:space="0" w:color="auto"/>
        <w:left w:val="none" w:sz="0" w:space="0" w:color="auto"/>
        <w:bottom w:val="none" w:sz="0" w:space="0" w:color="auto"/>
        <w:right w:val="none" w:sz="0" w:space="0" w:color="auto"/>
      </w:divBdr>
    </w:div>
    <w:div w:id="954942102">
      <w:bodyDiv w:val="1"/>
      <w:marLeft w:val="0"/>
      <w:marRight w:val="0"/>
      <w:marTop w:val="0"/>
      <w:marBottom w:val="0"/>
      <w:divBdr>
        <w:top w:val="none" w:sz="0" w:space="0" w:color="auto"/>
        <w:left w:val="none" w:sz="0" w:space="0" w:color="auto"/>
        <w:bottom w:val="none" w:sz="0" w:space="0" w:color="auto"/>
        <w:right w:val="none" w:sz="0" w:space="0" w:color="auto"/>
      </w:divBdr>
    </w:div>
    <w:div w:id="975261207">
      <w:bodyDiv w:val="1"/>
      <w:marLeft w:val="0"/>
      <w:marRight w:val="0"/>
      <w:marTop w:val="0"/>
      <w:marBottom w:val="0"/>
      <w:divBdr>
        <w:top w:val="none" w:sz="0" w:space="0" w:color="auto"/>
        <w:left w:val="none" w:sz="0" w:space="0" w:color="auto"/>
        <w:bottom w:val="none" w:sz="0" w:space="0" w:color="auto"/>
        <w:right w:val="none" w:sz="0" w:space="0" w:color="auto"/>
      </w:divBdr>
    </w:div>
    <w:div w:id="980184903">
      <w:bodyDiv w:val="1"/>
      <w:marLeft w:val="0"/>
      <w:marRight w:val="0"/>
      <w:marTop w:val="0"/>
      <w:marBottom w:val="0"/>
      <w:divBdr>
        <w:top w:val="none" w:sz="0" w:space="0" w:color="auto"/>
        <w:left w:val="none" w:sz="0" w:space="0" w:color="auto"/>
        <w:bottom w:val="none" w:sz="0" w:space="0" w:color="auto"/>
        <w:right w:val="none" w:sz="0" w:space="0" w:color="auto"/>
      </w:divBdr>
    </w:div>
    <w:div w:id="993535552">
      <w:bodyDiv w:val="1"/>
      <w:marLeft w:val="0"/>
      <w:marRight w:val="0"/>
      <w:marTop w:val="0"/>
      <w:marBottom w:val="0"/>
      <w:divBdr>
        <w:top w:val="none" w:sz="0" w:space="0" w:color="auto"/>
        <w:left w:val="none" w:sz="0" w:space="0" w:color="auto"/>
        <w:bottom w:val="none" w:sz="0" w:space="0" w:color="auto"/>
        <w:right w:val="none" w:sz="0" w:space="0" w:color="auto"/>
      </w:divBdr>
    </w:div>
    <w:div w:id="1005787317">
      <w:bodyDiv w:val="1"/>
      <w:marLeft w:val="0"/>
      <w:marRight w:val="0"/>
      <w:marTop w:val="0"/>
      <w:marBottom w:val="0"/>
      <w:divBdr>
        <w:top w:val="none" w:sz="0" w:space="0" w:color="auto"/>
        <w:left w:val="none" w:sz="0" w:space="0" w:color="auto"/>
        <w:bottom w:val="none" w:sz="0" w:space="0" w:color="auto"/>
        <w:right w:val="none" w:sz="0" w:space="0" w:color="auto"/>
      </w:divBdr>
    </w:div>
    <w:div w:id="1034111162">
      <w:bodyDiv w:val="1"/>
      <w:marLeft w:val="0"/>
      <w:marRight w:val="0"/>
      <w:marTop w:val="0"/>
      <w:marBottom w:val="0"/>
      <w:divBdr>
        <w:top w:val="none" w:sz="0" w:space="0" w:color="auto"/>
        <w:left w:val="none" w:sz="0" w:space="0" w:color="auto"/>
        <w:bottom w:val="none" w:sz="0" w:space="0" w:color="auto"/>
        <w:right w:val="none" w:sz="0" w:space="0" w:color="auto"/>
      </w:divBdr>
    </w:div>
    <w:div w:id="1071082109">
      <w:bodyDiv w:val="1"/>
      <w:marLeft w:val="0"/>
      <w:marRight w:val="0"/>
      <w:marTop w:val="0"/>
      <w:marBottom w:val="0"/>
      <w:divBdr>
        <w:top w:val="none" w:sz="0" w:space="0" w:color="auto"/>
        <w:left w:val="none" w:sz="0" w:space="0" w:color="auto"/>
        <w:bottom w:val="none" w:sz="0" w:space="0" w:color="auto"/>
        <w:right w:val="none" w:sz="0" w:space="0" w:color="auto"/>
      </w:divBdr>
    </w:div>
    <w:div w:id="1091242750">
      <w:bodyDiv w:val="1"/>
      <w:marLeft w:val="0"/>
      <w:marRight w:val="0"/>
      <w:marTop w:val="0"/>
      <w:marBottom w:val="0"/>
      <w:divBdr>
        <w:top w:val="none" w:sz="0" w:space="0" w:color="auto"/>
        <w:left w:val="none" w:sz="0" w:space="0" w:color="auto"/>
        <w:bottom w:val="none" w:sz="0" w:space="0" w:color="auto"/>
        <w:right w:val="none" w:sz="0" w:space="0" w:color="auto"/>
      </w:divBdr>
    </w:div>
    <w:div w:id="1094863766">
      <w:bodyDiv w:val="1"/>
      <w:marLeft w:val="0"/>
      <w:marRight w:val="0"/>
      <w:marTop w:val="0"/>
      <w:marBottom w:val="0"/>
      <w:divBdr>
        <w:top w:val="none" w:sz="0" w:space="0" w:color="auto"/>
        <w:left w:val="none" w:sz="0" w:space="0" w:color="auto"/>
        <w:bottom w:val="none" w:sz="0" w:space="0" w:color="auto"/>
        <w:right w:val="none" w:sz="0" w:space="0" w:color="auto"/>
      </w:divBdr>
    </w:div>
    <w:div w:id="1095369963">
      <w:bodyDiv w:val="1"/>
      <w:marLeft w:val="0"/>
      <w:marRight w:val="0"/>
      <w:marTop w:val="0"/>
      <w:marBottom w:val="0"/>
      <w:divBdr>
        <w:top w:val="none" w:sz="0" w:space="0" w:color="auto"/>
        <w:left w:val="none" w:sz="0" w:space="0" w:color="auto"/>
        <w:bottom w:val="none" w:sz="0" w:space="0" w:color="auto"/>
        <w:right w:val="none" w:sz="0" w:space="0" w:color="auto"/>
      </w:divBdr>
    </w:div>
    <w:div w:id="1110583188">
      <w:bodyDiv w:val="1"/>
      <w:marLeft w:val="0"/>
      <w:marRight w:val="0"/>
      <w:marTop w:val="0"/>
      <w:marBottom w:val="0"/>
      <w:divBdr>
        <w:top w:val="none" w:sz="0" w:space="0" w:color="auto"/>
        <w:left w:val="none" w:sz="0" w:space="0" w:color="auto"/>
        <w:bottom w:val="none" w:sz="0" w:space="0" w:color="auto"/>
        <w:right w:val="none" w:sz="0" w:space="0" w:color="auto"/>
      </w:divBdr>
    </w:div>
    <w:div w:id="1123571761">
      <w:bodyDiv w:val="1"/>
      <w:marLeft w:val="0"/>
      <w:marRight w:val="0"/>
      <w:marTop w:val="0"/>
      <w:marBottom w:val="0"/>
      <w:divBdr>
        <w:top w:val="none" w:sz="0" w:space="0" w:color="auto"/>
        <w:left w:val="none" w:sz="0" w:space="0" w:color="auto"/>
        <w:bottom w:val="none" w:sz="0" w:space="0" w:color="auto"/>
        <w:right w:val="none" w:sz="0" w:space="0" w:color="auto"/>
      </w:divBdr>
    </w:div>
    <w:div w:id="1135827802">
      <w:bodyDiv w:val="1"/>
      <w:marLeft w:val="0"/>
      <w:marRight w:val="0"/>
      <w:marTop w:val="0"/>
      <w:marBottom w:val="0"/>
      <w:divBdr>
        <w:top w:val="none" w:sz="0" w:space="0" w:color="auto"/>
        <w:left w:val="none" w:sz="0" w:space="0" w:color="auto"/>
        <w:bottom w:val="none" w:sz="0" w:space="0" w:color="auto"/>
        <w:right w:val="none" w:sz="0" w:space="0" w:color="auto"/>
      </w:divBdr>
      <w:divsChild>
        <w:div w:id="246892285">
          <w:marLeft w:val="0"/>
          <w:marRight w:val="0"/>
          <w:marTop w:val="0"/>
          <w:marBottom w:val="0"/>
          <w:divBdr>
            <w:top w:val="none" w:sz="0" w:space="0" w:color="auto"/>
            <w:left w:val="none" w:sz="0" w:space="0" w:color="auto"/>
            <w:bottom w:val="none" w:sz="0" w:space="0" w:color="auto"/>
            <w:right w:val="none" w:sz="0" w:space="0" w:color="auto"/>
          </w:divBdr>
          <w:divsChild>
            <w:div w:id="1508774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055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6002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39765769">
      <w:bodyDiv w:val="1"/>
      <w:marLeft w:val="0"/>
      <w:marRight w:val="0"/>
      <w:marTop w:val="0"/>
      <w:marBottom w:val="0"/>
      <w:divBdr>
        <w:top w:val="none" w:sz="0" w:space="0" w:color="auto"/>
        <w:left w:val="none" w:sz="0" w:space="0" w:color="auto"/>
        <w:bottom w:val="none" w:sz="0" w:space="0" w:color="auto"/>
        <w:right w:val="none" w:sz="0" w:space="0" w:color="auto"/>
      </w:divBdr>
    </w:div>
    <w:div w:id="1151602093">
      <w:bodyDiv w:val="1"/>
      <w:marLeft w:val="0"/>
      <w:marRight w:val="0"/>
      <w:marTop w:val="0"/>
      <w:marBottom w:val="0"/>
      <w:divBdr>
        <w:top w:val="none" w:sz="0" w:space="0" w:color="auto"/>
        <w:left w:val="none" w:sz="0" w:space="0" w:color="auto"/>
        <w:bottom w:val="none" w:sz="0" w:space="0" w:color="auto"/>
        <w:right w:val="none" w:sz="0" w:space="0" w:color="auto"/>
      </w:divBdr>
    </w:div>
    <w:div w:id="1161508248">
      <w:bodyDiv w:val="1"/>
      <w:marLeft w:val="0"/>
      <w:marRight w:val="0"/>
      <w:marTop w:val="0"/>
      <w:marBottom w:val="0"/>
      <w:divBdr>
        <w:top w:val="none" w:sz="0" w:space="0" w:color="auto"/>
        <w:left w:val="none" w:sz="0" w:space="0" w:color="auto"/>
        <w:bottom w:val="none" w:sz="0" w:space="0" w:color="auto"/>
        <w:right w:val="none" w:sz="0" w:space="0" w:color="auto"/>
      </w:divBdr>
    </w:div>
    <w:div w:id="1188253616">
      <w:bodyDiv w:val="1"/>
      <w:marLeft w:val="0"/>
      <w:marRight w:val="0"/>
      <w:marTop w:val="0"/>
      <w:marBottom w:val="0"/>
      <w:divBdr>
        <w:top w:val="none" w:sz="0" w:space="0" w:color="auto"/>
        <w:left w:val="none" w:sz="0" w:space="0" w:color="auto"/>
        <w:bottom w:val="none" w:sz="0" w:space="0" w:color="auto"/>
        <w:right w:val="none" w:sz="0" w:space="0" w:color="auto"/>
      </w:divBdr>
    </w:div>
    <w:div w:id="1196769880">
      <w:bodyDiv w:val="1"/>
      <w:marLeft w:val="0"/>
      <w:marRight w:val="0"/>
      <w:marTop w:val="0"/>
      <w:marBottom w:val="0"/>
      <w:divBdr>
        <w:top w:val="none" w:sz="0" w:space="0" w:color="auto"/>
        <w:left w:val="none" w:sz="0" w:space="0" w:color="auto"/>
        <w:bottom w:val="none" w:sz="0" w:space="0" w:color="auto"/>
        <w:right w:val="none" w:sz="0" w:space="0" w:color="auto"/>
      </w:divBdr>
    </w:div>
    <w:div w:id="1198785016">
      <w:bodyDiv w:val="1"/>
      <w:marLeft w:val="0"/>
      <w:marRight w:val="0"/>
      <w:marTop w:val="0"/>
      <w:marBottom w:val="0"/>
      <w:divBdr>
        <w:top w:val="none" w:sz="0" w:space="0" w:color="auto"/>
        <w:left w:val="none" w:sz="0" w:space="0" w:color="auto"/>
        <w:bottom w:val="none" w:sz="0" w:space="0" w:color="auto"/>
        <w:right w:val="none" w:sz="0" w:space="0" w:color="auto"/>
      </w:divBdr>
    </w:div>
    <w:div w:id="1218933369">
      <w:bodyDiv w:val="1"/>
      <w:marLeft w:val="0"/>
      <w:marRight w:val="0"/>
      <w:marTop w:val="0"/>
      <w:marBottom w:val="0"/>
      <w:divBdr>
        <w:top w:val="none" w:sz="0" w:space="0" w:color="auto"/>
        <w:left w:val="none" w:sz="0" w:space="0" w:color="auto"/>
        <w:bottom w:val="none" w:sz="0" w:space="0" w:color="auto"/>
        <w:right w:val="none" w:sz="0" w:space="0" w:color="auto"/>
      </w:divBdr>
    </w:div>
    <w:div w:id="1230576308">
      <w:bodyDiv w:val="1"/>
      <w:marLeft w:val="0"/>
      <w:marRight w:val="0"/>
      <w:marTop w:val="0"/>
      <w:marBottom w:val="0"/>
      <w:divBdr>
        <w:top w:val="none" w:sz="0" w:space="0" w:color="auto"/>
        <w:left w:val="none" w:sz="0" w:space="0" w:color="auto"/>
        <w:bottom w:val="none" w:sz="0" w:space="0" w:color="auto"/>
        <w:right w:val="none" w:sz="0" w:space="0" w:color="auto"/>
      </w:divBdr>
    </w:div>
    <w:div w:id="1232623545">
      <w:bodyDiv w:val="1"/>
      <w:marLeft w:val="0"/>
      <w:marRight w:val="0"/>
      <w:marTop w:val="0"/>
      <w:marBottom w:val="0"/>
      <w:divBdr>
        <w:top w:val="none" w:sz="0" w:space="0" w:color="auto"/>
        <w:left w:val="none" w:sz="0" w:space="0" w:color="auto"/>
        <w:bottom w:val="none" w:sz="0" w:space="0" w:color="auto"/>
        <w:right w:val="none" w:sz="0" w:space="0" w:color="auto"/>
      </w:divBdr>
    </w:div>
    <w:div w:id="1233080422">
      <w:bodyDiv w:val="1"/>
      <w:marLeft w:val="0"/>
      <w:marRight w:val="0"/>
      <w:marTop w:val="0"/>
      <w:marBottom w:val="0"/>
      <w:divBdr>
        <w:top w:val="none" w:sz="0" w:space="0" w:color="auto"/>
        <w:left w:val="none" w:sz="0" w:space="0" w:color="auto"/>
        <w:bottom w:val="none" w:sz="0" w:space="0" w:color="auto"/>
        <w:right w:val="none" w:sz="0" w:space="0" w:color="auto"/>
      </w:divBdr>
    </w:div>
    <w:div w:id="1239949207">
      <w:bodyDiv w:val="1"/>
      <w:marLeft w:val="0"/>
      <w:marRight w:val="0"/>
      <w:marTop w:val="0"/>
      <w:marBottom w:val="0"/>
      <w:divBdr>
        <w:top w:val="none" w:sz="0" w:space="0" w:color="auto"/>
        <w:left w:val="none" w:sz="0" w:space="0" w:color="auto"/>
        <w:bottom w:val="none" w:sz="0" w:space="0" w:color="auto"/>
        <w:right w:val="none" w:sz="0" w:space="0" w:color="auto"/>
      </w:divBdr>
    </w:div>
    <w:div w:id="1244337529">
      <w:bodyDiv w:val="1"/>
      <w:marLeft w:val="0"/>
      <w:marRight w:val="0"/>
      <w:marTop w:val="0"/>
      <w:marBottom w:val="0"/>
      <w:divBdr>
        <w:top w:val="none" w:sz="0" w:space="0" w:color="auto"/>
        <w:left w:val="none" w:sz="0" w:space="0" w:color="auto"/>
        <w:bottom w:val="none" w:sz="0" w:space="0" w:color="auto"/>
        <w:right w:val="none" w:sz="0" w:space="0" w:color="auto"/>
      </w:divBdr>
    </w:div>
    <w:div w:id="1249576854">
      <w:bodyDiv w:val="1"/>
      <w:marLeft w:val="0"/>
      <w:marRight w:val="0"/>
      <w:marTop w:val="0"/>
      <w:marBottom w:val="0"/>
      <w:divBdr>
        <w:top w:val="none" w:sz="0" w:space="0" w:color="auto"/>
        <w:left w:val="none" w:sz="0" w:space="0" w:color="auto"/>
        <w:bottom w:val="none" w:sz="0" w:space="0" w:color="auto"/>
        <w:right w:val="none" w:sz="0" w:space="0" w:color="auto"/>
      </w:divBdr>
    </w:div>
    <w:div w:id="1260412075">
      <w:bodyDiv w:val="1"/>
      <w:marLeft w:val="0"/>
      <w:marRight w:val="0"/>
      <w:marTop w:val="0"/>
      <w:marBottom w:val="0"/>
      <w:divBdr>
        <w:top w:val="none" w:sz="0" w:space="0" w:color="auto"/>
        <w:left w:val="none" w:sz="0" w:space="0" w:color="auto"/>
        <w:bottom w:val="none" w:sz="0" w:space="0" w:color="auto"/>
        <w:right w:val="none" w:sz="0" w:space="0" w:color="auto"/>
      </w:divBdr>
    </w:div>
    <w:div w:id="1264998299">
      <w:bodyDiv w:val="1"/>
      <w:marLeft w:val="0"/>
      <w:marRight w:val="0"/>
      <w:marTop w:val="0"/>
      <w:marBottom w:val="0"/>
      <w:divBdr>
        <w:top w:val="none" w:sz="0" w:space="0" w:color="auto"/>
        <w:left w:val="none" w:sz="0" w:space="0" w:color="auto"/>
        <w:bottom w:val="none" w:sz="0" w:space="0" w:color="auto"/>
        <w:right w:val="none" w:sz="0" w:space="0" w:color="auto"/>
      </w:divBdr>
    </w:div>
    <w:div w:id="1273972084">
      <w:bodyDiv w:val="1"/>
      <w:marLeft w:val="0"/>
      <w:marRight w:val="0"/>
      <w:marTop w:val="0"/>
      <w:marBottom w:val="0"/>
      <w:divBdr>
        <w:top w:val="none" w:sz="0" w:space="0" w:color="auto"/>
        <w:left w:val="none" w:sz="0" w:space="0" w:color="auto"/>
        <w:bottom w:val="none" w:sz="0" w:space="0" w:color="auto"/>
        <w:right w:val="none" w:sz="0" w:space="0" w:color="auto"/>
      </w:divBdr>
    </w:div>
    <w:div w:id="1286110401">
      <w:bodyDiv w:val="1"/>
      <w:marLeft w:val="0"/>
      <w:marRight w:val="0"/>
      <w:marTop w:val="0"/>
      <w:marBottom w:val="0"/>
      <w:divBdr>
        <w:top w:val="none" w:sz="0" w:space="0" w:color="auto"/>
        <w:left w:val="none" w:sz="0" w:space="0" w:color="auto"/>
        <w:bottom w:val="none" w:sz="0" w:space="0" w:color="auto"/>
        <w:right w:val="none" w:sz="0" w:space="0" w:color="auto"/>
      </w:divBdr>
    </w:div>
    <w:div w:id="1288319352">
      <w:bodyDiv w:val="1"/>
      <w:marLeft w:val="0"/>
      <w:marRight w:val="0"/>
      <w:marTop w:val="0"/>
      <w:marBottom w:val="0"/>
      <w:divBdr>
        <w:top w:val="none" w:sz="0" w:space="0" w:color="auto"/>
        <w:left w:val="none" w:sz="0" w:space="0" w:color="auto"/>
        <w:bottom w:val="none" w:sz="0" w:space="0" w:color="auto"/>
        <w:right w:val="none" w:sz="0" w:space="0" w:color="auto"/>
      </w:divBdr>
    </w:div>
    <w:div w:id="1291324734">
      <w:bodyDiv w:val="1"/>
      <w:marLeft w:val="0"/>
      <w:marRight w:val="0"/>
      <w:marTop w:val="0"/>
      <w:marBottom w:val="0"/>
      <w:divBdr>
        <w:top w:val="none" w:sz="0" w:space="0" w:color="auto"/>
        <w:left w:val="none" w:sz="0" w:space="0" w:color="auto"/>
        <w:bottom w:val="none" w:sz="0" w:space="0" w:color="auto"/>
        <w:right w:val="none" w:sz="0" w:space="0" w:color="auto"/>
      </w:divBdr>
    </w:div>
    <w:div w:id="1292789236">
      <w:bodyDiv w:val="1"/>
      <w:marLeft w:val="0"/>
      <w:marRight w:val="0"/>
      <w:marTop w:val="0"/>
      <w:marBottom w:val="0"/>
      <w:divBdr>
        <w:top w:val="none" w:sz="0" w:space="0" w:color="auto"/>
        <w:left w:val="none" w:sz="0" w:space="0" w:color="auto"/>
        <w:bottom w:val="none" w:sz="0" w:space="0" w:color="auto"/>
        <w:right w:val="none" w:sz="0" w:space="0" w:color="auto"/>
      </w:divBdr>
    </w:div>
    <w:div w:id="1316109093">
      <w:bodyDiv w:val="1"/>
      <w:marLeft w:val="0"/>
      <w:marRight w:val="0"/>
      <w:marTop w:val="0"/>
      <w:marBottom w:val="0"/>
      <w:divBdr>
        <w:top w:val="none" w:sz="0" w:space="0" w:color="auto"/>
        <w:left w:val="none" w:sz="0" w:space="0" w:color="auto"/>
        <w:bottom w:val="none" w:sz="0" w:space="0" w:color="auto"/>
        <w:right w:val="none" w:sz="0" w:space="0" w:color="auto"/>
      </w:divBdr>
    </w:div>
    <w:div w:id="1320304362">
      <w:bodyDiv w:val="1"/>
      <w:marLeft w:val="0"/>
      <w:marRight w:val="0"/>
      <w:marTop w:val="0"/>
      <w:marBottom w:val="0"/>
      <w:divBdr>
        <w:top w:val="none" w:sz="0" w:space="0" w:color="auto"/>
        <w:left w:val="none" w:sz="0" w:space="0" w:color="auto"/>
        <w:bottom w:val="none" w:sz="0" w:space="0" w:color="auto"/>
        <w:right w:val="none" w:sz="0" w:space="0" w:color="auto"/>
      </w:divBdr>
      <w:divsChild>
        <w:div w:id="431706031">
          <w:marLeft w:val="0"/>
          <w:marRight w:val="0"/>
          <w:marTop w:val="0"/>
          <w:marBottom w:val="0"/>
          <w:divBdr>
            <w:top w:val="none" w:sz="0" w:space="0" w:color="auto"/>
            <w:left w:val="none" w:sz="0" w:space="0" w:color="auto"/>
            <w:bottom w:val="none" w:sz="0" w:space="0" w:color="auto"/>
            <w:right w:val="none" w:sz="0" w:space="0" w:color="auto"/>
          </w:divBdr>
          <w:divsChild>
            <w:div w:id="10503455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33963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2663368">
      <w:bodyDiv w:val="1"/>
      <w:marLeft w:val="0"/>
      <w:marRight w:val="0"/>
      <w:marTop w:val="0"/>
      <w:marBottom w:val="0"/>
      <w:divBdr>
        <w:top w:val="none" w:sz="0" w:space="0" w:color="auto"/>
        <w:left w:val="none" w:sz="0" w:space="0" w:color="auto"/>
        <w:bottom w:val="none" w:sz="0" w:space="0" w:color="auto"/>
        <w:right w:val="none" w:sz="0" w:space="0" w:color="auto"/>
      </w:divBdr>
    </w:div>
    <w:div w:id="1359621739">
      <w:bodyDiv w:val="1"/>
      <w:marLeft w:val="0"/>
      <w:marRight w:val="0"/>
      <w:marTop w:val="0"/>
      <w:marBottom w:val="0"/>
      <w:divBdr>
        <w:top w:val="none" w:sz="0" w:space="0" w:color="auto"/>
        <w:left w:val="none" w:sz="0" w:space="0" w:color="auto"/>
        <w:bottom w:val="none" w:sz="0" w:space="0" w:color="auto"/>
        <w:right w:val="none" w:sz="0" w:space="0" w:color="auto"/>
      </w:divBdr>
    </w:div>
    <w:div w:id="1376077959">
      <w:bodyDiv w:val="1"/>
      <w:marLeft w:val="0"/>
      <w:marRight w:val="0"/>
      <w:marTop w:val="0"/>
      <w:marBottom w:val="0"/>
      <w:divBdr>
        <w:top w:val="none" w:sz="0" w:space="0" w:color="auto"/>
        <w:left w:val="none" w:sz="0" w:space="0" w:color="auto"/>
        <w:bottom w:val="none" w:sz="0" w:space="0" w:color="auto"/>
        <w:right w:val="none" w:sz="0" w:space="0" w:color="auto"/>
      </w:divBdr>
    </w:div>
    <w:div w:id="1377462913">
      <w:bodyDiv w:val="1"/>
      <w:marLeft w:val="0"/>
      <w:marRight w:val="0"/>
      <w:marTop w:val="0"/>
      <w:marBottom w:val="0"/>
      <w:divBdr>
        <w:top w:val="none" w:sz="0" w:space="0" w:color="auto"/>
        <w:left w:val="none" w:sz="0" w:space="0" w:color="auto"/>
        <w:bottom w:val="none" w:sz="0" w:space="0" w:color="auto"/>
        <w:right w:val="none" w:sz="0" w:space="0" w:color="auto"/>
      </w:divBdr>
      <w:divsChild>
        <w:div w:id="1758205377">
          <w:marLeft w:val="0"/>
          <w:marRight w:val="0"/>
          <w:marTop w:val="0"/>
          <w:marBottom w:val="0"/>
          <w:divBdr>
            <w:top w:val="none" w:sz="0" w:space="0" w:color="auto"/>
            <w:left w:val="none" w:sz="0" w:space="0" w:color="auto"/>
            <w:bottom w:val="none" w:sz="0" w:space="0" w:color="auto"/>
            <w:right w:val="none" w:sz="0" w:space="0" w:color="auto"/>
          </w:divBdr>
          <w:divsChild>
            <w:div w:id="127154458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85325935">
      <w:bodyDiv w:val="1"/>
      <w:marLeft w:val="0"/>
      <w:marRight w:val="0"/>
      <w:marTop w:val="0"/>
      <w:marBottom w:val="0"/>
      <w:divBdr>
        <w:top w:val="none" w:sz="0" w:space="0" w:color="auto"/>
        <w:left w:val="none" w:sz="0" w:space="0" w:color="auto"/>
        <w:bottom w:val="none" w:sz="0" w:space="0" w:color="auto"/>
        <w:right w:val="none" w:sz="0" w:space="0" w:color="auto"/>
      </w:divBdr>
    </w:div>
    <w:div w:id="1387293384">
      <w:bodyDiv w:val="1"/>
      <w:marLeft w:val="0"/>
      <w:marRight w:val="0"/>
      <w:marTop w:val="0"/>
      <w:marBottom w:val="0"/>
      <w:divBdr>
        <w:top w:val="none" w:sz="0" w:space="0" w:color="auto"/>
        <w:left w:val="none" w:sz="0" w:space="0" w:color="auto"/>
        <w:bottom w:val="none" w:sz="0" w:space="0" w:color="auto"/>
        <w:right w:val="none" w:sz="0" w:space="0" w:color="auto"/>
      </w:divBdr>
    </w:div>
    <w:div w:id="1393456158">
      <w:bodyDiv w:val="1"/>
      <w:marLeft w:val="0"/>
      <w:marRight w:val="0"/>
      <w:marTop w:val="0"/>
      <w:marBottom w:val="0"/>
      <w:divBdr>
        <w:top w:val="none" w:sz="0" w:space="0" w:color="auto"/>
        <w:left w:val="none" w:sz="0" w:space="0" w:color="auto"/>
        <w:bottom w:val="none" w:sz="0" w:space="0" w:color="auto"/>
        <w:right w:val="none" w:sz="0" w:space="0" w:color="auto"/>
      </w:divBdr>
    </w:div>
    <w:div w:id="1403797860">
      <w:bodyDiv w:val="1"/>
      <w:marLeft w:val="0"/>
      <w:marRight w:val="0"/>
      <w:marTop w:val="0"/>
      <w:marBottom w:val="0"/>
      <w:divBdr>
        <w:top w:val="none" w:sz="0" w:space="0" w:color="auto"/>
        <w:left w:val="none" w:sz="0" w:space="0" w:color="auto"/>
        <w:bottom w:val="none" w:sz="0" w:space="0" w:color="auto"/>
        <w:right w:val="none" w:sz="0" w:space="0" w:color="auto"/>
      </w:divBdr>
    </w:div>
    <w:div w:id="1415320531">
      <w:bodyDiv w:val="1"/>
      <w:marLeft w:val="0"/>
      <w:marRight w:val="0"/>
      <w:marTop w:val="0"/>
      <w:marBottom w:val="0"/>
      <w:divBdr>
        <w:top w:val="none" w:sz="0" w:space="0" w:color="auto"/>
        <w:left w:val="none" w:sz="0" w:space="0" w:color="auto"/>
        <w:bottom w:val="none" w:sz="0" w:space="0" w:color="auto"/>
        <w:right w:val="none" w:sz="0" w:space="0" w:color="auto"/>
      </w:divBdr>
    </w:div>
    <w:div w:id="1419717371">
      <w:bodyDiv w:val="1"/>
      <w:marLeft w:val="0"/>
      <w:marRight w:val="0"/>
      <w:marTop w:val="0"/>
      <w:marBottom w:val="0"/>
      <w:divBdr>
        <w:top w:val="none" w:sz="0" w:space="0" w:color="auto"/>
        <w:left w:val="none" w:sz="0" w:space="0" w:color="auto"/>
        <w:bottom w:val="none" w:sz="0" w:space="0" w:color="auto"/>
        <w:right w:val="none" w:sz="0" w:space="0" w:color="auto"/>
      </w:divBdr>
    </w:div>
    <w:div w:id="1423644305">
      <w:bodyDiv w:val="1"/>
      <w:marLeft w:val="0"/>
      <w:marRight w:val="0"/>
      <w:marTop w:val="0"/>
      <w:marBottom w:val="0"/>
      <w:divBdr>
        <w:top w:val="none" w:sz="0" w:space="0" w:color="auto"/>
        <w:left w:val="none" w:sz="0" w:space="0" w:color="auto"/>
        <w:bottom w:val="none" w:sz="0" w:space="0" w:color="auto"/>
        <w:right w:val="none" w:sz="0" w:space="0" w:color="auto"/>
      </w:divBdr>
    </w:div>
    <w:div w:id="1428186820">
      <w:bodyDiv w:val="1"/>
      <w:marLeft w:val="0"/>
      <w:marRight w:val="0"/>
      <w:marTop w:val="0"/>
      <w:marBottom w:val="0"/>
      <w:divBdr>
        <w:top w:val="none" w:sz="0" w:space="0" w:color="auto"/>
        <w:left w:val="none" w:sz="0" w:space="0" w:color="auto"/>
        <w:bottom w:val="none" w:sz="0" w:space="0" w:color="auto"/>
        <w:right w:val="none" w:sz="0" w:space="0" w:color="auto"/>
      </w:divBdr>
    </w:div>
    <w:div w:id="1435705766">
      <w:bodyDiv w:val="1"/>
      <w:marLeft w:val="0"/>
      <w:marRight w:val="0"/>
      <w:marTop w:val="0"/>
      <w:marBottom w:val="0"/>
      <w:divBdr>
        <w:top w:val="none" w:sz="0" w:space="0" w:color="auto"/>
        <w:left w:val="none" w:sz="0" w:space="0" w:color="auto"/>
        <w:bottom w:val="none" w:sz="0" w:space="0" w:color="auto"/>
        <w:right w:val="none" w:sz="0" w:space="0" w:color="auto"/>
      </w:divBdr>
    </w:div>
    <w:div w:id="1481651936">
      <w:bodyDiv w:val="1"/>
      <w:marLeft w:val="0"/>
      <w:marRight w:val="0"/>
      <w:marTop w:val="0"/>
      <w:marBottom w:val="0"/>
      <w:divBdr>
        <w:top w:val="none" w:sz="0" w:space="0" w:color="auto"/>
        <w:left w:val="none" w:sz="0" w:space="0" w:color="auto"/>
        <w:bottom w:val="none" w:sz="0" w:space="0" w:color="auto"/>
        <w:right w:val="none" w:sz="0" w:space="0" w:color="auto"/>
      </w:divBdr>
    </w:div>
    <w:div w:id="1488397277">
      <w:bodyDiv w:val="1"/>
      <w:marLeft w:val="0"/>
      <w:marRight w:val="0"/>
      <w:marTop w:val="0"/>
      <w:marBottom w:val="0"/>
      <w:divBdr>
        <w:top w:val="none" w:sz="0" w:space="0" w:color="auto"/>
        <w:left w:val="none" w:sz="0" w:space="0" w:color="auto"/>
        <w:bottom w:val="none" w:sz="0" w:space="0" w:color="auto"/>
        <w:right w:val="none" w:sz="0" w:space="0" w:color="auto"/>
      </w:divBdr>
    </w:div>
    <w:div w:id="1510019330">
      <w:bodyDiv w:val="1"/>
      <w:marLeft w:val="0"/>
      <w:marRight w:val="0"/>
      <w:marTop w:val="0"/>
      <w:marBottom w:val="0"/>
      <w:divBdr>
        <w:top w:val="none" w:sz="0" w:space="0" w:color="auto"/>
        <w:left w:val="none" w:sz="0" w:space="0" w:color="auto"/>
        <w:bottom w:val="none" w:sz="0" w:space="0" w:color="auto"/>
        <w:right w:val="none" w:sz="0" w:space="0" w:color="auto"/>
      </w:divBdr>
    </w:div>
    <w:div w:id="1510562724">
      <w:bodyDiv w:val="1"/>
      <w:marLeft w:val="0"/>
      <w:marRight w:val="0"/>
      <w:marTop w:val="0"/>
      <w:marBottom w:val="0"/>
      <w:divBdr>
        <w:top w:val="none" w:sz="0" w:space="0" w:color="auto"/>
        <w:left w:val="none" w:sz="0" w:space="0" w:color="auto"/>
        <w:bottom w:val="none" w:sz="0" w:space="0" w:color="auto"/>
        <w:right w:val="none" w:sz="0" w:space="0" w:color="auto"/>
      </w:divBdr>
    </w:div>
    <w:div w:id="1514294519">
      <w:bodyDiv w:val="1"/>
      <w:marLeft w:val="0"/>
      <w:marRight w:val="0"/>
      <w:marTop w:val="0"/>
      <w:marBottom w:val="0"/>
      <w:divBdr>
        <w:top w:val="none" w:sz="0" w:space="0" w:color="auto"/>
        <w:left w:val="none" w:sz="0" w:space="0" w:color="auto"/>
        <w:bottom w:val="none" w:sz="0" w:space="0" w:color="auto"/>
        <w:right w:val="none" w:sz="0" w:space="0" w:color="auto"/>
      </w:divBdr>
    </w:div>
    <w:div w:id="1518813606">
      <w:bodyDiv w:val="1"/>
      <w:marLeft w:val="0"/>
      <w:marRight w:val="0"/>
      <w:marTop w:val="0"/>
      <w:marBottom w:val="0"/>
      <w:divBdr>
        <w:top w:val="none" w:sz="0" w:space="0" w:color="auto"/>
        <w:left w:val="none" w:sz="0" w:space="0" w:color="auto"/>
        <w:bottom w:val="none" w:sz="0" w:space="0" w:color="auto"/>
        <w:right w:val="none" w:sz="0" w:space="0" w:color="auto"/>
      </w:divBdr>
    </w:div>
    <w:div w:id="1521092143">
      <w:bodyDiv w:val="1"/>
      <w:marLeft w:val="0"/>
      <w:marRight w:val="0"/>
      <w:marTop w:val="0"/>
      <w:marBottom w:val="0"/>
      <w:divBdr>
        <w:top w:val="none" w:sz="0" w:space="0" w:color="auto"/>
        <w:left w:val="none" w:sz="0" w:space="0" w:color="auto"/>
        <w:bottom w:val="none" w:sz="0" w:space="0" w:color="auto"/>
        <w:right w:val="none" w:sz="0" w:space="0" w:color="auto"/>
      </w:divBdr>
    </w:div>
    <w:div w:id="1531333955">
      <w:bodyDiv w:val="1"/>
      <w:marLeft w:val="0"/>
      <w:marRight w:val="0"/>
      <w:marTop w:val="0"/>
      <w:marBottom w:val="0"/>
      <w:divBdr>
        <w:top w:val="none" w:sz="0" w:space="0" w:color="auto"/>
        <w:left w:val="none" w:sz="0" w:space="0" w:color="auto"/>
        <w:bottom w:val="none" w:sz="0" w:space="0" w:color="auto"/>
        <w:right w:val="none" w:sz="0" w:space="0" w:color="auto"/>
      </w:divBdr>
    </w:div>
    <w:div w:id="1534999928">
      <w:bodyDiv w:val="1"/>
      <w:marLeft w:val="0"/>
      <w:marRight w:val="0"/>
      <w:marTop w:val="0"/>
      <w:marBottom w:val="0"/>
      <w:divBdr>
        <w:top w:val="none" w:sz="0" w:space="0" w:color="auto"/>
        <w:left w:val="none" w:sz="0" w:space="0" w:color="auto"/>
        <w:bottom w:val="none" w:sz="0" w:space="0" w:color="auto"/>
        <w:right w:val="none" w:sz="0" w:space="0" w:color="auto"/>
      </w:divBdr>
    </w:div>
    <w:div w:id="1542786182">
      <w:bodyDiv w:val="1"/>
      <w:marLeft w:val="0"/>
      <w:marRight w:val="0"/>
      <w:marTop w:val="0"/>
      <w:marBottom w:val="0"/>
      <w:divBdr>
        <w:top w:val="none" w:sz="0" w:space="0" w:color="auto"/>
        <w:left w:val="none" w:sz="0" w:space="0" w:color="auto"/>
        <w:bottom w:val="none" w:sz="0" w:space="0" w:color="auto"/>
        <w:right w:val="none" w:sz="0" w:space="0" w:color="auto"/>
      </w:divBdr>
    </w:div>
    <w:div w:id="1581938177">
      <w:bodyDiv w:val="1"/>
      <w:marLeft w:val="0"/>
      <w:marRight w:val="0"/>
      <w:marTop w:val="0"/>
      <w:marBottom w:val="0"/>
      <w:divBdr>
        <w:top w:val="none" w:sz="0" w:space="0" w:color="auto"/>
        <w:left w:val="none" w:sz="0" w:space="0" w:color="auto"/>
        <w:bottom w:val="none" w:sz="0" w:space="0" w:color="auto"/>
        <w:right w:val="none" w:sz="0" w:space="0" w:color="auto"/>
      </w:divBdr>
      <w:divsChild>
        <w:div w:id="733115886">
          <w:marLeft w:val="0"/>
          <w:marRight w:val="0"/>
          <w:marTop w:val="0"/>
          <w:marBottom w:val="0"/>
          <w:divBdr>
            <w:top w:val="none" w:sz="0" w:space="0" w:color="auto"/>
            <w:left w:val="none" w:sz="0" w:space="0" w:color="auto"/>
            <w:bottom w:val="none" w:sz="0" w:space="0" w:color="auto"/>
            <w:right w:val="none" w:sz="0" w:space="0" w:color="auto"/>
          </w:divBdr>
          <w:divsChild>
            <w:div w:id="1612394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0033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6843526">
      <w:bodyDiv w:val="1"/>
      <w:marLeft w:val="0"/>
      <w:marRight w:val="0"/>
      <w:marTop w:val="0"/>
      <w:marBottom w:val="0"/>
      <w:divBdr>
        <w:top w:val="none" w:sz="0" w:space="0" w:color="auto"/>
        <w:left w:val="none" w:sz="0" w:space="0" w:color="auto"/>
        <w:bottom w:val="none" w:sz="0" w:space="0" w:color="auto"/>
        <w:right w:val="none" w:sz="0" w:space="0" w:color="auto"/>
      </w:divBdr>
      <w:divsChild>
        <w:div w:id="62604160">
          <w:marLeft w:val="0"/>
          <w:marRight w:val="0"/>
          <w:marTop w:val="0"/>
          <w:marBottom w:val="0"/>
          <w:divBdr>
            <w:top w:val="none" w:sz="0" w:space="0" w:color="auto"/>
            <w:left w:val="none" w:sz="0" w:space="0" w:color="auto"/>
            <w:bottom w:val="none" w:sz="0" w:space="0" w:color="auto"/>
            <w:right w:val="none" w:sz="0" w:space="0" w:color="auto"/>
          </w:divBdr>
          <w:divsChild>
            <w:div w:id="19541658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9402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0890204">
      <w:bodyDiv w:val="1"/>
      <w:marLeft w:val="0"/>
      <w:marRight w:val="0"/>
      <w:marTop w:val="0"/>
      <w:marBottom w:val="0"/>
      <w:divBdr>
        <w:top w:val="none" w:sz="0" w:space="0" w:color="auto"/>
        <w:left w:val="none" w:sz="0" w:space="0" w:color="auto"/>
        <w:bottom w:val="none" w:sz="0" w:space="0" w:color="auto"/>
        <w:right w:val="none" w:sz="0" w:space="0" w:color="auto"/>
      </w:divBdr>
      <w:divsChild>
        <w:div w:id="343944101">
          <w:marLeft w:val="0"/>
          <w:marRight w:val="0"/>
          <w:marTop w:val="0"/>
          <w:marBottom w:val="0"/>
          <w:divBdr>
            <w:top w:val="none" w:sz="0" w:space="0" w:color="auto"/>
            <w:left w:val="none" w:sz="0" w:space="0" w:color="auto"/>
            <w:bottom w:val="none" w:sz="0" w:space="0" w:color="auto"/>
            <w:right w:val="none" w:sz="0" w:space="0" w:color="auto"/>
          </w:divBdr>
          <w:divsChild>
            <w:div w:id="3851790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0580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97705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97858170">
      <w:bodyDiv w:val="1"/>
      <w:marLeft w:val="0"/>
      <w:marRight w:val="0"/>
      <w:marTop w:val="0"/>
      <w:marBottom w:val="0"/>
      <w:divBdr>
        <w:top w:val="none" w:sz="0" w:space="0" w:color="auto"/>
        <w:left w:val="none" w:sz="0" w:space="0" w:color="auto"/>
        <w:bottom w:val="none" w:sz="0" w:space="0" w:color="auto"/>
        <w:right w:val="none" w:sz="0" w:space="0" w:color="auto"/>
      </w:divBdr>
    </w:div>
    <w:div w:id="1601252881">
      <w:bodyDiv w:val="1"/>
      <w:marLeft w:val="0"/>
      <w:marRight w:val="0"/>
      <w:marTop w:val="0"/>
      <w:marBottom w:val="0"/>
      <w:divBdr>
        <w:top w:val="none" w:sz="0" w:space="0" w:color="auto"/>
        <w:left w:val="none" w:sz="0" w:space="0" w:color="auto"/>
        <w:bottom w:val="none" w:sz="0" w:space="0" w:color="auto"/>
        <w:right w:val="none" w:sz="0" w:space="0" w:color="auto"/>
      </w:divBdr>
    </w:div>
    <w:div w:id="1604266394">
      <w:bodyDiv w:val="1"/>
      <w:marLeft w:val="0"/>
      <w:marRight w:val="0"/>
      <w:marTop w:val="0"/>
      <w:marBottom w:val="0"/>
      <w:divBdr>
        <w:top w:val="none" w:sz="0" w:space="0" w:color="auto"/>
        <w:left w:val="none" w:sz="0" w:space="0" w:color="auto"/>
        <w:bottom w:val="none" w:sz="0" w:space="0" w:color="auto"/>
        <w:right w:val="none" w:sz="0" w:space="0" w:color="auto"/>
      </w:divBdr>
    </w:div>
    <w:div w:id="1608386417">
      <w:bodyDiv w:val="1"/>
      <w:marLeft w:val="0"/>
      <w:marRight w:val="0"/>
      <w:marTop w:val="0"/>
      <w:marBottom w:val="0"/>
      <w:divBdr>
        <w:top w:val="none" w:sz="0" w:space="0" w:color="auto"/>
        <w:left w:val="none" w:sz="0" w:space="0" w:color="auto"/>
        <w:bottom w:val="none" w:sz="0" w:space="0" w:color="auto"/>
        <w:right w:val="none" w:sz="0" w:space="0" w:color="auto"/>
      </w:divBdr>
    </w:div>
    <w:div w:id="1609507191">
      <w:bodyDiv w:val="1"/>
      <w:marLeft w:val="0"/>
      <w:marRight w:val="0"/>
      <w:marTop w:val="0"/>
      <w:marBottom w:val="0"/>
      <w:divBdr>
        <w:top w:val="none" w:sz="0" w:space="0" w:color="auto"/>
        <w:left w:val="none" w:sz="0" w:space="0" w:color="auto"/>
        <w:bottom w:val="none" w:sz="0" w:space="0" w:color="auto"/>
        <w:right w:val="none" w:sz="0" w:space="0" w:color="auto"/>
      </w:divBdr>
    </w:div>
    <w:div w:id="1614435696">
      <w:bodyDiv w:val="1"/>
      <w:marLeft w:val="0"/>
      <w:marRight w:val="0"/>
      <w:marTop w:val="0"/>
      <w:marBottom w:val="0"/>
      <w:divBdr>
        <w:top w:val="none" w:sz="0" w:space="0" w:color="auto"/>
        <w:left w:val="none" w:sz="0" w:space="0" w:color="auto"/>
        <w:bottom w:val="none" w:sz="0" w:space="0" w:color="auto"/>
        <w:right w:val="none" w:sz="0" w:space="0" w:color="auto"/>
      </w:divBdr>
    </w:div>
    <w:div w:id="1629239666">
      <w:bodyDiv w:val="1"/>
      <w:marLeft w:val="0"/>
      <w:marRight w:val="0"/>
      <w:marTop w:val="0"/>
      <w:marBottom w:val="0"/>
      <w:divBdr>
        <w:top w:val="none" w:sz="0" w:space="0" w:color="auto"/>
        <w:left w:val="none" w:sz="0" w:space="0" w:color="auto"/>
        <w:bottom w:val="none" w:sz="0" w:space="0" w:color="auto"/>
        <w:right w:val="none" w:sz="0" w:space="0" w:color="auto"/>
      </w:divBdr>
    </w:div>
    <w:div w:id="1635941113">
      <w:bodyDiv w:val="1"/>
      <w:marLeft w:val="0"/>
      <w:marRight w:val="0"/>
      <w:marTop w:val="0"/>
      <w:marBottom w:val="0"/>
      <w:divBdr>
        <w:top w:val="none" w:sz="0" w:space="0" w:color="auto"/>
        <w:left w:val="none" w:sz="0" w:space="0" w:color="auto"/>
        <w:bottom w:val="none" w:sz="0" w:space="0" w:color="auto"/>
        <w:right w:val="none" w:sz="0" w:space="0" w:color="auto"/>
      </w:divBdr>
    </w:div>
    <w:div w:id="1669550699">
      <w:bodyDiv w:val="1"/>
      <w:marLeft w:val="0"/>
      <w:marRight w:val="0"/>
      <w:marTop w:val="0"/>
      <w:marBottom w:val="0"/>
      <w:divBdr>
        <w:top w:val="none" w:sz="0" w:space="0" w:color="auto"/>
        <w:left w:val="none" w:sz="0" w:space="0" w:color="auto"/>
        <w:bottom w:val="none" w:sz="0" w:space="0" w:color="auto"/>
        <w:right w:val="none" w:sz="0" w:space="0" w:color="auto"/>
      </w:divBdr>
    </w:div>
    <w:div w:id="1689401913">
      <w:bodyDiv w:val="1"/>
      <w:marLeft w:val="0"/>
      <w:marRight w:val="0"/>
      <w:marTop w:val="0"/>
      <w:marBottom w:val="0"/>
      <w:divBdr>
        <w:top w:val="none" w:sz="0" w:space="0" w:color="auto"/>
        <w:left w:val="none" w:sz="0" w:space="0" w:color="auto"/>
        <w:bottom w:val="none" w:sz="0" w:space="0" w:color="auto"/>
        <w:right w:val="none" w:sz="0" w:space="0" w:color="auto"/>
      </w:divBdr>
      <w:divsChild>
        <w:div w:id="1515194292">
          <w:marLeft w:val="0"/>
          <w:marRight w:val="0"/>
          <w:marTop w:val="0"/>
          <w:marBottom w:val="0"/>
          <w:divBdr>
            <w:top w:val="none" w:sz="0" w:space="0" w:color="auto"/>
            <w:left w:val="none" w:sz="0" w:space="0" w:color="auto"/>
            <w:bottom w:val="none" w:sz="0" w:space="0" w:color="auto"/>
            <w:right w:val="none" w:sz="0" w:space="0" w:color="auto"/>
          </w:divBdr>
          <w:divsChild>
            <w:div w:id="747579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38217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9722757">
      <w:bodyDiv w:val="1"/>
      <w:marLeft w:val="0"/>
      <w:marRight w:val="0"/>
      <w:marTop w:val="0"/>
      <w:marBottom w:val="0"/>
      <w:divBdr>
        <w:top w:val="none" w:sz="0" w:space="0" w:color="auto"/>
        <w:left w:val="none" w:sz="0" w:space="0" w:color="auto"/>
        <w:bottom w:val="none" w:sz="0" w:space="0" w:color="auto"/>
        <w:right w:val="none" w:sz="0" w:space="0" w:color="auto"/>
      </w:divBdr>
    </w:div>
    <w:div w:id="1689792385">
      <w:bodyDiv w:val="1"/>
      <w:marLeft w:val="0"/>
      <w:marRight w:val="0"/>
      <w:marTop w:val="0"/>
      <w:marBottom w:val="0"/>
      <w:divBdr>
        <w:top w:val="none" w:sz="0" w:space="0" w:color="auto"/>
        <w:left w:val="none" w:sz="0" w:space="0" w:color="auto"/>
        <w:bottom w:val="none" w:sz="0" w:space="0" w:color="auto"/>
        <w:right w:val="none" w:sz="0" w:space="0" w:color="auto"/>
      </w:divBdr>
    </w:div>
    <w:div w:id="1691177635">
      <w:bodyDiv w:val="1"/>
      <w:marLeft w:val="0"/>
      <w:marRight w:val="0"/>
      <w:marTop w:val="0"/>
      <w:marBottom w:val="0"/>
      <w:divBdr>
        <w:top w:val="none" w:sz="0" w:space="0" w:color="auto"/>
        <w:left w:val="none" w:sz="0" w:space="0" w:color="auto"/>
        <w:bottom w:val="none" w:sz="0" w:space="0" w:color="auto"/>
        <w:right w:val="none" w:sz="0" w:space="0" w:color="auto"/>
      </w:divBdr>
    </w:div>
    <w:div w:id="1691877458">
      <w:bodyDiv w:val="1"/>
      <w:marLeft w:val="0"/>
      <w:marRight w:val="0"/>
      <w:marTop w:val="0"/>
      <w:marBottom w:val="0"/>
      <w:divBdr>
        <w:top w:val="none" w:sz="0" w:space="0" w:color="auto"/>
        <w:left w:val="none" w:sz="0" w:space="0" w:color="auto"/>
        <w:bottom w:val="none" w:sz="0" w:space="0" w:color="auto"/>
        <w:right w:val="none" w:sz="0" w:space="0" w:color="auto"/>
      </w:divBdr>
    </w:div>
    <w:div w:id="1701469085">
      <w:bodyDiv w:val="1"/>
      <w:marLeft w:val="0"/>
      <w:marRight w:val="0"/>
      <w:marTop w:val="0"/>
      <w:marBottom w:val="0"/>
      <w:divBdr>
        <w:top w:val="none" w:sz="0" w:space="0" w:color="auto"/>
        <w:left w:val="none" w:sz="0" w:space="0" w:color="auto"/>
        <w:bottom w:val="none" w:sz="0" w:space="0" w:color="auto"/>
        <w:right w:val="none" w:sz="0" w:space="0" w:color="auto"/>
      </w:divBdr>
    </w:div>
    <w:div w:id="1706713240">
      <w:bodyDiv w:val="1"/>
      <w:marLeft w:val="0"/>
      <w:marRight w:val="0"/>
      <w:marTop w:val="0"/>
      <w:marBottom w:val="0"/>
      <w:divBdr>
        <w:top w:val="none" w:sz="0" w:space="0" w:color="auto"/>
        <w:left w:val="none" w:sz="0" w:space="0" w:color="auto"/>
        <w:bottom w:val="none" w:sz="0" w:space="0" w:color="auto"/>
        <w:right w:val="none" w:sz="0" w:space="0" w:color="auto"/>
      </w:divBdr>
    </w:div>
    <w:div w:id="1709799205">
      <w:bodyDiv w:val="1"/>
      <w:marLeft w:val="0"/>
      <w:marRight w:val="0"/>
      <w:marTop w:val="0"/>
      <w:marBottom w:val="0"/>
      <w:divBdr>
        <w:top w:val="none" w:sz="0" w:space="0" w:color="auto"/>
        <w:left w:val="none" w:sz="0" w:space="0" w:color="auto"/>
        <w:bottom w:val="none" w:sz="0" w:space="0" w:color="auto"/>
        <w:right w:val="none" w:sz="0" w:space="0" w:color="auto"/>
      </w:divBdr>
    </w:div>
    <w:div w:id="1711998933">
      <w:bodyDiv w:val="1"/>
      <w:marLeft w:val="0"/>
      <w:marRight w:val="0"/>
      <w:marTop w:val="0"/>
      <w:marBottom w:val="0"/>
      <w:divBdr>
        <w:top w:val="none" w:sz="0" w:space="0" w:color="auto"/>
        <w:left w:val="none" w:sz="0" w:space="0" w:color="auto"/>
        <w:bottom w:val="none" w:sz="0" w:space="0" w:color="auto"/>
        <w:right w:val="none" w:sz="0" w:space="0" w:color="auto"/>
      </w:divBdr>
    </w:div>
    <w:div w:id="1717006208">
      <w:bodyDiv w:val="1"/>
      <w:marLeft w:val="0"/>
      <w:marRight w:val="0"/>
      <w:marTop w:val="0"/>
      <w:marBottom w:val="0"/>
      <w:divBdr>
        <w:top w:val="none" w:sz="0" w:space="0" w:color="auto"/>
        <w:left w:val="none" w:sz="0" w:space="0" w:color="auto"/>
        <w:bottom w:val="none" w:sz="0" w:space="0" w:color="auto"/>
        <w:right w:val="none" w:sz="0" w:space="0" w:color="auto"/>
      </w:divBdr>
      <w:divsChild>
        <w:div w:id="1385522296">
          <w:marLeft w:val="0"/>
          <w:marRight w:val="0"/>
          <w:marTop w:val="0"/>
          <w:marBottom w:val="0"/>
          <w:divBdr>
            <w:top w:val="none" w:sz="0" w:space="0" w:color="auto"/>
            <w:left w:val="none" w:sz="0" w:space="0" w:color="auto"/>
            <w:bottom w:val="none" w:sz="0" w:space="0" w:color="auto"/>
            <w:right w:val="none" w:sz="0" w:space="0" w:color="auto"/>
          </w:divBdr>
          <w:divsChild>
            <w:div w:id="18160994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0543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03525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1514033">
      <w:bodyDiv w:val="1"/>
      <w:marLeft w:val="0"/>
      <w:marRight w:val="0"/>
      <w:marTop w:val="0"/>
      <w:marBottom w:val="0"/>
      <w:divBdr>
        <w:top w:val="none" w:sz="0" w:space="0" w:color="auto"/>
        <w:left w:val="none" w:sz="0" w:space="0" w:color="auto"/>
        <w:bottom w:val="none" w:sz="0" w:space="0" w:color="auto"/>
        <w:right w:val="none" w:sz="0" w:space="0" w:color="auto"/>
      </w:divBdr>
    </w:div>
    <w:div w:id="1752435028">
      <w:bodyDiv w:val="1"/>
      <w:marLeft w:val="0"/>
      <w:marRight w:val="0"/>
      <w:marTop w:val="0"/>
      <w:marBottom w:val="0"/>
      <w:divBdr>
        <w:top w:val="none" w:sz="0" w:space="0" w:color="auto"/>
        <w:left w:val="none" w:sz="0" w:space="0" w:color="auto"/>
        <w:bottom w:val="none" w:sz="0" w:space="0" w:color="auto"/>
        <w:right w:val="none" w:sz="0" w:space="0" w:color="auto"/>
      </w:divBdr>
    </w:div>
    <w:div w:id="1782455050">
      <w:bodyDiv w:val="1"/>
      <w:marLeft w:val="0"/>
      <w:marRight w:val="0"/>
      <w:marTop w:val="0"/>
      <w:marBottom w:val="0"/>
      <w:divBdr>
        <w:top w:val="none" w:sz="0" w:space="0" w:color="auto"/>
        <w:left w:val="none" w:sz="0" w:space="0" w:color="auto"/>
        <w:bottom w:val="none" w:sz="0" w:space="0" w:color="auto"/>
        <w:right w:val="none" w:sz="0" w:space="0" w:color="auto"/>
      </w:divBdr>
    </w:div>
    <w:div w:id="1784305020">
      <w:bodyDiv w:val="1"/>
      <w:marLeft w:val="0"/>
      <w:marRight w:val="0"/>
      <w:marTop w:val="0"/>
      <w:marBottom w:val="0"/>
      <w:divBdr>
        <w:top w:val="none" w:sz="0" w:space="0" w:color="auto"/>
        <w:left w:val="none" w:sz="0" w:space="0" w:color="auto"/>
        <w:bottom w:val="none" w:sz="0" w:space="0" w:color="auto"/>
        <w:right w:val="none" w:sz="0" w:space="0" w:color="auto"/>
      </w:divBdr>
    </w:div>
    <w:div w:id="1798331192">
      <w:bodyDiv w:val="1"/>
      <w:marLeft w:val="0"/>
      <w:marRight w:val="0"/>
      <w:marTop w:val="0"/>
      <w:marBottom w:val="0"/>
      <w:divBdr>
        <w:top w:val="none" w:sz="0" w:space="0" w:color="auto"/>
        <w:left w:val="none" w:sz="0" w:space="0" w:color="auto"/>
        <w:bottom w:val="none" w:sz="0" w:space="0" w:color="auto"/>
        <w:right w:val="none" w:sz="0" w:space="0" w:color="auto"/>
      </w:divBdr>
    </w:div>
    <w:div w:id="1809124130">
      <w:bodyDiv w:val="1"/>
      <w:marLeft w:val="0"/>
      <w:marRight w:val="0"/>
      <w:marTop w:val="0"/>
      <w:marBottom w:val="0"/>
      <w:divBdr>
        <w:top w:val="none" w:sz="0" w:space="0" w:color="auto"/>
        <w:left w:val="none" w:sz="0" w:space="0" w:color="auto"/>
        <w:bottom w:val="none" w:sz="0" w:space="0" w:color="auto"/>
        <w:right w:val="none" w:sz="0" w:space="0" w:color="auto"/>
      </w:divBdr>
    </w:div>
    <w:div w:id="1811629860">
      <w:bodyDiv w:val="1"/>
      <w:marLeft w:val="0"/>
      <w:marRight w:val="0"/>
      <w:marTop w:val="0"/>
      <w:marBottom w:val="0"/>
      <w:divBdr>
        <w:top w:val="none" w:sz="0" w:space="0" w:color="auto"/>
        <w:left w:val="none" w:sz="0" w:space="0" w:color="auto"/>
        <w:bottom w:val="none" w:sz="0" w:space="0" w:color="auto"/>
        <w:right w:val="none" w:sz="0" w:space="0" w:color="auto"/>
      </w:divBdr>
      <w:divsChild>
        <w:div w:id="743725796">
          <w:marLeft w:val="0"/>
          <w:marRight w:val="0"/>
          <w:marTop w:val="0"/>
          <w:marBottom w:val="0"/>
          <w:divBdr>
            <w:top w:val="none" w:sz="0" w:space="0" w:color="auto"/>
            <w:left w:val="none" w:sz="0" w:space="0" w:color="auto"/>
            <w:bottom w:val="none" w:sz="0" w:space="0" w:color="auto"/>
            <w:right w:val="none" w:sz="0" w:space="0" w:color="auto"/>
          </w:divBdr>
          <w:divsChild>
            <w:div w:id="239683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38351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6024805">
      <w:bodyDiv w:val="1"/>
      <w:marLeft w:val="0"/>
      <w:marRight w:val="0"/>
      <w:marTop w:val="0"/>
      <w:marBottom w:val="0"/>
      <w:divBdr>
        <w:top w:val="none" w:sz="0" w:space="0" w:color="auto"/>
        <w:left w:val="none" w:sz="0" w:space="0" w:color="auto"/>
        <w:bottom w:val="none" w:sz="0" w:space="0" w:color="auto"/>
        <w:right w:val="none" w:sz="0" w:space="0" w:color="auto"/>
      </w:divBdr>
    </w:div>
    <w:div w:id="1821459838">
      <w:bodyDiv w:val="1"/>
      <w:marLeft w:val="0"/>
      <w:marRight w:val="0"/>
      <w:marTop w:val="0"/>
      <w:marBottom w:val="0"/>
      <w:divBdr>
        <w:top w:val="none" w:sz="0" w:space="0" w:color="auto"/>
        <w:left w:val="none" w:sz="0" w:space="0" w:color="auto"/>
        <w:bottom w:val="none" w:sz="0" w:space="0" w:color="auto"/>
        <w:right w:val="none" w:sz="0" w:space="0" w:color="auto"/>
      </w:divBdr>
    </w:div>
    <w:div w:id="1825244569">
      <w:bodyDiv w:val="1"/>
      <w:marLeft w:val="0"/>
      <w:marRight w:val="0"/>
      <w:marTop w:val="0"/>
      <w:marBottom w:val="0"/>
      <w:divBdr>
        <w:top w:val="none" w:sz="0" w:space="0" w:color="auto"/>
        <w:left w:val="none" w:sz="0" w:space="0" w:color="auto"/>
        <w:bottom w:val="none" w:sz="0" w:space="0" w:color="auto"/>
        <w:right w:val="none" w:sz="0" w:space="0" w:color="auto"/>
      </w:divBdr>
    </w:div>
    <w:div w:id="1831288279">
      <w:bodyDiv w:val="1"/>
      <w:marLeft w:val="0"/>
      <w:marRight w:val="0"/>
      <w:marTop w:val="0"/>
      <w:marBottom w:val="0"/>
      <w:divBdr>
        <w:top w:val="none" w:sz="0" w:space="0" w:color="auto"/>
        <w:left w:val="none" w:sz="0" w:space="0" w:color="auto"/>
        <w:bottom w:val="none" w:sz="0" w:space="0" w:color="auto"/>
        <w:right w:val="none" w:sz="0" w:space="0" w:color="auto"/>
      </w:divBdr>
    </w:div>
    <w:div w:id="1834296999">
      <w:bodyDiv w:val="1"/>
      <w:marLeft w:val="0"/>
      <w:marRight w:val="0"/>
      <w:marTop w:val="0"/>
      <w:marBottom w:val="0"/>
      <w:divBdr>
        <w:top w:val="none" w:sz="0" w:space="0" w:color="auto"/>
        <w:left w:val="none" w:sz="0" w:space="0" w:color="auto"/>
        <w:bottom w:val="none" w:sz="0" w:space="0" w:color="auto"/>
        <w:right w:val="none" w:sz="0" w:space="0" w:color="auto"/>
      </w:divBdr>
    </w:div>
    <w:div w:id="1867907369">
      <w:bodyDiv w:val="1"/>
      <w:marLeft w:val="0"/>
      <w:marRight w:val="0"/>
      <w:marTop w:val="0"/>
      <w:marBottom w:val="0"/>
      <w:divBdr>
        <w:top w:val="none" w:sz="0" w:space="0" w:color="auto"/>
        <w:left w:val="none" w:sz="0" w:space="0" w:color="auto"/>
        <w:bottom w:val="none" w:sz="0" w:space="0" w:color="auto"/>
        <w:right w:val="none" w:sz="0" w:space="0" w:color="auto"/>
      </w:divBdr>
    </w:div>
    <w:div w:id="1892450167">
      <w:bodyDiv w:val="1"/>
      <w:marLeft w:val="0"/>
      <w:marRight w:val="0"/>
      <w:marTop w:val="0"/>
      <w:marBottom w:val="0"/>
      <w:divBdr>
        <w:top w:val="none" w:sz="0" w:space="0" w:color="auto"/>
        <w:left w:val="none" w:sz="0" w:space="0" w:color="auto"/>
        <w:bottom w:val="none" w:sz="0" w:space="0" w:color="auto"/>
        <w:right w:val="none" w:sz="0" w:space="0" w:color="auto"/>
      </w:divBdr>
      <w:divsChild>
        <w:div w:id="1079404505">
          <w:marLeft w:val="0"/>
          <w:marRight w:val="0"/>
          <w:marTop w:val="0"/>
          <w:marBottom w:val="0"/>
          <w:divBdr>
            <w:top w:val="none" w:sz="0" w:space="0" w:color="auto"/>
            <w:left w:val="none" w:sz="0" w:space="0" w:color="auto"/>
            <w:bottom w:val="none" w:sz="0" w:space="0" w:color="auto"/>
            <w:right w:val="none" w:sz="0" w:space="0" w:color="auto"/>
          </w:divBdr>
          <w:divsChild>
            <w:div w:id="1608080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3919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7617104">
      <w:bodyDiv w:val="1"/>
      <w:marLeft w:val="0"/>
      <w:marRight w:val="0"/>
      <w:marTop w:val="0"/>
      <w:marBottom w:val="0"/>
      <w:divBdr>
        <w:top w:val="none" w:sz="0" w:space="0" w:color="auto"/>
        <w:left w:val="none" w:sz="0" w:space="0" w:color="auto"/>
        <w:bottom w:val="none" w:sz="0" w:space="0" w:color="auto"/>
        <w:right w:val="none" w:sz="0" w:space="0" w:color="auto"/>
      </w:divBdr>
    </w:div>
    <w:div w:id="1903564827">
      <w:bodyDiv w:val="1"/>
      <w:marLeft w:val="0"/>
      <w:marRight w:val="0"/>
      <w:marTop w:val="0"/>
      <w:marBottom w:val="0"/>
      <w:divBdr>
        <w:top w:val="none" w:sz="0" w:space="0" w:color="auto"/>
        <w:left w:val="none" w:sz="0" w:space="0" w:color="auto"/>
        <w:bottom w:val="none" w:sz="0" w:space="0" w:color="auto"/>
        <w:right w:val="none" w:sz="0" w:space="0" w:color="auto"/>
      </w:divBdr>
    </w:div>
    <w:div w:id="1916086369">
      <w:bodyDiv w:val="1"/>
      <w:marLeft w:val="0"/>
      <w:marRight w:val="0"/>
      <w:marTop w:val="0"/>
      <w:marBottom w:val="0"/>
      <w:divBdr>
        <w:top w:val="none" w:sz="0" w:space="0" w:color="auto"/>
        <w:left w:val="none" w:sz="0" w:space="0" w:color="auto"/>
        <w:bottom w:val="none" w:sz="0" w:space="0" w:color="auto"/>
        <w:right w:val="none" w:sz="0" w:space="0" w:color="auto"/>
      </w:divBdr>
    </w:div>
    <w:div w:id="1938706696">
      <w:bodyDiv w:val="1"/>
      <w:marLeft w:val="0"/>
      <w:marRight w:val="0"/>
      <w:marTop w:val="0"/>
      <w:marBottom w:val="0"/>
      <w:divBdr>
        <w:top w:val="none" w:sz="0" w:space="0" w:color="auto"/>
        <w:left w:val="none" w:sz="0" w:space="0" w:color="auto"/>
        <w:bottom w:val="none" w:sz="0" w:space="0" w:color="auto"/>
        <w:right w:val="none" w:sz="0" w:space="0" w:color="auto"/>
      </w:divBdr>
      <w:divsChild>
        <w:div w:id="1950811835">
          <w:marLeft w:val="0"/>
          <w:marRight w:val="0"/>
          <w:marTop w:val="0"/>
          <w:marBottom w:val="0"/>
          <w:divBdr>
            <w:top w:val="none" w:sz="0" w:space="0" w:color="auto"/>
            <w:left w:val="none" w:sz="0" w:space="0" w:color="auto"/>
            <w:bottom w:val="none" w:sz="0" w:space="0" w:color="auto"/>
            <w:right w:val="none" w:sz="0" w:space="0" w:color="auto"/>
          </w:divBdr>
        </w:div>
        <w:div w:id="922568784">
          <w:marLeft w:val="0"/>
          <w:marRight w:val="0"/>
          <w:marTop w:val="0"/>
          <w:marBottom w:val="0"/>
          <w:divBdr>
            <w:top w:val="none" w:sz="0" w:space="0" w:color="auto"/>
            <w:left w:val="none" w:sz="0" w:space="0" w:color="auto"/>
            <w:bottom w:val="none" w:sz="0" w:space="0" w:color="auto"/>
            <w:right w:val="none" w:sz="0" w:space="0" w:color="auto"/>
          </w:divBdr>
        </w:div>
        <w:div w:id="1218205946">
          <w:marLeft w:val="0"/>
          <w:marRight w:val="0"/>
          <w:marTop w:val="0"/>
          <w:marBottom w:val="180"/>
          <w:divBdr>
            <w:top w:val="none" w:sz="0" w:space="0" w:color="auto"/>
            <w:left w:val="none" w:sz="0" w:space="0" w:color="auto"/>
            <w:bottom w:val="none" w:sz="0" w:space="0" w:color="auto"/>
            <w:right w:val="none" w:sz="0" w:space="0" w:color="auto"/>
          </w:divBdr>
        </w:div>
        <w:div w:id="440489090">
          <w:marLeft w:val="0"/>
          <w:marRight w:val="0"/>
          <w:marTop w:val="0"/>
          <w:marBottom w:val="0"/>
          <w:divBdr>
            <w:top w:val="none" w:sz="0" w:space="0" w:color="auto"/>
            <w:left w:val="none" w:sz="0" w:space="0" w:color="auto"/>
            <w:bottom w:val="none" w:sz="0" w:space="0" w:color="auto"/>
            <w:right w:val="none" w:sz="0" w:space="0" w:color="auto"/>
          </w:divBdr>
        </w:div>
        <w:div w:id="663245550">
          <w:marLeft w:val="0"/>
          <w:marRight w:val="0"/>
          <w:marTop w:val="0"/>
          <w:marBottom w:val="180"/>
          <w:divBdr>
            <w:top w:val="none" w:sz="0" w:space="0" w:color="auto"/>
            <w:left w:val="none" w:sz="0" w:space="0" w:color="auto"/>
            <w:bottom w:val="none" w:sz="0" w:space="0" w:color="auto"/>
            <w:right w:val="none" w:sz="0" w:space="0" w:color="auto"/>
          </w:divBdr>
        </w:div>
        <w:div w:id="327750063">
          <w:marLeft w:val="0"/>
          <w:marRight w:val="0"/>
          <w:marTop w:val="0"/>
          <w:marBottom w:val="180"/>
          <w:divBdr>
            <w:top w:val="none" w:sz="0" w:space="0" w:color="auto"/>
            <w:left w:val="none" w:sz="0" w:space="0" w:color="auto"/>
            <w:bottom w:val="none" w:sz="0" w:space="0" w:color="auto"/>
            <w:right w:val="none" w:sz="0" w:space="0" w:color="auto"/>
          </w:divBdr>
        </w:div>
        <w:div w:id="16929205">
          <w:marLeft w:val="0"/>
          <w:marRight w:val="0"/>
          <w:marTop w:val="0"/>
          <w:marBottom w:val="180"/>
          <w:divBdr>
            <w:top w:val="none" w:sz="0" w:space="0" w:color="auto"/>
            <w:left w:val="none" w:sz="0" w:space="0" w:color="auto"/>
            <w:bottom w:val="none" w:sz="0" w:space="0" w:color="auto"/>
            <w:right w:val="none" w:sz="0" w:space="0" w:color="auto"/>
          </w:divBdr>
        </w:div>
        <w:div w:id="660349248">
          <w:marLeft w:val="0"/>
          <w:marRight w:val="0"/>
          <w:marTop w:val="0"/>
          <w:marBottom w:val="180"/>
          <w:divBdr>
            <w:top w:val="none" w:sz="0" w:space="0" w:color="auto"/>
            <w:left w:val="none" w:sz="0" w:space="0" w:color="auto"/>
            <w:bottom w:val="none" w:sz="0" w:space="0" w:color="auto"/>
            <w:right w:val="none" w:sz="0" w:space="0" w:color="auto"/>
          </w:divBdr>
        </w:div>
        <w:div w:id="549848116">
          <w:marLeft w:val="0"/>
          <w:marRight w:val="0"/>
          <w:marTop w:val="0"/>
          <w:marBottom w:val="180"/>
          <w:divBdr>
            <w:top w:val="none" w:sz="0" w:space="0" w:color="auto"/>
            <w:left w:val="none" w:sz="0" w:space="0" w:color="auto"/>
            <w:bottom w:val="none" w:sz="0" w:space="0" w:color="auto"/>
            <w:right w:val="none" w:sz="0" w:space="0" w:color="auto"/>
          </w:divBdr>
        </w:div>
        <w:div w:id="1122648571">
          <w:marLeft w:val="0"/>
          <w:marRight w:val="0"/>
          <w:marTop w:val="0"/>
          <w:marBottom w:val="180"/>
          <w:divBdr>
            <w:top w:val="none" w:sz="0" w:space="0" w:color="auto"/>
            <w:left w:val="none" w:sz="0" w:space="0" w:color="auto"/>
            <w:bottom w:val="none" w:sz="0" w:space="0" w:color="auto"/>
            <w:right w:val="none" w:sz="0" w:space="0" w:color="auto"/>
          </w:divBdr>
        </w:div>
        <w:div w:id="1413237898">
          <w:marLeft w:val="0"/>
          <w:marRight w:val="0"/>
          <w:marTop w:val="0"/>
          <w:marBottom w:val="180"/>
          <w:divBdr>
            <w:top w:val="none" w:sz="0" w:space="0" w:color="auto"/>
            <w:left w:val="none" w:sz="0" w:space="0" w:color="auto"/>
            <w:bottom w:val="none" w:sz="0" w:space="0" w:color="auto"/>
            <w:right w:val="none" w:sz="0" w:space="0" w:color="auto"/>
          </w:divBdr>
        </w:div>
        <w:div w:id="1663459759">
          <w:marLeft w:val="0"/>
          <w:marRight w:val="0"/>
          <w:marTop w:val="0"/>
          <w:marBottom w:val="180"/>
          <w:divBdr>
            <w:top w:val="none" w:sz="0" w:space="0" w:color="auto"/>
            <w:left w:val="none" w:sz="0" w:space="0" w:color="auto"/>
            <w:bottom w:val="none" w:sz="0" w:space="0" w:color="auto"/>
            <w:right w:val="none" w:sz="0" w:space="0" w:color="auto"/>
          </w:divBdr>
        </w:div>
        <w:div w:id="224533197">
          <w:marLeft w:val="0"/>
          <w:marRight w:val="0"/>
          <w:marTop w:val="0"/>
          <w:marBottom w:val="180"/>
          <w:divBdr>
            <w:top w:val="none" w:sz="0" w:space="0" w:color="auto"/>
            <w:left w:val="none" w:sz="0" w:space="0" w:color="auto"/>
            <w:bottom w:val="none" w:sz="0" w:space="0" w:color="auto"/>
            <w:right w:val="none" w:sz="0" w:space="0" w:color="auto"/>
          </w:divBdr>
        </w:div>
        <w:div w:id="1248272892">
          <w:marLeft w:val="0"/>
          <w:marRight w:val="0"/>
          <w:marTop w:val="0"/>
          <w:marBottom w:val="180"/>
          <w:divBdr>
            <w:top w:val="none" w:sz="0" w:space="0" w:color="auto"/>
            <w:left w:val="none" w:sz="0" w:space="0" w:color="auto"/>
            <w:bottom w:val="none" w:sz="0" w:space="0" w:color="auto"/>
            <w:right w:val="none" w:sz="0" w:space="0" w:color="auto"/>
          </w:divBdr>
        </w:div>
        <w:div w:id="1094009546">
          <w:marLeft w:val="0"/>
          <w:marRight w:val="0"/>
          <w:marTop w:val="0"/>
          <w:marBottom w:val="180"/>
          <w:divBdr>
            <w:top w:val="none" w:sz="0" w:space="0" w:color="auto"/>
            <w:left w:val="none" w:sz="0" w:space="0" w:color="auto"/>
            <w:bottom w:val="none" w:sz="0" w:space="0" w:color="auto"/>
            <w:right w:val="none" w:sz="0" w:space="0" w:color="auto"/>
          </w:divBdr>
        </w:div>
        <w:div w:id="1462918909">
          <w:marLeft w:val="0"/>
          <w:marRight w:val="0"/>
          <w:marTop w:val="0"/>
          <w:marBottom w:val="180"/>
          <w:divBdr>
            <w:top w:val="none" w:sz="0" w:space="0" w:color="auto"/>
            <w:left w:val="none" w:sz="0" w:space="0" w:color="auto"/>
            <w:bottom w:val="none" w:sz="0" w:space="0" w:color="auto"/>
            <w:right w:val="none" w:sz="0" w:space="0" w:color="auto"/>
          </w:divBdr>
        </w:div>
        <w:div w:id="665130885">
          <w:marLeft w:val="0"/>
          <w:marRight w:val="0"/>
          <w:marTop w:val="0"/>
          <w:marBottom w:val="180"/>
          <w:divBdr>
            <w:top w:val="none" w:sz="0" w:space="0" w:color="auto"/>
            <w:left w:val="none" w:sz="0" w:space="0" w:color="auto"/>
            <w:bottom w:val="none" w:sz="0" w:space="0" w:color="auto"/>
            <w:right w:val="none" w:sz="0" w:space="0" w:color="auto"/>
          </w:divBdr>
        </w:div>
        <w:div w:id="1715615623">
          <w:marLeft w:val="0"/>
          <w:marRight w:val="0"/>
          <w:marTop w:val="0"/>
          <w:marBottom w:val="180"/>
          <w:divBdr>
            <w:top w:val="none" w:sz="0" w:space="0" w:color="auto"/>
            <w:left w:val="none" w:sz="0" w:space="0" w:color="auto"/>
            <w:bottom w:val="none" w:sz="0" w:space="0" w:color="auto"/>
            <w:right w:val="none" w:sz="0" w:space="0" w:color="auto"/>
          </w:divBdr>
        </w:div>
      </w:divsChild>
    </w:div>
    <w:div w:id="1978678440">
      <w:bodyDiv w:val="1"/>
      <w:marLeft w:val="0"/>
      <w:marRight w:val="0"/>
      <w:marTop w:val="0"/>
      <w:marBottom w:val="0"/>
      <w:divBdr>
        <w:top w:val="none" w:sz="0" w:space="0" w:color="auto"/>
        <w:left w:val="none" w:sz="0" w:space="0" w:color="auto"/>
        <w:bottom w:val="none" w:sz="0" w:space="0" w:color="auto"/>
        <w:right w:val="none" w:sz="0" w:space="0" w:color="auto"/>
      </w:divBdr>
    </w:div>
    <w:div w:id="1984770886">
      <w:bodyDiv w:val="1"/>
      <w:marLeft w:val="0"/>
      <w:marRight w:val="0"/>
      <w:marTop w:val="0"/>
      <w:marBottom w:val="0"/>
      <w:divBdr>
        <w:top w:val="none" w:sz="0" w:space="0" w:color="auto"/>
        <w:left w:val="none" w:sz="0" w:space="0" w:color="auto"/>
        <w:bottom w:val="none" w:sz="0" w:space="0" w:color="auto"/>
        <w:right w:val="none" w:sz="0" w:space="0" w:color="auto"/>
      </w:divBdr>
    </w:div>
    <w:div w:id="1984772068">
      <w:bodyDiv w:val="1"/>
      <w:marLeft w:val="0"/>
      <w:marRight w:val="0"/>
      <w:marTop w:val="0"/>
      <w:marBottom w:val="0"/>
      <w:divBdr>
        <w:top w:val="none" w:sz="0" w:space="0" w:color="auto"/>
        <w:left w:val="none" w:sz="0" w:space="0" w:color="auto"/>
        <w:bottom w:val="none" w:sz="0" w:space="0" w:color="auto"/>
        <w:right w:val="none" w:sz="0" w:space="0" w:color="auto"/>
      </w:divBdr>
    </w:div>
    <w:div w:id="1989439311">
      <w:bodyDiv w:val="1"/>
      <w:marLeft w:val="0"/>
      <w:marRight w:val="0"/>
      <w:marTop w:val="0"/>
      <w:marBottom w:val="0"/>
      <w:divBdr>
        <w:top w:val="none" w:sz="0" w:space="0" w:color="auto"/>
        <w:left w:val="none" w:sz="0" w:space="0" w:color="auto"/>
        <w:bottom w:val="none" w:sz="0" w:space="0" w:color="auto"/>
        <w:right w:val="none" w:sz="0" w:space="0" w:color="auto"/>
      </w:divBdr>
    </w:div>
    <w:div w:id="1991791379">
      <w:bodyDiv w:val="1"/>
      <w:marLeft w:val="0"/>
      <w:marRight w:val="0"/>
      <w:marTop w:val="0"/>
      <w:marBottom w:val="0"/>
      <w:divBdr>
        <w:top w:val="none" w:sz="0" w:space="0" w:color="auto"/>
        <w:left w:val="none" w:sz="0" w:space="0" w:color="auto"/>
        <w:bottom w:val="none" w:sz="0" w:space="0" w:color="auto"/>
        <w:right w:val="none" w:sz="0" w:space="0" w:color="auto"/>
      </w:divBdr>
    </w:div>
    <w:div w:id="1995182056">
      <w:bodyDiv w:val="1"/>
      <w:marLeft w:val="0"/>
      <w:marRight w:val="0"/>
      <w:marTop w:val="0"/>
      <w:marBottom w:val="0"/>
      <w:divBdr>
        <w:top w:val="none" w:sz="0" w:space="0" w:color="auto"/>
        <w:left w:val="none" w:sz="0" w:space="0" w:color="auto"/>
        <w:bottom w:val="none" w:sz="0" w:space="0" w:color="auto"/>
        <w:right w:val="none" w:sz="0" w:space="0" w:color="auto"/>
      </w:divBdr>
    </w:div>
    <w:div w:id="1995334829">
      <w:bodyDiv w:val="1"/>
      <w:marLeft w:val="0"/>
      <w:marRight w:val="0"/>
      <w:marTop w:val="0"/>
      <w:marBottom w:val="0"/>
      <w:divBdr>
        <w:top w:val="none" w:sz="0" w:space="0" w:color="auto"/>
        <w:left w:val="none" w:sz="0" w:space="0" w:color="auto"/>
        <w:bottom w:val="none" w:sz="0" w:space="0" w:color="auto"/>
        <w:right w:val="none" w:sz="0" w:space="0" w:color="auto"/>
      </w:divBdr>
    </w:div>
    <w:div w:id="2004816508">
      <w:bodyDiv w:val="1"/>
      <w:marLeft w:val="0"/>
      <w:marRight w:val="0"/>
      <w:marTop w:val="0"/>
      <w:marBottom w:val="0"/>
      <w:divBdr>
        <w:top w:val="none" w:sz="0" w:space="0" w:color="auto"/>
        <w:left w:val="none" w:sz="0" w:space="0" w:color="auto"/>
        <w:bottom w:val="none" w:sz="0" w:space="0" w:color="auto"/>
        <w:right w:val="none" w:sz="0" w:space="0" w:color="auto"/>
      </w:divBdr>
    </w:div>
    <w:div w:id="2006545533">
      <w:bodyDiv w:val="1"/>
      <w:marLeft w:val="0"/>
      <w:marRight w:val="0"/>
      <w:marTop w:val="0"/>
      <w:marBottom w:val="0"/>
      <w:divBdr>
        <w:top w:val="none" w:sz="0" w:space="0" w:color="auto"/>
        <w:left w:val="none" w:sz="0" w:space="0" w:color="auto"/>
        <w:bottom w:val="none" w:sz="0" w:space="0" w:color="auto"/>
        <w:right w:val="none" w:sz="0" w:space="0" w:color="auto"/>
      </w:divBdr>
    </w:div>
    <w:div w:id="2011446908">
      <w:bodyDiv w:val="1"/>
      <w:marLeft w:val="0"/>
      <w:marRight w:val="0"/>
      <w:marTop w:val="0"/>
      <w:marBottom w:val="0"/>
      <w:divBdr>
        <w:top w:val="none" w:sz="0" w:space="0" w:color="auto"/>
        <w:left w:val="none" w:sz="0" w:space="0" w:color="auto"/>
        <w:bottom w:val="none" w:sz="0" w:space="0" w:color="auto"/>
        <w:right w:val="none" w:sz="0" w:space="0" w:color="auto"/>
      </w:divBdr>
    </w:div>
    <w:div w:id="2011711763">
      <w:bodyDiv w:val="1"/>
      <w:marLeft w:val="0"/>
      <w:marRight w:val="0"/>
      <w:marTop w:val="0"/>
      <w:marBottom w:val="0"/>
      <w:divBdr>
        <w:top w:val="none" w:sz="0" w:space="0" w:color="auto"/>
        <w:left w:val="none" w:sz="0" w:space="0" w:color="auto"/>
        <w:bottom w:val="none" w:sz="0" w:space="0" w:color="auto"/>
        <w:right w:val="none" w:sz="0" w:space="0" w:color="auto"/>
      </w:divBdr>
    </w:div>
    <w:div w:id="2023362678">
      <w:bodyDiv w:val="1"/>
      <w:marLeft w:val="0"/>
      <w:marRight w:val="0"/>
      <w:marTop w:val="0"/>
      <w:marBottom w:val="0"/>
      <w:divBdr>
        <w:top w:val="none" w:sz="0" w:space="0" w:color="auto"/>
        <w:left w:val="none" w:sz="0" w:space="0" w:color="auto"/>
        <w:bottom w:val="none" w:sz="0" w:space="0" w:color="auto"/>
        <w:right w:val="none" w:sz="0" w:space="0" w:color="auto"/>
      </w:divBdr>
    </w:div>
    <w:div w:id="2033409869">
      <w:bodyDiv w:val="1"/>
      <w:marLeft w:val="0"/>
      <w:marRight w:val="0"/>
      <w:marTop w:val="0"/>
      <w:marBottom w:val="0"/>
      <w:divBdr>
        <w:top w:val="none" w:sz="0" w:space="0" w:color="auto"/>
        <w:left w:val="none" w:sz="0" w:space="0" w:color="auto"/>
        <w:bottom w:val="none" w:sz="0" w:space="0" w:color="auto"/>
        <w:right w:val="none" w:sz="0" w:space="0" w:color="auto"/>
      </w:divBdr>
    </w:div>
    <w:div w:id="2050642867">
      <w:bodyDiv w:val="1"/>
      <w:marLeft w:val="0"/>
      <w:marRight w:val="0"/>
      <w:marTop w:val="0"/>
      <w:marBottom w:val="0"/>
      <w:divBdr>
        <w:top w:val="none" w:sz="0" w:space="0" w:color="auto"/>
        <w:left w:val="none" w:sz="0" w:space="0" w:color="auto"/>
        <w:bottom w:val="none" w:sz="0" w:space="0" w:color="auto"/>
        <w:right w:val="none" w:sz="0" w:space="0" w:color="auto"/>
      </w:divBdr>
    </w:div>
    <w:div w:id="2077437118">
      <w:bodyDiv w:val="1"/>
      <w:marLeft w:val="0"/>
      <w:marRight w:val="0"/>
      <w:marTop w:val="0"/>
      <w:marBottom w:val="0"/>
      <w:divBdr>
        <w:top w:val="none" w:sz="0" w:space="0" w:color="auto"/>
        <w:left w:val="none" w:sz="0" w:space="0" w:color="auto"/>
        <w:bottom w:val="none" w:sz="0" w:space="0" w:color="auto"/>
        <w:right w:val="none" w:sz="0" w:space="0" w:color="auto"/>
      </w:divBdr>
    </w:div>
    <w:div w:id="2077509467">
      <w:bodyDiv w:val="1"/>
      <w:marLeft w:val="0"/>
      <w:marRight w:val="0"/>
      <w:marTop w:val="0"/>
      <w:marBottom w:val="0"/>
      <w:divBdr>
        <w:top w:val="none" w:sz="0" w:space="0" w:color="auto"/>
        <w:left w:val="none" w:sz="0" w:space="0" w:color="auto"/>
        <w:bottom w:val="none" w:sz="0" w:space="0" w:color="auto"/>
        <w:right w:val="none" w:sz="0" w:space="0" w:color="auto"/>
      </w:divBdr>
    </w:div>
    <w:div w:id="2091923869">
      <w:bodyDiv w:val="1"/>
      <w:marLeft w:val="0"/>
      <w:marRight w:val="0"/>
      <w:marTop w:val="0"/>
      <w:marBottom w:val="0"/>
      <w:divBdr>
        <w:top w:val="none" w:sz="0" w:space="0" w:color="auto"/>
        <w:left w:val="none" w:sz="0" w:space="0" w:color="auto"/>
        <w:bottom w:val="none" w:sz="0" w:space="0" w:color="auto"/>
        <w:right w:val="none" w:sz="0" w:space="0" w:color="auto"/>
      </w:divBdr>
    </w:div>
    <w:div w:id="2098213413">
      <w:bodyDiv w:val="1"/>
      <w:marLeft w:val="0"/>
      <w:marRight w:val="0"/>
      <w:marTop w:val="0"/>
      <w:marBottom w:val="0"/>
      <w:divBdr>
        <w:top w:val="none" w:sz="0" w:space="0" w:color="auto"/>
        <w:left w:val="none" w:sz="0" w:space="0" w:color="auto"/>
        <w:bottom w:val="none" w:sz="0" w:space="0" w:color="auto"/>
        <w:right w:val="none" w:sz="0" w:space="0" w:color="auto"/>
      </w:divBdr>
    </w:div>
    <w:div w:id="2107461845">
      <w:bodyDiv w:val="1"/>
      <w:marLeft w:val="0"/>
      <w:marRight w:val="0"/>
      <w:marTop w:val="0"/>
      <w:marBottom w:val="0"/>
      <w:divBdr>
        <w:top w:val="none" w:sz="0" w:space="0" w:color="auto"/>
        <w:left w:val="none" w:sz="0" w:space="0" w:color="auto"/>
        <w:bottom w:val="none" w:sz="0" w:space="0" w:color="auto"/>
        <w:right w:val="none" w:sz="0" w:space="0" w:color="auto"/>
      </w:divBdr>
    </w:div>
    <w:div w:id="2132237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hyperlink" Target="https://womenenabled.org/atk/Women%20Enabled%20International%20accountABILITY%20toolkit%20-%20Utilizando%20los%20mecanismos%20de%20derechos%20humanos%20de%20las%20Naciones%20Unidas%20para%20promover%20los%20derechos%20de%20las%20mujeres%20y%20ni%C3%B1as%20con%20discapacidad%20-%20ESPA%C3%91OL%20-%20FINAL.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s://womenenabled.org/atk/Women%20Enabled%20International%20accountABILITY%20toolkit%20-%20Utilizando%20los%20mecanismos%20de%20derechos%20humanos%20de%20las%20Naciones%20Unidas%20para%20promover%20los%20derechos%20de%20las%20mujeres%20y%20ni%C3%B1as%20con%20discapacidad%20-%20ESPA%C3%91OL%20-%20FIN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8.xml"/><Relationship Id="rId10" Type="http://schemas.openxmlformats.org/officeDocument/2006/relationships/image" Target="media/image2.emf"/><Relationship Id="rId19" Type="http://schemas.openxmlformats.org/officeDocument/2006/relationships/hyperlink" Target="https://www.ohchr.org/SP/Countries/Pages/HumanRightsintheWorld.aspx"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footer" Target="footer7.xml"/><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apps.who.int/iris/bitstream/10665/173586/1/WHO_RHR_15.04_eng.pdf" TargetMode="External"/><Relationship Id="rId2" Type="http://schemas.openxmlformats.org/officeDocument/2006/relationships/hyperlink" Target="https://www.figo.org/sites/default/files/uploads/wg-publications/ethics/Spanish%20Ethical%20Issues%20in%20Obstetrics%20and%20Gynecology.pdf" TargetMode="External"/><Relationship Id="rId1" Type="http://schemas.openxmlformats.org/officeDocument/2006/relationships/hyperlink" Target="http://www.ohchr.org/Documents/Publications/NHRIHandbook.pdf" TargetMode="External"/><Relationship Id="rId4" Type="http://schemas.openxmlformats.org/officeDocument/2006/relationships/hyperlink" Target="http://apps.who.int/iris/bitstream/10665/173586/1/WHO_RHR_15.04_eng.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ohchr.org/EN/Countries/Pages/HumanRightsintheWorld.aspx" TargetMode="External"/><Relationship Id="rId7" Type="http://schemas.openxmlformats.org/officeDocument/2006/relationships/hyperlink" Target="https://www.figo.org/sites/default/files/uploads/wg-publications/ethics/Spanish%20Ethical%20Issues%20in%20Obstetrics%20and%20Gynecology.pdf" TargetMode="External"/><Relationship Id="rId2" Type="http://schemas.openxmlformats.org/officeDocument/2006/relationships/hyperlink" Target="https://www.figo.org/sites/default/files/uploads/wg-publications/ethics/Spanish%20Ethical%20Issues%20in%20Obstetrics%20and%20Gynecology.pdf" TargetMode="External"/><Relationship Id="rId1" Type="http://schemas.openxmlformats.org/officeDocument/2006/relationships/hyperlink" Target="https://www.ohchr.org/SP/Countries/Pages/HumanRightsintheWorld.aspx" TargetMode="External"/><Relationship Id="rId6" Type="http://schemas.openxmlformats.org/officeDocument/2006/relationships/hyperlink" Target="http://undocs.org/A/HRC/21/22" TargetMode="External"/><Relationship Id="rId5" Type="http://schemas.openxmlformats.org/officeDocument/2006/relationships/hyperlink" Target="https://sustainabledevelopment.un.org/sdgs" TargetMode="External"/><Relationship Id="rId4" Type="http://schemas.openxmlformats.org/officeDocument/2006/relationships/hyperlink" Target="http://undocs.org/A/HRC/21/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AF86D11-FEEC-9547-9231-25A865A9B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121</Pages>
  <Words>38777</Words>
  <Characters>221030</Characters>
  <Application>Microsoft Office Word</Application>
  <DocSecurity>0</DocSecurity>
  <Lines>1841</Lines>
  <Paragraphs>518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Suzannah Phillips</dc:creator>
  <cp:lastModifiedBy>Suzannah Phillips</cp:lastModifiedBy>
  <cp:revision>2</cp:revision>
  <cp:lastPrinted>2018-11-12T18:06:00Z</cp:lastPrinted>
  <dcterms:created xsi:type="dcterms:W3CDTF">2019-04-18T14:58:00Z</dcterms:created>
  <dcterms:modified xsi:type="dcterms:W3CDTF">2019-04-18T14:58:00Z</dcterms:modified>
</cp:coreProperties>
</file>