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05F622" w14:textId="6FA342A1" w:rsidR="00D5357E" w:rsidRPr="00BA7093" w:rsidRDefault="00666D37" w:rsidP="00C35536">
      <w:pPr>
        <w:pStyle w:val="Heading1"/>
        <w:rPr>
          <w:sz w:val="56"/>
          <w:szCs w:val="56"/>
        </w:rPr>
      </w:pPr>
      <w:bookmarkStart w:id="0" w:name="_GoBack"/>
      <w:bookmarkEnd w:id="0"/>
      <w:r w:rsidRPr="00BA7093">
        <w:rPr>
          <w:sz w:val="56"/>
          <w:szCs w:val="56"/>
        </w:rPr>
        <w:t>Women and Young Pe</w:t>
      </w:r>
      <w:r w:rsidR="00DE23B2" w:rsidRPr="00BA7093">
        <w:rPr>
          <w:sz w:val="56"/>
          <w:szCs w:val="56"/>
        </w:rPr>
        <w:t>rsons</w:t>
      </w:r>
      <w:r w:rsidRPr="00BA7093">
        <w:rPr>
          <w:sz w:val="56"/>
          <w:szCs w:val="56"/>
        </w:rPr>
        <w:t xml:space="preserve"> </w:t>
      </w:r>
      <w:r w:rsidR="00BA7093">
        <w:rPr>
          <w:sz w:val="56"/>
          <w:szCs w:val="56"/>
        </w:rPr>
        <w:br/>
      </w:r>
      <w:r w:rsidRPr="00BA7093">
        <w:rPr>
          <w:sz w:val="56"/>
          <w:szCs w:val="56"/>
        </w:rPr>
        <w:t>with Disabilities:</w:t>
      </w:r>
    </w:p>
    <w:p w14:paraId="2A4A8EF4" w14:textId="5704D66F" w:rsidR="001D3DF9" w:rsidRPr="00BA7093" w:rsidRDefault="00B7486B" w:rsidP="00C35536">
      <w:pPr>
        <w:rPr>
          <w:color w:val="548DD4" w:themeColor="text2" w:themeTint="99"/>
          <w:sz w:val="44"/>
          <w:szCs w:val="44"/>
        </w:rPr>
      </w:pPr>
      <w:r w:rsidRPr="00BA7093">
        <w:rPr>
          <w:color w:val="548DD4" w:themeColor="text2" w:themeTint="99"/>
          <w:sz w:val="44"/>
          <w:szCs w:val="44"/>
        </w:rPr>
        <w:t xml:space="preserve">Guidelines for Providing Rights-Based and </w:t>
      </w:r>
      <w:r w:rsidR="00BA7093">
        <w:rPr>
          <w:color w:val="548DD4" w:themeColor="text2" w:themeTint="99"/>
          <w:sz w:val="44"/>
          <w:szCs w:val="44"/>
        </w:rPr>
        <w:br/>
      </w:r>
      <w:r w:rsidRPr="00BA7093">
        <w:rPr>
          <w:color w:val="548DD4" w:themeColor="text2" w:themeTint="99"/>
          <w:sz w:val="44"/>
          <w:szCs w:val="44"/>
        </w:rPr>
        <w:t xml:space="preserve">Gender-Responsive Services to Address </w:t>
      </w:r>
      <w:r w:rsidR="00BA7093">
        <w:rPr>
          <w:color w:val="548DD4" w:themeColor="text2" w:themeTint="99"/>
          <w:sz w:val="44"/>
          <w:szCs w:val="44"/>
        </w:rPr>
        <w:br/>
      </w:r>
      <w:r w:rsidRPr="00BA7093">
        <w:rPr>
          <w:color w:val="548DD4" w:themeColor="text2" w:themeTint="99"/>
          <w:sz w:val="44"/>
          <w:szCs w:val="44"/>
        </w:rPr>
        <w:t>Gender-Based Violence and Sexual and Reproductive Health and Rights</w:t>
      </w:r>
    </w:p>
    <w:p w14:paraId="0E31D7A8" w14:textId="17D8CEEF" w:rsidR="00137B6E" w:rsidRPr="00BA7093" w:rsidRDefault="00BA7093" w:rsidP="00BA7093">
      <w:pPr>
        <w:ind w:hanging="450"/>
        <w:jc w:val="center"/>
        <w:rPr>
          <w:color w:val="548DD4" w:themeColor="text2" w:themeTint="99"/>
          <w:sz w:val="52"/>
          <w:szCs w:val="52"/>
        </w:rPr>
      </w:pPr>
      <w:r>
        <w:rPr>
          <w:noProof/>
          <w:color w:val="548DD4" w:themeColor="text2" w:themeTint="99"/>
          <w:sz w:val="52"/>
          <w:szCs w:val="52"/>
        </w:rPr>
        <w:drawing>
          <wp:inline distT="0" distB="0" distL="0" distR="0" wp14:anchorId="63B0340F" wp14:editId="1D7DBF60">
            <wp:extent cx="6504212" cy="5058137"/>
            <wp:effectExtent l="0" t="0" r="0" b="0"/>
            <wp:docPr id="2" name="Picture 2" descr="Overlapping waves of blue, teal, orange, pink, and peach. Scattered over the waves are small, simple images in white depicting hands signing, two people with their arms around one another, a person using a cane, a person using a wheelchair, two hearts, an information symbol, two wheelchair users facing one another, two people running and holding hands, and several faces of boys and g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WEI-and-UNFPA-Guidelines-Disability-GBV-+-SRHR-FINAL-November-28,-20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04212" cy="5058137"/>
                    </a:xfrm>
                    <a:prstGeom prst="rect">
                      <a:avLst/>
                    </a:prstGeom>
                  </pic:spPr>
                </pic:pic>
              </a:graphicData>
            </a:graphic>
          </wp:inline>
        </w:drawing>
      </w:r>
    </w:p>
    <w:p w14:paraId="6D2597F6" w14:textId="541052E1" w:rsidR="00565D3E" w:rsidRPr="00A64CBE" w:rsidRDefault="00137B6E" w:rsidP="00BA7093">
      <w:pPr>
        <w:spacing w:before="480" w:line="720" w:lineRule="auto"/>
        <w:rPr>
          <w:rFonts w:ascii="Arial" w:eastAsia="Helvetica Neue" w:hAnsi="Arial" w:cs="Arial"/>
          <w:b/>
          <w:color w:val="000000"/>
        </w:rPr>
      </w:pPr>
      <w:r>
        <w:rPr>
          <w:noProof/>
          <w:color w:val="000000"/>
        </w:rPr>
        <w:drawing>
          <wp:inline distT="0" distB="0" distL="0" distR="0" wp14:anchorId="6F6A2E21" wp14:editId="44DE07F6">
            <wp:extent cx="5963747" cy="667512"/>
            <wp:effectExtent l="0" t="0" r="0" b="5715"/>
            <wp:docPr id="17" name="Picture 17" descr="4 logos of the groups that contributed to this guide: The Spanish Agency for International Development Corporation, We Decide, The United Nations Population Fund, and Women Enabled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FPA-Guidelines-Logos.jpg"/>
                    <pic:cNvPicPr/>
                  </pic:nvPicPr>
                  <pic:blipFill>
                    <a:blip r:embed="rId9">
                      <a:extLst>
                        <a:ext uri="{28A0092B-C50C-407E-A947-70E740481C1C}">
                          <a14:useLocalDpi xmlns:a14="http://schemas.microsoft.com/office/drawing/2010/main" val="0"/>
                        </a:ext>
                      </a:extLst>
                    </a:blip>
                    <a:stretch>
                      <a:fillRect/>
                    </a:stretch>
                  </pic:blipFill>
                  <pic:spPr>
                    <a:xfrm>
                      <a:off x="0" y="0"/>
                      <a:ext cx="5963747" cy="667512"/>
                    </a:xfrm>
                    <a:prstGeom prst="rect">
                      <a:avLst/>
                    </a:prstGeom>
                  </pic:spPr>
                </pic:pic>
              </a:graphicData>
            </a:graphic>
          </wp:inline>
        </w:drawing>
      </w:r>
    </w:p>
    <w:p w14:paraId="5D5DE55B" w14:textId="77777777" w:rsidR="007A3B0A" w:rsidRDefault="00F409EC" w:rsidP="007A3B0A">
      <w:pPr>
        <w:pStyle w:val="Heading2"/>
      </w:pPr>
      <w:r>
        <w:br w:type="page"/>
      </w:r>
      <w:r w:rsidR="007A3B0A">
        <w:lastRenderedPageBreak/>
        <w:t>Credits</w:t>
      </w:r>
    </w:p>
    <w:p w14:paraId="30B2B3C5" w14:textId="49F88046" w:rsidR="00F409EC" w:rsidRPr="00F409EC" w:rsidRDefault="00F409EC" w:rsidP="007A3B0A">
      <w:pPr>
        <w:snapToGrid w:val="0"/>
        <w:spacing w:before="240" w:after="0"/>
      </w:pPr>
      <w:r w:rsidRPr="00F409EC">
        <w:t>© UNFPA November 2018</w:t>
      </w:r>
    </w:p>
    <w:p w14:paraId="67FCE1F6" w14:textId="676E78E7" w:rsidR="00F409EC" w:rsidRPr="00F409EC" w:rsidRDefault="00F409EC" w:rsidP="007A3B0A">
      <w:pPr>
        <w:spacing w:before="0" w:after="0"/>
      </w:pPr>
      <w:r w:rsidRPr="00F409EC">
        <w:t>The contents of this publication are available in accessible formats.</w:t>
      </w:r>
      <w:r w:rsidR="007A3B0A">
        <w:t xml:space="preserve"> </w:t>
      </w:r>
      <w:r w:rsidRPr="00F409EC">
        <w:t>Please contact us that the following address or site with your requirements.</w:t>
      </w:r>
    </w:p>
    <w:p w14:paraId="793DF2A5" w14:textId="77777777" w:rsidR="007A3B0A" w:rsidRPr="007A3B0A" w:rsidRDefault="007A3B0A" w:rsidP="007A3B0A">
      <w:pPr>
        <w:spacing w:before="0" w:after="0"/>
        <w:rPr>
          <w:sz w:val="15"/>
          <w:szCs w:val="15"/>
        </w:rPr>
      </w:pPr>
    </w:p>
    <w:p w14:paraId="437E0C7E" w14:textId="075890FC" w:rsidR="00F409EC" w:rsidRPr="00F409EC" w:rsidRDefault="00F409EC" w:rsidP="00F409EC">
      <w:pPr>
        <w:spacing w:before="0" w:after="0"/>
      </w:pPr>
      <w:r w:rsidRPr="00F409EC">
        <w:t>Mailing address:</w:t>
      </w:r>
    </w:p>
    <w:p w14:paraId="6BBEC705" w14:textId="28EA7693" w:rsidR="00F409EC" w:rsidRPr="00044652" w:rsidRDefault="00F409EC" w:rsidP="00F409EC">
      <w:pPr>
        <w:spacing w:before="0" w:after="0"/>
      </w:pPr>
      <w:r w:rsidRPr="00044652">
        <w:t>United Nations Population Fund</w:t>
      </w:r>
    </w:p>
    <w:p w14:paraId="45D3B846" w14:textId="10AD9430" w:rsidR="00F409EC" w:rsidRPr="00044652" w:rsidRDefault="00F409EC" w:rsidP="00F409EC">
      <w:pPr>
        <w:spacing w:before="0" w:after="0"/>
      </w:pPr>
      <w:r w:rsidRPr="00044652">
        <w:t>Gender, Human Rights, and Culture Branch/Technical Division</w:t>
      </w:r>
    </w:p>
    <w:p w14:paraId="638D8F05" w14:textId="0EFFF3FF" w:rsidR="00F409EC" w:rsidRPr="00015E32" w:rsidRDefault="00F409EC" w:rsidP="00F409EC">
      <w:pPr>
        <w:spacing w:before="0" w:after="0"/>
      </w:pPr>
      <w:r w:rsidRPr="00044652">
        <w:t>605 Thi</w:t>
      </w:r>
      <w:r w:rsidRPr="00015E32">
        <w:t>rd Avenue</w:t>
      </w:r>
    </w:p>
    <w:p w14:paraId="2A394A78" w14:textId="32F6878A" w:rsidR="00F409EC" w:rsidRPr="00015E32" w:rsidRDefault="00F409EC" w:rsidP="00F409EC">
      <w:pPr>
        <w:spacing w:before="0" w:after="0"/>
      </w:pPr>
      <w:r w:rsidRPr="00015E32">
        <w:t>New York, NY 10158</w:t>
      </w:r>
    </w:p>
    <w:p w14:paraId="36BA89E8" w14:textId="2D495BC7" w:rsidR="00F409EC" w:rsidRPr="007A3B0A" w:rsidRDefault="00F409EC" w:rsidP="00F409EC">
      <w:pPr>
        <w:spacing w:before="0" w:after="0"/>
        <w:rPr>
          <w:sz w:val="15"/>
          <w:szCs w:val="15"/>
        </w:rPr>
      </w:pPr>
    </w:p>
    <w:p w14:paraId="7252BA9B" w14:textId="3A78A823" w:rsidR="00F409EC" w:rsidRPr="00015E32" w:rsidRDefault="00F409EC" w:rsidP="00F409EC">
      <w:pPr>
        <w:spacing w:before="0" w:after="0"/>
      </w:pPr>
      <w:r w:rsidRPr="00015E32">
        <w:t xml:space="preserve">Online inquiry: </w:t>
      </w:r>
      <w:r w:rsidRPr="00D11A90">
        <w:rPr>
          <w:rStyle w:val="Hyperlink"/>
        </w:rPr>
        <w:t>https://www.unfpa.org/contact</w:t>
      </w:r>
    </w:p>
    <w:p w14:paraId="095AEFA0" w14:textId="04404564" w:rsidR="001D3DF9" w:rsidRPr="00D5357E" w:rsidRDefault="00D5357E" w:rsidP="007A3B0A">
      <w:pPr>
        <w:pStyle w:val="Heading2"/>
        <w:spacing w:before="400"/>
      </w:pPr>
      <w:r w:rsidRPr="00D5357E">
        <w:t>Acknowledgments</w:t>
      </w:r>
    </w:p>
    <w:p w14:paraId="37F72359" w14:textId="77777777" w:rsidR="001D3DF9" w:rsidRPr="00A64CBE" w:rsidRDefault="00B7486B" w:rsidP="00D5357E">
      <w:pPr>
        <w:rPr>
          <w:rFonts w:eastAsia="Helvetica Neue"/>
        </w:rPr>
      </w:pPr>
      <w:r w:rsidRPr="00A64CBE">
        <w:rPr>
          <w:rFonts w:eastAsia="Helvetica Neue"/>
        </w:rPr>
        <w:t xml:space="preserve">Work on these Guidelines was initiated, coordinated, and developed by Luis Mora (Gender, Human Rights and Culture Branch, United Nations Population Fund, UNFPA), Leyla </w:t>
      </w:r>
      <w:proofErr w:type="spellStart"/>
      <w:r w:rsidRPr="00A64CBE">
        <w:rPr>
          <w:rFonts w:eastAsia="Helvetica Neue"/>
        </w:rPr>
        <w:t>Sharafi</w:t>
      </w:r>
      <w:proofErr w:type="spellEnd"/>
      <w:r w:rsidRPr="00A64CBE">
        <w:rPr>
          <w:rFonts w:eastAsia="Helvetica Neue"/>
        </w:rPr>
        <w:t xml:space="preserve"> (Gender, Human Rights and Culture Branch, UNFPA), Stephanie </w:t>
      </w:r>
      <w:proofErr w:type="spellStart"/>
      <w:r w:rsidRPr="00A64CBE">
        <w:rPr>
          <w:rFonts w:eastAsia="Helvetica Neue"/>
        </w:rPr>
        <w:t>Ortoleva</w:t>
      </w:r>
      <w:proofErr w:type="spellEnd"/>
      <w:r w:rsidRPr="00A64CBE">
        <w:rPr>
          <w:rFonts w:eastAsia="Helvetica Neue"/>
        </w:rPr>
        <w:t xml:space="preserve"> (Women Enabled International, WEI), Suzannah Phillips (WEI), and Anastasia </w:t>
      </w:r>
      <w:proofErr w:type="spellStart"/>
      <w:r w:rsidRPr="00A64CBE">
        <w:rPr>
          <w:rFonts w:eastAsia="Helvetica Neue"/>
        </w:rPr>
        <w:t>Holoboff</w:t>
      </w:r>
      <w:proofErr w:type="spellEnd"/>
      <w:r w:rsidRPr="00A64CBE">
        <w:rPr>
          <w:rFonts w:eastAsia="Helvetica Neue"/>
        </w:rPr>
        <w:t xml:space="preserve"> Radford (WEI). </w:t>
      </w:r>
    </w:p>
    <w:p w14:paraId="1F13D4D1" w14:textId="77777777" w:rsidR="001D3DF9" w:rsidRPr="00A64CBE" w:rsidRDefault="00B7486B" w:rsidP="007A3B0A">
      <w:pPr>
        <w:spacing w:before="160"/>
        <w:rPr>
          <w:rFonts w:eastAsia="Helvetica Neue"/>
        </w:rPr>
      </w:pPr>
      <w:r w:rsidRPr="00A64CBE">
        <w:rPr>
          <w:rFonts w:eastAsia="Helvetica Neue"/>
        </w:rPr>
        <w:t xml:space="preserve">The final document was written by Anastasia </w:t>
      </w:r>
      <w:proofErr w:type="spellStart"/>
      <w:r w:rsidRPr="00A64CBE">
        <w:rPr>
          <w:rFonts w:eastAsia="Helvetica Neue"/>
        </w:rPr>
        <w:t>Holoboff</w:t>
      </w:r>
      <w:proofErr w:type="spellEnd"/>
      <w:r w:rsidRPr="00A64CBE">
        <w:rPr>
          <w:rFonts w:eastAsia="Helvetica Neue"/>
        </w:rPr>
        <w:t xml:space="preserve"> Radford (WEI, primary author), Suzannah Phillips (WEI, author), and Stephanie </w:t>
      </w:r>
      <w:proofErr w:type="spellStart"/>
      <w:r w:rsidRPr="00A64CBE">
        <w:rPr>
          <w:rFonts w:eastAsia="Helvetica Neue"/>
        </w:rPr>
        <w:t>Ortoleva</w:t>
      </w:r>
      <w:proofErr w:type="spellEnd"/>
      <w:r w:rsidRPr="00A64CBE">
        <w:rPr>
          <w:rFonts w:eastAsia="Helvetica Neue"/>
        </w:rPr>
        <w:t xml:space="preserve"> (WEI, author), with strong support and contribution from Leyla </w:t>
      </w:r>
      <w:proofErr w:type="spellStart"/>
      <w:r w:rsidRPr="00A64CBE">
        <w:rPr>
          <w:rFonts w:eastAsia="Helvetica Neue"/>
        </w:rPr>
        <w:t>Sharafi</w:t>
      </w:r>
      <w:proofErr w:type="spellEnd"/>
      <w:r w:rsidRPr="00A64CBE">
        <w:rPr>
          <w:rFonts w:eastAsia="Helvetica Neue"/>
        </w:rPr>
        <w:t xml:space="preserve"> (Gender, Human Rights and Culture Branch, UNFPA).</w:t>
      </w:r>
    </w:p>
    <w:p w14:paraId="095D344A" w14:textId="5B1AD947" w:rsidR="00137B6E" w:rsidRPr="002D42BF" w:rsidRDefault="00B7486B" w:rsidP="002D42BF">
      <w:pPr>
        <w:snapToGrid w:val="0"/>
        <w:spacing w:after="360"/>
        <w:rPr>
          <w:rStyle w:val="Bold"/>
          <w:b w:val="0"/>
        </w:rPr>
        <w:sectPr w:rsidR="00137B6E" w:rsidRPr="002D42BF" w:rsidSect="00C35536">
          <w:footerReference w:type="even" r:id="rId10"/>
          <w:footerReference w:type="default" r:id="rId11"/>
          <w:headerReference w:type="first" r:id="rId12"/>
          <w:pgSz w:w="12240" w:h="15840"/>
          <w:pgMar w:top="913" w:right="1440" w:bottom="1440" w:left="1440" w:header="0" w:footer="720" w:gutter="0"/>
          <w:pgNumType w:fmt="lowerRoman" w:start="1"/>
          <w:cols w:space="720"/>
          <w:titlePg/>
        </w:sectPr>
      </w:pPr>
      <w:r w:rsidRPr="00A64CBE">
        <w:rPr>
          <w:rFonts w:eastAsia="Helvetica Neue"/>
        </w:rPr>
        <w:t>We appreciate the contributions of the following individuals to the development of these Guidelines within UNDESA, UNFPA,</w:t>
      </w:r>
      <w:r w:rsidRPr="008D2B6F">
        <w:rPr>
          <w:rStyle w:val="Bold"/>
        </w:rPr>
        <w:t xml:space="preserve"> </w:t>
      </w:r>
      <w:r w:rsidRPr="00A64CBE">
        <w:rPr>
          <w:rFonts w:eastAsia="Helvetica Neue"/>
        </w:rPr>
        <w:t>UNICEF, UNPRPD/UNDP, and WHO.</w:t>
      </w:r>
    </w:p>
    <w:p w14:paraId="0B26859A" w14:textId="586DDA51" w:rsidR="00EA3855" w:rsidRPr="00A85D5F" w:rsidRDefault="00B7486B" w:rsidP="002D42BF">
      <w:pPr>
        <w:pStyle w:val="BoldListHeader"/>
        <w:contextualSpacing/>
        <w:rPr>
          <w:rFonts w:eastAsia="Helvetica Neue"/>
          <w:b w:val="0"/>
          <w:bCs w:val="0"/>
        </w:rPr>
      </w:pPr>
      <w:r w:rsidRPr="00A85D5F">
        <w:rPr>
          <w:rStyle w:val="Bold"/>
          <w:b/>
          <w:bCs w:val="0"/>
        </w:rPr>
        <w:t>UNDESA</w:t>
      </w:r>
      <w:r w:rsidRPr="00A85D5F">
        <w:rPr>
          <w:rFonts w:eastAsia="Helvetica Neue"/>
          <w:b w:val="0"/>
          <w:bCs w:val="0"/>
        </w:rPr>
        <w:t xml:space="preserve"> </w:t>
      </w:r>
    </w:p>
    <w:p w14:paraId="04B67264" w14:textId="57344421" w:rsidR="001D3DF9" w:rsidRPr="00EA3855" w:rsidRDefault="00B7486B" w:rsidP="002D42BF">
      <w:pPr>
        <w:pStyle w:val="ListParagraph"/>
        <w:spacing w:before="0"/>
        <w:contextualSpacing/>
        <w:rPr>
          <w:rFonts w:eastAsia="Helvetica Neue"/>
          <w:b/>
          <w:bCs/>
        </w:rPr>
      </w:pPr>
      <w:r w:rsidRPr="00FF7C65">
        <w:rPr>
          <w:rFonts w:eastAsia="Helvetica Neue"/>
        </w:rPr>
        <w:t>Akiko</w:t>
      </w:r>
      <w:r w:rsidRPr="00EA3855">
        <w:rPr>
          <w:rFonts w:eastAsia="Helvetica Neue"/>
        </w:rPr>
        <w:t xml:space="preserve"> Ito</w:t>
      </w:r>
    </w:p>
    <w:p w14:paraId="025EB3DE" w14:textId="2DCF4AFB" w:rsidR="001D3DF9" w:rsidRPr="00A85D5F" w:rsidRDefault="00B7486B" w:rsidP="002D42BF">
      <w:pPr>
        <w:pStyle w:val="BoldListHeader"/>
        <w:contextualSpacing/>
        <w:rPr>
          <w:rFonts w:eastAsia="Helvetica Neue"/>
          <w:b w:val="0"/>
          <w:bCs w:val="0"/>
        </w:rPr>
      </w:pPr>
      <w:r w:rsidRPr="00A85D5F">
        <w:rPr>
          <w:rStyle w:val="Bold"/>
          <w:b/>
          <w:bCs w:val="0"/>
        </w:rPr>
        <w:t>UNFPA</w:t>
      </w:r>
    </w:p>
    <w:p w14:paraId="2094E61F" w14:textId="429C5B5E" w:rsidR="001D3DF9" w:rsidRPr="002D42BF" w:rsidRDefault="00B7486B" w:rsidP="002D42BF">
      <w:pPr>
        <w:pStyle w:val="ListParagraph"/>
        <w:spacing w:before="0"/>
        <w:contextualSpacing/>
        <w:rPr>
          <w:rFonts w:eastAsia="Helvetica Neue"/>
        </w:rPr>
      </w:pPr>
      <w:proofErr w:type="spellStart"/>
      <w:r w:rsidRPr="002D42BF">
        <w:rPr>
          <w:rFonts w:eastAsia="Helvetica Neue"/>
        </w:rPr>
        <w:t>Nigina</w:t>
      </w:r>
      <w:proofErr w:type="spellEnd"/>
      <w:r w:rsidRPr="002D42BF">
        <w:rPr>
          <w:rFonts w:eastAsia="Helvetica Neue"/>
        </w:rPr>
        <w:t xml:space="preserve"> </w:t>
      </w:r>
      <w:proofErr w:type="spellStart"/>
      <w:r w:rsidRPr="002D42BF">
        <w:rPr>
          <w:rFonts w:eastAsia="Helvetica Neue"/>
        </w:rPr>
        <w:t>Abaszade</w:t>
      </w:r>
      <w:proofErr w:type="spellEnd"/>
    </w:p>
    <w:p w14:paraId="0369EA76" w14:textId="175E1EA3" w:rsidR="00957F95" w:rsidRPr="002D42BF" w:rsidRDefault="00957F95" w:rsidP="002D42BF">
      <w:pPr>
        <w:pStyle w:val="ListParagraph"/>
        <w:contextualSpacing/>
        <w:rPr>
          <w:rFonts w:eastAsia="Helvetica Neue"/>
        </w:rPr>
      </w:pPr>
      <w:r w:rsidRPr="002D42BF">
        <w:rPr>
          <w:rFonts w:eastAsia="Helvetica Neue"/>
        </w:rPr>
        <w:t xml:space="preserve">Laila </w:t>
      </w:r>
      <w:proofErr w:type="spellStart"/>
      <w:r w:rsidRPr="002D42BF">
        <w:rPr>
          <w:rFonts w:eastAsia="Helvetica Neue"/>
        </w:rPr>
        <w:t>A</w:t>
      </w:r>
      <w:r w:rsidR="00BC5F3D" w:rsidRPr="002D42BF">
        <w:rPr>
          <w:rFonts w:eastAsia="Helvetica Neue"/>
        </w:rPr>
        <w:t>charai</w:t>
      </w:r>
      <w:proofErr w:type="spellEnd"/>
    </w:p>
    <w:p w14:paraId="0B4CF6EB" w14:textId="77777777" w:rsidR="001D3DF9" w:rsidRPr="002D42BF" w:rsidRDefault="00B7486B" w:rsidP="002D42BF">
      <w:pPr>
        <w:pStyle w:val="ListParagraph"/>
        <w:contextualSpacing/>
        <w:rPr>
          <w:rFonts w:eastAsia="Helvetica Neue"/>
          <w:lang w:val="fr-FR"/>
        </w:rPr>
      </w:pPr>
      <w:r w:rsidRPr="002D42BF">
        <w:rPr>
          <w:rFonts w:eastAsia="Helvetica Neue"/>
          <w:lang w:val="fr-FR"/>
        </w:rPr>
        <w:t>Enshrah Ahme</w:t>
      </w:r>
    </w:p>
    <w:p w14:paraId="22A93A6D" w14:textId="22A43988" w:rsidR="001D3DF9" w:rsidRPr="002D42BF" w:rsidRDefault="00B7486B" w:rsidP="002D42BF">
      <w:pPr>
        <w:pStyle w:val="ListParagraph"/>
        <w:contextualSpacing/>
        <w:rPr>
          <w:rFonts w:eastAsia="Helvetica Neue"/>
          <w:lang w:val="fr-FR"/>
        </w:rPr>
      </w:pPr>
      <w:r w:rsidRPr="002D42BF">
        <w:rPr>
          <w:rFonts w:eastAsia="Helvetica Neue"/>
          <w:lang w:val="fr-FR"/>
        </w:rPr>
        <w:t xml:space="preserve">Marcia </w:t>
      </w:r>
      <w:r w:rsidRPr="002D42BF">
        <w:rPr>
          <w:rFonts w:eastAsia="Helvetica Neue"/>
        </w:rPr>
        <w:t>Elena</w:t>
      </w:r>
      <w:r w:rsidRPr="002D42BF">
        <w:rPr>
          <w:rFonts w:eastAsia="Helvetica Neue"/>
          <w:lang w:val="fr-FR"/>
        </w:rPr>
        <w:t xml:space="preserve"> Alvarez</w:t>
      </w:r>
    </w:p>
    <w:p w14:paraId="113FEC6D" w14:textId="23AC9898" w:rsidR="00030AA1" w:rsidRPr="002D42BF" w:rsidRDefault="00030AA1" w:rsidP="002D42BF">
      <w:pPr>
        <w:pStyle w:val="ListParagraph"/>
        <w:contextualSpacing/>
        <w:rPr>
          <w:rFonts w:eastAsia="Helvetica Neue"/>
          <w:lang w:val="fr-FR"/>
        </w:rPr>
      </w:pPr>
      <w:r w:rsidRPr="002D42BF">
        <w:rPr>
          <w:rFonts w:eastAsia="Helvetica Neue"/>
          <w:lang w:val="fr-FR"/>
        </w:rPr>
        <w:t>Erin Anastasi</w:t>
      </w:r>
    </w:p>
    <w:p w14:paraId="51332766" w14:textId="2815E8F1" w:rsidR="001D3DF9" w:rsidRPr="002D42BF" w:rsidRDefault="00B7486B" w:rsidP="002D42BF">
      <w:pPr>
        <w:pStyle w:val="ListParagraph"/>
        <w:contextualSpacing/>
        <w:rPr>
          <w:rFonts w:eastAsia="Helvetica Neue"/>
          <w:lang w:val="fr-FR"/>
        </w:rPr>
      </w:pPr>
      <w:r w:rsidRPr="002D42BF">
        <w:rPr>
          <w:rFonts w:eastAsia="Helvetica Neue"/>
          <w:lang w:val="fr-FR"/>
        </w:rPr>
        <w:t xml:space="preserve">Paula </w:t>
      </w:r>
      <w:r w:rsidRPr="002D42BF">
        <w:rPr>
          <w:rFonts w:eastAsia="Helvetica Neue"/>
        </w:rPr>
        <w:t>Antezana</w:t>
      </w:r>
    </w:p>
    <w:p w14:paraId="6B963679" w14:textId="19526161" w:rsidR="00030AA1" w:rsidRPr="002D42BF" w:rsidRDefault="00030AA1" w:rsidP="002D42BF">
      <w:pPr>
        <w:pStyle w:val="ListParagraph"/>
        <w:contextualSpacing/>
        <w:rPr>
          <w:rFonts w:eastAsia="Helvetica Neue"/>
        </w:rPr>
      </w:pPr>
      <w:r w:rsidRPr="002D42BF">
        <w:rPr>
          <w:rFonts w:eastAsia="Helvetica Neue"/>
        </w:rPr>
        <w:t xml:space="preserve">Bridget </w:t>
      </w:r>
      <w:proofErr w:type="spellStart"/>
      <w:r w:rsidRPr="002D42BF">
        <w:rPr>
          <w:rFonts w:eastAsia="Helvetica Neue"/>
        </w:rPr>
        <w:t>Asiamah</w:t>
      </w:r>
      <w:proofErr w:type="spellEnd"/>
    </w:p>
    <w:p w14:paraId="327B544D" w14:textId="77777777" w:rsidR="001D3DF9" w:rsidRPr="002D42BF" w:rsidRDefault="00B7486B" w:rsidP="002D42BF">
      <w:pPr>
        <w:pStyle w:val="ListParagraph"/>
        <w:contextualSpacing/>
        <w:rPr>
          <w:rFonts w:eastAsia="Helvetica Neue"/>
        </w:rPr>
      </w:pPr>
      <w:r w:rsidRPr="002D42BF">
        <w:rPr>
          <w:rFonts w:eastAsia="Helvetica Neue"/>
        </w:rPr>
        <w:t xml:space="preserve">Pascale </w:t>
      </w:r>
      <w:proofErr w:type="spellStart"/>
      <w:r w:rsidRPr="002D42BF">
        <w:rPr>
          <w:rFonts w:eastAsia="Helvetica Neue"/>
        </w:rPr>
        <w:t>Barate</w:t>
      </w:r>
      <w:proofErr w:type="spellEnd"/>
    </w:p>
    <w:p w14:paraId="405DE0D8" w14:textId="7AA70F79" w:rsidR="001D3DF9" w:rsidRPr="002D42BF" w:rsidRDefault="00B7486B" w:rsidP="002D42BF">
      <w:pPr>
        <w:pStyle w:val="ListParagraph"/>
        <w:contextualSpacing/>
        <w:rPr>
          <w:rFonts w:eastAsia="Helvetica Neue"/>
        </w:rPr>
      </w:pPr>
      <w:proofErr w:type="spellStart"/>
      <w:r w:rsidRPr="002D42BF">
        <w:rPr>
          <w:rFonts w:eastAsia="Helvetica Neue"/>
        </w:rPr>
        <w:t>Neus</w:t>
      </w:r>
      <w:proofErr w:type="spellEnd"/>
      <w:r w:rsidRPr="002D42BF">
        <w:rPr>
          <w:rFonts w:eastAsia="Helvetica Neue"/>
        </w:rPr>
        <w:t xml:space="preserve"> </w:t>
      </w:r>
      <w:proofErr w:type="spellStart"/>
      <w:r w:rsidRPr="002D42BF">
        <w:rPr>
          <w:rFonts w:eastAsia="Helvetica Neue"/>
        </w:rPr>
        <w:t>Bernabeu</w:t>
      </w:r>
      <w:proofErr w:type="spellEnd"/>
    </w:p>
    <w:p w14:paraId="7609838C" w14:textId="54A6A744" w:rsidR="00BC5F3D" w:rsidRPr="002D42BF" w:rsidRDefault="00BC5F3D" w:rsidP="002D42BF">
      <w:pPr>
        <w:pStyle w:val="ListParagraph"/>
        <w:contextualSpacing/>
        <w:rPr>
          <w:rFonts w:eastAsia="Helvetica Neue"/>
        </w:rPr>
      </w:pPr>
      <w:proofErr w:type="spellStart"/>
      <w:r w:rsidRPr="002D42BF">
        <w:rPr>
          <w:rFonts w:eastAsia="Helvetica Neue"/>
        </w:rPr>
        <w:t>Satvika</w:t>
      </w:r>
      <w:proofErr w:type="spellEnd"/>
      <w:r w:rsidRPr="002D42BF">
        <w:rPr>
          <w:rFonts w:eastAsia="Helvetica Neue"/>
        </w:rPr>
        <w:t xml:space="preserve"> </w:t>
      </w:r>
      <w:proofErr w:type="spellStart"/>
      <w:r w:rsidRPr="002D42BF">
        <w:rPr>
          <w:rFonts w:eastAsia="Helvetica Neue"/>
        </w:rPr>
        <w:t>Chalasani</w:t>
      </w:r>
      <w:proofErr w:type="spellEnd"/>
    </w:p>
    <w:p w14:paraId="186BC1C2" w14:textId="743B0DC3" w:rsidR="00BC5F3D" w:rsidRPr="002D42BF" w:rsidRDefault="00BC5F3D" w:rsidP="002D42BF">
      <w:pPr>
        <w:pStyle w:val="ListParagraph"/>
        <w:contextualSpacing/>
        <w:rPr>
          <w:rFonts w:eastAsia="Helvetica Neue"/>
        </w:rPr>
      </w:pPr>
      <w:r w:rsidRPr="002D42BF">
        <w:rPr>
          <w:rFonts w:eastAsia="Helvetica Neue"/>
        </w:rPr>
        <w:t>Amelia Coleman</w:t>
      </w:r>
    </w:p>
    <w:p w14:paraId="6C879442" w14:textId="77777777" w:rsidR="001D3DF9" w:rsidRPr="002D42BF" w:rsidRDefault="00B7486B" w:rsidP="002D42BF">
      <w:pPr>
        <w:pStyle w:val="ListParagraph"/>
        <w:contextualSpacing/>
        <w:rPr>
          <w:rFonts w:eastAsia="Helvetica Neue"/>
        </w:rPr>
      </w:pPr>
      <w:proofErr w:type="spellStart"/>
      <w:r w:rsidRPr="002D42BF">
        <w:rPr>
          <w:rFonts w:eastAsia="Helvetica Neue"/>
        </w:rPr>
        <w:t>Henia</w:t>
      </w:r>
      <w:proofErr w:type="spellEnd"/>
      <w:r w:rsidRPr="002D42BF">
        <w:rPr>
          <w:rFonts w:eastAsia="Helvetica Neue"/>
        </w:rPr>
        <w:t xml:space="preserve"> </w:t>
      </w:r>
      <w:proofErr w:type="spellStart"/>
      <w:r w:rsidRPr="002D42BF">
        <w:rPr>
          <w:rFonts w:eastAsia="Helvetica Neue"/>
        </w:rPr>
        <w:t>Dakkak</w:t>
      </w:r>
      <w:proofErr w:type="spellEnd"/>
    </w:p>
    <w:p w14:paraId="284FA75B" w14:textId="77777777" w:rsidR="001D3DF9" w:rsidRPr="002D42BF" w:rsidRDefault="00B7486B" w:rsidP="002D42BF">
      <w:pPr>
        <w:pStyle w:val="ListParagraph"/>
        <w:contextualSpacing/>
        <w:rPr>
          <w:rFonts w:eastAsia="Helvetica Neue"/>
        </w:rPr>
      </w:pPr>
      <w:proofErr w:type="spellStart"/>
      <w:r w:rsidRPr="002D42BF">
        <w:rPr>
          <w:rFonts w:eastAsia="Helvetica Neue"/>
        </w:rPr>
        <w:t>Upala</w:t>
      </w:r>
      <w:proofErr w:type="spellEnd"/>
      <w:r w:rsidRPr="002D42BF">
        <w:rPr>
          <w:rFonts w:eastAsia="Helvetica Neue"/>
        </w:rPr>
        <w:t xml:space="preserve"> Devi</w:t>
      </w:r>
    </w:p>
    <w:p w14:paraId="51D5C994" w14:textId="77777777" w:rsidR="002D42BF" w:rsidRPr="002D42BF" w:rsidRDefault="00B7486B" w:rsidP="002D42BF">
      <w:pPr>
        <w:pStyle w:val="ListParagraph"/>
        <w:contextualSpacing/>
        <w:rPr>
          <w:rFonts w:eastAsia="Helvetica Neue"/>
        </w:rPr>
      </w:pPr>
      <w:r w:rsidRPr="002D42BF">
        <w:rPr>
          <w:rFonts w:eastAsia="Helvetica Neue"/>
        </w:rPr>
        <w:t>Emilie Filmer-Wilson</w:t>
      </w:r>
    </w:p>
    <w:p w14:paraId="1CB79706" w14:textId="77777777" w:rsidR="002D42BF" w:rsidRPr="002D42BF" w:rsidRDefault="00B7486B" w:rsidP="002D42BF">
      <w:pPr>
        <w:pStyle w:val="ListParagraph"/>
        <w:contextualSpacing/>
        <w:rPr>
          <w:rFonts w:eastAsia="Helvetica Neue"/>
        </w:rPr>
      </w:pPr>
      <w:r w:rsidRPr="002D42BF">
        <w:rPr>
          <w:rFonts w:eastAsia="Helvetica Neue"/>
        </w:rPr>
        <w:t>Ingrid Fitzgerald</w:t>
      </w:r>
    </w:p>
    <w:p w14:paraId="7CC20244" w14:textId="3AB3BF1D" w:rsidR="001D3DF9" w:rsidRPr="002D42BF" w:rsidRDefault="00B7486B" w:rsidP="0031450C">
      <w:pPr>
        <w:pStyle w:val="ListParagraph"/>
        <w:spacing w:line="284" w:lineRule="exact"/>
        <w:contextualSpacing/>
        <w:rPr>
          <w:rFonts w:eastAsia="Helvetica Neue"/>
        </w:rPr>
      </w:pPr>
      <w:r w:rsidRPr="002D42BF">
        <w:rPr>
          <w:rFonts w:eastAsia="Helvetica Neue"/>
        </w:rPr>
        <w:t>Won Young Hong</w:t>
      </w:r>
    </w:p>
    <w:p w14:paraId="29F7AB7D" w14:textId="0055D46E" w:rsidR="00BC5F3D" w:rsidRPr="002D42BF" w:rsidRDefault="00BC5F3D" w:rsidP="0031450C">
      <w:pPr>
        <w:pStyle w:val="ListParagraph"/>
        <w:spacing w:line="284" w:lineRule="exact"/>
        <w:contextualSpacing/>
        <w:rPr>
          <w:rFonts w:eastAsia="Helvetica Neue"/>
        </w:rPr>
      </w:pPr>
      <w:r w:rsidRPr="002D42BF">
        <w:rPr>
          <w:rFonts w:eastAsia="Helvetica Neue"/>
        </w:rPr>
        <w:t xml:space="preserve">Benoit </w:t>
      </w:r>
      <w:proofErr w:type="spellStart"/>
      <w:r w:rsidRPr="002D42BF">
        <w:rPr>
          <w:rFonts w:eastAsia="Helvetica Neue"/>
        </w:rPr>
        <w:t>Kalasa</w:t>
      </w:r>
      <w:proofErr w:type="spellEnd"/>
    </w:p>
    <w:p w14:paraId="02FC638A" w14:textId="12FB03B0" w:rsidR="00030AA1" w:rsidRPr="002D42BF" w:rsidRDefault="00030AA1" w:rsidP="0031450C">
      <w:pPr>
        <w:pStyle w:val="ListParagraph"/>
        <w:spacing w:line="284" w:lineRule="exact"/>
        <w:contextualSpacing/>
        <w:rPr>
          <w:rFonts w:eastAsia="Helvetica Neue"/>
        </w:rPr>
      </w:pPr>
      <w:proofErr w:type="spellStart"/>
      <w:r w:rsidRPr="002D42BF">
        <w:rPr>
          <w:rFonts w:eastAsia="Helvetica Neue"/>
        </w:rPr>
        <w:t>Anneka</w:t>
      </w:r>
      <w:proofErr w:type="spellEnd"/>
      <w:r w:rsidRPr="002D42BF">
        <w:rPr>
          <w:rFonts w:eastAsia="Helvetica Neue"/>
        </w:rPr>
        <w:t xml:space="preserve"> </w:t>
      </w:r>
      <w:proofErr w:type="spellStart"/>
      <w:r w:rsidRPr="002D42BF">
        <w:rPr>
          <w:rFonts w:eastAsia="Helvetica Neue"/>
        </w:rPr>
        <w:t>Ternald</w:t>
      </w:r>
      <w:proofErr w:type="spellEnd"/>
      <w:r w:rsidRPr="002D42BF">
        <w:rPr>
          <w:rFonts w:eastAsia="Helvetica Neue"/>
        </w:rPr>
        <w:t xml:space="preserve"> </w:t>
      </w:r>
      <w:proofErr w:type="spellStart"/>
      <w:r w:rsidRPr="002D42BF">
        <w:rPr>
          <w:rFonts w:eastAsia="Helvetica Neue"/>
        </w:rPr>
        <w:t>Knutsson</w:t>
      </w:r>
      <w:proofErr w:type="spellEnd"/>
    </w:p>
    <w:p w14:paraId="39DDDD45" w14:textId="69C3435E" w:rsidR="001D3DF9" w:rsidRPr="002D42BF" w:rsidRDefault="00B7486B" w:rsidP="0031450C">
      <w:pPr>
        <w:pStyle w:val="ListParagraph"/>
        <w:spacing w:line="284" w:lineRule="exact"/>
        <w:contextualSpacing/>
        <w:rPr>
          <w:rFonts w:eastAsia="Helvetica Neue"/>
        </w:rPr>
      </w:pPr>
      <w:r w:rsidRPr="002D42BF">
        <w:rPr>
          <w:rFonts w:eastAsia="Helvetica Neue"/>
        </w:rPr>
        <w:t xml:space="preserve">Mohammed </w:t>
      </w:r>
      <w:proofErr w:type="spellStart"/>
      <w:r w:rsidRPr="002D42BF">
        <w:rPr>
          <w:rFonts w:eastAsia="Helvetica Neue"/>
        </w:rPr>
        <w:t>Lardi</w:t>
      </w:r>
      <w:proofErr w:type="spellEnd"/>
    </w:p>
    <w:p w14:paraId="0F7E6F92" w14:textId="77777777" w:rsidR="001D3DF9" w:rsidRPr="002D42BF" w:rsidRDefault="00B7486B" w:rsidP="0031450C">
      <w:pPr>
        <w:pStyle w:val="ListParagraph"/>
        <w:spacing w:line="284" w:lineRule="exact"/>
        <w:contextualSpacing/>
        <w:rPr>
          <w:rFonts w:eastAsia="Helvetica Neue"/>
        </w:rPr>
      </w:pPr>
      <w:r w:rsidRPr="002D42BF">
        <w:rPr>
          <w:rFonts w:eastAsia="Helvetica Neue"/>
        </w:rPr>
        <w:t xml:space="preserve">Agueda </w:t>
      </w:r>
      <w:proofErr w:type="spellStart"/>
      <w:r w:rsidRPr="002D42BF">
        <w:rPr>
          <w:rFonts w:eastAsia="Helvetica Neue"/>
        </w:rPr>
        <w:t>Nhantumbo</w:t>
      </w:r>
      <w:proofErr w:type="spellEnd"/>
      <w:r w:rsidRPr="002D42BF">
        <w:rPr>
          <w:rFonts w:eastAsia="Helvetica Neue"/>
        </w:rPr>
        <w:t xml:space="preserve"> </w:t>
      </w:r>
    </w:p>
    <w:p w14:paraId="008ADCCE" w14:textId="77777777" w:rsidR="001D3DF9" w:rsidRPr="002D42BF" w:rsidRDefault="00B7486B" w:rsidP="0031450C">
      <w:pPr>
        <w:pStyle w:val="ListParagraph"/>
        <w:spacing w:line="284" w:lineRule="exact"/>
        <w:contextualSpacing/>
        <w:rPr>
          <w:rFonts w:eastAsia="Helvetica Neue"/>
        </w:rPr>
      </w:pPr>
      <w:proofErr w:type="spellStart"/>
      <w:r w:rsidRPr="002D42BF">
        <w:rPr>
          <w:rFonts w:eastAsia="Helvetica Neue"/>
        </w:rPr>
        <w:t>Idrissa</w:t>
      </w:r>
      <w:proofErr w:type="spellEnd"/>
      <w:r w:rsidRPr="002D42BF">
        <w:rPr>
          <w:rFonts w:eastAsia="Helvetica Neue"/>
        </w:rPr>
        <w:t xml:space="preserve"> </w:t>
      </w:r>
      <w:proofErr w:type="spellStart"/>
      <w:r w:rsidRPr="002D42BF">
        <w:rPr>
          <w:rFonts w:eastAsia="Helvetica Neue"/>
        </w:rPr>
        <w:t>Ouedraogo</w:t>
      </w:r>
      <w:proofErr w:type="spellEnd"/>
    </w:p>
    <w:p w14:paraId="6A45771E" w14:textId="77777777" w:rsidR="001D3DF9" w:rsidRPr="002D42BF" w:rsidRDefault="00B7486B" w:rsidP="0031450C">
      <w:pPr>
        <w:pStyle w:val="ListParagraph"/>
        <w:spacing w:line="284" w:lineRule="exact"/>
        <w:contextualSpacing/>
        <w:rPr>
          <w:rFonts w:eastAsia="Helvetica Neue"/>
        </w:rPr>
      </w:pPr>
      <w:r w:rsidRPr="002D42BF">
        <w:rPr>
          <w:rFonts w:eastAsia="Helvetica Neue"/>
        </w:rPr>
        <w:t xml:space="preserve">Martha Lucia </w:t>
      </w:r>
      <w:proofErr w:type="spellStart"/>
      <w:r w:rsidRPr="002D42BF">
        <w:rPr>
          <w:rFonts w:eastAsia="Helvetica Neue"/>
        </w:rPr>
        <w:t>Rubia</w:t>
      </w:r>
      <w:proofErr w:type="spellEnd"/>
    </w:p>
    <w:p w14:paraId="05F7A128" w14:textId="77777777" w:rsidR="001D3DF9" w:rsidRPr="002D42BF" w:rsidRDefault="00B7486B" w:rsidP="0031450C">
      <w:pPr>
        <w:pStyle w:val="ListParagraph"/>
        <w:spacing w:line="284" w:lineRule="exact"/>
        <w:contextualSpacing/>
        <w:rPr>
          <w:rFonts w:eastAsia="Helvetica Neue"/>
        </w:rPr>
      </w:pPr>
      <w:proofErr w:type="spellStart"/>
      <w:r w:rsidRPr="002D42BF">
        <w:rPr>
          <w:rFonts w:eastAsia="Helvetica Neue"/>
        </w:rPr>
        <w:t>Seynabou</w:t>
      </w:r>
      <w:proofErr w:type="spellEnd"/>
      <w:r w:rsidRPr="002D42BF">
        <w:rPr>
          <w:rFonts w:eastAsia="Helvetica Neue"/>
        </w:rPr>
        <w:t xml:space="preserve"> Tall</w:t>
      </w:r>
    </w:p>
    <w:p w14:paraId="07EE1FA7" w14:textId="77777777" w:rsidR="001D3DF9" w:rsidRPr="002D42BF" w:rsidRDefault="00B7486B" w:rsidP="0031450C">
      <w:pPr>
        <w:pStyle w:val="ListParagraph"/>
        <w:spacing w:line="284" w:lineRule="exact"/>
        <w:contextualSpacing/>
        <w:rPr>
          <w:rFonts w:eastAsia="Helvetica Neue"/>
        </w:rPr>
      </w:pPr>
      <w:r w:rsidRPr="002D42BF">
        <w:rPr>
          <w:rFonts w:eastAsia="Helvetica Neue"/>
        </w:rPr>
        <w:t xml:space="preserve">Akiko </w:t>
      </w:r>
      <w:proofErr w:type="spellStart"/>
      <w:r w:rsidRPr="002D42BF">
        <w:rPr>
          <w:rFonts w:eastAsia="Helvetica Neue"/>
        </w:rPr>
        <w:t>Sakauwe</w:t>
      </w:r>
      <w:proofErr w:type="spellEnd"/>
      <w:r w:rsidRPr="002D42BF">
        <w:rPr>
          <w:rFonts w:eastAsia="Helvetica Neue"/>
        </w:rPr>
        <w:t xml:space="preserve"> </w:t>
      </w:r>
    </w:p>
    <w:p w14:paraId="5540EBE9" w14:textId="77777777" w:rsidR="001D3DF9" w:rsidRPr="002D42BF" w:rsidRDefault="00B7486B" w:rsidP="0031450C">
      <w:pPr>
        <w:pStyle w:val="ListParagraph"/>
        <w:spacing w:line="284" w:lineRule="exact"/>
        <w:contextualSpacing/>
        <w:rPr>
          <w:rFonts w:eastAsia="Helvetica Neue"/>
        </w:rPr>
      </w:pPr>
      <w:r w:rsidRPr="002D42BF">
        <w:rPr>
          <w:rFonts w:eastAsia="Helvetica Neue"/>
        </w:rPr>
        <w:t>Anja Sletten</w:t>
      </w:r>
    </w:p>
    <w:p w14:paraId="36A723DC" w14:textId="77777777" w:rsidR="001D3DF9" w:rsidRPr="002D42BF" w:rsidRDefault="00B7486B" w:rsidP="0031450C">
      <w:pPr>
        <w:pStyle w:val="ListParagraph"/>
        <w:spacing w:line="284" w:lineRule="exact"/>
        <w:contextualSpacing/>
        <w:rPr>
          <w:rFonts w:eastAsia="Helvetica Neue"/>
        </w:rPr>
      </w:pPr>
      <w:r w:rsidRPr="002D42BF">
        <w:rPr>
          <w:rFonts w:eastAsia="Helvetica Neue"/>
        </w:rPr>
        <w:t>Lola Valladares</w:t>
      </w:r>
    </w:p>
    <w:p w14:paraId="45177D12" w14:textId="77777777" w:rsidR="001D3DF9" w:rsidRPr="002D42BF" w:rsidRDefault="00B7486B" w:rsidP="0031450C">
      <w:pPr>
        <w:pStyle w:val="ListParagraph"/>
        <w:spacing w:line="284" w:lineRule="exact"/>
        <w:contextualSpacing/>
        <w:rPr>
          <w:rFonts w:eastAsia="Helvetica Neue"/>
        </w:rPr>
      </w:pPr>
      <w:r w:rsidRPr="002D42BF">
        <w:rPr>
          <w:rFonts w:eastAsia="Helvetica Neue"/>
        </w:rPr>
        <w:t xml:space="preserve">Nadia </w:t>
      </w:r>
      <w:proofErr w:type="spellStart"/>
      <w:r w:rsidRPr="002D42BF">
        <w:rPr>
          <w:rFonts w:eastAsia="Helvetica Neue"/>
        </w:rPr>
        <w:t>Vaz</w:t>
      </w:r>
      <w:proofErr w:type="spellEnd"/>
    </w:p>
    <w:p w14:paraId="312606B0" w14:textId="479BD9E4" w:rsidR="001D3DF9" w:rsidRPr="002D42BF" w:rsidRDefault="00B7486B" w:rsidP="0031450C">
      <w:pPr>
        <w:pStyle w:val="ListParagraph"/>
        <w:spacing w:line="284" w:lineRule="exact"/>
        <w:contextualSpacing/>
        <w:rPr>
          <w:rFonts w:eastAsia="Helvetica Neue"/>
        </w:rPr>
      </w:pPr>
      <w:r w:rsidRPr="002D42BF">
        <w:rPr>
          <w:rFonts w:eastAsia="Helvetica Neue"/>
        </w:rPr>
        <w:t>Juan Mere</w:t>
      </w:r>
    </w:p>
    <w:p w14:paraId="1ADB5E0A" w14:textId="77777777" w:rsidR="001D3DF9" w:rsidRPr="002D42BF" w:rsidRDefault="00B7486B" w:rsidP="0031450C">
      <w:pPr>
        <w:pStyle w:val="ListParagraph"/>
        <w:spacing w:line="284" w:lineRule="exact"/>
        <w:contextualSpacing/>
        <w:rPr>
          <w:rFonts w:eastAsia="Helvetica Neue"/>
        </w:rPr>
      </w:pPr>
      <w:r w:rsidRPr="002D42BF">
        <w:rPr>
          <w:rFonts w:eastAsia="Helvetica Neue"/>
        </w:rPr>
        <w:t>Mario Vergara</w:t>
      </w:r>
    </w:p>
    <w:p w14:paraId="6CB35FC6" w14:textId="77777777" w:rsidR="001D3DF9" w:rsidRPr="002D42BF" w:rsidRDefault="00B7486B" w:rsidP="0031450C">
      <w:pPr>
        <w:pStyle w:val="ListParagraph"/>
        <w:spacing w:line="284" w:lineRule="exact"/>
        <w:contextualSpacing/>
        <w:rPr>
          <w:rFonts w:eastAsia="Helvetica Neue"/>
        </w:rPr>
      </w:pPr>
      <w:r w:rsidRPr="002D42BF">
        <w:rPr>
          <w:rFonts w:eastAsia="Helvetica Neue"/>
        </w:rPr>
        <w:t>Jorge Parra Vergara</w:t>
      </w:r>
    </w:p>
    <w:p w14:paraId="386E2D56" w14:textId="77777777" w:rsidR="001D3DF9" w:rsidRPr="002D42BF" w:rsidRDefault="00B7486B" w:rsidP="0031450C">
      <w:pPr>
        <w:pStyle w:val="ListParagraph"/>
        <w:spacing w:line="284" w:lineRule="exact"/>
        <w:contextualSpacing/>
        <w:rPr>
          <w:rFonts w:eastAsia="Helvetica Neue"/>
        </w:rPr>
      </w:pPr>
      <w:r w:rsidRPr="002D42BF">
        <w:rPr>
          <w:rFonts w:eastAsia="Helvetica Neue"/>
        </w:rPr>
        <w:t>Valentina Volpe</w:t>
      </w:r>
    </w:p>
    <w:p w14:paraId="75CE0033" w14:textId="77777777" w:rsidR="001D3DF9" w:rsidRPr="002D42BF" w:rsidRDefault="00B7486B" w:rsidP="0031450C">
      <w:pPr>
        <w:pStyle w:val="ListParagraph"/>
        <w:spacing w:line="284" w:lineRule="exact"/>
        <w:contextualSpacing/>
        <w:rPr>
          <w:rFonts w:eastAsia="Helvetica Neue"/>
        </w:rPr>
      </w:pPr>
      <w:r w:rsidRPr="002D42BF">
        <w:rPr>
          <w:rFonts w:eastAsia="Helvetica Neue"/>
        </w:rPr>
        <w:t>Abdel-</w:t>
      </w:r>
      <w:proofErr w:type="spellStart"/>
      <w:r w:rsidRPr="002D42BF">
        <w:rPr>
          <w:rFonts w:eastAsia="Helvetica Neue"/>
        </w:rPr>
        <w:t>Ilah</w:t>
      </w:r>
      <w:proofErr w:type="spellEnd"/>
      <w:r w:rsidRPr="002D42BF">
        <w:rPr>
          <w:rFonts w:eastAsia="Helvetica Neue"/>
        </w:rPr>
        <w:t xml:space="preserve"> </w:t>
      </w:r>
      <w:proofErr w:type="spellStart"/>
      <w:r w:rsidRPr="002D42BF">
        <w:rPr>
          <w:rFonts w:eastAsia="Helvetica Neue"/>
        </w:rPr>
        <w:t>Yaakoubd</w:t>
      </w:r>
      <w:proofErr w:type="spellEnd"/>
    </w:p>
    <w:p w14:paraId="7AEA9B10" w14:textId="008715F4" w:rsidR="001D3DF9" w:rsidRPr="002D42BF" w:rsidRDefault="00B7486B" w:rsidP="0031450C">
      <w:pPr>
        <w:pStyle w:val="ListParagraph"/>
        <w:spacing w:line="284" w:lineRule="exact"/>
        <w:contextualSpacing/>
        <w:rPr>
          <w:rFonts w:eastAsia="Helvetica Neue"/>
        </w:rPr>
      </w:pPr>
      <w:r w:rsidRPr="002D42BF">
        <w:rPr>
          <w:rFonts w:eastAsia="Helvetica Neue"/>
        </w:rPr>
        <w:t xml:space="preserve">Jihad </w:t>
      </w:r>
      <w:proofErr w:type="spellStart"/>
      <w:r w:rsidRPr="002D42BF">
        <w:rPr>
          <w:rFonts w:eastAsia="Helvetica Neue"/>
        </w:rPr>
        <w:t>Zahir</w:t>
      </w:r>
      <w:proofErr w:type="spellEnd"/>
    </w:p>
    <w:p w14:paraId="154B9C71" w14:textId="7C1BEE33" w:rsidR="001D3DF9" w:rsidRPr="002D42BF" w:rsidRDefault="00BC5F3D" w:rsidP="0031450C">
      <w:pPr>
        <w:pStyle w:val="ListParagraph"/>
        <w:spacing w:line="284" w:lineRule="exact"/>
        <w:contextualSpacing/>
        <w:rPr>
          <w:rFonts w:eastAsia="Helvetica Neue"/>
        </w:rPr>
      </w:pPr>
      <w:r w:rsidRPr="002D42BF">
        <w:rPr>
          <w:rFonts w:eastAsia="Helvetica Neue"/>
        </w:rPr>
        <w:t>Ilya Zhukov</w:t>
      </w:r>
    </w:p>
    <w:p w14:paraId="10BD569F" w14:textId="77777777" w:rsidR="001D3DF9" w:rsidRPr="00A85D5F" w:rsidRDefault="00B7486B" w:rsidP="002D42BF">
      <w:pPr>
        <w:pStyle w:val="BoldListHeader"/>
        <w:contextualSpacing/>
        <w:rPr>
          <w:rStyle w:val="Bold"/>
          <w:b/>
          <w:bCs w:val="0"/>
        </w:rPr>
      </w:pPr>
      <w:r w:rsidRPr="00A85D5F">
        <w:rPr>
          <w:rStyle w:val="Bold"/>
          <w:b/>
          <w:bCs w:val="0"/>
        </w:rPr>
        <w:t>UNPRPD/UNDP </w:t>
      </w:r>
    </w:p>
    <w:p w14:paraId="7CDE8C0F" w14:textId="77777777" w:rsidR="001D3DF9" w:rsidRPr="002D42BF" w:rsidRDefault="00B7486B" w:rsidP="002D42BF">
      <w:pPr>
        <w:pStyle w:val="ListParagraph"/>
        <w:spacing w:before="0"/>
        <w:contextualSpacing/>
        <w:rPr>
          <w:rFonts w:eastAsia="Helvetica Neue"/>
        </w:rPr>
      </w:pPr>
      <w:r w:rsidRPr="002D42BF">
        <w:rPr>
          <w:rFonts w:eastAsia="Helvetica Neue"/>
        </w:rPr>
        <w:t>Natalia Mattioli</w:t>
      </w:r>
    </w:p>
    <w:p w14:paraId="00B01224" w14:textId="77777777" w:rsidR="001D3DF9" w:rsidRPr="002D42BF" w:rsidRDefault="00B7486B" w:rsidP="002D42BF">
      <w:pPr>
        <w:pStyle w:val="ListParagraph"/>
        <w:contextualSpacing/>
        <w:rPr>
          <w:rFonts w:eastAsia="Helvetica Neue"/>
          <w:lang w:val="fr-FR"/>
        </w:rPr>
      </w:pPr>
      <w:r w:rsidRPr="002D42BF">
        <w:rPr>
          <w:rFonts w:eastAsia="Helvetica Neue"/>
        </w:rPr>
        <w:t>S</w:t>
      </w:r>
      <w:r w:rsidRPr="002D42BF">
        <w:rPr>
          <w:rFonts w:eastAsia="Helvetica Neue"/>
          <w:lang w:val="fr-FR"/>
        </w:rPr>
        <w:t>reerupa Mitra</w:t>
      </w:r>
    </w:p>
    <w:p w14:paraId="142F05E3" w14:textId="5A6FA905" w:rsidR="001D3DF9" w:rsidRPr="002D42BF" w:rsidRDefault="00B7486B" w:rsidP="002D42BF">
      <w:pPr>
        <w:pStyle w:val="ListParagraph"/>
        <w:contextualSpacing/>
        <w:rPr>
          <w:rFonts w:eastAsia="Helvetica Neue"/>
          <w:lang w:val="fr-FR"/>
        </w:rPr>
      </w:pPr>
      <w:r w:rsidRPr="002D42BF">
        <w:rPr>
          <w:rFonts w:eastAsia="Helvetica Neue"/>
          <w:lang w:val="fr-FR"/>
        </w:rPr>
        <w:t>Emanuele Sapienza</w:t>
      </w:r>
    </w:p>
    <w:p w14:paraId="6B017FA6" w14:textId="77777777" w:rsidR="001D3DF9" w:rsidRPr="00A85D5F" w:rsidRDefault="00B7486B" w:rsidP="002D42BF">
      <w:pPr>
        <w:pStyle w:val="BoldListHeader"/>
        <w:contextualSpacing/>
        <w:rPr>
          <w:rFonts w:eastAsia="Helvetica Neue"/>
          <w:b w:val="0"/>
          <w:bCs w:val="0"/>
        </w:rPr>
      </w:pPr>
      <w:r w:rsidRPr="00A85D5F">
        <w:rPr>
          <w:rStyle w:val="Bold"/>
          <w:b/>
          <w:bCs w:val="0"/>
        </w:rPr>
        <w:t>UNICEF</w:t>
      </w:r>
      <w:r w:rsidRPr="00A85D5F">
        <w:rPr>
          <w:rFonts w:eastAsia="Helvetica Neue"/>
          <w:b w:val="0"/>
          <w:bCs w:val="0"/>
        </w:rPr>
        <w:t xml:space="preserve"> </w:t>
      </w:r>
    </w:p>
    <w:p w14:paraId="72D6B4CD" w14:textId="77777777" w:rsidR="001D3DF9" w:rsidRPr="002D42BF" w:rsidRDefault="00B7486B" w:rsidP="002D42BF">
      <w:pPr>
        <w:pStyle w:val="ListParagraph"/>
        <w:spacing w:before="0"/>
        <w:contextualSpacing/>
        <w:rPr>
          <w:rFonts w:eastAsia="Helvetica Neue"/>
        </w:rPr>
      </w:pPr>
      <w:proofErr w:type="spellStart"/>
      <w:r w:rsidRPr="002D42BF">
        <w:rPr>
          <w:rFonts w:eastAsia="Helvetica Neue"/>
        </w:rPr>
        <w:t>Rosangela</w:t>
      </w:r>
      <w:proofErr w:type="spellEnd"/>
      <w:r w:rsidRPr="002D42BF">
        <w:rPr>
          <w:rFonts w:eastAsia="Helvetica Neue"/>
        </w:rPr>
        <w:t xml:space="preserve"> Berman Bieler</w:t>
      </w:r>
    </w:p>
    <w:p w14:paraId="31E316E8" w14:textId="77777777" w:rsidR="001D3DF9" w:rsidRPr="002D42BF" w:rsidRDefault="00B7486B" w:rsidP="002D42BF">
      <w:pPr>
        <w:pStyle w:val="ListParagraph"/>
        <w:contextualSpacing/>
        <w:rPr>
          <w:rFonts w:eastAsia="Helvetica Neue"/>
        </w:rPr>
      </w:pPr>
      <w:r w:rsidRPr="002D42BF">
        <w:rPr>
          <w:rFonts w:eastAsia="Helvetica Neue"/>
        </w:rPr>
        <w:t xml:space="preserve">Anna </w:t>
      </w:r>
      <w:proofErr w:type="spellStart"/>
      <w:r w:rsidRPr="002D42BF">
        <w:rPr>
          <w:rFonts w:eastAsia="Helvetica Neue"/>
        </w:rPr>
        <w:t>Burlyaeva</w:t>
      </w:r>
      <w:proofErr w:type="spellEnd"/>
    </w:p>
    <w:p w14:paraId="6FF294A0" w14:textId="77777777" w:rsidR="001D3DF9" w:rsidRPr="002D42BF" w:rsidRDefault="00B7486B" w:rsidP="002D42BF">
      <w:pPr>
        <w:pStyle w:val="ListParagraph"/>
        <w:contextualSpacing/>
        <w:rPr>
          <w:rFonts w:eastAsia="Helvetica Neue"/>
        </w:rPr>
      </w:pPr>
      <w:r w:rsidRPr="002D42BF">
        <w:rPr>
          <w:rFonts w:eastAsia="Helvetica Neue"/>
        </w:rPr>
        <w:t>Gopal Mitra</w:t>
      </w:r>
    </w:p>
    <w:p w14:paraId="5B33A74C" w14:textId="47151468" w:rsidR="001D3DF9" w:rsidRPr="002D42BF" w:rsidRDefault="00B7486B" w:rsidP="002D42BF">
      <w:pPr>
        <w:pStyle w:val="ListParagraph"/>
        <w:contextualSpacing/>
        <w:rPr>
          <w:rFonts w:eastAsia="Helvetica Neue"/>
        </w:rPr>
      </w:pPr>
      <w:r w:rsidRPr="002D42BF">
        <w:rPr>
          <w:rFonts w:eastAsia="Helvetica Neue"/>
        </w:rPr>
        <w:t>Megan Tucker</w:t>
      </w:r>
    </w:p>
    <w:p w14:paraId="67A5EBAB" w14:textId="77777777" w:rsidR="001D3DF9" w:rsidRPr="00A85D5F" w:rsidRDefault="00B7486B" w:rsidP="002D42BF">
      <w:pPr>
        <w:pStyle w:val="BoldListHeader"/>
        <w:contextualSpacing/>
        <w:rPr>
          <w:rFonts w:eastAsia="Helvetica Neue"/>
          <w:b w:val="0"/>
          <w:bCs w:val="0"/>
        </w:rPr>
      </w:pPr>
      <w:r w:rsidRPr="00A85D5F">
        <w:rPr>
          <w:rStyle w:val="Bold"/>
          <w:b/>
          <w:bCs w:val="0"/>
        </w:rPr>
        <w:t>WHO</w:t>
      </w:r>
    </w:p>
    <w:p w14:paraId="6655BF77" w14:textId="77777777" w:rsidR="001D3DF9" w:rsidRPr="002D42BF" w:rsidRDefault="00B7486B" w:rsidP="002D42BF">
      <w:pPr>
        <w:pStyle w:val="ListParagraph"/>
        <w:spacing w:before="0"/>
        <w:contextualSpacing/>
        <w:rPr>
          <w:rFonts w:eastAsia="Helvetica Neue"/>
        </w:rPr>
      </w:pPr>
      <w:r w:rsidRPr="002D42BF">
        <w:rPr>
          <w:rFonts w:eastAsia="Helvetica Neue"/>
        </w:rPr>
        <w:t xml:space="preserve">Maria </w:t>
      </w:r>
      <w:proofErr w:type="spellStart"/>
      <w:r w:rsidRPr="002D42BF">
        <w:rPr>
          <w:rFonts w:eastAsia="Helvetica Neue"/>
        </w:rPr>
        <w:t>Alarcos</w:t>
      </w:r>
      <w:proofErr w:type="spellEnd"/>
      <w:r w:rsidRPr="002D42BF">
        <w:rPr>
          <w:rFonts w:eastAsia="Helvetica Neue"/>
        </w:rPr>
        <w:t xml:space="preserve"> </w:t>
      </w:r>
      <w:proofErr w:type="spellStart"/>
      <w:r w:rsidRPr="002D42BF">
        <w:rPr>
          <w:rFonts w:eastAsia="Helvetica Neue"/>
        </w:rPr>
        <w:t>Cieza</w:t>
      </w:r>
      <w:proofErr w:type="spellEnd"/>
    </w:p>
    <w:p w14:paraId="029F1692" w14:textId="77777777" w:rsidR="001D3DF9" w:rsidRPr="002D42BF" w:rsidRDefault="00B7486B" w:rsidP="002D42BF">
      <w:pPr>
        <w:pStyle w:val="ListParagraph"/>
        <w:contextualSpacing/>
        <w:rPr>
          <w:rFonts w:eastAsia="Helvetica Neue"/>
        </w:rPr>
      </w:pPr>
      <w:r w:rsidRPr="002D42BF">
        <w:rPr>
          <w:rFonts w:eastAsia="Helvetica Neue"/>
        </w:rPr>
        <w:t>Rajat Khosla</w:t>
      </w:r>
    </w:p>
    <w:p w14:paraId="2C318674" w14:textId="77777777" w:rsidR="001D3DF9" w:rsidRPr="002D42BF" w:rsidRDefault="00B7486B" w:rsidP="002D42BF">
      <w:pPr>
        <w:pStyle w:val="ListParagraph"/>
        <w:contextualSpacing/>
        <w:rPr>
          <w:rFonts w:eastAsia="Helvetica Neue"/>
        </w:rPr>
      </w:pPr>
      <w:r w:rsidRPr="002D42BF">
        <w:rPr>
          <w:rFonts w:eastAsia="Helvetica Neue"/>
        </w:rPr>
        <w:t xml:space="preserve">Berit Sabine </w:t>
      </w:r>
      <w:proofErr w:type="spellStart"/>
      <w:r w:rsidRPr="002D42BF">
        <w:rPr>
          <w:rFonts w:eastAsia="Helvetica Neue"/>
        </w:rPr>
        <w:t>Kieselbach</w:t>
      </w:r>
      <w:proofErr w:type="spellEnd"/>
    </w:p>
    <w:p w14:paraId="02FFD874" w14:textId="77777777" w:rsidR="001D3DF9" w:rsidRPr="002D42BF" w:rsidRDefault="00B7486B" w:rsidP="002D42BF">
      <w:pPr>
        <w:pStyle w:val="ListParagraph"/>
        <w:contextualSpacing/>
        <w:rPr>
          <w:rFonts w:eastAsia="Helvetica Neue"/>
        </w:rPr>
      </w:pPr>
      <w:r w:rsidRPr="002D42BF">
        <w:rPr>
          <w:rFonts w:eastAsia="Helvetica Neue"/>
        </w:rPr>
        <w:t>Claudia Garcia-Moreno </w:t>
      </w:r>
    </w:p>
    <w:p w14:paraId="2C1F891F" w14:textId="77777777" w:rsidR="001D3DF9" w:rsidRPr="002D42BF" w:rsidRDefault="00B7486B" w:rsidP="002D42BF">
      <w:pPr>
        <w:pStyle w:val="ListParagraph"/>
        <w:contextualSpacing/>
        <w:rPr>
          <w:rFonts w:eastAsia="Helvetica Neue"/>
        </w:rPr>
      </w:pPr>
      <w:proofErr w:type="spellStart"/>
      <w:r w:rsidRPr="002D42BF">
        <w:rPr>
          <w:rFonts w:eastAsia="Helvetica Neue"/>
        </w:rPr>
        <w:t>Megin</w:t>
      </w:r>
      <w:proofErr w:type="spellEnd"/>
      <w:r w:rsidRPr="002D42BF">
        <w:rPr>
          <w:rFonts w:eastAsia="Helvetica Neue"/>
        </w:rPr>
        <w:t xml:space="preserve"> </w:t>
      </w:r>
      <w:proofErr w:type="spellStart"/>
      <w:r w:rsidRPr="002D42BF">
        <w:rPr>
          <w:rFonts w:eastAsia="Helvetica Neue"/>
        </w:rPr>
        <w:t>Reijnders</w:t>
      </w:r>
      <w:proofErr w:type="spellEnd"/>
    </w:p>
    <w:p w14:paraId="700D93F0" w14:textId="77777777" w:rsidR="00137B6E" w:rsidRDefault="00B7486B" w:rsidP="002D42BF">
      <w:pPr>
        <w:pStyle w:val="ListParagraph"/>
        <w:contextualSpacing/>
        <w:rPr>
          <w:rFonts w:eastAsia="Helvetica Neue"/>
        </w:rPr>
        <w:sectPr w:rsidR="00137B6E" w:rsidSect="00137B6E">
          <w:type w:val="continuous"/>
          <w:pgSz w:w="12240" w:h="15840"/>
          <w:pgMar w:top="715" w:right="1440" w:bottom="1440" w:left="1440" w:header="0" w:footer="720" w:gutter="0"/>
          <w:pgNumType w:start="1"/>
          <w:cols w:num="3" w:space="720"/>
          <w:titlePg/>
        </w:sectPr>
      </w:pPr>
      <w:proofErr w:type="spellStart"/>
      <w:r w:rsidRPr="002D42BF">
        <w:rPr>
          <w:rFonts w:eastAsia="Helvetica Neue"/>
        </w:rPr>
        <w:t>Lale</w:t>
      </w:r>
      <w:proofErr w:type="spellEnd"/>
      <w:r w:rsidRPr="002D42BF">
        <w:rPr>
          <w:rFonts w:eastAsia="Helvetica Neue"/>
        </w:rPr>
        <w:t xml:space="preserve"> Say</w:t>
      </w:r>
    </w:p>
    <w:p w14:paraId="38381BD1" w14:textId="77777777" w:rsidR="001D3DF9" w:rsidRPr="00EA3855" w:rsidRDefault="00B7486B" w:rsidP="00FF7C65">
      <w:pPr>
        <w:rPr>
          <w:rFonts w:eastAsia="Helvetica Neue"/>
        </w:rPr>
      </w:pPr>
      <w:r w:rsidRPr="00EA3855">
        <w:rPr>
          <w:rFonts w:eastAsia="Helvetica Neue"/>
        </w:rPr>
        <w:lastRenderedPageBreak/>
        <w:t xml:space="preserve">We are grateful for the following experts for their time and expertise throughout the drafting of this document and as participants in the </w:t>
      </w:r>
      <w:r w:rsidRPr="00EA3855">
        <w:rPr>
          <w:rFonts w:eastAsia="Helvetica Neue"/>
          <w:b/>
          <w:bCs/>
          <w:iCs/>
        </w:rPr>
        <w:t>Expert Group Meeting on the Development of UNFPA/WEI Standards and Implementation Tool for Sexual and Reproductive Health and Rights and Gender-Based Violence for Women and Young People with Disabilities,</w:t>
      </w:r>
      <w:r w:rsidRPr="00EA3855">
        <w:rPr>
          <w:rFonts w:eastAsia="Helvetica Neue"/>
        </w:rPr>
        <w:t xml:space="preserve"> December 6–8, 2016, and/or in four online working group meetings: </w:t>
      </w:r>
    </w:p>
    <w:p w14:paraId="3E829824" w14:textId="77777777" w:rsidR="001D3DF9" w:rsidRPr="002D42BF" w:rsidRDefault="00B7486B" w:rsidP="002D42BF">
      <w:pPr>
        <w:pStyle w:val="ListParagraph"/>
        <w:contextualSpacing/>
        <w:rPr>
          <w:rFonts w:eastAsia="Helvetica Neue"/>
        </w:rPr>
      </w:pPr>
      <w:r w:rsidRPr="002D42BF">
        <w:rPr>
          <w:rFonts w:eastAsia="Helvetica Neue"/>
        </w:rPr>
        <w:t xml:space="preserve">Ola Abu </w:t>
      </w:r>
      <w:proofErr w:type="spellStart"/>
      <w:r w:rsidRPr="002D42BF">
        <w:rPr>
          <w:rFonts w:eastAsia="Helvetica Neue"/>
        </w:rPr>
        <w:t>Alghaib</w:t>
      </w:r>
      <w:proofErr w:type="spellEnd"/>
      <w:r w:rsidRPr="002D42BF">
        <w:rPr>
          <w:rFonts w:eastAsia="Helvetica Neue"/>
        </w:rPr>
        <w:t xml:space="preserve"> (Leonard Cheshire Disability)</w:t>
      </w:r>
    </w:p>
    <w:p w14:paraId="331379B1" w14:textId="77777777" w:rsidR="001D3DF9" w:rsidRPr="002D42BF" w:rsidRDefault="00B7486B" w:rsidP="002D42BF">
      <w:pPr>
        <w:pStyle w:val="ListParagraph"/>
        <w:contextualSpacing/>
        <w:rPr>
          <w:rFonts w:eastAsia="Helvetica Neue"/>
        </w:rPr>
      </w:pPr>
      <w:proofErr w:type="spellStart"/>
      <w:r w:rsidRPr="002D42BF">
        <w:rPr>
          <w:rFonts w:eastAsia="Helvetica Neue"/>
        </w:rPr>
        <w:t>Ariadna</w:t>
      </w:r>
      <w:proofErr w:type="spellEnd"/>
      <w:r w:rsidRPr="002D42BF">
        <w:rPr>
          <w:rFonts w:eastAsia="Helvetica Neue"/>
        </w:rPr>
        <w:t xml:space="preserve"> </w:t>
      </w:r>
      <w:proofErr w:type="spellStart"/>
      <w:r w:rsidRPr="002D42BF">
        <w:rPr>
          <w:rFonts w:eastAsia="Helvetica Neue"/>
        </w:rPr>
        <w:t>Capasso</w:t>
      </w:r>
      <w:proofErr w:type="spellEnd"/>
      <w:r w:rsidRPr="002D42BF">
        <w:rPr>
          <w:rFonts w:eastAsia="Helvetica Neue"/>
        </w:rPr>
        <w:t xml:space="preserve"> (Management Sciences for Health)</w:t>
      </w:r>
    </w:p>
    <w:p w14:paraId="0D304243" w14:textId="77777777" w:rsidR="001D3DF9" w:rsidRPr="002D42BF" w:rsidRDefault="00B7486B" w:rsidP="002D42BF">
      <w:pPr>
        <w:pStyle w:val="ListParagraph"/>
        <w:contextualSpacing/>
        <w:rPr>
          <w:rFonts w:eastAsia="Helvetica Neue"/>
        </w:rPr>
      </w:pPr>
      <w:r w:rsidRPr="002D42BF">
        <w:rPr>
          <w:rFonts w:eastAsia="Helvetica Neue"/>
        </w:rPr>
        <w:t xml:space="preserve">Magda </w:t>
      </w:r>
      <w:proofErr w:type="spellStart"/>
      <w:r w:rsidRPr="002D42BF">
        <w:rPr>
          <w:rFonts w:eastAsia="Helvetica Neue"/>
        </w:rPr>
        <w:t>Chinaglia</w:t>
      </w:r>
      <w:proofErr w:type="spellEnd"/>
      <w:r w:rsidRPr="002D42BF">
        <w:rPr>
          <w:rFonts w:eastAsia="Helvetica Neue"/>
        </w:rPr>
        <w:t xml:space="preserve"> (</w:t>
      </w:r>
      <w:proofErr w:type="spellStart"/>
      <w:r w:rsidRPr="002D42BF">
        <w:rPr>
          <w:rFonts w:eastAsia="Helvetica Neue"/>
        </w:rPr>
        <w:t>Reprolatina</w:t>
      </w:r>
      <w:proofErr w:type="spellEnd"/>
      <w:r w:rsidRPr="002D42BF">
        <w:rPr>
          <w:rFonts w:eastAsia="Helvetica Neue"/>
        </w:rPr>
        <w:t>)</w:t>
      </w:r>
    </w:p>
    <w:p w14:paraId="0F6AB858" w14:textId="77777777" w:rsidR="001D3DF9" w:rsidRPr="002D42BF" w:rsidRDefault="00B7486B" w:rsidP="002D42BF">
      <w:pPr>
        <w:pStyle w:val="ListParagraph"/>
        <w:contextualSpacing/>
        <w:rPr>
          <w:rFonts w:eastAsia="Helvetica Neue"/>
        </w:rPr>
      </w:pPr>
      <w:r w:rsidRPr="002D42BF">
        <w:rPr>
          <w:rFonts w:eastAsia="Helvetica Neue"/>
        </w:rPr>
        <w:t xml:space="preserve">Helene </w:t>
      </w:r>
      <w:proofErr w:type="spellStart"/>
      <w:r w:rsidRPr="002D42BF">
        <w:rPr>
          <w:rFonts w:eastAsia="Helvetica Neue"/>
        </w:rPr>
        <w:t>Combrinck</w:t>
      </w:r>
      <w:proofErr w:type="spellEnd"/>
      <w:r w:rsidRPr="002D42BF">
        <w:rPr>
          <w:rFonts w:eastAsia="Helvetica Neue"/>
        </w:rPr>
        <w:t xml:space="preserve"> (North-West University)</w:t>
      </w:r>
    </w:p>
    <w:p w14:paraId="0C2EBDB2" w14:textId="63DA6611" w:rsidR="001D3DF9" w:rsidRPr="002D42BF" w:rsidRDefault="00B7486B" w:rsidP="002D42BF">
      <w:pPr>
        <w:pStyle w:val="ListParagraph"/>
        <w:contextualSpacing/>
        <w:rPr>
          <w:rFonts w:eastAsia="Helvetica Neue"/>
        </w:rPr>
      </w:pPr>
      <w:r w:rsidRPr="002D42BF">
        <w:rPr>
          <w:rFonts w:eastAsia="Helvetica Neue"/>
        </w:rPr>
        <w:t>Margarita Diaz (</w:t>
      </w:r>
      <w:proofErr w:type="spellStart"/>
      <w:r w:rsidRPr="002D42BF">
        <w:rPr>
          <w:rFonts w:eastAsia="Helvetica Neue"/>
        </w:rPr>
        <w:t>Reprolatina</w:t>
      </w:r>
      <w:proofErr w:type="spellEnd"/>
      <w:r w:rsidRPr="002D42BF">
        <w:rPr>
          <w:rFonts w:eastAsia="Helvetica Neue"/>
        </w:rPr>
        <w:t>)</w:t>
      </w:r>
    </w:p>
    <w:p w14:paraId="4C8A95F5" w14:textId="3A12B093" w:rsidR="00BC5F3D" w:rsidRPr="002D42BF" w:rsidRDefault="00BC5F3D" w:rsidP="002D42BF">
      <w:pPr>
        <w:pStyle w:val="ListParagraph"/>
        <w:contextualSpacing/>
        <w:rPr>
          <w:rFonts w:eastAsia="Helvetica Neue"/>
        </w:rPr>
      </w:pPr>
      <w:r w:rsidRPr="002D42BF">
        <w:rPr>
          <w:rFonts w:eastAsia="Helvetica Neue"/>
        </w:rPr>
        <w:t xml:space="preserve">Carolyn </w:t>
      </w:r>
      <w:proofErr w:type="spellStart"/>
      <w:r w:rsidRPr="002D42BF">
        <w:rPr>
          <w:rFonts w:eastAsia="Helvetica Neue"/>
        </w:rPr>
        <w:t>Frohmader</w:t>
      </w:r>
      <w:proofErr w:type="spellEnd"/>
      <w:r w:rsidRPr="002D42BF">
        <w:rPr>
          <w:rFonts w:eastAsia="Helvetica Neue"/>
        </w:rPr>
        <w:t xml:space="preserve"> (Women with Disabilities Australia)</w:t>
      </w:r>
    </w:p>
    <w:p w14:paraId="78301234" w14:textId="77777777" w:rsidR="001D3DF9" w:rsidRPr="002D42BF" w:rsidRDefault="00B7486B" w:rsidP="002D42BF">
      <w:pPr>
        <w:pStyle w:val="ListParagraph"/>
        <w:contextualSpacing/>
        <w:rPr>
          <w:rFonts w:eastAsia="Helvetica Neue"/>
        </w:rPr>
      </w:pPr>
      <w:r w:rsidRPr="002D42BF">
        <w:rPr>
          <w:rFonts w:eastAsia="Helvetica Neue"/>
        </w:rPr>
        <w:t xml:space="preserve">Nora Ellen </w:t>
      </w:r>
      <w:proofErr w:type="spellStart"/>
      <w:r w:rsidRPr="002D42BF">
        <w:rPr>
          <w:rFonts w:eastAsia="Helvetica Neue"/>
        </w:rPr>
        <w:t>Groce</w:t>
      </w:r>
      <w:proofErr w:type="spellEnd"/>
      <w:r w:rsidRPr="002D42BF">
        <w:rPr>
          <w:rFonts w:eastAsia="Helvetica Neue"/>
        </w:rPr>
        <w:t xml:space="preserve"> (Leonard Cheshire Disability; University College London)</w:t>
      </w:r>
    </w:p>
    <w:p w14:paraId="67374C19" w14:textId="77777777" w:rsidR="001D3DF9" w:rsidRPr="002D42BF" w:rsidRDefault="00B7486B" w:rsidP="002D42BF">
      <w:pPr>
        <w:pStyle w:val="ListParagraph"/>
        <w:contextualSpacing/>
        <w:rPr>
          <w:rFonts w:eastAsia="Helvetica Neue"/>
        </w:rPr>
      </w:pPr>
      <w:r w:rsidRPr="002D42BF">
        <w:rPr>
          <w:rFonts w:eastAsia="Helvetica Neue"/>
        </w:rPr>
        <w:t xml:space="preserve">Farida </w:t>
      </w:r>
      <w:proofErr w:type="spellStart"/>
      <w:r w:rsidRPr="002D42BF">
        <w:rPr>
          <w:rFonts w:eastAsia="Helvetica Neue"/>
        </w:rPr>
        <w:t>Gulamo</w:t>
      </w:r>
      <w:proofErr w:type="spellEnd"/>
      <w:r w:rsidRPr="002D42BF">
        <w:rPr>
          <w:rFonts w:eastAsia="Helvetica Neue"/>
        </w:rPr>
        <w:t xml:space="preserve"> (ADEMO- Mozambican Disabled People Organization)</w:t>
      </w:r>
    </w:p>
    <w:p w14:paraId="4F6F5AFC" w14:textId="77777777" w:rsidR="001D3DF9" w:rsidRPr="002D42BF" w:rsidRDefault="00B7486B" w:rsidP="002D42BF">
      <w:pPr>
        <w:pStyle w:val="ListParagraph"/>
        <w:contextualSpacing/>
        <w:rPr>
          <w:rFonts w:eastAsia="Helvetica Neue"/>
        </w:rPr>
      </w:pPr>
      <w:r w:rsidRPr="002D42BF">
        <w:rPr>
          <w:rFonts w:eastAsia="Helvetica Neue"/>
        </w:rPr>
        <w:t>Emma Pearce (Women’s Refugee Commission)</w:t>
      </w:r>
    </w:p>
    <w:p w14:paraId="7E0251B5" w14:textId="77777777" w:rsidR="001D3DF9" w:rsidRPr="002D42BF" w:rsidRDefault="00B7486B" w:rsidP="002D42BF">
      <w:pPr>
        <w:pStyle w:val="ListParagraph"/>
        <w:contextualSpacing/>
        <w:rPr>
          <w:rFonts w:eastAsia="Helvetica Neue"/>
        </w:rPr>
      </w:pPr>
      <w:r w:rsidRPr="002D42BF">
        <w:rPr>
          <w:rFonts w:eastAsia="Helvetica Neue"/>
        </w:rPr>
        <w:t xml:space="preserve">Maria del Pilar </w:t>
      </w:r>
      <w:proofErr w:type="spellStart"/>
      <w:r w:rsidRPr="002D42BF">
        <w:rPr>
          <w:rFonts w:eastAsia="Helvetica Neue"/>
        </w:rPr>
        <w:t>Merizalde</w:t>
      </w:r>
      <w:proofErr w:type="spellEnd"/>
      <w:r w:rsidRPr="002D42BF">
        <w:rPr>
          <w:rFonts w:eastAsia="Helvetica Neue"/>
        </w:rPr>
        <w:t xml:space="preserve"> (National Disabilities Council)</w:t>
      </w:r>
    </w:p>
    <w:p w14:paraId="3A0576A1" w14:textId="77777777" w:rsidR="001D3DF9" w:rsidRPr="002D42BF" w:rsidRDefault="00B7486B" w:rsidP="002D42BF">
      <w:pPr>
        <w:pStyle w:val="ListParagraph"/>
        <w:contextualSpacing/>
        <w:rPr>
          <w:rFonts w:eastAsia="Helvetica Neue"/>
        </w:rPr>
      </w:pPr>
      <w:r w:rsidRPr="002D42BF">
        <w:rPr>
          <w:rFonts w:eastAsia="Helvetica Neue"/>
        </w:rPr>
        <w:t>Martha Murdock (Management Sciences for Health)</w:t>
      </w:r>
    </w:p>
    <w:p w14:paraId="7EA4CB49" w14:textId="77777777" w:rsidR="001D3DF9" w:rsidRPr="002D42BF" w:rsidRDefault="00B7486B" w:rsidP="002D42BF">
      <w:pPr>
        <w:pStyle w:val="ListParagraph"/>
        <w:contextualSpacing/>
        <w:rPr>
          <w:rFonts w:eastAsia="Helvetica Neue"/>
        </w:rPr>
      </w:pPr>
      <w:r w:rsidRPr="002D42BF">
        <w:rPr>
          <w:rFonts w:eastAsia="Helvetica Neue"/>
        </w:rPr>
        <w:t xml:space="preserve">Doris </w:t>
      </w:r>
      <w:proofErr w:type="spellStart"/>
      <w:r w:rsidRPr="002D42BF">
        <w:rPr>
          <w:rFonts w:eastAsia="Helvetica Neue"/>
        </w:rPr>
        <w:t>Rajan</w:t>
      </w:r>
      <w:proofErr w:type="spellEnd"/>
      <w:r w:rsidRPr="002D42BF">
        <w:rPr>
          <w:rFonts w:eastAsia="Helvetica Neue"/>
        </w:rPr>
        <w:t xml:space="preserve"> (Institute for Research and Development on Inclusion and Society)</w:t>
      </w:r>
    </w:p>
    <w:p w14:paraId="1317B6B1" w14:textId="77777777" w:rsidR="001D3DF9" w:rsidRPr="002D42BF" w:rsidRDefault="00B7486B" w:rsidP="002D42BF">
      <w:pPr>
        <w:pStyle w:val="ListParagraph"/>
        <w:contextualSpacing/>
        <w:rPr>
          <w:rFonts w:eastAsia="Helvetica Neue"/>
        </w:rPr>
      </w:pPr>
      <w:r w:rsidRPr="002D42BF">
        <w:rPr>
          <w:rFonts w:eastAsia="Helvetica Neue"/>
        </w:rPr>
        <w:t>Sarah Shannon (Hesperian Health Guides)</w:t>
      </w:r>
    </w:p>
    <w:p w14:paraId="0FC871DB" w14:textId="77777777" w:rsidR="001D3DF9" w:rsidRPr="002D42BF" w:rsidRDefault="00B7486B" w:rsidP="002D42BF">
      <w:pPr>
        <w:pStyle w:val="ListParagraph"/>
        <w:contextualSpacing/>
        <w:rPr>
          <w:rFonts w:eastAsia="Helvetica Neue"/>
        </w:rPr>
      </w:pPr>
      <w:proofErr w:type="spellStart"/>
      <w:r w:rsidRPr="002D42BF">
        <w:rPr>
          <w:rFonts w:eastAsia="Helvetica Neue"/>
        </w:rPr>
        <w:t>Amrani</w:t>
      </w:r>
      <w:proofErr w:type="spellEnd"/>
      <w:r w:rsidRPr="002D42BF">
        <w:rPr>
          <w:rFonts w:eastAsia="Helvetica Neue"/>
        </w:rPr>
        <w:t xml:space="preserve"> </w:t>
      </w:r>
      <w:proofErr w:type="spellStart"/>
      <w:r w:rsidRPr="002D42BF">
        <w:rPr>
          <w:rFonts w:eastAsia="Helvetica Neue"/>
        </w:rPr>
        <w:t>Soumia</w:t>
      </w:r>
      <w:proofErr w:type="spellEnd"/>
      <w:r w:rsidRPr="002D42BF">
        <w:rPr>
          <w:rFonts w:eastAsia="Helvetica Neue"/>
        </w:rPr>
        <w:t xml:space="preserve"> (Morocco Council of Human Rights)</w:t>
      </w:r>
    </w:p>
    <w:p w14:paraId="17C491F6" w14:textId="77777777" w:rsidR="001D3DF9" w:rsidRPr="002D42BF" w:rsidRDefault="00B7486B" w:rsidP="002D42BF">
      <w:pPr>
        <w:pStyle w:val="ListParagraph"/>
        <w:contextualSpacing/>
        <w:rPr>
          <w:rFonts w:eastAsia="Helvetica Neue"/>
        </w:rPr>
      </w:pPr>
      <w:r w:rsidRPr="002D42BF">
        <w:rPr>
          <w:rFonts w:eastAsia="Helvetica Neue"/>
        </w:rPr>
        <w:t>Teresa Tudor (Illinois Department of Human Services)</w:t>
      </w:r>
    </w:p>
    <w:p w14:paraId="2539CD93" w14:textId="675F2A7B" w:rsidR="001D3DF9" w:rsidRPr="002D42BF" w:rsidRDefault="00B7486B" w:rsidP="002D42BF">
      <w:pPr>
        <w:pStyle w:val="ListParagraph"/>
        <w:contextualSpacing/>
      </w:pPr>
      <w:proofErr w:type="spellStart"/>
      <w:r w:rsidRPr="002D42BF">
        <w:rPr>
          <w:rFonts w:eastAsia="Helvetica Neue"/>
        </w:rPr>
        <w:t>Ekaete</w:t>
      </w:r>
      <w:proofErr w:type="spellEnd"/>
      <w:r w:rsidRPr="002D42BF">
        <w:rPr>
          <w:rFonts w:eastAsia="Helvetica Neue"/>
        </w:rPr>
        <w:t xml:space="preserve"> </w:t>
      </w:r>
      <w:proofErr w:type="spellStart"/>
      <w:r w:rsidRPr="002D42BF">
        <w:rPr>
          <w:rFonts w:eastAsia="Helvetica Neue"/>
        </w:rPr>
        <w:t>Umoh</w:t>
      </w:r>
      <w:proofErr w:type="spellEnd"/>
      <w:r w:rsidRPr="002D42BF">
        <w:rPr>
          <w:rFonts w:eastAsia="Helvetica Neue"/>
        </w:rPr>
        <w:t xml:space="preserve"> (</w:t>
      </w:r>
      <w:r w:rsidR="00840601" w:rsidRPr="002D42BF">
        <w:rPr>
          <w:rFonts w:eastAsia="Helvetica Neue"/>
        </w:rPr>
        <w:t xml:space="preserve">Family </w:t>
      </w:r>
      <w:proofErr w:type="spellStart"/>
      <w:r w:rsidR="00840601" w:rsidRPr="002D42BF">
        <w:rPr>
          <w:rFonts w:eastAsia="Helvetica Neue"/>
        </w:rPr>
        <w:t>Centered</w:t>
      </w:r>
      <w:proofErr w:type="spellEnd"/>
      <w:r w:rsidR="00840601" w:rsidRPr="002D42BF">
        <w:rPr>
          <w:rFonts w:eastAsia="Helvetica Neue"/>
        </w:rPr>
        <w:t xml:space="preserve"> Initiative for Challenged Persons</w:t>
      </w:r>
      <w:r w:rsidRPr="002D42BF">
        <w:rPr>
          <w:rFonts w:eastAsia="Helvetica Neue"/>
        </w:rPr>
        <w:t>)</w:t>
      </w:r>
    </w:p>
    <w:p w14:paraId="7676E211" w14:textId="77777777" w:rsidR="003A2485" w:rsidRDefault="003A2485">
      <w:pPr>
        <w:rPr>
          <w:rFonts w:eastAsia="Helvetica Neue" w:cstheme="majorHAnsi"/>
          <w:b/>
          <w:color w:val="000000"/>
          <w:sz w:val="32"/>
          <w:szCs w:val="32"/>
        </w:rPr>
      </w:pPr>
      <w:r>
        <w:br w:type="page"/>
      </w:r>
    </w:p>
    <w:p w14:paraId="35904FAD" w14:textId="0B7A8617" w:rsidR="001D3DF9" w:rsidRPr="00A64CBE" w:rsidRDefault="00D5357E" w:rsidP="00D11A90">
      <w:pPr>
        <w:pStyle w:val="Heading2"/>
        <w:ind w:left="-270" w:right="-990"/>
      </w:pPr>
      <w:r>
        <w:lastRenderedPageBreak/>
        <w:t>Table of Contents</w:t>
      </w:r>
    </w:p>
    <w:p w14:paraId="4444DAF8" w14:textId="7F0C265F" w:rsidR="001D3DF9" w:rsidRPr="006257E3" w:rsidRDefault="00B90992" w:rsidP="006257E3">
      <w:pPr>
        <w:pStyle w:val="TOC1"/>
      </w:pPr>
      <w:hyperlink w:anchor="Overview" w:history="1">
        <w:r w:rsidR="00B7486B" w:rsidRPr="006257E3">
          <w:rPr>
            <w:rStyle w:val="Hyperlink"/>
            <w:color w:val="E36C0A" w:themeColor="accent6" w:themeShade="BF"/>
            <w:u w:val="none"/>
          </w:rPr>
          <w:t>Chapter 1: Overview</w:t>
        </w:r>
      </w:hyperlink>
    </w:p>
    <w:p w14:paraId="00015836" w14:textId="611CEFFD" w:rsidR="001D3DF9" w:rsidRPr="00D11A90" w:rsidRDefault="00B90992" w:rsidP="00D11A90">
      <w:pPr>
        <w:spacing w:before="0" w:after="60"/>
        <w:ind w:left="273" w:right="-994" w:hanging="547"/>
        <w:rPr>
          <w:rFonts w:eastAsia="Helvetica Neue" w:cstheme="majorHAnsi"/>
          <w:color w:val="000000" w:themeColor="text1"/>
        </w:rPr>
      </w:pPr>
      <w:hyperlink w:anchor="Intro" w:history="1">
        <w:r w:rsidR="00B7486B" w:rsidRPr="00D11A90">
          <w:rPr>
            <w:rStyle w:val="Hyperlink"/>
            <w:rFonts w:eastAsia="Helvetica Neue" w:cstheme="majorHAnsi"/>
            <w:color w:val="000000" w:themeColor="text1"/>
            <w:u w:val="none"/>
          </w:rPr>
          <w:t xml:space="preserve">1.1 </w:t>
        </w:r>
        <w:r w:rsidR="00B7486B" w:rsidRPr="00D11A90">
          <w:rPr>
            <w:rStyle w:val="Hyperlink"/>
            <w:rFonts w:eastAsia="Helvetica Neue" w:cstheme="majorHAnsi"/>
            <w:color w:val="000000" w:themeColor="text1"/>
            <w:u w:val="none"/>
          </w:rPr>
          <w:tab/>
          <w:t>Introduction to GBV and SRHR Rights-Based Service Provision Guidelines</w:t>
        </w:r>
      </w:hyperlink>
    </w:p>
    <w:p w14:paraId="4EA1ADD0" w14:textId="3DA0F8D8" w:rsidR="001D3DF9" w:rsidRPr="00D11A90" w:rsidRDefault="00B90992" w:rsidP="00D11A90">
      <w:pPr>
        <w:spacing w:before="0" w:after="60"/>
        <w:ind w:left="273" w:right="-994" w:hanging="547"/>
        <w:rPr>
          <w:rFonts w:eastAsia="Helvetica Neue" w:cstheme="majorHAnsi"/>
          <w:color w:val="000000" w:themeColor="text1"/>
        </w:rPr>
      </w:pPr>
      <w:hyperlink w:anchor="IHR" w:history="1">
        <w:r w:rsidR="00B7486B" w:rsidRPr="00D11A90">
          <w:rPr>
            <w:rStyle w:val="Hyperlink"/>
            <w:rFonts w:eastAsia="Helvetica Neue" w:cstheme="majorHAnsi"/>
            <w:color w:val="000000" w:themeColor="text1"/>
            <w:u w:val="none"/>
          </w:rPr>
          <w:t>1.2</w:t>
        </w:r>
        <w:r w:rsidR="00B7486B" w:rsidRPr="00D11A90">
          <w:rPr>
            <w:rStyle w:val="Hyperlink"/>
            <w:rFonts w:eastAsia="Helvetica Neue" w:cstheme="majorHAnsi"/>
            <w:color w:val="000000" w:themeColor="text1"/>
            <w:u w:val="none"/>
          </w:rPr>
          <w:tab/>
          <w:t>International Human Rights Framework for Providing Rights-Based GBV and SRHR Services</w:t>
        </w:r>
      </w:hyperlink>
    </w:p>
    <w:p w14:paraId="30AA07A2" w14:textId="47CAB93C" w:rsidR="001D3DF9" w:rsidRPr="006257E3" w:rsidRDefault="00B90992" w:rsidP="006257E3">
      <w:pPr>
        <w:pStyle w:val="TOC1"/>
      </w:pPr>
      <w:hyperlink w:anchor="Foundational" w:history="1">
        <w:r w:rsidR="00B7486B" w:rsidRPr="006257E3">
          <w:rPr>
            <w:rStyle w:val="Hyperlink"/>
            <w:color w:val="E36C0A" w:themeColor="accent6" w:themeShade="BF"/>
            <w:u w:val="none"/>
          </w:rPr>
          <w:t>Chapter 2: Foundational Guidelines for Action</w:t>
        </w:r>
      </w:hyperlink>
    </w:p>
    <w:p w14:paraId="05F39990" w14:textId="64902E2E" w:rsidR="001D3DF9" w:rsidRPr="00D11A90" w:rsidRDefault="00B90992" w:rsidP="00D11A90">
      <w:pPr>
        <w:spacing w:before="0" w:after="60"/>
        <w:ind w:left="273" w:right="-994" w:hanging="547"/>
        <w:rPr>
          <w:rFonts w:eastAsia="Helvetica Neue" w:cstheme="majorHAnsi"/>
          <w:color w:val="000000" w:themeColor="text1"/>
        </w:rPr>
      </w:pPr>
      <w:hyperlink w:anchor="FoundationalIntro" w:history="1">
        <w:r w:rsidR="00B7486B" w:rsidRPr="00D11A90">
          <w:rPr>
            <w:rStyle w:val="Hyperlink"/>
            <w:rFonts w:eastAsia="Helvetica Neue" w:cstheme="majorHAnsi"/>
            <w:color w:val="000000" w:themeColor="text1"/>
            <w:u w:val="none"/>
          </w:rPr>
          <w:t xml:space="preserve">2.1 </w:t>
        </w:r>
        <w:r w:rsidR="00B7486B" w:rsidRPr="00D11A90">
          <w:rPr>
            <w:rStyle w:val="Hyperlink"/>
            <w:rFonts w:eastAsia="Helvetica Neue" w:cstheme="majorHAnsi"/>
            <w:color w:val="000000" w:themeColor="text1"/>
            <w:u w:val="none"/>
          </w:rPr>
          <w:tab/>
          <w:t>Introduction</w:t>
        </w:r>
      </w:hyperlink>
      <w:r w:rsidR="00B7486B" w:rsidRPr="00D11A90">
        <w:rPr>
          <w:rFonts w:eastAsia="Helvetica Neue" w:cstheme="majorHAnsi"/>
          <w:color w:val="000000" w:themeColor="text1"/>
        </w:rPr>
        <w:t xml:space="preserve"> </w:t>
      </w:r>
    </w:p>
    <w:p w14:paraId="6D56D644" w14:textId="58678BFF" w:rsidR="001D3DF9" w:rsidRPr="00D11A90" w:rsidRDefault="00B90992" w:rsidP="00D11A90">
      <w:pPr>
        <w:spacing w:before="0" w:after="60"/>
        <w:ind w:left="273" w:right="-994" w:hanging="547"/>
        <w:rPr>
          <w:rFonts w:eastAsia="Helvetica Neue" w:cstheme="majorHAnsi"/>
          <w:color w:val="000000" w:themeColor="text1"/>
        </w:rPr>
      </w:pPr>
      <w:hyperlink w:anchor="FoundationalLaws" w:history="1">
        <w:r w:rsidR="00B7486B" w:rsidRPr="00D11A90">
          <w:rPr>
            <w:rStyle w:val="Hyperlink"/>
            <w:rFonts w:eastAsia="Helvetica Neue" w:cstheme="majorHAnsi"/>
            <w:color w:val="000000" w:themeColor="text1"/>
            <w:u w:val="none"/>
          </w:rPr>
          <w:t xml:space="preserve">2.2 </w:t>
        </w:r>
        <w:r w:rsidR="00B7486B" w:rsidRPr="00D11A90">
          <w:rPr>
            <w:rStyle w:val="Hyperlink"/>
            <w:rFonts w:eastAsia="Helvetica Neue" w:cstheme="majorHAnsi"/>
            <w:color w:val="000000" w:themeColor="text1"/>
            <w:u w:val="none"/>
          </w:rPr>
          <w:tab/>
          <w:t>Laws and Policies</w:t>
        </w:r>
      </w:hyperlink>
    </w:p>
    <w:p w14:paraId="3766EE4F" w14:textId="05AC1213" w:rsidR="001D3DF9" w:rsidRPr="00D11A90" w:rsidRDefault="00B90992" w:rsidP="00D11A90">
      <w:pPr>
        <w:spacing w:before="0" w:after="60"/>
        <w:ind w:left="273" w:right="-994" w:hanging="547"/>
        <w:rPr>
          <w:rFonts w:eastAsia="Helvetica Neue" w:cstheme="majorHAnsi"/>
          <w:color w:val="000000" w:themeColor="text1"/>
        </w:rPr>
      </w:pPr>
      <w:hyperlink w:anchor="FoundationalProg" w:history="1">
        <w:r w:rsidR="00B7486B" w:rsidRPr="00D11A90">
          <w:rPr>
            <w:rStyle w:val="Hyperlink"/>
            <w:rFonts w:eastAsia="Helvetica Neue" w:cstheme="majorHAnsi"/>
            <w:color w:val="000000" w:themeColor="text1"/>
            <w:u w:val="none"/>
          </w:rPr>
          <w:t xml:space="preserve">2.3 </w:t>
        </w:r>
        <w:r w:rsidR="00B7486B" w:rsidRPr="00D11A90">
          <w:rPr>
            <w:rStyle w:val="Hyperlink"/>
            <w:rFonts w:eastAsia="Helvetica Neue" w:cstheme="majorHAnsi"/>
            <w:color w:val="000000" w:themeColor="text1"/>
            <w:u w:val="none"/>
          </w:rPr>
          <w:tab/>
        </w:r>
        <w:proofErr w:type="spellStart"/>
        <w:r w:rsidR="00B7486B" w:rsidRPr="00D11A90">
          <w:rPr>
            <w:rStyle w:val="Hyperlink"/>
            <w:rFonts w:eastAsia="Helvetica Neue" w:cstheme="majorHAnsi"/>
            <w:color w:val="000000" w:themeColor="text1"/>
            <w:u w:val="none"/>
          </w:rPr>
          <w:t>Programmes</w:t>
        </w:r>
        <w:proofErr w:type="spellEnd"/>
      </w:hyperlink>
    </w:p>
    <w:p w14:paraId="02D10D11" w14:textId="0D79F215" w:rsidR="001D3DF9" w:rsidRPr="00D11A90" w:rsidRDefault="00B90992" w:rsidP="00D11A90">
      <w:pPr>
        <w:spacing w:before="0" w:after="60"/>
        <w:ind w:left="273" w:right="-994" w:hanging="547"/>
        <w:rPr>
          <w:rFonts w:eastAsia="Helvetica Neue" w:cstheme="majorHAnsi"/>
          <w:color w:val="000000" w:themeColor="text1"/>
        </w:rPr>
      </w:pPr>
      <w:hyperlink w:anchor="FoundationalFacilities" w:history="1">
        <w:r w:rsidR="00B7486B" w:rsidRPr="00D11A90">
          <w:rPr>
            <w:rStyle w:val="Hyperlink"/>
            <w:rFonts w:eastAsia="Helvetica Neue" w:cstheme="majorHAnsi"/>
            <w:color w:val="000000" w:themeColor="text1"/>
            <w:u w:val="none"/>
          </w:rPr>
          <w:t xml:space="preserve">2.4. </w:t>
        </w:r>
        <w:r w:rsidR="00B7486B" w:rsidRPr="00D11A90">
          <w:rPr>
            <w:rStyle w:val="Hyperlink"/>
            <w:rFonts w:eastAsia="Helvetica Neue" w:cstheme="majorHAnsi"/>
            <w:color w:val="000000" w:themeColor="text1"/>
            <w:u w:val="none"/>
          </w:rPr>
          <w:tab/>
          <w:t>Facilities</w:t>
        </w:r>
      </w:hyperlink>
      <w:r w:rsidR="00B7486B" w:rsidRPr="00D11A90">
        <w:rPr>
          <w:rFonts w:eastAsia="Helvetica Neue" w:cstheme="majorHAnsi"/>
          <w:color w:val="000000" w:themeColor="text1"/>
        </w:rPr>
        <w:t xml:space="preserve"> </w:t>
      </w:r>
    </w:p>
    <w:p w14:paraId="72F10E66" w14:textId="5F330F93" w:rsidR="001D3DF9" w:rsidRPr="006257E3" w:rsidRDefault="00B90992" w:rsidP="006257E3">
      <w:pPr>
        <w:pStyle w:val="TOC1"/>
        <w:rPr>
          <w:rStyle w:val="Hyperlink"/>
          <w:color w:val="E36C0A" w:themeColor="accent6" w:themeShade="BF"/>
          <w:u w:val="none"/>
        </w:rPr>
      </w:pPr>
      <w:hyperlink w:anchor="GBV" w:history="1">
        <w:r w:rsidR="00B7486B" w:rsidRPr="006257E3">
          <w:rPr>
            <w:rStyle w:val="Hyperlink"/>
            <w:color w:val="E36C0A" w:themeColor="accent6" w:themeShade="BF"/>
            <w:u w:val="none"/>
          </w:rPr>
          <w:t>Chapter 3: Gender-Based Violence Service</w:t>
        </w:r>
        <w:r w:rsidR="00BC5F3D" w:rsidRPr="006257E3">
          <w:rPr>
            <w:rStyle w:val="Hyperlink"/>
            <w:color w:val="E36C0A" w:themeColor="accent6" w:themeShade="BF"/>
            <w:u w:val="none"/>
          </w:rPr>
          <w:t>s</w:t>
        </w:r>
        <w:r w:rsidR="00B7486B" w:rsidRPr="006257E3">
          <w:rPr>
            <w:rStyle w:val="Hyperlink"/>
            <w:color w:val="E36C0A" w:themeColor="accent6" w:themeShade="BF"/>
            <w:u w:val="none"/>
          </w:rPr>
          <w:t xml:space="preserve"> for Women and Young</w:t>
        </w:r>
        <w:r w:rsidR="00BC5F3D" w:rsidRPr="006257E3">
          <w:rPr>
            <w:rStyle w:val="Hyperlink"/>
            <w:color w:val="E36C0A" w:themeColor="accent6" w:themeShade="BF"/>
            <w:u w:val="none"/>
          </w:rPr>
          <w:t xml:space="preserve"> </w:t>
        </w:r>
        <w:r w:rsidR="00B7486B" w:rsidRPr="006257E3">
          <w:rPr>
            <w:rStyle w:val="Hyperlink"/>
            <w:color w:val="E36C0A" w:themeColor="accent6" w:themeShade="BF"/>
            <w:u w:val="none"/>
          </w:rPr>
          <w:t>Pe</w:t>
        </w:r>
        <w:r w:rsidR="00BC5F3D" w:rsidRPr="006257E3">
          <w:rPr>
            <w:rStyle w:val="Hyperlink"/>
            <w:color w:val="E36C0A" w:themeColor="accent6" w:themeShade="BF"/>
            <w:u w:val="none"/>
          </w:rPr>
          <w:t>rsons</w:t>
        </w:r>
        <w:r w:rsidR="00B7486B" w:rsidRPr="006257E3">
          <w:rPr>
            <w:rStyle w:val="Hyperlink"/>
            <w:color w:val="E36C0A" w:themeColor="accent6" w:themeShade="BF"/>
            <w:u w:val="none"/>
          </w:rPr>
          <w:t xml:space="preserve"> with Disabilities</w:t>
        </w:r>
      </w:hyperlink>
    </w:p>
    <w:p w14:paraId="24C25E5C" w14:textId="072626B0" w:rsidR="001D3DF9" w:rsidRPr="00D11A90" w:rsidRDefault="00B90992" w:rsidP="00D11A90">
      <w:pPr>
        <w:spacing w:before="0" w:after="60"/>
        <w:ind w:left="273" w:right="-994" w:hanging="547"/>
        <w:rPr>
          <w:rFonts w:eastAsia="Helvetica Neue" w:cstheme="majorHAnsi"/>
          <w:color w:val="000000" w:themeColor="text1"/>
        </w:rPr>
      </w:pPr>
      <w:hyperlink w:anchor="GBVBack" w:history="1">
        <w:r w:rsidR="00B7486B" w:rsidRPr="00D11A90">
          <w:rPr>
            <w:rStyle w:val="Hyperlink"/>
            <w:rFonts w:eastAsia="Helvetica Neue" w:cstheme="majorHAnsi"/>
            <w:color w:val="000000" w:themeColor="text1"/>
            <w:u w:val="none"/>
          </w:rPr>
          <w:t>3.1</w:t>
        </w:r>
        <w:r w:rsidR="00B7486B" w:rsidRPr="00D11A90">
          <w:rPr>
            <w:rStyle w:val="Hyperlink"/>
            <w:rFonts w:eastAsia="Helvetica Neue" w:cstheme="majorHAnsi"/>
            <w:color w:val="000000" w:themeColor="text1"/>
            <w:u w:val="none"/>
          </w:rPr>
          <w:tab/>
          <w:t>Background</w:t>
        </w:r>
      </w:hyperlink>
      <w:r w:rsidR="00B7486B" w:rsidRPr="00D11A90">
        <w:rPr>
          <w:rFonts w:eastAsia="Helvetica Neue" w:cstheme="majorHAnsi"/>
          <w:color w:val="000000" w:themeColor="text1"/>
        </w:rPr>
        <w:t xml:space="preserve"> </w:t>
      </w:r>
    </w:p>
    <w:p w14:paraId="4FAABA46" w14:textId="7E6A2ADD" w:rsidR="001D3DF9" w:rsidRPr="00D11A90" w:rsidRDefault="00B90992" w:rsidP="00D11A90">
      <w:pPr>
        <w:spacing w:before="0" w:after="60"/>
        <w:ind w:left="273" w:right="-994" w:hanging="547"/>
        <w:rPr>
          <w:rFonts w:eastAsia="Helvetica Neue" w:cstheme="majorHAnsi"/>
          <w:color w:val="000000" w:themeColor="text1"/>
        </w:rPr>
      </w:pPr>
      <w:hyperlink w:anchor="GBVHRFrame" w:history="1">
        <w:r w:rsidR="00B7486B" w:rsidRPr="00D11A90">
          <w:rPr>
            <w:rStyle w:val="Hyperlink"/>
            <w:rFonts w:eastAsia="Helvetica Neue" w:cstheme="majorHAnsi"/>
            <w:color w:val="000000" w:themeColor="text1"/>
            <w:u w:val="none"/>
          </w:rPr>
          <w:t>3.2</w:t>
        </w:r>
        <w:r w:rsidR="00B7486B" w:rsidRPr="00D11A90">
          <w:rPr>
            <w:rStyle w:val="Hyperlink"/>
            <w:rFonts w:eastAsia="Helvetica Neue" w:cstheme="majorHAnsi"/>
            <w:color w:val="000000" w:themeColor="text1"/>
            <w:u w:val="none"/>
          </w:rPr>
          <w:tab/>
          <w:t>GBV Human Rights Framework</w:t>
        </w:r>
      </w:hyperlink>
    </w:p>
    <w:p w14:paraId="63B8FAE0" w14:textId="74C69DAB" w:rsidR="001D3DF9" w:rsidRPr="00D11A90" w:rsidRDefault="00B90992" w:rsidP="00D11A90">
      <w:pPr>
        <w:spacing w:before="0" w:after="60"/>
        <w:ind w:left="273" w:right="-994" w:hanging="547"/>
        <w:rPr>
          <w:rFonts w:eastAsia="Helvetica Neue" w:cstheme="majorHAnsi"/>
          <w:color w:val="000000" w:themeColor="text1"/>
        </w:rPr>
      </w:pPr>
      <w:hyperlink w:anchor="GBVprevention" w:history="1">
        <w:r w:rsidR="00B7486B" w:rsidRPr="00D11A90">
          <w:rPr>
            <w:rStyle w:val="Hyperlink"/>
            <w:rFonts w:eastAsia="Helvetica Neue" w:cstheme="majorHAnsi"/>
            <w:color w:val="000000" w:themeColor="text1"/>
            <w:u w:val="none"/>
          </w:rPr>
          <w:t>3.3</w:t>
        </w:r>
        <w:r w:rsidR="00B7486B" w:rsidRPr="00D11A90">
          <w:rPr>
            <w:rStyle w:val="Hyperlink"/>
            <w:rFonts w:eastAsia="Helvetica Neue" w:cstheme="majorHAnsi"/>
            <w:color w:val="000000" w:themeColor="text1"/>
            <w:u w:val="none"/>
          </w:rPr>
          <w:tab/>
          <w:t>GBV Prevention for Women and Young Pe</w:t>
        </w:r>
        <w:r w:rsidR="00BC5F3D" w:rsidRPr="00D11A90">
          <w:rPr>
            <w:rStyle w:val="Hyperlink"/>
            <w:rFonts w:eastAsia="Helvetica Neue" w:cstheme="majorHAnsi"/>
            <w:color w:val="000000" w:themeColor="text1"/>
            <w:u w:val="none"/>
          </w:rPr>
          <w:t>rsons</w:t>
        </w:r>
        <w:r w:rsidR="00B7486B" w:rsidRPr="00D11A90">
          <w:rPr>
            <w:rStyle w:val="Hyperlink"/>
            <w:rFonts w:eastAsia="Helvetica Neue" w:cstheme="majorHAnsi"/>
            <w:color w:val="000000" w:themeColor="text1"/>
            <w:u w:val="none"/>
          </w:rPr>
          <w:t xml:space="preserve"> with Disabilities</w:t>
        </w:r>
      </w:hyperlink>
      <w:r w:rsidR="00B7486B" w:rsidRPr="00D11A90">
        <w:rPr>
          <w:rFonts w:eastAsia="Helvetica Neue" w:cstheme="majorHAnsi"/>
          <w:color w:val="000000" w:themeColor="text1"/>
        </w:rPr>
        <w:t xml:space="preserve"> </w:t>
      </w:r>
    </w:p>
    <w:p w14:paraId="4A7D4F59" w14:textId="0FAAED10" w:rsidR="001D3DF9" w:rsidRPr="00D11A90" w:rsidRDefault="00B90992" w:rsidP="00D11A90">
      <w:pPr>
        <w:spacing w:before="0" w:after="60"/>
        <w:ind w:left="273" w:right="-994" w:hanging="547"/>
        <w:rPr>
          <w:rFonts w:eastAsia="Helvetica Neue" w:cstheme="majorHAnsi"/>
          <w:color w:val="000000" w:themeColor="text1"/>
        </w:rPr>
      </w:pPr>
      <w:hyperlink w:anchor="GBVhealth" w:history="1">
        <w:r w:rsidR="00B7486B" w:rsidRPr="00D11A90">
          <w:rPr>
            <w:rStyle w:val="Hyperlink"/>
            <w:rFonts w:eastAsia="Helvetica Neue" w:cstheme="majorHAnsi"/>
            <w:color w:val="000000" w:themeColor="text1"/>
            <w:u w:val="none"/>
          </w:rPr>
          <w:t>3.4</w:t>
        </w:r>
        <w:r w:rsidR="00B7486B" w:rsidRPr="00D11A90">
          <w:rPr>
            <w:rStyle w:val="Hyperlink"/>
            <w:rFonts w:eastAsia="Helvetica Neue" w:cstheme="majorHAnsi"/>
            <w:color w:val="000000" w:themeColor="text1"/>
            <w:u w:val="none"/>
          </w:rPr>
          <w:tab/>
          <w:t>Health Services for GBV Victims/Survivors with Disabilities</w:t>
        </w:r>
      </w:hyperlink>
    </w:p>
    <w:p w14:paraId="4459D95B" w14:textId="7D87020E" w:rsidR="001D3DF9" w:rsidRPr="00D11A90" w:rsidRDefault="00B90992" w:rsidP="00D11A90">
      <w:pPr>
        <w:spacing w:before="0" w:after="60"/>
        <w:ind w:left="273" w:right="-994" w:hanging="547"/>
        <w:rPr>
          <w:rFonts w:eastAsia="Helvetica Neue" w:cstheme="majorHAnsi"/>
          <w:color w:val="000000" w:themeColor="text1"/>
        </w:rPr>
      </w:pPr>
      <w:hyperlink w:anchor="GBVjustice" w:history="1">
        <w:r w:rsidR="00B7486B" w:rsidRPr="00D11A90">
          <w:rPr>
            <w:rStyle w:val="Hyperlink"/>
            <w:rFonts w:eastAsia="Helvetica Neue" w:cstheme="majorHAnsi"/>
            <w:color w:val="000000" w:themeColor="text1"/>
            <w:u w:val="none"/>
          </w:rPr>
          <w:t>3.5</w:t>
        </w:r>
        <w:r w:rsidR="00B7486B" w:rsidRPr="00D11A90">
          <w:rPr>
            <w:rStyle w:val="Hyperlink"/>
            <w:rFonts w:eastAsia="Helvetica Neue" w:cstheme="majorHAnsi"/>
            <w:color w:val="000000" w:themeColor="text1"/>
            <w:u w:val="none"/>
          </w:rPr>
          <w:tab/>
          <w:t>Justice and Policing Services for GBV Victims/Survivors with Disabilities</w:t>
        </w:r>
      </w:hyperlink>
    </w:p>
    <w:p w14:paraId="45F45199" w14:textId="66E5ECB7" w:rsidR="001D3DF9" w:rsidRPr="00D11A90" w:rsidRDefault="00B90992" w:rsidP="00D11A90">
      <w:pPr>
        <w:spacing w:before="0" w:after="60"/>
        <w:ind w:left="273" w:right="-994" w:hanging="547"/>
        <w:rPr>
          <w:rFonts w:eastAsia="Helvetica Neue" w:cstheme="majorHAnsi"/>
          <w:color w:val="000000" w:themeColor="text1"/>
        </w:rPr>
      </w:pPr>
      <w:hyperlink w:anchor="GBVprotect" w:history="1">
        <w:r w:rsidR="00B7486B" w:rsidRPr="00D11A90">
          <w:rPr>
            <w:rStyle w:val="Hyperlink"/>
            <w:rFonts w:eastAsia="Helvetica Neue" w:cstheme="majorHAnsi"/>
            <w:color w:val="000000" w:themeColor="text1"/>
            <w:u w:val="none"/>
          </w:rPr>
          <w:t>3.6</w:t>
        </w:r>
        <w:r w:rsidR="00B7486B" w:rsidRPr="00D11A90">
          <w:rPr>
            <w:rStyle w:val="Hyperlink"/>
            <w:rFonts w:eastAsia="Helvetica Neue" w:cstheme="majorHAnsi"/>
            <w:color w:val="000000" w:themeColor="text1"/>
            <w:u w:val="none"/>
          </w:rPr>
          <w:tab/>
          <w:t>Social Services—Protection Services for GBV Victims/Survivors with Disabilities</w:t>
        </w:r>
      </w:hyperlink>
    </w:p>
    <w:p w14:paraId="48EB36BE" w14:textId="4AB84BFB" w:rsidR="001D3DF9" w:rsidRPr="00D11A90" w:rsidRDefault="00B90992" w:rsidP="00D11A90">
      <w:pPr>
        <w:spacing w:before="0" w:after="60"/>
        <w:ind w:left="273" w:right="-994" w:hanging="547"/>
        <w:rPr>
          <w:rFonts w:eastAsia="Helvetica Neue" w:cstheme="majorHAnsi"/>
          <w:color w:val="000000" w:themeColor="text1"/>
        </w:rPr>
      </w:pPr>
      <w:hyperlink w:anchor="GBVrehab" w:history="1">
        <w:r w:rsidR="00B7486B" w:rsidRPr="00D11A90">
          <w:rPr>
            <w:rStyle w:val="Hyperlink"/>
            <w:rFonts w:eastAsia="Helvetica Neue" w:cstheme="majorHAnsi"/>
            <w:color w:val="000000" w:themeColor="text1"/>
            <w:u w:val="none"/>
          </w:rPr>
          <w:t>3.7</w:t>
        </w:r>
        <w:r w:rsidR="00B7486B" w:rsidRPr="00D11A90">
          <w:rPr>
            <w:rStyle w:val="Hyperlink"/>
            <w:rFonts w:eastAsia="Helvetica Neue" w:cstheme="majorHAnsi"/>
            <w:color w:val="000000" w:themeColor="text1"/>
            <w:u w:val="none"/>
          </w:rPr>
          <w:tab/>
          <w:t>Social Services—Rehabilitation Services for GBV Victims/Survivors with Disabilities</w:t>
        </w:r>
      </w:hyperlink>
    </w:p>
    <w:p w14:paraId="02A000E7" w14:textId="760E1DC8" w:rsidR="001D3DF9" w:rsidRPr="00D11A90" w:rsidRDefault="00B90992" w:rsidP="00D11A90">
      <w:pPr>
        <w:spacing w:before="0" w:after="60"/>
        <w:ind w:left="273" w:right="-994" w:hanging="547"/>
        <w:rPr>
          <w:rFonts w:eastAsia="Helvetica Neue" w:cstheme="majorHAnsi"/>
          <w:color w:val="000000" w:themeColor="text1"/>
        </w:rPr>
      </w:pPr>
      <w:hyperlink w:anchor="GBVinstitute" w:history="1">
        <w:r w:rsidR="00B7486B" w:rsidRPr="00D11A90">
          <w:rPr>
            <w:rStyle w:val="Hyperlink"/>
            <w:rFonts w:eastAsia="Helvetica Neue" w:cstheme="majorHAnsi"/>
            <w:color w:val="000000" w:themeColor="text1"/>
            <w:u w:val="none"/>
          </w:rPr>
          <w:t xml:space="preserve">3.8 </w:t>
        </w:r>
        <w:r w:rsidR="00B7486B" w:rsidRPr="00D11A90">
          <w:rPr>
            <w:rStyle w:val="Hyperlink"/>
            <w:rFonts w:eastAsia="Helvetica Neue" w:cstheme="majorHAnsi"/>
            <w:color w:val="000000" w:themeColor="text1"/>
            <w:u w:val="none"/>
          </w:rPr>
          <w:tab/>
          <w:t>GBV Services for Women and Young Pe</w:t>
        </w:r>
        <w:r w:rsidR="00BC5F3D" w:rsidRPr="00D11A90">
          <w:rPr>
            <w:rStyle w:val="Hyperlink"/>
            <w:rFonts w:eastAsia="Helvetica Neue" w:cstheme="majorHAnsi"/>
            <w:color w:val="000000" w:themeColor="text1"/>
            <w:u w:val="none"/>
          </w:rPr>
          <w:t>rsons</w:t>
        </w:r>
        <w:r w:rsidR="00B7486B" w:rsidRPr="00D11A90">
          <w:rPr>
            <w:rStyle w:val="Hyperlink"/>
            <w:rFonts w:eastAsia="Helvetica Neue" w:cstheme="majorHAnsi"/>
            <w:color w:val="000000" w:themeColor="text1"/>
            <w:u w:val="none"/>
          </w:rPr>
          <w:t xml:space="preserve"> with Disabilities Living in Institutional Settings</w:t>
        </w:r>
      </w:hyperlink>
    </w:p>
    <w:p w14:paraId="4F4F4448" w14:textId="67148D1E" w:rsidR="001D3DF9" w:rsidRPr="00D11A90" w:rsidRDefault="00B90992" w:rsidP="00D11A90">
      <w:pPr>
        <w:spacing w:before="0" w:after="60"/>
        <w:ind w:left="273" w:right="-994" w:hanging="547"/>
        <w:rPr>
          <w:rFonts w:eastAsia="Helvetica Neue" w:cstheme="majorHAnsi"/>
          <w:color w:val="000000" w:themeColor="text1"/>
        </w:rPr>
      </w:pPr>
      <w:hyperlink w:anchor="GBVyouth" w:history="1">
        <w:r w:rsidR="00B7486B" w:rsidRPr="00D11A90">
          <w:rPr>
            <w:rStyle w:val="Hyperlink"/>
            <w:rFonts w:eastAsia="Helvetica Neue" w:cstheme="majorHAnsi"/>
            <w:color w:val="000000" w:themeColor="text1"/>
            <w:u w:val="none"/>
          </w:rPr>
          <w:t>3.9</w:t>
        </w:r>
        <w:r w:rsidR="00B7486B" w:rsidRPr="00D11A90">
          <w:rPr>
            <w:rStyle w:val="Hyperlink"/>
            <w:rFonts w:eastAsia="Helvetica Neue" w:cstheme="majorHAnsi"/>
            <w:color w:val="000000" w:themeColor="text1"/>
            <w:u w:val="none"/>
          </w:rPr>
          <w:tab/>
          <w:t>Access to GBV Services for Adolescents and Youth with Disabilities</w:t>
        </w:r>
      </w:hyperlink>
      <w:r w:rsidR="00B7486B" w:rsidRPr="00D11A90">
        <w:rPr>
          <w:rFonts w:eastAsia="Helvetica Neue" w:cstheme="majorHAnsi"/>
          <w:color w:val="000000" w:themeColor="text1"/>
        </w:rPr>
        <w:t xml:space="preserve"> </w:t>
      </w:r>
    </w:p>
    <w:p w14:paraId="7B6BBA4F" w14:textId="48E6029F" w:rsidR="001D3DF9" w:rsidRPr="006257E3" w:rsidRDefault="00B90992" w:rsidP="006257E3">
      <w:pPr>
        <w:pStyle w:val="TOC1"/>
        <w:rPr>
          <w:rStyle w:val="Hyperlink"/>
          <w:color w:val="E36C0A" w:themeColor="accent6" w:themeShade="BF"/>
          <w:u w:val="none"/>
        </w:rPr>
      </w:pPr>
      <w:hyperlink w:anchor="SRHR" w:history="1">
        <w:r w:rsidR="00B7486B" w:rsidRPr="006257E3">
          <w:rPr>
            <w:rStyle w:val="Hyperlink"/>
            <w:color w:val="E36C0A" w:themeColor="accent6" w:themeShade="BF"/>
            <w:u w:val="none"/>
          </w:rPr>
          <w:t>Chapter 4: Sexual and Reproductive Health and Rights Service</w:t>
        </w:r>
        <w:r w:rsidR="00C21767" w:rsidRPr="006257E3">
          <w:rPr>
            <w:rStyle w:val="Hyperlink"/>
            <w:color w:val="E36C0A" w:themeColor="accent6" w:themeShade="BF"/>
            <w:u w:val="none"/>
          </w:rPr>
          <w:t>s</w:t>
        </w:r>
        <w:r w:rsidR="00B7486B" w:rsidRPr="006257E3">
          <w:rPr>
            <w:rStyle w:val="Hyperlink"/>
            <w:color w:val="E36C0A" w:themeColor="accent6" w:themeShade="BF"/>
            <w:u w:val="none"/>
          </w:rPr>
          <w:t xml:space="preserve"> for Women and Young Pe</w:t>
        </w:r>
        <w:r w:rsidR="00C21767" w:rsidRPr="006257E3">
          <w:rPr>
            <w:rStyle w:val="Hyperlink"/>
            <w:color w:val="E36C0A" w:themeColor="accent6" w:themeShade="BF"/>
            <w:u w:val="none"/>
          </w:rPr>
          <w:t>rsons</w:t>
        </w:r>
        <w:r w:rsidR="00B7486B" w:rsidRPr="006257E3">
          <w:rPr>
            <w:rStyle w:val="Hyperlink"/>
            <w:color w:val="E36C0A" w:themeColor="accent6" w:themeShade="BF"/>
            <w:u w:val="none"/>
          </w:rPr>
          <w:t xml:space="preserve"> with Disabilities</w:t>
        </w:r>
      </w:hyperlink>
    </w:p>
    <w:p w14:paraId="6ED75F62" w14:textId="55F69B71" w:rsidR="001D3DF9" w:rsidRPr="00D11A90" w:rsidRDefault="00B90992" w:rsidP="00D11A90">
      <w:pPr>
        <w:spacing w:before="0" w:after="60"/>
        <w:ind w:left="273" w:right="-994" w:hanging="547"/>
        <w:rPr>
          <w:rFonts w:eastAsia="Helvetica Neue" w:cstheme="majorHAnsi"/>
          <w:color w:val="000000" w:themeColor="text1"/>
        </w:rPr>
      </w:pPr>
      <w:hyperlink w:anchor="SRHRback" w:history="1">
        <w:r w:rsidR="00B7486B" w:rsidRPr="00D11A90">
          <w:rPr>
            <w:rStyle w:val="Hyperlink"/>
            <w:rFonts w:eastAsia="Helvetica Neue" w:cstheme="majorHAnsi"/>
            <w:color w:val="000000" w:themeColor="text1"/>
            <w:u w:val="none"/>
          </w:rPr>
          <w:t>4.1</w:t>
        </w:r>
        <w:r w:rsidR="00B7486B" w:rsidRPr="00D11A90">
          <w:rPr>
            <w:rStyle w:val="Hyperlink"/>
            <w:rFonts w:eastAsia="Helvetica Neue" w:cstheme="majorHAnsi"/>
            <w:color w:val="000000" w:themeColor="text1"/>
            <w:u w:val="none"/>
          </w:rPr>
          <w:tab/>
          <w:t>Background</w:t>
        </w:r>
      </w:hyperlink>
      <w:r w:rsidR="00B7486B" w:rsidRPr="00D11A90">
        <w:rPr>
          <w:rFonts w:eastAsia="Helvetica Neue" w:cstheme="majorHAnsi"/>
          <w:color w:val="000000" w:themeColor="text1"/>
        </w:rPr>
        <w:t xml:space="preserve"> </w:t>
      </w:r>
    </w:p>
    <w:p w14:paraId="57732803" w14:textId="714D1DBC" w:rsidR="001D3DF9" w:rsidRPr="00D11A90" w:rsidRDefault="00B90992" w:rsidP="00D11A90">
      <w:pPr>
        <w:spacing w:before="0" w:after="60"/>
        <w:ind w:left="273" w:right="-994" w:hanging="547"/>
        <w:rPr>
          <w:rFonts w:eastAsia="Helvetica Neue" w:cstheme="majorHAnsi"/>
          <w:color w:val="000000" w:themeColor="text1"/>
        </w:rPr>
      </w:pPr>
      <w:hyperlink w:anchor="SRHRHRframe" w:history="1">
        <w:r w:rsidR="00B7486B" w:rsidRPr="00D11A90">
          <w:rPr>
            <w:rStyle w:val="Hyperlink"/>
            <w:rFonts w:eastAsia="Helvetica Neue" w:cstheme="majorHAnsi"/>
            <w:color w:val="000000" w:themeColor="text1"/>
            <w:u w:val="none"/>
          </w:rPr>
          <w:t>4.2</w:t>
        </w:r>
        <w:r w:rsidR="00B7486B" w:rsidRPr="00D11A90">
          <w:rPr>
            <w:rStyle w:val="Hyperlink"/>
            <w:rFonts w:eastAsia="Helvetica Neue" w:cstheme="majorHAnsi"/>
            <w:color w:val="000000" w:themeColor="text1"/>
            <w:u w:val="none"/>
          </w:rPr>
          <w:tab/>
          <w:t>SRHR Human Rights Framework</w:t>
        </w:r>
      </w:hyperlink>
    </w:p>
    <w:p w14:paraId="77D2ED34" w14:textId="60B9C4FB" w:rsidR="001D3DF9" w:rsidRPr="00D11A90" w:rsidRDefault="00B90992" w:rsidP="00D11A90">
      <w:pPr>
        <w:spacing w:before="0" w:after="60"/>
        <w:ind w:left="273" w:right="-994" w:hanging="547"/>
        <w:rPr>
          <w:rFonts w:eastAsia="Helvetica Neue" w:cstheme="majorHAnsi"/>
          <w:color w:val="000000" w:themeColor="text1"/>
        </w:rPr>
      </w:pPr>
      <w:hyperlink w:anchor="SRHRcontracept" w:history="1">
        <w:r w:rsidR="00B7486B" w:rsidRPr="00D11A90">
          <w:rPr>
            <w:rStyle w:val="Hyperlink"/>
            <w:rFonts w:eastAsia="Helvetica Neue" w:cstheme="majorHAnsi"/>
            <w:color w:val="000000" w:themeColor="text1"/>
            <w:u w:val="none"/>
          </w:rPr>
          <w:t>4.3</w:t>
        </w:r>
        <w:r w:rsidR="00B7486B" w:rsidRPr="00D11A90">
          <w:rPr>
            <w:rStyle w:val="Hyperlink"/>
            <w:rFonts w:eastAsia="Helvetica Neue" w:cstheme="majorHAnsi"/>
            <w:color w:val="000000" w:themeColor="text1"/>
            <w:u w:val="none"/>
          </w:rPr>
          <w:tab/>
          <w:t>Contraceptive Information, Goods, and Services for Women and Young Pe</w:t>
        </w:r>
        <w:r w:rsidR="00024E2F" w:rsidRPr="00D11A90">
          <w:rPr>
            <w:rStyle w:val="Hyperlink"/>
            <w:rFonts w:eastAsia="Helvetica Neue" w:cstheme="majorHAnsi"/>
            <w:color w:val="000000" w:themeColor="text1"/>
            <w:u w:val="none"/>
          </w:rPr>
          <w:t>rsons</w:t>
        </w:r>
        <w:r w:rsidR="00B7486B" w:rsidRPr="00D11A90">
          <w:rPr>
            <w:rStyle w:val="Hyperlink"/>
            <w:rFonts w:eastAsia="Helvetica Neue" w:cstheme="majorHAnsi"/>
            <w:color w:val="000000" w:themeColor="text1"/>
            <w:u w:val="none"/>
          </w:rPr>
          <w:t xml:space="preserve"> with Disabilities</w:t>
        </w:r>
      </w:hyperlink>
    </w:p>
    <w:p w14:paraId="71E2D63A" w14:textId="3C94E757" w:rsidR="001D3DF9" w:rsidRPr="00D11A90" w:rsidRDefault="00B90992" w:rsidP="00D11A90">
      <w:pPr>
        <w:spacing w:before="0" w:after="60"/>
        <w:ind w:left="273" w:right="-994" w:hanging="547"/>
        <w:rPr>
          <w:rFonts w:eastAsia="Helvetica Neue" w:cstheme="majorHAnsi"/>
          <w:color w:val="000000" w:themeColor="text1"/>
        </w:rPr>
      </w:pPr>
      <w:hyperlink w:anchor="SRHRmaternal" w:history="1">
        <w:r w:rsidR="00B7486B" w:rsidRPr="00D11A90">
          <w:rPr>
            <w:rStyle w:val="Hyperlink"/>
            <w:rFonts w:eastAsia="Helvetica Neue" w:cstheme="majorHAnsi"/>
            <w:color w:val="000000" w:themeColor="text1"/>
            <w:u w:val="none"/>
          </w:rPr>
          <w:t>4.4</w:t>
        </w:r>
        <w:r w:rsidR="00B7486B" w:rsidRPr="00D11A90">
          <w:rPr>
            <w:rStyle w:val="Hyperlink"/>
            <w:rFonts w:eastAsia="Helvetica Neue" w:cstheme="majorHAnsi"/>
            <w:color w:val="000000" w:themeColor="text1"/>
            <w:u w:val="none"/>
          </w:rPr>
          <w:tab/>
          <w:t>Maternal and Newborn Health Services for Women and Young Pe</w:t>
        </w:r>
        <w:r w:rsidR="00024E2F" w:rsidRPr="00D11A90">
          <w:rPr>
            <w:rStyle w:val="Hyperlink"/>
            <w:rFonts w:eastAsia="Helvetica Neue" w:cstheme="majorHAnsi"/>
            <w:color w:val="000000" w:themeColor="text1"/>
            <w:u w:val="none"/>
          </w:rPr>
          <w:t>rsons</w:t>
        </w:r>
        <w:r w:rsidR="00B7486B" w:rsidRPr="00D11A90">
          <w:rPr>
            <w:rStyle w:val="Hyperlink"/>
            <w:rFonts w:eastAsia="Helvetica Neue" w:cstheme="majorHAnsi"/>
            <w:color w:val="000000" w:themeColor="text1"/>
            <w:u w:val="none"/>
          </w:rPr>
          <w:t xml:space="preserve"> with Disabilities</w:t>
        </w:r>
      </w:hyperlink>
    </w:p>
    <w:p w14:paraId="26417678" w14:textId="7F072709" w:rsidR="001D3DF9" w:rsidRPr="006257E3" w:rsidRDefault="00B90992" w:rsidP="00D11A90">
      <w:pPr>
        <w:spacing w:before="0" w:after="60"/>
        <w:ind w:left="273" w:right="-994" w:hanging="547"/>
        <w:rPr>
          <w:rFonts w:eastAsia="Helvetica Neue" w:cstheme="majorHAnsi"/>
          <w:color w:val="000000" w:themeColor="text1"/>
        </w:rPr>
      </w:pPr>
      <w:hyperlink w:anchor="SRHRcse" w:history="1">
        <w:r w:rsidR="00B7486B" w:rsidRPr="006257E3">
          <w:rPr>
            <w:rStyle w:val="Hyperlink"/>
            <w:rFonts w:eastAsia="Helvetica Neue" w:cstheme="majorHAnsi"/>
            <w:color w:val="000000" w:themeColor="text1"/>
            <w:u w:val="none"/>
          </w:rPr>
          <w:t>4.5</w:t>
        </w:r>
        <w:r w:rsidR="00B7486B" w:rsidRPr="006257E3">
          <w:rPr>
            <w:rStyle w:val="Hyperlink"/>
            <w:rFonts w:eastAsia="Helvetica Neue" w:cstheme="majorHAnsi"/>
            <w:color w:val="000000" w:themeColor="text1"/>
            <w:u w:val="none"/>
          </w:rPr>
          <w:tab/>
          <w:t>Comprehensive Sexuality Education and Information Services for Women and Young Pe</w:t>
        </w:r>
        <w:r w:rsidR="00024E2F" w:rsidRPr="006257E3">
          <w:rPr>
            <w:rStyle w:val="Hyperlink"/>
            <w:rFonts w:eastAsia="Helvetica Neue" w:cstheme="majorHAnsi"/>
            <w:color w:val="000000" w:themeColor="text1"/>
            <w:u w:val="none"/>
          </w:rPr>
          <w:t>rsons</w:t>
        </w:r>
        <w:r w:rsidR="00B7486B" w:rsidRPr="006257E3">
          <w:rPr>
            <w:rStyle w:val="Hyperlink"/>
            <w:rFonts w:eastAsia="Helvetica Neue" w:cstheme="majorHAnsi"/>
            <w:color w:val="000000" w:themeColor="text1"/>
            <w:u w:val="none"/>
          </w:rPr>
          <w:t xml:space="preserve"> with Disabilities</w:t>
        </w:r>
      </w:hyperlink>
    </w:p>
    <w:p w14:paraId="386A95C3" w14:textId="43AE4B62" w:rsidR="001D3DF9" w:rsidRPr="00D11A90" w:rsidRDefault="00B90992" w:rsidP="00D11A90">
      <w:pPr>
        <w:spacing w:before="0" w:after="60"/>
        <w:ind w:left="273" w:right="-540" w:hanging="547"/>
        <w:rPr>
          <w:rFonts w:eastAsia="Helvetica Neue" w:cstheme="majorHAnsi"/>
          <w:color w:val="000000" w:themeColor="text1"/>
        </w:rPr>
      </w:pPr>
      <w:hyperlink w:anchor="SRHRsti" w:history="1">
        <w:r w:rsidR="00B7486B" w:rsidRPr="00D11A90">
          <w:rPr>
            <w:rStyle w:val="Hyperlink"/>
            <w:rFonts w:eastAsia="Helvetica Neue" w:cstheme="majorHAnsi"/>
            <w:color w:val="000000" w:themeColor="text1"/>
            <w:u w:val="none"/>
          </w:rPr>
          <w:t>4.6</w:t>
        </w:r>
        <w:r w:rsidR="00B7486B" w:rsidRPr="00D11A90">
          <w:rPr>
            <w:rStyle w:val="Hyperlink"/>
            <w:rFonts w:eastAsia="Helvetica Neue" w:cstheme="majorHAnsi"/>
            <w:color w:val="000000" w:themeColor="text1"/>
            <w:u w:val="none"/>
          </w:rPr>
          <w:tab/>
          <w:t>Information, Testing, and Treatment Services for Sexually Transmitted Infection, including HIV/AIDS, for Women and Young Pe</w:t>
        </w:r>
        <w:r w:rsidR="00024E2F" w:rsidRPr="00D11A90">
          <w:rPr>
            <w:rStyle w:val="Hyperlink"/>
            <w:rFonts w:eastAsia="Helvetica Neue" w:cstheme="majorHAnsi"/>
            <w:color w:val="000000" w:themeColor="text1"/>
            <w:u w:val="none"/>
          </w:rPr>
          <w:t>rsons</w:t>
        </w:r>
        <w:r w:rsidR="00B7486B" w:rsidRPr="00D11A90">
          <w:rPr>
            <w:rStyle w:val="Hyperlink"/>
            <w:rFonts w:eastAsia="Helvetica Neue" w:cstheme="majorHAnsi"/>
            <w:color w:val="000000" w:themeColor="text1"/>
            <w:u w:val="none"/>
          </w:rPr>
          <w:t xml:space="preserve"> with Disabilities</w:t>
        </w:r>
      </w:hyperlink>
    </w:p>
    <w:p w14:paraId="6C002E35" w14:textId="4FB8A632" w:rsidR="001D3DF9" w:rsidRPr="00D11A90" w:rsidRDefault="00B90992" w:rsidP="00D11A90">
      <w:pPr>
        <w:spacing w:before="0" w:after="60"/>
        <w:ind w:left="273" w:right="-994" w:hanging="547"/>
        <w:rPr>
          <w:rFonts w:eastAsia="Helvetica Neue" w:cstheme="majorHAnsi"/>
          <w:color w:val="000000" w:themeColor="text1"/>
        </w:rPr>
      </w:pPr>
      <w:hyperlink w:anchor="SRHRwomen" w:history="1">
        <w:r w:rsidR="00B7486B" w:rsidRPr="00D11A90">
          <w:rPr>
            <w:rStyle w:val="Hyperlink"/>
            <w:rFonts w:eastAsia="Helvetica Neue" w:cstheme="majorHAnsi"/>
            <w:color w:val="000000" w:themeColor="text1"/>
            <w:u w:val="none"/>
          </w:rPr>
          <w:t xml:space="preserve">4.7 </w:t>
        </w:r>
        <w:r w:rsidR="00B7486B" w:rsidRPr="00D11A90">
          <w:rPr>
            <w:rStyle w:val="Hyperlink"/>
            <w:rFonts w:eastAsia="Helvetica Neue" w:cstheme="majorHAnsi"/>
            <w:color w:val="000000" w:themeColor="text1"/>
            <w:u w:val="none"/>
          </w:rPr>
          <w:tab/>
          <w:t>Access to Other Women’s Health Information and Services for Women and Adolescent Girls with Disabilities</w:t>
        </w:r>
      </w:hyperlink>
    </w:p>
    <w:p w14:paraId="5DF99552" w14:textId="027966D6" w:rsidR="001D3DF9" w:rsidRPr="00D11A90" w:rsidRDefault="00B90992" w:rsidP="00D11A90">
      <w:pPr>
        <w:spacing w:before="0" w:after="60"/>
        <w:ind w:left="273" w:right="-994" w:hanging="547"/>
        <w:rPr>
          <w:rFonts w:eastAsia="Helvetica Neue" w:cstheme="majorHAnsi"/>
          <w:color w:val="000000" w:themeColor="text1"/>
        </w:rPr>
      </w:pPr>
      <w:hyperlink w:anchor="SRHRyouth" w:history="1">
        <w:r w:rsidR="00B7486B" w:rsidRPr="00D11A90">
          <w:rPr>
            <w:rStyle w:val="Hyperlink"/>
            <w:rFonts w:eastAsia="Helvetica Neue" w:cstheme="majorHAnsi"/>
            <w:color w:val="000000" w:themeColor="text1"/>
            <w:u w:val="none"/>
          </w:rPr>
          <w:t>4.8</w:t>
        </w:r>
        <w:r w:rsidR="00B7486B" w:rsidRPr="00D11A90">
          <w:rPr>
            <w:rStyle w:val="Hyperlink"/>
            <w:rFonts w:eastAsia="Helvetica Neue" w:cstheme="majorHAnsi"/>
            <w:color w:val="000000" w:themeColor="text1"/>
            <w:u w:val="none"/>
          </w:rPr>
          <w:tab/>
          <w:t>Adolescent and Youth with Disabilities’ Access to Health Information and Services</w:t>
        </w:r>
      </w:hyperlink>
    </w:p>
    <w:p w14:paraId="6A382F11" w14:textId="7486A17C" w:rsidR="001D3DF9" w:rsidRPr="006257E3" w:rsidRDefault="00B90992" w:rsidP="006257E3">
      <w:pPr>
        <w:pStyle w:val="TOC1"/>
        <w:rPr>
          <w:rStyle w:val="Hyperlink"/>
          <w:color w:val="E36C0A" w:themeColor="accent6" w:themeShade="BF"/>
          <w:u w:val="none"/>
        </w:rPr>
      </w:pPr>
      <w:hyperlink w:anchor="Chapter5" w:history="1">
        <w:r w:rsidR="00B7486B" w:rsidRPr="006257E3">
          <w:rPr>
            <w:rStyle w:val="Hyperlink"/>
            <w:color w:val="E36C0A" w:themeColor="accent6" w:themeShade="BF"/>
            <w:u w:val="none"/>
          </w:rPr>
          <w:t>Chapter 5: Glossary and Resources</w:t>
        </w:r>
      </w:hyperlink>
    </w:p>
    <w:p w14:paraId="087281B6" w14:textId="67ECB7A3" w:rsidR="001D3DF9" w:rsidRPr="00D11A90" w:rsidRDefault="00B90992" w:rsidP="00D11A90">
      <w:pPr>
        <w:spacing w:before="0" w:after="60"/>
        <w:ind w:left="273" w:right="-994" w:hanging="547"/>
        <w:rPr>
          <w:rFonts w:eastAsia="Helvetica Neue" w:cstheme="majorHAnsi"/>
          <w:color w:val="000000" w:themeColor="text1"/>
        </w:rPr>
      </w:pPr>
      <w:hyperlink w:anchor="Glossary" w:history="1">
        <w:r w:rsidR="00B7486B" w:rsidRPr="00D11A90">
          <w:rPr>
            <w:rStyle w:val="Hyperlink"/>
            <w:rFonts w:eastAsia="Helvetica Neue" w:cstheme="majorHAnsi"/>
            <w:color w:val="000000" w:themeColor="text1"/>
            <w:u w:val="none"/>
          </w:rPr>
          <w:t>5.1</w:t>
        </w:r>
        <w:r w:rsidR="00B7486B" w:rsidRPr="00D11A90">
          <w:rPr>
            <w:rStyle w:val="Hyperlink"/>
            <w:rFonts w:eastAsia="Helvetica Neue" w:cstheme="majorHAnsi"/>
            <w:color w:val="000000" w:themeColor="text1"/>
            <w:u w:val="none"/>
          </w:rPr>
          <w:tab/>
          <w:t>Glossary</w:t>
        </w:r>
      </w:hyperlink>
    </w:p>
    <w:p w14:paraId="60B9114C" w14:textId="73494AD1" w:rsidR="00F409EC" w:rsidRDefault="00B90992" w:rsidP="00D11A90">
      <w:pPr>
        <w:spacing w:before="0" w:after="60"/>
        <w:ind w:left="273" w:right="-994" w:hanging="547"/>
        <w:rPr>
          <w:rFonts w:eastAsia="Helvetica Neue"/>
          <w:b/>
          <w:color w:val="E36C0A" w:themeColor="accent6" w:themeShade="BF"/>
          <w:kern w:val="24"/>
          <w:sz w:val="32"/>
          <w:szCs w:val="32"/>
        </w:rPr>
      </w:pPr>
      <w:hyperlink w:anchor="Resources" w:history="1">
        <w:r w:rsidR="00B7486B" w:rsidRPr="00D11A90">
          <w:rPr>
            <w:rStyle w:val="Hyperlink"/>
            <w:rFonts w:eastAsia="Helvetica Neue" w:cstheme="majorHAnsi"/>
            <w:color w:val="000000" w:themeColor="text1"/>
            <w:u w:val="none"/>
          </w:rPr>
          <w:t>5.2</w:t>
        </w:r>
        <w:r w:rsidR="00B7486B" w:rsidRPr="00D11A90">
          <w:rPr>
            <w:rStyle w:val="Hyperlink"/>
            <w:rFonts w:eastAsia="Helvetica Neue" w:cstheme="majorHAnsi"/>
            <w:color w:val="000000" w:themeColor="text1"/>
            <w:u w:val="none"/>
          </w:rPr>
          <w:tab/>
          <w:t>Resources</w:t>
        </w:r>
      </w:hyperlink>
      <w:r w:rsidR="00F409EC" w:rsidRPr="0060005C">
        <w:rPr>
          <w:rStyle w:val="Hyperlink"/>
          <w:rFonts w:eastAsia="Helvetica Neue" w:cstheme="majorHAnsi"/>
          <w:b/>
          <w:color w:val="000000" w:themeColor="text1"/>
          <w:u w:val="none"/>
        </w:rPr>
        <w:br w:type="page"/>
      </w:r>
    </w:p>
    <w:p w14:paraId="13AD4ABA" w14:textId="10492264" w:rsidR="00D5357E" w:rsidRPr="005A2720" w:rsidRDefault="00D5357E" w:rsidP="005A2720">
      <w:pPr>
        <w:pStyle w:val="Heading2"/>
      </w:pPr>
      <w:r w:rsidRPr="005A2720">
        <w:lastRenderedPageBreak/>
        <w:t>Summary</w:t>
      </w:r>
    </w:p>
    <w:p w14:paraId="7A188933" w14:textId="5DC829F0" w:rsidR="00D5357E" w:rsidRDefault="00D5357E" w:rsidP="00D5357E">
      <w:pPr>
        <w:rPr>
          <w:rFonts w:eastAsia="Helvetica Neue"/>
          <w:color w:val="000000"/>
        </w:rPr>
      </w:pPr>
      <w:r w:rsidRPr="00D85FB0">
        <w:t>The following</w:t>
      </w:r>
      <w:r>
        <w:t xml:space="preserve"> </w:t>
      </w:r>
      <w:r w:rsidR="003A2485">
        <w:t>lists</w:t>
      </w:r>
      <w:r w:rsidRPr="00D85FB0">
        <w:t xml:space="preserve"> provide a summary of </w:t>
      </w:r>
      <w:r w:rsidRPr="008D2B6F">
        <w:rPr>
          <w:rStyle w:val="Bold"/>
        </w:rPr>
        <w:t>Women and Young Persons with Disabilities</w:t>
      </w:r>
      <w:r w:rsidRPr="003A2485">
        <w:rPr>
          <w:b/>
          <w:bCs/>
        </w:rPr>
        <w:t xml:space="preserve">: </w:t>
      </w:r>
      <w:r w:rsidRPr="008D2B6F">
        <w:rPr>
          <w:rStyle w:val="Bold"/>
        </w:rPr>
        <w:t>Guidelines for Providing Rights-Based and Gender-Responsive Services to Address Gender-Based Violence and Sexual and Reproductive Health and Rights.</w:t>
      </w:r>
    </w:p>
    <w:p w14:paraId="5950328F" w14:textId="6234B9BA" w:rsidR="00D5357E" w:rsidRPr="003A2485" w:rsidRDefault="00D5357E" w:rsidP="00A85D5F">
      <w:pPr>
        <w:pStyle w:val="BoldListHeader"/>
      </w:pPr>
      <w:r w:rsidRPr="003A2485">
        <w:t>Foundational guidelines for action</w:t>
      </w:r>
    </w:p>
    <w:p w14:paraId="74B0802C" w14:textId="2A4F5149" w:rsidR="00D5357E" w:rsidRPr="003A2485" w:rsidRDefault="00D5357E" w:rsidP="006E6012">
      <w:pPr>
        <w:pStyle w:val="ListParagraph"/>
        <w:numPr>
          <w:ilvl w:val="0"/>
          <w:numId w:val="3"/>
        </w:numPr>
        <w:spacing w:before="0" w:after="0"/>
      </w:pPr>
      <w:r w:rsidRPr="003A2485">
        <w:t>Creating an enabling legislative and policy environment.</w:t>
      </w:r>
    </w:p>
    <w:p w14:paraId="32320B3A" w14:textId="3FEE16FD" w:rsidR="00D5357E" w:rsidRPr="003A2485" w:rsidRDefault="00D5357E" w:rsidP="006E6012">
      <w:pPr>
        <w:pStyle w:val="ListParagraph"/>
        <w:numPr>
          <w:ilvl w:val="0"/>
          <w:numId w:val="4"/>
        </w:numPr>
        <w:spacing w:before="0" w:after="0"/>
      </w:pPr>
      <w:r w:rsidRPr="003A2485">
        <w:t xml:space="preserve">Legal Environment Assessment and Monitoring </w:t>
      </w:r>
    </w:p>
    <w:p w14:paraId="44E571A2" w14:textId="2BF4CDF7" w:rsidR="00D5357E" w:rsidRPr="003A2485" w:rsidRDefault="00D5357E" w:rsidP="006E6012">
      <w:pPr>
        <w:pStyle w:val="ListParagraph"/>
        <w:numPr>
          <w:ilvl w:val="0"/>
          <w:numId w:val="4"/>
        </w:numPr>
        <w:spacing w:before="0" w:after="0"/>
      </w:pPr>
      <w:r w:rsidRPr="003A2485">
        <w:t xml:space="preserve">Legislative Advocacy and Lobbying </w:t>
      </w:r>
    </w:p>
    <w:p w14:paraId="31452B38" w14:textId="698E3F57" w:rsidR="00D5357E" w:rsidRPr="003A2485" w:rsidRDefault="00D5357E" w:rsidP="006E6012">
      <w:pPr>
        <w:pStyle w:val="ListParagraph"/>
        <w:numPr>
          <w:ilvl w:val="0"/>
          <w:numId w:val="4"/>
        </w:numPr>
        <w:spacing w:before="0" w:after="0"/>
      </w:pPr>
      <w:r w:rsidRPr="003A2485">
        <w:t xml:space="preserve">National Policies and Plans </w:t>
      </w:r>
    </w:p>
    <w:p w14:paraId="6CDC7374" w14:textId="1120D8CE" w:rsidR="00D5357E" w:rsidRPr="003A2485" w:rsidRDefault="00D5357E" w:rsidP="006E6012">
      <w:pPr>
        <w:pStyle w:val="ListParagraph"/>
        <w:numPr>
          <w:ilvl w:val="0"/>
          <w:numId w:val="3"/>
        </w:numPr>
        <w:spacing w:before="60" w:after="0"/>
      </w:pPr>
      <w:r w:rsidRPr="003A2485">
        <w:t>Programme development, implementation, and monitoring.</w:t>
      </w:r>
    </w:p>
    <w:p w14:paraId="6046115D" w14:textId="342A1567" w:rsidR="00D5357E" w:rsidRPr="003A2485" w:rsidRDefault="00D5357E" w:rsidP="006E6012">
      <w:pPr>
        <w:pStyle w:val="ListParagraph"/>
        <w:numPr>
          <w:ilvl w:val="0"/>
          <w:numId w:val="5"/>
        </w:numPr>
        <w:spacing w:before="0" w:after="0"/>
      </w:pPr>
      <w:r w:rsidRPr="003A2485">
        <w:t>Engagement of Women and Young Persons with Disabilities</w:t>
      </w:r>
    </w:p>
    <w:p w14:paraId="7B151019" w14:textId="4D83DD98" w:rsidR="00D5357E" w:rsidRPr="003A2485" w:rsidRDefault="00D5357E" w:rsidP="006E6012">
      <w:pPr>
        <w:pStyle w:val="ListParagraph"/>
        <w:numPr>
          <w:ilvl w:val="0"/>
          <w:numId w:val="5"/>
        </w:numPr>
        <w:spacing w:before="0" w:after="0"/>
      </w:pPr>
      <w:r w:rsidRPr="003A2485">
        <w:t xml:space="preserve">Capacity Building </w:t>
      </w:r>
    </w:p>
    <w:p w14:paraId="72177DD3" w14:textId="56D8ED81" w:rsidR="00D5357E" w:rsidRPr="003A2485" w:rsidRDefault="00D5357E" w:rsidP="006E6012">
      <w:pPr>
        <w:pStyle w:val="ListParagraph"/>
        <w:numPr>
          <w:ilvl w:val="0"/>
          <w:numId w:val="5"/>
        </w:numPr>
        <w:spacing w:before="0" w:after="0"/>
      </w:pPr>
      <w:r w:rsidRPr="003A2485">
        <w:t xml:space="preserve">Programme Delivery </w:t>
      </w:r>
    </w:p>
    <w:p w14:paraId="0A42F37A" w14:textId="5B1C4D2C" w:rsidR="00D5357E" w:rsidRPr="003A2485" w:rsidRDefault="00D5357E" w:rsidP="006E6012">
      <w:pPr>
        <w:pStyle w:val="ListParagraph"/>
        <w:numPr>
          <w:ilvl w:val="0"/>
          <w:numId w:val="5"/>
        </w:numPr>
        <w:spacing w:before="0" w:after="0"/>
      </w:pPr>
      <w:r w:rsidRPr="003A2485">
        <w:t>Available Services</w:t>
      </w:r>
    </w:p>
    <w:p w14:paraId="4583517B" w14:textId="67C96C9F" w:rsidR="00D5357E" w:rsidRPr="003A2485" w:rsidRDefault="00D5357E" w:rsidP="006E6012">
      <w:pPr>
        <w:pStyle w:val="ListParagraph"/>
        <w:numPr>
          <w:ilvl w:val="0"/>
          <w:numId w:val="5"/>
        </w:numPr>
        <w:spacing w:before="0" w:after="0"/>
      </w:pPr>
      <w:r w:rsidRPr="003A2485">
        <w:t xml:space="preserve">Effective Identification of Needs and Referrals </w:t>
      </w:r>
    </w:p>
    <w:p w14:paraId="59D9C46F" w14:textId="3558EF39" w:rsidR="00D5357E" w:rsidRPr="003A2485" w:rsidRDefault="00D5357E" w:rsidP="006E6012">
      <w:pPr>
        <w:pStyle w:val="ListParagraph"/>
        <w:numPr>
          <w:ilvl w:val="0"/>
          <w:numId w:val="5"/>
        </w:numPr>
        <w:spacing w:before="0" w:after="0"/>
      </w:pPr>
      <w:r w:rsidRPr="003A2485">
        <w:t>Accessible Services / Accommodations</w:t>
      </w:r>
    </w:p>
    <w:p w14:paraId="1251AD9E" w14:textId="2FDE20EB" w:rsidR="00D5357E" w:rsidRPr="003A2485" w:rsidRDefault="00D5357E" w:rsidP="006E6012">
      <w:pPr>
        <w:pStyle w:val="ListParagraph"/>
        <w:numPr>
          <w:ilvl w:val="0"/>
          <w:numId w:val="5"/>
        </w:numPr>
        <w:spacing w:before="0" w:after="0"/>
      </w:pPr>
      <w:r w:rsidRPr="003A2485">
        <w:t xml:space="preserve">Acceptable Services </w:t>
      </w:r>
    </w:p>
    <w:p w14:paraId="627E5153" w14:textId="77A1AE96" w:rsidR="00D5357E" w:rsidRPr="003A2485" w:rsidRDefault="00D5357E" w:rsidP="006E6012">
      <w:pPr>
        <w:pStyle w:val="ListParagraph"/>
        <w:numPr>
          <w:ilvl w:val="0"/>
          <w:numId w:val="5"/>
        </w:numPr>
        <w:spacing w:before="0" w:after="0"/>
      </w:pPr>
      <w:r w:rsidRPr="003A2485">
        <w:t>Quality Services</w:t>
      </w:r>
    </w:p>
    <w:p w14:paraId="2302CF92" w14:textId="10B39AD2" w:rsidR="00D5357E" w:rsidRPr="003A2485" w:rsidRDefault="00D5357E" w:rsidP="006E6012">
      <w:pPr>
        <w:pStyle w:val="ListParagraph"/>
        <w:numPr>
          <w:ilvl w:val="0"/>
          <w:numId w:val="5"/>
        </w:numPr>
        <w:spacing w:before="0" w:after="0"/>
      </w:pPr>
      <w:r w:rsidRPr="003A2485">
        <w:t xml:space="preserve">Rights Based Services </w:t>
      </w:r>
    </w:p>
    <w:p w14:paraId="3DE1D587" w14:textId="5547142C" w:rsidR="00D5357E" w:rsidRPr="003A2485" w:rsidRDefault="00D5357E" w:rsidP="006E6012">
      <w:pPr>
        <w:pStyle w:val="ListParagraph"/>
        <w:numPr>
          <w:ilvl w:val="0"/>
          <w:numId w:val="5"/>
        </w:numPr>
        <w:spacing w:before="0" w:after="0"/>
      </w:pPr>
      <w:r w:rsidRPr="003A2485">
        <w:t xml:space="preserve">Data Collection and Monitoring </w:t>
      </w:r>
    </w:p>
    <w:p w14:paraId="19520112" w14:textId="24892CEA" w:rsidR="00D5357E" w:rsidRPr="003A2485" w:rsidRDefault="00D5357E" w:rsidP="006E6012">
      <w:pPr>
        <w:pStyle w:val="ListParagraph"/>
        <w:numPr>
          <w:ilvl w:val="0"/>
          <w:numId w:val="3"/>
        </w:numPr>
        <w:spacing w:before="60" w:after="0"/>
      </w:pPr>
      <w:r w:rsidRPr="003A2485">
        <w:t>Accessible facilities</w:t>
      </w:r>
    </w:p>
    <w:p w14:paraId="79FFD718" w14:textId="31ABADC3" w:rsidR="00D5357E" w:rsidRPr="003A2485" w:rsidRDefault="00D5357E" w:rsidP="006E6012">
      <w:pPr>
        <w:pStyle w:val="ListParagraph"/>
        <w:numPr>
          <w:ilvl w:val="0"/>
          <w:numId w:val="6"/>
        </w:numPr>
        <w:spacing w:before="0" w:after="0"/>
      </w:pPr>
      <w:r w:rsidRPr="003A2485">
        <w:t>Identifying Barriers</w:t>
      </w:r>
    </w:p>
    <w:p w14:paraId="66EB9F77" w14:textId="2235D67A" w:rsidR="00D5357E" w:rsidRPr="003A2485" w:rsidRDefault="00D5357E" w:rsidP="006E6012">
      <w:pPr>
        <w:pStyle w:val="ListParagraph"/>
        <w:numPr>
          <w:ilvl w:val="0"/>
          <w:numId w:val="6"/>
        </w:numPr>
        <w:spacing w:before="0" w:after="0"/>
      </w:pPr>
      <w:r w:rsidRPr="003A2485">
        <w:t xml:space="preserve">Physical Accessibility </w:t>
      </w:r>
    </w:p>
    <w:p w14:paraId="785179DC" w14:textId="0671C87C" w:rsidR="00D5357E" w:rsidRPr="003A2485" w:rsidRDefault="00D5357E" w:rsidP="006E6012">
      <w:pPr>
        <w:pStyle w:val="ListParagraph"/>
        <w:numPr>
          <w:ilvl w:val="0"/>
          <w:numId w:val="6"/>
        </w:numPr>
        <w:spacing w:before="0" w:after="0"/>
      </w:pPr>
      <w:r w:rsidRPr="003A2485">
        <w:t xml:space="preserve">Sensory Accessibility </w:t>
      </w:r>
    </w:p>
    <w:p w14:paraId="68BCE0C2" w14:textId="5624FF6F" w:rsidR="00D5357E" w:rsidRPr="003A2485" w:rsidRDefault="00D5357E" w:rsidP="006E6012">
      <w:pPr>
        <w:pStyle w:val="ListParagraph"/>
        <w:numPr>
          <w:ilvl w:val="0"/>
          <w:numId w:val="6"/>
        </w:numPr>
        <w:spacing w:before="0" w:after="0"/>
      </w:pPr>
      <w:r w:rsidRPr="003A2485">
        <w:t>Information and Communication Accessibility</w:t>
      </w:r>
    </w:p>
    <w:p w14:paraId="31076BC9" w14:textId="64681C9D" w:rsidR="00D5357E" w:rsidRPr="003A2485" w:rsidRDefault="00D5357E" w:rsidP="006E6012">
      <w:pPr>
        <w:pStyle w:val="ListParagraph"/>
        <w:numPr>
          <w:ilvl w:val="0"/>
          <w:numId w:val="6"/>
        </w:numPr>
        <w:spacing w:before="0" w:after="0"/>
      </w:pPr>
      <w:r w:rsidRPr="003A2485">
        <w:t>Economic Accessibility</w:t>
      </w:r>
    </w:p>
    <w:p w14:paraId="28DBFF8D" w14:textId="77777777" w:rsidR="00D5357E" w:rsidRPr="003A2485" w:rsidRDefault="00D5357E" w:rsidP="0094756C">
      <w:pPr>
        <w:pStyle w:val="BoldListHeader"/>
        <w:contextualSpacing/>
      </w:pPr>
      <w:r w:rsidRPr="003A2485">
        <w:t>GBV Services</w:t>
      </w:r>
    </w:p>
    <w:p w14:paraId="1AE79659" w14:textId="7ACE53B6" w:rsidR="00D5357E" w:rsidRPr="003A2485" w:rsidRDefault="00D5357E" w:rsidP="006E6012">
      <w:pPr>
        <w:pStyle w:val="ListParagraph"/>
        <w:numPr>
          <w:ilvl w:val="0"/>
          <w:numId w:val="7"/>
        </w:numPr>
        <w:spacing w:before="0"/>
        <w:contextualSpacing/>
      </w:pPr>
      <w:r w:rsidRPr="003A2485">
        <w:t>GBV prevention</w:t>
      </w:r>
    </w:p>
    <w:p w14:paraId="417F8ACE" w14:textId="586E6E5E" w:rsidR="00D5357E" w:rsidRPr="003A2485" w:rsidRDefault="00D5357E" w:rsidP="006E6012">
      <w:pPr>
        <w:pStyle w:val="ListParagraph"/>
        <w:numPr>
          <w:ilvl w:val="0"/>
          <w:numId w:val="7"/>
        </w:numPr>
        <w:contextualSpacing/>
      </w:pPr>
      <w:r w:rsidRPr="003A2485">
        <w:t xml:space="preserve">Health services for GBV victims/survivors </w:t>
      </w:r>
    </w:p>
    <w:p w14:paraId="54FCDCB2" w14:textId="6FD6C1D9" w:rsidR="00D5357E" w:rsidRPr="003A2485" w:rsidRDefault="00D5357E" w:rsidP="006E6012">
      <w:pPr>
        <w:pStyle w:val="ListParagraph"/>
        <w:numPr>
          <w:ilvl w:val="0"/>
          <w:numId w:val="7"/>
        </w:numPr>
        <w:contextualSpacing/>
      </w:pPr>
      <w:r w:rsidRPr="003A2485">
        <w:t xml:space="preserve">Justice and policing services </w:t>
      </w:r>
    </w:p>
    <w:p w14:paraId="03AB8D08" w14:textId="1CD78437" w:rsidR="00D5357E" w:rsidRPr="003A2485" w:rsidRDefault="00D5357E" w:rsidP="006E6012">
      <w:pPr>
        <w:pStyle w:val="ListParagraph"/>
        <w:numPr>
          <w:ilvl w:val="0"/>
          <w:numId w:val="7"/>
        </w:numPr>
        <w:contextualSpacing/>
      </w:pPr>
      <w:r w:rsidRPr="003A2485">
        <w:t xml:space="preserve">Social Services—protection services </w:t>
      </w:r>
    </w:p>
    <w:p w14:paraId="674E22C0" w14:textId="12F7F87E" w:rsidR="00D5357E" w:rsidRPr="003A2485" w:rsidRDefault="00D5357E" w:rsidP="006E6012">
      <w:pPr>
        <w:pStyle w:val="ListParagraph"/>
        <w:numPr>
          <w:ilvl w:val="0"/>
          <w:numId w:val="7"/>
        </w:numPr>
        <w:contextualSpacing/>
      </w:pPr>
      <w:r w:rsidRPr="003A2485">
        <w:t>Social Services—rehabilitation services</w:t>
      </w:r>
    </w:p>
    <w:p w14:paraId="3B981E74" w14:textId="4E04AA54" w:rsidR="00D5357E" w:rsidRPr="003A2485" w:rsidRDefault="00D5357E" w:rsidP="006E6012">
      <w:pPr>
        <w:pStyle w:val="ListParagraph"/>
        <w:numPr>
          <w:ilvl w:val="0"/>
          <w:numId w:val="7"/>
        </w:numPr>
        <w:contextualSpacing/>
      </w:pPr>
      <w:r w:rsidRPr="003A2485">
        <w:t>GBV services for women and young persons with disabilities in institutional settings</w:t>
      </w:r>
    </w:p>
    <w:p w14:paraId="55D527E6" w14:textId="240726F8" w:rsidR="00D5357E" w:rsidRPr="003A2485" w:rsidRDefault="00D5357E" w:rsidP="006E6012">
      <w:pPr>
        <w:pStyle w:val="ListParagraph"/>
        <w:numPr>
          <w:ilvl w:val="0"/>
          <w:numId w:val="7"/>
        </w:numPr>
        <w:contextualSpacing/>
      </w:pPr>
      <w:r w:rsidRPr="003A2485">
        <w:t>Adolescent- and youth-friendly GBV services</w:t>
      </w:r>
    </w:p>
    <w:p w14:paraId="5D42374F" w14:textId="77777777" w:rsidR="00D5357E" w:rsidRPr="003A2485" w:rsidRDefault="00D5357E" w:rsidP="0094756C">
      <w:pPr>
        <w:pStyle w:val="BoldListHeader"/>
        <w:contextualSpacing/>
      </w:pPr>
      <w:r w:rsidRPr="003A2485">
        <w:t>SRHR Services</w:t>
      </w:r>
    </w:p>
    <w:p w14:paraId="44837FC4" w14:textId="416EB263" w:rsidR="00D5357E" w:rsidRPr="003A2485" w:rsidRDefault="00D5357E" w:rsidP="006E6012">
      <w:pPr>
        <w:pStyle w:val="ListParagraph"/>
        <w:numPr>
          <w:ilvl w:val="0"/>
          <w:numId w:val="8"/>
        </w:numPr>
        <w:spacing w:before="0"/>
        <w:contextualSpacing/>
      </w:pPr>
      <w:r w:rsidRPr="003A2485">
        <w:t>Contraceptive information, goods, and services</w:t>
      </w:r>
    </w:p>
    <w:p w14:paraId="03C963FD" w14:textId="4EBE65F1" w:rsidR="00D5357E" w:rsidRPr="003A2485" w:rsidRDefault="00D5357E" w:rsidP="006E6012">
      <w:pPr>
        <w:pStyle w:val="ListParagraph"/>
        <w:numPr>
          <w:ilvl w:val="0"/>
          <w:numId w:val="8"/>
        </w:numPr>
        <w:contextualSpacing/>
      </w:pPr>
      <w:r w:rsidRPr="003A2485">
        <w:t>Maternal and newborn health services</w:t>
      </w:r>
    </w:p>
    <w:p w14:paraId="600D95F5" w14:textId="7959B08E" w:rsidR="00D5357E" w:rsidRPr="003A2485" w:rsidRDefault="00D5357E" w:rsidP="006E6012">
      <w:pPr>
        <w:pStyle w:val="ListParagraph"/>
        <w:numPr>
          <w:ilvl w:val="0"/>
          <w:numId w:val="8"/>
        </w:numPr>
        <w:contextualSpacing/>
      </w:pPr>
      <w:r w:rsidRPr="003A2485">
        <w:t>Comprehensive sexuality education and information</w:t>
      </w:r>
    </w:p>
    <w:p w14:paraId="043EC8ED" w14:textId="00D727E8" w:rsidR="00D5357E" w:rsidRPr="003A2485" w:rsidRDefault="00D5357E" w:rsidP="006E6012">
      <w:pPr>
        <w:pStyle w:val="ListParagraph"/>
        <w:numPr>
          <w:ilvl w:val="0"/>
          <w:numId w:val="8"/>
        </w:numPr>
        <w:ind w:right="-360"/>
        <w:contextualSpacing/>
      </w:pPr>
      <w:r w:rsidRPr="003A2485">
        <w:t>Information, testing, and treatment services for sexually transmitted infections, including HIV</w:t>
      </w:r>
    </w:p>
    <w:p w14:paraId="77AED54E" w14:textId="5922AD8C" w:rsidR="00D5357E" w:rsidRPr="003A2485" w:rsidRDefault="00D5357E" w:rsidP="006E6012">
      <w:pPr>
        <w:pStyle w:val="ListParagraph"/>
        <w:numPr>
          <w:ilvl w:val="0"/>
          <w:numId w:val="8"/>
        </w:numPr>
        <w:contextualSpacing/>
      </w:pPr>
      <w:r w:rsidRPr="003A2485">
        <w:t>Access to other women’s health information and services</w:t>
      </w:r>
    </w:p>
    <w:p w14:paraId="6C504ADA" w14:textId="77777777" w:rsidR="00F409EC" w:rsidRDefault="00D5357E" w:rsidP="006E6012">
      <w:pPr>
        <w:pStyle w:val="ListParagraph"/>
        <w:numPr>
          <w:ilvl w:val="0"/>
          <w:numId w:val="8"/>
        </w:numPr>
        <w:contextualSpacing/>
        <w:sectPr w:rsidR="00F409EC" w:rsidSect="00F409EC">
          <w:endnotePr>
            <w:numFmt w:val="decimal"/>
          </w:endnotePr>
          <w:type w:val="continuous"/>
          <w:pgSz w:w="12240" w:h="15840"/>
          <w:pgMar w:top="945" w:right="1440" w:bottom="1440" w:left="1440" w:header="0" w:footer="720" w:gutter="0"/>
          <w:pgNumType w:fmt="lowerRoman"/>
          <w:cols w:space="720"/>
        </w:sectPr>
      </w:pPr>
      <w:r w:rsidRPr="003A2485">
        <w:t>Adolescent- and youth-friendly health information and services.</w:t>
      </w:r>
    </w:p>
    <w:p w14:paraId="3F7A907C" w14:textId="65C456B1" w:rsidR="001D3DF9" w:rsidRPr="00A64CBE" w:rsidRDefault="003A2485" w:rsidP="003A2485">
      <w:pPr>
        <w:pStyle w:val="Heading1"/>
      </w:pPr>
      <w:bookmarkStart w:id="1" w:name="Overview"/>
      <w:r>
        <w:lastRenderedPageBreak/>
        <w:t>Chapter 1: Overview</w:t>
      </w:r>
    </w:p>
    <w:p w14:paraId="646A5145" w14:textId="016B179A" w:rsidR="001D3DF9" w:rsidRPr="005A2720" w:rsidRDefault="00B7486B" w:rsidP="003B0F67">
      <w:pPr>
        <w:pStyle w:val="Heading2"/>
        <w:spacing w:before="400" w:after="120"/>
        <w:ind w:left="547" w:right="-720" w:hanging="547"/>
      </w:pPr>
      <w:bookmarkStart w:id="2" w:name="Intro"/>
      <w:bookmarkEnd w:id="1"/>
      <w:r w:rsidRPr="005A2720">
        <w:t>1.1</w:t>
      </w:r>
      <w:bookmarkEnd w:id="2"/>
      <w:r w:rsidR="005A2720" w:rsidRPr="005A2720">
        <w:t xml:space="preserve"> </w:t>
      </w:r>
      <w:r w:rsidRPr="005A2720">
        <w:t>Introduction to GBV and SRHR-Based Service Provision Guidelines</w:t>
      </w:r>
    </w:p>
    <w:p w14:paraId="2D8E9F11" w14:textId="04240EAD" w:rsidR="001D3DF9" w:rsidRPr="005A2720" w:rsidRDefault="00B7486B" w:rsidP="005A2720">
      <w:pPr>
        <w:pStyle w:val="Heading3"/>
      </w:pPr>
      <w:r w:rsidRPr="005A2720">
        <w:t>1.1.1 Introduction</w:t>
      </w:r>
    </w:p>
    <w:p w14:paraId="0D719D9E" w14:textId="72EE4460" w:rsidR="003A2485" w:rsidRPr="000D6BA0" w:rsidRDefault="007727D1" w:rsidP="000D6BA0">
      <w:pPr>
        <w:rPr>
          <w:rFonts w:eastAsia="Helvetica Neue"/>
        </w:rPr>
      </w:pPr>
      <w:r w:rsidRPr="003A2485">
        <w:rPr>
          <w:rFonts w:eastAsia="Helvetica Neue"/>
          <w:b/>
          <w:bCs/>
        </w:rPr>
        <w:t>Women and Young Pe</w:t>
      </w:r>
      <w:r w:rsidR="0014285F" w:rsidRPr="003A2485">
        <w:rPr>
          <w:rFonts w:eastAsia="Helvetica Neue"/>
          <w:b/>
          <w:bCs/>
        </w:rPr>
        <w:t>rsons</w:t>
      </w:r>
      <w:r w:rsidRPr="003A2485">
        <w:rPr>
          <w:rFonts w:eastAsia="Helvetica Neue"/>
          <w:b/>
          <w:bCs/>
        </w:rPr>
        <w:t xml:space="preserve"> with Disabilities: </w:t>
      </w:r>
      <w:r w:rsidR="00B7486B" w:rsidRPr="003A2485">
        <w:rPr>
          <w:rFonts w:eastAsia="Helvetica Neue"/>
          <w:b/>
          <w:bCs/>
        </w:rPr>
        <w:t>Guidelines for Providing Rights-Based and Gender-Responsive Services to Address Gender-Based Violence (GBV) and Sexual and Reproductive Health and Rights (SRHR)</w:t>
      </w:r>
      <w:r w:rsidR="00B7486B" w:rsidRPr="0014285F">
        <w:rPr>
          <w:rFonts w:eastAsia="Helvetica Neue"/>
        </w:rPr>
        <w:t xml:space="preserve"> aim</w:t>
      </w:r>
      <w:r w:rsidR="0014285F">
        <w:rPr>
          <w:rFonts w:eastAsia="Helvetica Neue"/>
        </w:rPr>
        <w:t>s</w:t>
      </w:r>
      <w:r w:rsidR="00B7486B" w:rsidRPr="00A64CBE">
        <w:rPr>
          <w:rFonts w:eastAsia="Helvetica Neue"/>
        </w:rPr>
        <w:t xml:space="preserve"> to provide practical and concrete guidelines for making GBV and SRHR services more inclusive of and accessible to women and young pe</w:t>
      </w:r>
      <w:r w:rsidR="0014285F">
        <w:rPr>
          <w:rFonts w:eastAsia="Helvetica Neue"/>
        </w:rPr>
        <w:t>rsons</w:t>
      </w:r>
      <w:r w:rsidR="00B7486B" w:rsidRPr="00A64CBE">
        <w:rPr>
          <w:rFonts w:eastAsia="Helvetica Neue"/>
        </w:rPr>
        <w:t xml:space="preserve"> with disabilities and for targeting interventions to meet their disability-specific needs. </w:t>
      </w:r>
    </w:p>
    <w:p w14:paraId="6CE89530" w14:textId="2F4C8A28" w:rsidR="00FE25C0" w:rsidRPr="00FE25C0" w:rsidRDefault="00382156" w:rsidP="003473CF">
      <w:pPr>
        <w:pStyle w:val="Heading3"/>
        <w:spacing w:line="360" w:lineRule="auto"/>
        <w:ind w:left="540" w:hanging="270"/>
        <w:rPr>
          <w:u w:val="single"/>
        </w:rPr>
      </w:pPr>
      <w:r w:rsidRPr="00A6697D">
        <w:rPr>
          <w:noProof/>
        </w:rPr>
        <mc:AlternateContent>
          <mc:Choice Requires="wps">
            <w:drawing>
              <wp:inline distT="0" distB="0" distL="0" distR="0" wp14:anchorId="265CF607" wp14:editId="2E779EF9">
                <wp:extent cx="5163070" cy="0"/>
                <wp:effectExtent l="0" t="38100" r="31750" b="38100"/>
                <wp:docPr id="43" name="Straight Connector 43" descr="Text box follows"/>
                <wp:cNvGraphicFramePr/>
                <a:graphic xmlns:a="http://schemas.openxmlformats.org/drawingml/2006/main">
                  <a:graphicData uri="http://schemas.microsoft.com/office/word/2010/wordprocessingShape">
                    <wps:wsp>
                      <wps:cNvCnPr/>
                      <wps:spPr>
                        <a:xfrm>
                          <a:off x="0" y="0"/>
                          <a:ext cx="5163070" cy="0"/>
                        </a:xfrm>
                        <a:prstGeom prst="line">
                          <a:avLst/>
                        </a:prstGeom>
                        <a:ln w="76200">
                          <a:solidFill>
                            <a:schemeClr val="accent5">
                              <a:lumMod val="75000"/>
                            </a:schemeClr>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694EA5E6" id="Straight Connector 43" o:spid="_x0000_s1026" alt="Text box follows" style="visibility:visible;mso-wrap-style:square;mso-left-percent:-10001;mso-top-percent:-10001;mso-position-horizontal:absolute;mso-position-horizontal-relative:char;mso-position-vertical:absolute;mso-position-vertical-relative:line;mso-left-percent:-10001;mso-top-percent:-10001" from="0,0" to="406.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" strokecolor="#31849b [2408]" strokeweight="6pt">
                <w10:anchorlock/>
              </v:line>
            </w:pict>
          </mc:Fallback>
        </mc:AlternateContent>
      </w:r>
      <w:r w:rsidR="00FE25C0">
        <w:rPr>
          <w:u w:val="single"/>
        </w:rPr>
        <w:br/>
      </w:r>
      <w:r w:rsidR="00B7486B" w:rsidRPr="00382156">
        <w:rPr>
          <w:rStyle w:val="Heading4Char"/>
          <w:b/>
          <w:bCs/>
          <w:color w:val="31849B" w:themeColor="accent5" w:themeShade="BF"/>
        </w:rPr>
        <w:t>Who is a Person with a Disability?</w:t>
      </w:r>
      <w:r w:rsidR="00B7486B" w:rsidRPr="00382156">
        <w:rPr>
          <w:color w:val="31849B" w:themeColor="accent5" w:themeShade="BF"/>
        </w:rPr>
        <w:t xml:space="preserve"> </w:t>
      </w:r>
    </w:p>
    <w:p w14:paraId="304DE4BB" w14:textId="77777777" w:rsidR="00FE25C0" w:rsidRDefault="00B7486B" w:rsidP="00FE25C0">
      <w:pPr>
        <w:ind w:left="547" w:right="994"/>
        <w:rPr>
          <w:rFonts w:eastAsia="Helvetica Neue"/>
        </w:rPr>
      </w:pPr>
      <w:r w:rsidRPr="002B2FD5">
        <w:rPr>
          <w:rFonts w:eastAsia="Helvetica Neue"/>
        </w:rPr>
        <w:t>‘Person with a disability’ is the person-first language used by the</w:t>
      </w:r>
      <w:r w:rsidR="00C94E2E" w:rsidRPr="002B2FD5">
        <w:rPr>
          <w:rFonts w:eastAsia="Helvetica Neue"/>
        </w:rPr>
        <w:t xml:space="preserve"> United Nations (UN)</w:t>
      </w:r>
      <w:r w:rsidRPr="002B2FD5">
        <w:rPr>
          <w:rFonts w:eastAsia="Helvetica Neue"/>
        </w:rPr>
        <w:t xml:space="preserve"> Convention on the Rights of Persons with Disabilities (CRPD). The CRPD explains that: “Persons with disabilities include those who have long-term physical, mental, intellectual or sensory impairments which in interaction with various barriers may hinder their full and effective participation in societ</w:t>
      </w:r>
      <w:r w:rsidR="00B315AE" w:rsidRPr="002B2FD5">
        <w:rPr>
          <w:rFonts w:eastAsia="Helvetica Neue"/>
        </w:rPr>
        <w:t>y on an equal basis with others</w:t>
      </w:r>
      <w:r w:rsidRPr="002B2FD5">
        <w:rPr>
          <w:rFonts w:eastAsia="Helvetica Neue"/>
        </w:rPr>
        <w:t>”</w:t>
      </w:r>
      <w:r w:rsidR="00182940" w:rsidRPr="002B2FD5">
        <w:rPr>
          <w:rFonts w:eastAsia="Helvetica Neue"/>
        </w:rPr>
        <w:t>.</w:t>
      </w:r>
      <w:r w:rsidR="00202866" w:rsidRPr="002B2FD5">
        <w:rPr>
          <w:rFonts w:eastAsia="Helvetica Neue"/>
          <w:vertAlign w:val="superscript"/>
        </w:rPr>
        <w:endnoteReference w:id="2"/>
      </w:r>
      <w:r w:rsidR="00202866" w:rsidRPr="002B2FD5">
        <w:rPr>
          <w:rFonts w:eastAsia="Helvetica Neue"/>
        </w:rPr>
        <w:t xml:space="preserve"> Th</w:t>
      </w:r>
      <w:r w:rsidR="00182940" w:rsidRPr="002B2FD5">
        <w:rPr>
          <w:rFonts w:eastAsia="Helvetica Neue"/>
        </w:rPr>
        <w:t>ese</w:t>
      </w:r>
      <w:r w:rsidR="00202866" w:rsidRPr="002B2FD5">
        <w:rPr>
          <w:rFonts w:eastAsia="Helvetica Neue"/>
        </w:rPr>
        <w:t xml:space="preserve"> Guid</w:t>
      </w:r>
      <w:r w:rsidR="00182940" w:rsidRPr="002B2FD5">
        <w:rPr>
          <w:rFonts w:eastAsia="Helvetica Neue"/>
        </w:rPr>
        <w:t>elines</w:t>
      </w:r>
      <w:r w:rsidR="00202866" w:rsidRPr="002B2FD5">
        <w:rPr>
          <w:rFonts w:eastAsia="Helvetica Neue"/>
        </w:rPr>
        <w:t xml:space="preserve"> use the person-first language utilized by the CRPD. However, some people prefer identity-first language (e.g. autistic person). A person’s preference for how they wish to be described must be respected.</w:t>
      </w:r>
      <w:r w:rsidR="00FE25C0">
        <w:rPr>
          <w:rFonts w:eastAsia="Helvetica Neue"/>
        </w:rPr>
        <w:br/>
      </w:r>
      <w:r w:rsidR="00FE25C0">
        <w:rPr>
          <w:rFonts w:eastAsia="Helvetica Neue"/>
        </w:rPr>
        <w:br/>
      </w:r>
      <w:r w:rsidR="00202866" w:rsidRPr="002B2FD5">
        <w:rPr>
          <w:rFonts w:eastAsia="Helvetica Neue"/>
        </w:rPr>
        <w:t>These Guidelines address service delivery for people with all forms of physical, intellectual, mental, psychosocial, cognitive or sensory impairments. These Guidelines employ the social and human rights model of disability, which “focuses on the high barriers created by the environment (rather than by bodily impairment), including in physical, information and communication contexts, the attitudes and prejudices of society, policies and practices of governments, and the often-exclusionary structures of health, welfare, education and other systems”.</w:t>
      </w:r>
      <w:r w:rsidR="00202866" w:rsidRPr="002B2FD5">
        <w:rPr>
          <w:rFonts w:eastAsia="Helvetica Neue"/>
          <w:vertAlign w:val="superscript"/>
        </w:rPr>
        <w:endnoteReference w:id="3"/>
      </w:r>
    </w:p>
    <w:p w14:paraId="33636974" w14:textId="27079D86" w:rsidR="00202866" w:rsidRPr="00FE25C0" w:rsidRDefault="00382156" w:rsidP="00FE25C0">
      <w:pPr>
        <w:ind w:left="540" w:right="990" w:hanging="180"/>
        <w:rPr>
          <w:rFonts w:eastAsia="Helvetica Neue"/>
        </w:rPr>
      </w:pPr>
      <w:r w:rsidRPr="00A6697D">
        <w:rPr>
          <w:noProof/>
        </w:rPr>
        <mc:AlternateContent>
          <mc:Choice Requires="wps">
            <w:drawing>
              <wp:inline distT="0" distB="0" distL="0" distR="0" wp14:anchorId="6A32EF93" wp14:editId="6B08F01E">
                <wp:extent cx="5163070" cy="0"/>
                <wp:effectExtent l="0" t="12700" r="31750" b="25400"/>
                <wp:docPr id="44" name="Straight Connector 44" descr="Text box ends"/>
                <wp:cNvGraphicFramePr/>
                <a:graphic xmlns:a="http://schemas.openxmlformats.org/drawingml/2006/main">
                  <a:graphicData uri="http://schemas.microsoft.com/office/word/2010/wordprocessingShape">
                    <wps:wsp>
                      <wps:cNvCnPr/>
                      <wps:spPr>
                        <a:xfrm>
                          <a:off x="0" y="0"/>
                          <a:ext cx="5163070" cy="0"/>
                        </a:xfrm>
                        <a:prstGeom prst="line">
                          <a:avLst/>
                        </a:prstGeom>
                        <a:ln w="38100">
                          <a:solidFill>
                            <a:schemeClr val="accent5">
                              <a:lumMod val="75000"/>
                            </a:schemeClr>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4A2DF50F" id="Straight Connector 44" o:spid="_x0000_s1026" alt="Text box ends" style="visibility:visible;mso-wrap-style:square;mso-left-percent:-10001;mso-top-percent:-10001;mso-position-horizontal:absolute;mso-position-horizontal-relative:char;mso-position-vertical:absolute;mso-position-vertical-relative:line;mso-left-percent:-10001;mso-top-percent:-10001" from="0,0" to="406.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" strokecolor="#31849b [2408]" strokeweight="3pt">
                <w10:anchorlock/>
              </v:line>
            </w:pict>
          </mc:Fallback>
        </mc:AlternateContent>
      </w:r>
    </w:p>
    <w:p w14:paraId="07D1439D" w14:textId="24E456BA" w:rsidR="00202866" w:rsidRPr="00A64CBE" w:rsidRDefault="00202866" w:rsidP="005A6AFF">
      <w:pPr>
        <w:spacing w:before="360"/>
        <w:rPr>
          <w:rFonts w:eastAsia="Helvetica Neue"/>
        </w:rPr>
      </w:pPr>
      <w:r w:rsidRPr="00A64CBE">
        <w:rPr>
          <w:rFonts w:eastAsia="Helvetica Neue"/>
        </w:rPr>
        <w:t>There are over 1 billion pe</w:t>
      </w:r>
      <w:r w:rsidR="00062BAC">
        <w:rPr>
          <w:rFonts w:eastAsia="Helvetica Neue"/>
        </w:rPr>
        <w:t>rsons</w:t>
      </w:r>
      <w:r w:rsidRPr="00A64CBE">
        <w:rPr>
          <w:rFonts w:eastAsia="Helvetica Neue"/>
        </w:rPr>
        <w:t xml:space="preserve"> with disabilities living in the world today.</w:t>
      </w:r>
      <w:r w:rsidRPr="00A64CBE">
        <w:rPr>
          <w:rFonts w:eastAsia="Helvetica Neue"/>
          <w:vertAlign w:val="superscript"/>
        </w:rPr>
        <w:endnoteReference w:id="4"/>
      </w:r>
      <w:r w:rsidRPr="00A64CBE">
        <w:rPr>
          <w:rFonts w:eastAsia="Helvetica Neue"/>
        </w:rPr>
        <w:t xml:space="preserve"> According to the World Health Organization (WHO) and World Bank’s </w:t>
      </w:r>
      <w:r w:rsidRPr="00A64CBE">
        <w:rPr>
          <w:rFonts w:eastAsia="Helvetica Neue"/>
          <w:i/>
        </w:rPr>
        <w:t>World Report on Disability</w:t>
      </w:r>
      <w:r w:rsidRPr="00A64CBE">
        <w:rPr>
          <w:rFonts w:eastAsia="Helvetica Neue"/>
        </w:rPr>
        <w:t>, the female disability prevalence rate worldwide is 19.2 per cent.</w:t>
      </w:r>
      <w:r w:rsidRPr="00A64CBE">
        <w:rPr>
          <w:rFonts w:eastAsia="Helvetica Neue"/>
          <w:vertAlign w:val="superscript"/>
        </w:rPr>
        <w:endnoteReference w:id="5"/>
      </w:r>
      <w:r w:rsidRPr="00A64CBE">
        <w:rPr>
          <w:rFonts w:eastAsia="Helvetica Neue"/>
        </w:rPr>
        <w:t xml:space="preserve"> There are between 180 million and 220 million young </w:t>
      </w:r>
      <w:r w:rsidR="00062BAC">
        <w:rPr>
          <w:rFonts w:eastAsia="Helvetica Neue"/>
        </w:rPr>
        <w:t>persons</w:t>
      </w:r>
      <w:r w:rsidRPr="00A64CBE">
        <w:rPr>
          <w:rFonts w:eastAsia="Helvetica Neue"/>
        </w:rPr>
        <w:t xml:space="preserve"> with disabilities worldwide, predominantly in developing countries.</w:t>
      </w:r>
      <w:r w:rsidRPr="00A64CBE">
        <w:rPr>
          <w:rFonts w:eastAsia="Helvetica Neue"/>
          <w:vertAlign w:val="superscript"/>
        </w:rPr>
        <w:endnoteReference w:id="6"/>
      </w:r>
      <w:r w:rsidRPr="00A64CBE">
        <w:rPr>
          <w:rFonts w:eastAsia="Helvetica Neue"/>
        </w:rPr>
        <w:t xml:space="preserve"> </w:t>
      </w:r>
    </w:p>
    <w:p w14:paraId="370E6905" w14:textId="03E610BA" w:rsidR="00202866" w:rsidRPr="00A64CBE" w:rsidRDefault="00202866" w:rsidP="005A6AFF">
      <w:pPr>
        <w:rPr>
          <w:rFonts w:eastAsia="Helvetica Neue"/>
          <w:lang w:val="en-GB"/>
        </w:rPr>
      </w:pPr>
      <w:r w:rsidRPr="00A64CBE">
        <w:rPr>
          <w:rFonts w:eastAsia="Helvetica Neue"/>
        </w:rPr>
        <w:t>There are roughly 10 million pe</w:t>
      </w:r>
      <w:r w:rsidR="005616E6">
        <w:rPr>
          <w:rFonts w:eastAsia="Helvetica Neue"/>
        </w:rPr>
        <w:t>rsons</w:t>
      </w:r>
      <w:r w:rsidRPr="00A64CBE">
        <w:rPr>
          <w:rFonts w:eastAsia="Helvetica Neue"/>
        </w:rPr>
        <w:t xml:space="preserve"> with disabilities who experience forced displacement worldwide because of persecution, conflict, violence, or human rights violations.</w:t>
      </w:r>
      <w:r w:rsidRPr="00A64CBE">
        <w:rPr>
          <w:rFonts w:eastAsia="Helvetica Neue"/>
          <w:vertAlign w:val="superscript"/>
        </w:rPr>
        <w:endnoteReference w:id="7"/>
      </w:r>
      <w:r w:rsidRPr="00A64CBE">
        <w:rPr>
          <w:rFonts w:eastAsia="Helvetica Neue"/>
        </w:rPr>
        <w:t xml:space="preserve"> When factoring in underreporting and displacement due to natural disasters, this number is likely </w:t>
      </w:r>
      <w:r w:rsidRPr="00A64CBE">
        <w:rPr>
          <w:rFonts w:eastAsia="Helvetica Neue"/>
        </w:rPr>
        <w:lastRenderedPageBreak/>
        <w:t>much higher. A HelpAge International and Handicap International survey of Syrian refugees found that 22 per cent of those surveyed had an impairment.</w:t>
      </w:r>
      <w:r w:rsidRPr="00A64CBE">
        <w:rPr>
          <w:rFonts w:eastAsia="Helvetica Neue"/>
          <w:vertAlign w:val="superscript"/>
        </w:rPr>
        <w:endnoteReference w:id="8"/>
      </w:r>
      <w:r w:rsidRPr="00A64CBE">
        <w:rPr>
          <w:rFonts w:eastAsia="Helvetica Neue"/>
        </w:rPr>
        <w:t xml:space="preserve"> Emergencies often create a new group of women and young pe</w:t>
      </w:r>
      <w:r w:rsidR="006857D1">
        <w:rPr>
          <w:rFonts w:eastAsia="Helvetica Neue"/>
        </w:rPr>
        <w:t>rsons</w:t>
      </w:r>
      <w:r w:rsidRPr="00A64CBE">
        <w:rPr>
          <w:rFonts w:eastAsia="Helvetica Neue"/>
        </w:rPr>
        <w:t xml:space="preserve"> with disabilities who require services, which places an even greater demand on the limited services available. </w:t>
      </w:r>
    </w:p>
    <w:p w14:paraId="29E3F638" w14:textId="77777777" w:rsidR="00202866" w:rsidRPr="005A6AFF" w:rsidRDefault="00202866" w:rsidP="005A6AFF">
      <w:pPr>
        <w:pStyle w:val="Heading4"/>
        <w:rPr>
          <w:rFonts w:eastAsia="Helvetica Neue"/>
        </w:rPr>
      </w:pPr>
      <w:r w:rsidRPr="005A6AFF">
        <w:rPr>
          <w:rFonts w:eastAsia="Helvetica Neue"/>
        </w:rPr>
        <w:t xml:space="preserve">Discrimination on the basis of disability or gender </w:t>
      </w:r>
    </w:p>
    <w:p w14:paraId="535A4B97" w14:textId="260080F8" w:rsidR="00202866" w:rsidRPr="00A64CBE" w:rsidRDefault="00202866" w:rsidP="003A2485">
      <w:pPr>
        <w:rPr>
          <w:rFonts w:eastAsia="Helvetica Neue"/>
        </w:rPr>
      </w:pPr>
      <w:r w:rsidRPr="00A64CBE">
        <w:rPr>
          <w:rFonts w:eastAsia="Helvetica Neue"/>
        </w:rPr>
        <w:t>Disability discrimination can take many forms, but it has been defined as “</w:t>
      </w:r>
      <w:r w:rsidRPr="00A64CBE">
        <w:rPr>
          <w:rFonts w:eastAsia="Helvetica Neue"/>
          <w:highlight w:val="white"/>
        </w:rPr>
        <w:t>any distinction, exclusion, or restriction on the basis of disability which has the purpose or effect of impairing or nullifying the recognition, enjoyment, or exercise, on an equal basis with others, of all human rights and fundamental freedoms in the political, economic, social, cultural, civil, or any other field. It includes all forms of discrimination, including den</w:t>
      </w:r>
      <w:r>
        <w:rPr>
          <w:rFonts w:eastAsia="Helvetica Neue"/>
          <w:highlight w:val="white"/>
        </w:rPr>
        <w:t>ial of reasonable accommodation</w:t>
      </w:r>
      <w:r w:rsidRPr="00A64CBE">
        <w:rPr>
          <w:rFonts w:eastAsia="Helvetica Neue"/>
          <w:highlight w:val="white"/>
        </w:rPr>
        <w:t>”</w:t>
      </w:r>
      <w:r>
        <w:rPr>
          <w:rFonts w:eastAsia="Helvetica Neue"/>
          <w:highlight w:val="white"/>
        </w:rPr>
        <w:t>.</w:t>
      </w:r>
      <w:r w:rsidRPr="00A64CBE">
        <w:rPr>
          <w:rFonts w:eastAsia="Helvetica Neue"/>
          <w:highlight w:val="white"/>
          <w:vertAlign w:val="superscript"/>
        </w:rPr>
        <w:endnoteReference w:id="9"/>
      </w:r>
      <w:r w:rsidRPr="00A64CBE">
        <w:rPr>
          <w:rFonts w:eastAsia="Helvetica Neue"/>
          <w:highlight w:val="white"/>
        </w:rPr>
        <w:t xml:space="preserve"> </w:t>
      </w:r>
      <w:r w:rsidRPr="00A64CBE">
        <w:rPr>
          <w:rFonts w:eastAsia="Helvetica Neue"/>
        </w:rPr>
        <w:t>Pe</w:t>
      </w:r>
      <w:r w:rsidR="006857D1">
        <w:rPr>
          <w:rFonts w:eastAsia="Helvetica Neue"/>
        </w:rPr>
        <w:t>rsons</w:t>
      </w:r>
      <w:r w:rsidRPr="00A64CBE">
        <w:rPr>
          <w:rFonts w:eastAsia="Helvetica Neue"/>
        </w:rPr>
        <w:t xml:space="preserve"> with disabilities may experience additional discrimination due to one or more intersecting factors, including gender, age, economic status, ethnicity, </w:t>
      </w:r>
      <w:r w:rsidR="00033312">
        <w:rPr>
          <w:rFonts w:eastAsia="Helvetica Neue"/>
        </w:rPr>
        <w:t xml:space="preserve">sexuality, </w:t>
      </w:r>
      <w:r w:rsidRPr="00A64CBE">
        <w:rPr>
          <w:rFonts w:eastAsia="Helvetica Neue"/>
        </w:rPr>
        <w:t xml:space="preserve">race, and nationality. </w:t>
      </w:r>
    </w:p>
    <w:p w14:paraId="60F137F3" w14:textId="5FA3E51C" w:rsidR="00202866" w:rsidRPr="00A64CBE" w:rsidRDefault="00202866" w:rsidP="00FE25C0">
      <w:pPr>
        <w:rPr>
          <w:rFonts w:eastAsia="Helvetica Neue"/>
        </w:rPr>
      </w:pPr>
      <w:r w:rsidRPr="00A64CBE">
        <w:rPr>
          <w:rFonts w:eastAsia="Helvetica Neue"/>
        </w:rPr>
        <w:t xml:space="preserve">Critical services for all victims and survivors of </w:t>
      </w:r>
      <w:r w:rsidR="006857D1">
        <w:rPr>
          <w:rFonts w:eastAsia="Helvetica Neue"/>
        </w:rPr>
        <w:t>GBV</w:t>
      </w:r>
      <w:r w:rsidRPr="00A64CBE">
        <w:rPr>
          <w:rFonts w:eastAsia="Helvetica Neue"/>
        </w:rPr>
        <w:t xml:space="preserve"> include health services (e.g. first-line support, sexual assault examination and care, mental health assessment and care), justice and policing services (e.g. assessment and investigation, perpetrator accountability and reparations, safety and protection, justice sector coordination), social services (e.g. crisis counselling; help lines; legal and rights information, advice, and representation; psychosocial support and counselling), and coordination at both the national and local level.</w:t>
      </w:r>
      <w:r w:rsidRPr="00A64CBE">
        <w:rPr>
          <w:rFonts w:eastAsia="Helvetica Neue"/>
          <w:vertAlign w:val="superscript"/>
        </w:rPr>
        <w:endnoteReference w:id="10"/>
      </w:r>
      <w:r w:rsidRPr="00A64CBE">
        <w:rPr>
          <w:rFonts w:eastAsia="Helvetica Neue"/>
        </w:rPr>
        <w:t xml:space="preserve"> Women and young pe</w:t>
      </w:r>
      <w:r w:rsidR="006857D1">
        <w:rPr>
          <w:rFonts w:eastAsia="Helvetica Neue"/>
        </w:rPr>
        <w:t>rsons</w:t>
      </w:r>
      <w:r w:rsidRPr="00A64CBE">
        <w:rPr>
          <w:rFonts w:eastAsia="Helvetica Neue"/>
        </w:rPr>
        <w:t xml:space="preserve"> with disabilities often do not receive these necessary services.</w:t>
      </w:r>
      <w:r w:rsidRPr="00A64CBE">
        <w:rPr>
          <w:rFonts w:eastAsia="Helvetica Neue"/>
          <w:vertAlign w:val="superscript"/>
        </w:rPr>
        <w:endnoteReference w:id="11"/>
      </w:r>
      <w:r w:rsidRPr="00A64CBE">
        <w:rPr>
          <w:rFonts w:eastAsia="Helvetica Neue"/>
        </w:rPr>
        <w:t xml:space="preserve"> GBV prevention efforts and services, in both design and implementation, are often inaccessible to women and young pe</w:t>
      </w:r>
      <w:r w:rsidR="006857D1">
        <w:rPr>
          <w:rFonts w:eastAsia="Helvetica Neue"/>
        </w:rPr>
        <w:t>rsons</w:t>
      </w:r>
      <w:r w:rsidRPr="00A64CBE">
        <w:rPr>
          <w:rFonts w:eastAsia="Helvetica Neue"/>
        </w:rPr>
        <w:t xml:space="preserve"> with disabilities.</w:t>
      </w:r>
      <w:r w:rsidRPr="00A64CBE">
        <w:rPr>
          <w:rFonts w:eastAsia="Helvetica Neue"/>
          <w:vertAlign w:val="superscript"/>
        </w:rPr>
        <w:endnoteReference w:id="12"/>
      </w:r>
      <w:r w:rsidRPr="00A64CBE">
        <w:rPr>
          <w:rFonts w:eastAsia="Helvetica Neue"/>
        </w:rPr>
        <w:t xml:space="preserve"> Service providers regularly demonstrate a lack of knowledge, sensitivity, and expertise about how to serve women and young pe</w:t>
      </w:r>
      <w:r w:rsidR="00F638F0">
        <w:rPr>
          <w:rFonts w:eastAsia="Helvetica Neue"/>
        </w:rPr>
        <w:t>rsons</w:t>
      </w:r>
      <w:r w:rsidRPr="00A64CBE">
        <w:rPr>
          <w:rFonts w:eastAsia="Helvetica Neue"/>
        </w:rPr>
        <w:t xml:space="preserve"> with disabilities, which results in a failure to identify women and young pe</w:t>
      </w:r>
      <w:r w:rsidR="00F638F0">
        <w:rPr>
          <w:rFonts w:eastAsia="Helvetica Neue"/>
        </w:rPr>
        <w:t>rsons</w:t>
      </w:r>
      <w:r w:rsidRPr="00A64CBE">
        <w:rPr>
          <w:rFonts w:eastAsia="Helvetica Neue"/>
        </w:rPr>
        <w:t xml:space="preserve"> who have experienced or are experiencing </w:t>
      </w:r>
      <w:r w:rsidR="00F638F0">
        <w:rPr>
          <w:rFonts w:eastAsia="Helvetica Neue"/>
        </w:rPr>
        <w:t>GBV</w:t>
      </w:r>
      <w:r w:rsidRPr="00A64CBE">
        <w:rPr>
          <w:rFonts w:eastAsia="Helvetica Neue"/>
        </w:rPr>
        <w:t>, conduct outreach, or offer key services.</w:t>
      </w:r>
      <w:r w:rsidRPr="00A64CBE">
        <w:rPr>
          <w:rFonts w:eastAsia="Helvetica Neue"/>
          <w:vertAlign w:val="superscript"/>
        </w:rPr>
        <w:endnoteReference w:id="13"/>
      </w:r>
      <w:r w:rsidRPr="00A64CBE">
        <w:rPr>
          <w:rFonts w:eastAsia="Helvetica Neue"/>
        </w:rPr>
        <w:t xml:space="preserve"> Furthermore, women and young pe</w:t>
      </w:r>
      <w:r w:rsidR="00F638F0">
        <w:rPr>
          <w:rFonts w:eastAsia="Helvetica Neue"/>
        </w:rPr>
        <w:t>rsons</w:t>
      </w:r>
      <w:r w:rsidRPr="00A64CBE">
        <w:rPr>
          <w:rFonts w:eastAsia="Helvetica Neue"/>
        </w:rPr>
        <w:t xml:space="preserve"> with disabilities whose rights are violated often lack recourse because of exclusion from access to justice mechanisms. Such exclusion further perpetuates violence because it permits abusers to continue with impunity.</w:t>
      </w:r>
      <w:r w:rsidRPr="00A64CBE">
        <w:rPr>
          <w:rFonts w:eastAsia="Helvetica Neue"/>
          <w:vertAlign w:val="superscript"/>
        </w:rPr>
        <w:endnoteReference w:id="14"/>
      </w:r>
      <w:r w:rsidRPr="00A64CBE">
        <w:rPr>
          <w:rFonts w:eastAsia="Helvetica Neue"/>
        </w:rPr>
        <w:t xml:space="preserve"> To further compound the problem, there is a dearth of accurate and comprehensive research and data on violence against women and young pe</w:t>
      </w:r>
      <w:r w:rsidR="00F638F0">
        <w:rPr>
          <w:rFonts w:eastAsia="Helvetica Neue"/>
        </w:rPr>
        <w:t>rsons</w:t>
      </w:r>
      <w:r w:rsidRPr="00A64CBE">
        <w:rPr>
          <w:rFonts w:eastAsia="Helvetica Neue"/>
        </w:rPr>
        <w:t xml:space="preserve"> with disabilities to guide the development and provision of appropriate and responsive GBV services.</w:t>
      </w:r>
      <w:r w:rsidRPr="00A64CBE">
        <w:rPr>
          <w:rFonts w:eastAsia="Helvetica Neue"/>
          <w:vertAlign w:val="superscript"/>
        </w:rPr>
        <w:endnoteReference w:id="15"/>
      </w:r>
      <w:r w:rsidRPr="00A64CBE">
        <w:rPr>
          <w:rFonts w:eastAsia="Helvetica Neue"/>
        </w:rPr>
        <w:t xml:space="preserve"> These barriers to accessing and using GBV services for women and young pe</w:t>
      </w:r>
      <w:r w:rsidR="00F638F0">
        <w:rPr>
          <w:rFonts w:eastAsia="Helvetica Neue"/>
        </w:rPr>
        <w:t>rsons</w:t>
      </w:r>
      <w:r w:rsidRPr="00A64CBE">
        <w:rPr>
          <w:rFonts w:eastAsia="Helvetica Neue"/>
        </w:rPr>
        <w:t xml:space="preserve"> with disabilities are mirrored—and often exacerbated—in humanitarian emergency settings.</w:t>
      </w:r>
      <w:r w:rsidRPr="00A64CBE">
        <w:rPr>
          <w:rFonts w:eastAsia="Helvetica Neue"/>
          <w:vertAlign w:val="superscript"/>
        </w:rPr>
        <w:endnoteReference w:id="16"/>
      </w:r>
      <w:r w:rsidRPr="00A64CBE">
        <w:rPr>
          <w:rFonts w:eastAsia="Helvetica Neue"/>
        </w:rPr>
        <w:t xml:space="preserve"> </w:t>
      </w:r>
    </w:p>
    <w:p w14:paraId="5F5E4AB9" w14:textId="28C8EEF3" w:rsidR="00202866" w:rsidRPr="00A64CBE" w:rsidRDefault="00202866" w:rsidP="003A2485">
      <w:pPr>
        <w:rPr>
          <w:rFonts w:eastAsia="Helvetica Neue"/>
        </w:rPr>
      </w:pPr>
      <w:r w:rsidRPr="00A64CBE">
        <w:rPr>
          <w:rFonts w:eastAsia="Helvetica Neue"/>
        </w:rPr>
        <w:t>Fundamental SRHR services for women and young pe</w:t>
      </w:r>
      <w:r w:rsidR="00F638F0">
        <w:rPr>
          <w:rFonts w:eastAsia="Helvetica Neue"/>
        </w:rPr>
        <w:t>rsons</w:t>
      </w:r>
      <w:r w:rsidRPr="00A64CBE">
        <w:rPr>
          <w:rFonts w:eastAsia="Helvetica Neue"/>
        </w:rPr>
        <w:t>—with and without disabilities—include comprehensive sexuality education; information, goods, and services for the full range of modern contraceptive methods, including emergency contraception; maternal/newborn healthcare (including antenatal care, skilled attendance at delivery, emergency obstetric care, post-partum care, and newborn care); prevention, diagnosis, and treatment for sexual and reproductive health issues (e.g. sexually transmitted infections, including HIV, syphilis, and HPV, cancers of the reproductive system and breast cancer, and infertility</w:t>
      </w:r>
      <w:r w:rsidR="00B52473">
        <w:rPr>
          <w:rFonts w:eastAsia="Helvetica Neue"/>
        </w:rPr>
        <w:t>)</w:t>
      </w:r>
      <w:r w:rsidRPr="00A64CBE">
        <w:rPr>
          <w:rFonts w:eastAsia="Helvetica Neue"/>
        </w:rPr>
        <w:t>; safe and accessible abortion, where</w:t>
      </w:r>
      <w:r w:rsidR="001B0B2E">
        <w:rPr>
          <w:rFonts w:eastAsia="Helvetica Neue"/>
        </w:rPr>
        <w:t xml:space="preserve"> it is not against the law</w:t>
      </w:r>
      <w:r w:rsidRPr="00A64CBE">
        <w:rPr>
          <w:rFonts w:eastAsia="Helvetica Neue"/>
        </w:rPr>
        <w:t>; and post-abortion care to treat complications from unsafe abortion.</w:t>
      </w:r>
      <w:r w:rsidRPr="00A64CBE">
        <w:rPr>
          <w:rFonts w:eastAsia="Helvetica Neue"/>
          <w:vertAlign w:val="superscript"/>
        </w:rPr>
        <w:endnoteReference w:id="17"/>
      </w:r>
      <w:r w:rsidRPr="00A64CBE">
        <w:rPr>
          <w:rFonts w:eastAsia="Helvetica Neue"/>
        </w:rPr>
        <w:t xml:space="preserve"> </w:t>
      </w:r>
    </w:p>
    <w:p w14:paraId="551E684F" w14:textId="57C076E7" w:rsidR="00202866" w:rsidRPr="0018197A" w:rsidRDefault="00202866" w:rsidP="003A2485">
      <w:pPr>
        <w:rPr>
          <w:rFonts w:eastAsia="Arial"/>
        </w:rPr>
      </w:pPr>
      <w:r w:rsidRPr="00A64CBE">
        <w:rPr>
          <w:rFonts w:eastAsia="Helvetica Neue"/>
        </w:rPr>
        <w:lastRenderedPageBreak/>
        <w:t xml:space="preserve">UNFPA prioritizes voluntary family planning to prevent unintended pregnancies </w:t>
      </w:r>
      <w:r w:rsidR="00F638F0">
        <w:rPr>
          <w:rFonts w:eastAsia="Helvetica Neue"/>
        </w:rPr>
        <w:t>and promote reproductive choice</w:t>
      </w:r>
      <w:r w:rsidRPr="00A64CBE">
        <w:rPr>
          <w:rFonts w:eastAsia="Helvetica Neue"/>
        </w:rPr>
        <w:t xml:space="preserve">. </w:t>
      </w:r>
      <w:r w:rsidRPr="0018197A">
        <w:rPr>
          <w:rFonts w:eastAsia="Arial"/>
        </w:rPr>
        <w:t xml:space="preserve">Consistent with the commitments made by Members States within the </w:t>
      </w:r>
      <w:r w:rsidRPr="00A64CBE">
        <w:rPr>
          <w:rFonts w:eastAsia="Helvetica Neue"/>
        </w:rPr>
        <w:t>Programme of Action of the 1994 International Conference on Population and Development,</w:t>
      </w:r>
      <w:r w:rsidRPr="00A64CBE">
        <w:rPr>
          <w:rFonts w:eastAsia="Helvetica Neue"/>
          <w:vertAlign w:val="superscript"/>
        </w:rPr>
        <w:endnoteReference w:id="18"/>
      </w:r>
      <w:r w:rsidRPr="00A64CBE">
        <w:rPr>
          <w:rFonts w:eastAsia="Helvetica Neue"/>
        </w:rPr>
        <w:t xml:space="preserve"> </w:t>
      </w:r>
      <w:r w:rsidRPr="0018197A">
        <w:rPr>
          <w:rFonts w:eastAsia="Arial"/>
        </w:rPr>
        <w:t>in all countries where abortion is not against the law it should be safe, and in all countries of the world post-abortion care should be available</w:t>
      </w:r>
      <w:r w:rsidR="001B0B2E">
        <w:rPr>
          <w:rFonts w:eastAsia="Arial"/>
        </w:rPr>
        <w:t>, regardless of its legal status in country</w:t>
      </w:r>
      <w:r w:rsidRPr="0018197A">
        <w:rPr>
          <w:rFonts w:eastAsia="Arial"/>
        </w:rPr>
        <w:t xml:space="preserve">. </w:t>
      </w:r>
      <w:r w:rsidR="00F638F0" w:rsidRPr="0018197A">
        <w:rPr>
          <w:rFonts w:eastAsia="Helvetica Neue"/>
        </w:rPr>
        <w:t>Between 8-18 percent of all</w:t>
      </w:r>
      <w:r w:rsidR="00F638F0" w:rsidRPr="00A64CBE">
        <w:rPr>
          <w:rFonts w:eastAsia="Helvetica Neue"/>
        </w:rPr>
        <w:t xml:space="preserve"> maternal deaths are due to unsafe abortions.</w:t>
      </w:r>
      <w:r w:rsidR="00F638F0" w:rsidRPr="00B1674C">
        <w:rPr>
          <w:rStyle w:val="EndnoteReference"/>
          <w:rFonts w:eastAsia="Helvetica Neue"/>
        </w:rPr>
        <w:endnoteReference w:id="19"/>
      </w:r>
      <w:r w:rsidR="00F638F0" w:rsidRPr="0018197A">
        <w:rPr>
          <w:rFonts w:eastAsia="Arial"/>
        </w:rPr>
        <w:t xml:space="preserve"> </w:t>
      </w:r>
      <w:r w:rsidRPr="0018197A">
        <w:rPr>
          <w:rFonts w:eastAsia="Arial"/>
        </w:rPr>
        <w:t xml:space="preserve">All women, everywhere, should have the knowledge and services to avoid unintended pregnancies, which are a major cause of abortion, through greater knowledge and access to high quality, voluntary contraception </w:t>
      </w:r>
      <w:r w:rsidRPr="00A64CBE">
        <w:rPr>
          <w:rFonts w:eastAsia="Arial"/>
        </w:rPr>
        <w:t xml:space="preserve">information, goods, and </w:t>
      </w:r>
      <w:r w:rsidRPr="0018197A">
        <w:rPr>
          <w:rFonts w:eastAsia="Arial"/>
        </w:rPr>
        <w:t>services.</w:t>
      </w:r>
      <w:r w:rsidRPr="00A64CBE">
        <w:rPr>
          <w:rFonts w:eastAsia="Arial"/>
        </w:rPr>
        <w:t xml:space="preserve">  References to abortion and post-abortion care throughout this document should be understood within this context. </w:t>
      </w:r>
    </w:p>
    <w:p w14:paraId="01F3A1F5" w14:textId="66DFD8D6" w:rsidR="00202866" w:rsidRPr="00A64CBE" w:rsidRDefault="00202866" w:rsidP="003A2485">
      <w:pPr>
        <w:rPr>
          <w:rFonts w:eastAsia="Helvetica Neue"/>
        </w:rPr>
      </w:pPr>
      <w:r w:rsidRPr="00A64CBE">
        <w:rPr>
          <w:rFonts w:eastAsia="Helvetica Neue"/>
        </w:rPr>
        <w:t>Women and young p</w:t>
      </w:r>
      <w:r w:rsidR="00A64EA5">
        <w:rPr>
          <w:rFonts w:eastAsia="Helvetica Neue"/>
        </w:rPr>
        <w:t>ersons</w:t>
      </w:r>
      <w:r w:rsidRPr="00A64CBE">
        <w:rPr>
          <w:rFonts w:eastAsia="Helvetica Neue"/>
        </w:rPr>
        <w:t xml:space="preserve"> with disabilities are regularly prevented from accessing SRHR services due to a variety of factors, including stereotypes about pe</w:t>
      </w:r>
      <w:r w:rsidR="00A64EA5">
        <w:rPr>
          <w:rFonts w:eastAsia="Helvetica Neue"/>
        </w:rPr>
        <w:t>rsons</w:t>
      </w:r>
      <w:r w:rsidRPr="00A64CBE">
        <w:rPr>
          <w:rFonts w:eastAsia="Helvetica Neue"/>
        </w:rPr>
        <w:t xml:space="preserve"> with disabilities as asexual or hypersexual, discrimination against pe</w:t>
      </w:r>
      <w:r w:rsidR="00A64EA5">
        <w:rPr>
          <w:rFonts w:eastAsia="Helvetica Neue"/>
        </w:rPr>
        <w:t>rsons</w:t>
      </w:r>
      <w:r w:rsidRPr="00A64CBE">
        <w:rPr>
          <w:rFonts w:eastAsia="Helvetica Neue"/>
        </w:rPr>
        <w:t xml:space="preserve"> with disabilities engaging in romantic relationships, insufficient training about how to serve pe</w:t>
      </w:r>
      <w:r w:rsidR="00A64EA5">
        <w:rPr>
          <w:rFonts w:eastAsia="Helvetica Neue"/>
        </w:rPr>
        <w:t>rsons</w:t>
      </w:r>
      <w:r w:rsidRPr="00A64CBE">
        <w:rPr>
          <w:rFonts w:eastAsia="Helvetica Neue"/>
        </w:rPr>
        <w:t xml:space="preserve"> with disabilities, inaccessible facilities, forced marriage, stigma, poverty, and isolation in institutions or group homes.</w:t>
      </w:r>
      <w:r w:rsidRPr="00A64CBE">
        <w:rPr>
          <w:rFonts w:eastAsia="Helvetica Neue"/>
          <w:vertAlign w:val="superscript"/>
        </w:rPr>
        <w:endnoteReference w:id="20"/>
      </w:r>
      <w:r w:rsidRPr="00A64CBE">
        <w:rPr>
          <w:rFonts w:eastAsia="Helvetica Neue"/>
        </w:rPr>
        <w:t xml:space="preserve"> This exclusion only increases the vulnerability of women and young pe</w:t>
      </w:r>
      <w:r w:rsidR="00A64EA5">
        <w:rPr>
          <w:rFonts w:eastAsia="Helvetica Neue"/>
        </w:rPr>
        <w:t>rsons</w:t>
      </w:r>
      <w:r w:rsidRPr="00A64CBE">
        <w:rPr>
          <w:rFonts w:eastAsia="Helvetica Neue"/>
        </w:rPr>
        <w:t xml:space="preserve"> with disabilities to sexual abuse, sexually transmitted infection, undiagnosed and untreated illnesses (e.g., cancer, malaria, anemia, non-communicable diseases) and unintended pregnancy.</w:t>
      </w:r>
      <w:r w:rsidRPr="00A64CBE">
        <w:rPr>
          <w:rFonts w:eastAsia="Helvetica Neue"/>
          <w:vertAlign w:val="superscript"/>
        </w:rPr>
        <w:endnoteReference w:id="21"/>
      </w:r>
      <w:r w:rsidRPr="00A64CBE">
        <w:rPr>
          <w:rFonts w:eastAsia="Helvetica Neue"/>
        </w:rPr>
        <w:t xml:space="preserve"> In addition to being excluded from receiving critical health services, women and young pe</w:t>
      </w:r>
      <w:r w:rsidR="00062BAC">
        <w:rPr>
          <w:rFonts w:eastAsia="Helvetica Neue"/>
        </w:rPr>
        <w:t>rsons</w:t>
      </w:r>
      <w:r w:rsidRPr="00A64CBE">
        <w:rPr>
          <w:rFonts w:eastAsia="Helvetica Neue"/>
        </w:rPr>
        <w:t xml:space="preserve"> with disabilities can be subjected to coercive healthcare practices and medical procedures such as forced sterilization, forced abortion, and forced contraception.</w:t>
      </w:r>
      <w:r w:rsidRPr="00A64CBE">
        <w:rPr>
          <w:rFonts w:eastAsia="Helvetica Neue"/>
          <w:vertAlign w:val="superscript"/>
        </w:rPr>
        <w:endnoteReference w:id="22"/>
      </w:r>
      <w:r w:rsidRPr="00A64CBE">
        <w:rPr>
          <w:rFonts w:eastAsia="Helvetica Neue"/>
        </w:rPr>
        <w:t xml:space="preserve"> Women and young </w:t>
      </w:r>
      <w:r w:rsidR="00347054">
        <w:rPr>
          <w:rFonts w:eastAsia="Helvetica Neue"/>
        </w:rPr>
        <w:t>persons</w:t>
      </w:r>
      <w:r w:rsidRPr="00A64CBE">
        <w:rPr>
          <w:rFonts w:eastAsia="Helvetica Neue"/>
        </w:rPr>
        <w:t xml:space="preserve"> with disabilities face similar barriers in humanitarian emergency settings, particularly barriers created by a lack of reasonable accommodations to meet disability-related health needs.</w:t>
      </w:r>
      <w:r w:rsidRPr="00A64CBE">
        <w:rPr>
          <w:rFonts w:eastAsia="Helvetica Neue"/>
          <w:vertAlign w:val="superscript"/>
        </w:rPr>
        <w:endnoteReference w:id="23"/>
      </w:r>
      <w:r w:rsidRPr="00A64CBE">
        <w:rPr>
          <w:rFonts w:eastAsia="Helvetica Neue"/>
        </w:rPr>
        <w:t xml:space="preserve"> </w:t>
      </w:r>
    </w:p>
    <w:p w14:paraId="0EB3680F" w14:textId="61E9C127" w:rsidR="00202866" w:rsidRPr="00FE25C0" w:rsidRDefault="00202866" w:rsidP="00FE25C0">
      <w:pPr>
        <w:rPr>
          <w:rFonts w:eastAsia="Helvetica Neue"/>
        </w:rPr>
      </w:pPr>
      <w:r w:rsidRPr="00A64CBE">
        <w:rPr>
          <w:rFonts w:eastAsia="Helvetica Neue"/>
        </w:rPr>
        <w:t xml:space="preserve">These Guidelines seek to address these circumstances by providing concrete guidance to those charged with developing and implementing GBV and SRHR services, programmes, and policies to ensure consistency with the fundamental human rights of women and young </w:t>
      </w:r>
      <w:r w:rsidR="00347054">
        <w:rPr>
          <w:rFonts w:eastAsia="Helvetica Neue"/>
        </w:rPr>
        <w:t>persons</w:t>
      </w:r>
      <w:r w:rsidRPr="00A64CBE">
        <w:rPr>
          <w:rFonts w:eastAsia="Helvetica Neue"/>
        </w:rPr>
        <w:t xml:space="preserve"> with disabilities. </w:t>
      </w:r>
    </w:p>
    <w:p w14:paraId="13ABCE56" w14:textId="77777777" w:rsidR="00202866" w:rsidRPr="00A64CBE" w:rsidRDefault="00202866" w:rsidP="003A2485">
      <w:pPr>
        <w:pStyle w:val="Heading3"/>
      </w:pPr>
      <w:r w:rsidRPr="00A64CBE">
        <w:t>1.1.2 Purpose and Scope</w:t>
      </w:r>
    </w:p>
    <w:p w14:paraId="661D2EBE" w14:textId="4099A8B3" w:rsidR="00202866" w:rsidRPr="005A2720" w:rsidRDefault="00202866" w:rsidP="00FE25C0">
      <w:pPr>
        <w:pStyle w:val="Heading4"/>
        <w:rPr>
          <w:rFonts w:eastAsia="Helvetica Neue"/>
        </w:rPr>
      </w:pPr>
      <w:r w:rsidRPr="005A2720">
        <w:rPr>
          <w:rFonts w:eastAsia="Helvetica Neue"/>
        </w:rPr>
        <w:t xml:space="preserve">Purpose </w:t>
      </w:r>
    </w:p>
    <w:p w14:paraId="089729C2" w14:textId="290FED37" w:rsidR="00202866" w:rsidRPr="00A64CBE" w:rsidRDefault="00202866" w:rsidP="003A2485">
      <w:pPr>
        <w:rPr>
          <w:rFonts w:eastAsia="Helvetica Neue"/>
        </w:rPr>
      </w:pPr>
      <w:r w:rsidRPr="00A64CBE">
        <w:rPr>
          <w:rFonts w:eastAsia="Helvetica Neue"/>
        </w:rPr>
        <w:t>The purpose of these Guidelines is to provide practical guidance to ensure that GBV and SRHR services give full effect to the rights of women and young pe</w:t>
      </w:r>
      <w:r w:rsidR="00347054">
        <w:rPr>
          <w:rFonts w:eastAsia="Helvetica Neue"/>
        </w:rPr>
        <w:t>rsons</w:t>
      </w:r>
      <w:r w:rsidRPr="00A64CBE">
        <w:rPr>
          <w:rFonts w:eastAsia="Helvetica Neue"/>
        </w:rPr>
        <w:t xml:space="preserve"> with disabilities. While the primary audience of these Guidelines is GBV and SRHR service providers and support staff, these Guidelines are also intended as a valuable resource for all stakeholders—including those in government, international organizations, and non-governmental organizations—involved in designing, developing, implementing, or advocating for GBV or SRHR services for women and young pe</w:t>
      </w:r>
      <w:r w:rsidR="00347054">
        <w:rPr>
          <w:rFonts w:eastAsia="Helvetica Neue"/>
        </w:rPr>
        <w:t>rsons</w:t>
      </w:r>
      <w:r w:rsidRPr="00A64CBE">
        <w:rPr>
          <w:rFonts w:eastAsia="Helvetica Neue"/>
        </w:rPr>
        <w:t xml:space="preserve"> with disabilities. </w:t>
      </w:r>
    </w:p>
    <w:p w14:paraId="1E984166" w14:textId="75D13F6B" w:rsidR="00202866" w:rsidRPr="008D2B6F" w:rsidRDefault="00202866" w:rsidP="003A2485">
      <w:pPr>
        <w:rPr>
          <w:rStyle w:val="Bold"/>
        </w:rPr>
      </w:pPr>
      <w:r w:rsidRPr="00585BE0">
        <w:rPr>
          <w:rFonts w:eastAsia="Helvetica Neue"/>
        </w:rPr>
        <w:t>The United Nations Population Fund (UNFPA</w:t>
      </w:r>
      <w:r w:rsidRPr="00A64CBE">
        <w:rPr>
          <w:rFonts w:eastAsia="Helvetica Neue"/>
        </w:rPr>
        <w:t xml:space="preserve">) is the lead UN agency for delivering a world where every pregnancy is wanted, every childbirth is safe, and every young person’s potential is fulfilled. As part of this mandate, UNFPA’s work on disability has focused on ensuring that women, adolescents, and youth are empowered to make decisions regarding their sexual and reproductive health and life options. These Guidelines have been developed as part of UNFPA’s </w:t>
      </w:r>
      <w:r w:rsidRPr="00A64CBE">
        <w:rPr>
          <w:rFonts w:eastAsia="Helvetica Neue"/>
        </w:rPr>
        <w:lastRenderedPageBreak/>
        <w:t>multi-year programme,</w:t>
      </w:r>
      <w:r w:rsidRPr="00A64CBE">
        <w:rPr>
          <w:rFonts w:eastAsia="Helvetica Neue"/>
          <w:i/>
          <w:color w:val="444444"/>
          <w:sz w:val="18"/>
          <w:szCs w:val="18"/>
        </w:rPr>
        <w:t xml:space="preserve"> </w:t>
      </w:r>
      <w:r w:rsidRPr="008D2B6F">
        <w:rPr>
          <w:rStyle w:val="Bold"/>
        </w:rPr>
        <w:t>WE DECIDE: Young Persons with Disabilities: Equal Rights and a Life Free of Violence</w:t>
      </w:r>
      <w:r w:rsidRPr="00A64CBE">
        <w:rPr>
          <w:rFonts w:eastAsia="Helvetica Neue"/>
        </w:rPr>
        <w:t xml:space="preserve">. The programme promotes the human rights and social inclusion of women and adolescents and youth with disabilities, with an emphasis on access to services to prevent and address GBV and access to SRHR-related services, information, and education. </w:t>
      </w:r>
      <w:r w:rsidRPr="008D2B6F">
        <w:rPr>
          <w:rStyle w:val="Bold"/>
        </w:rPr>
        <w:t xml:space="preserve"> </w:t>
      </w:r>
    </w:p>
    <w:p w14:paraId="0824C91E" w14:textId="3FB71E22" w:rsidR="00202866" w:rsidRPr="00A64CBE" w:rsidRDefault="00202866" w:rsidP="003A2485">
      <w:pPr>
        <w:rPr>
          <w:rFonts w:eastAsia="Helvetica Neue"/>
        </w:rPr>
      </w:pPr>
      <w:r w:rsidRPr="00585BE0">
        <w:rPr>
          <w:rFonts w:eastAsia="Helvetica Neue"/>
        </w:rPr>
        <w:t>Women Enabled International</w:t>
      </w:r>
      <w:r w:rsidRPr="00A64CBE">
        <w:rPr>
          <w:rFonts w:eastAsia="Helvetica Neue"/>
        </w:rPr>
        <w:t xml:space="preserve"> (WEI) works at the intersection of women’s rights and disability rights to advance the rights of women and girls with disabilities around the world. Through advocacy and education, WEI increases international attention to, and strengthens international human rights standards on, such issues as GBV, SRHR, access to justice, education, legal capacity, and humanitarian emergencies. Working in collaboration with women with disabilities rights organizations and women’s rights organizations worldwide, WEI fosters cooperation across movements to improve understanding and develop cross-cutting advocacy strategies to realize the rights of all women and girls. </w:t>
      </w:r>
    </w:p>
    <w:p w14:paraId="012CF9A3" w14:textId="630C2D73" w:rsidR="00202866" w:rsidRPr="00A64CBE" w:rsidRDefault="00202866" w:rsidP="003A2485">
      <w:pPr>
        <w:rPr>
          <w:rFonts w:eastAsia="Helvetica Neue"/>
        </w:rPr>
      </w:pPr>
      <w:r w:rsidRPr="00A64CBE">
        <w:rPr>
          <w:rFonts w:eastAsia="Helvetica Neue"/>
        </w:rPr>
        <w:t>These Guidelines are grounded in international human rights standards and are the result of extensive consultation with international experts in the areas of disability rights, women’s and girl’s rights, SRHR services, and GBV services. Experts from across the globe were convened for an in-person expert group meeting to discuss the scope and substance of these Guidelines. Following this meeting, four online working-group meetings took place with a broader group of experts, representing more than fourteen countries, to discuss key cross-cutting issues relating to GBV and SRHR service provision. Experts then reviewed and provided feedback on drafts of these Guidelines. As part of this process, experts were asked to share the draft Guidelines with women and young pe</w:t>
      </w:r>
      <w:r w:rsidR="00347054">
        <w:rPr>
          <w:rFonts w:eastAsia="Helvetica Neue"/>
        </w:rPr>
        <w:t>rsons</w:t>
      </w:r>
      <w:r w:rsidRPr="00A64CBE">
        <w:rPr>
          <w:rFonts w:eastAsia="Helvetica Neue"/>
        </w:rPr>
        <w:t xml:space="preserve"> with disabilities from their communities and collect feedback. This feedback was then incorporated into these Guidelines. </w:t>
      </w:r>
    </w:p>
    <w:p w14:paraId="63A4E0A9" w14:textId="77777777" w:rsidR="00202866" w:rsidRPr="005A2720" w:rsidRDefault="00202866" w:rsidP="005A2720">
      <w:pPr>
        <w:pStyle w:val="Heading4"/>
        <w:rPr>
          <w:rFonts w:eastAsia="Helvetica Neue"/>
        </w:rPr>
      </w:pPr>
      <w:r w:rsidRPr="005A2720">
        <w:rPr>
          <w:rFonts w:eastAsia="Helvetica Neue"/>
        </w:rPr>
        <w:t xml:space="preserve">Scope </w:t>
      </w:r>
    </w:p>
    <w:p w14:paraId="38FD2264" w14:textId="3346AEEC" w:rsidR="00202866" w:rsidRPr="00A64CBE" w:rsidRDefault="00202866" w:rsidP="003A2485">
      <w:pPr>
        <w:rPr>
          <w:rFonts w:eastAsia="Helvetica Neue"/>
        </w:rPr>
      </w:pPr>
      <w:r w:rsidRPr="00A64CBE">
        <w:rPr>
          <w:rFonts w:eastAsia="Helvetica Neue"/>
        </w:rPr>
        <w:t xml:space="preserve">The recommendations in these Guidelines are aimed at all types of service delivery settings, including low-, middle-, and high-resource settings and humanitarian emergency settings. Where there are substantial unique considerations or guidance for service provision in humanitarian emergency settings, these are noted in text boxes titled </w:t>
      </w:r>
      <w:r w:rsidRPr="003A2485">
        <w:rPr>
          <w:rFonts w:eastAsia="Helvetica Neue"/>
          <w:b/>
          <w:bCs/>
          <w:iCs/>
        </w:rPr>
        <w:t>Humanitarian Emergencies.</w:t>
      </w:r>
      <w:r w:rsidRPr="00A64CBE">
        <w:rPr>
          <w:rFonts w:eastAsia="Helvetica Neue"/>
        </w:rPr>
        <w:t xml:space="preserve"> Service providers and support staff working in low-resource settings should look to the foundational guidelines for action and the international human rights framework obligations to prioritize their programming. The specialized guidance for humanitarian emergency settings can also provide low-resource-setting service providers and support staff with important guidance for how to develop services with limited resources.</w:t>
      </w:r>
    </w:p>
    <w:p w14:paraId="1474974E" w14:textId="653876C8" w:rsidR="00202866" w:rsidRPr="00A64CBE" w:rsidRDefault="00202866" w:rsidP="003A2485">
      <w:pPr>
        <w:rPr>
          <w:rFonts w:eastAsia="Helvetica Neue"/>
        </w:rPr>
      </w:pPr>
      <w:r w:rsidRPr="00A64CBE">
        <w:rPr>
          <w:rFonts w:eastAsia="Helvetica Neue"/>
        </w:rPr>
        <w:t>These Guidelines address services for women with disabilities ages 24 and above and young pe</w:t>
      </w:r>
      <w:r w:rsidR="00347054">
        <w:rPr>
          <w:rFonts w:eastAsia="Helvetica Neue"/>
        </w:rPr>
        <w:t>rsons</w:t>
      </w:r>
      <w:r w:rsidRPr="00A64CBE">
        <w:rPr>
          <w:rFonts w:eastAsia="Helvetica Neue"/>
        </w:rPr>
        <w:t xml:space="preserve"> with disabilities, female and male, ages 10-24.</w:t>
      </w:r>
    </w:p>
    <w:p w14:paraId="350B3FDE" w14:textId="3DEC2532" w:rsidR="00D4561C" w:rsidRDefault="00D4561C" w:rsidP="003A2485">
      <w:pPr>
        <w:jc w:val="center"/>
        <w:rPr>
          <w:rFonts w:eastAsia="Helvetica Neue" w:cstheme="majorHAnsi"/>
          <w:sz w:val="20"/>
          <w:szCs w:val="20"/>
        </w:rPr>
      </w:pPr>
      <w:r w:rsidRPr="00A64CBE">
        <w:rPr>
          <w:rFonts w:ascii="Arial" w:eastAsia="Helvetica Neue" w:hAnsi="Arial" w:cs="Arial"/>
          <w:noProof/>
          <w:color w:val="000000"/>
        </w:rPr>
        <w:lastRenderedPageBreak/>
        <w:drawing>
          <wp:inline distT="0" distB="0" distL="0" distR="0" wp14:anchorId="418D5EA5" wp14:editId="5CCB65A0">
            <wp:extent cx="4187952" cy="2551176"/>
            <wp:effectExtent l="12700" t="12700" r="15875" b="14605"/>
            <wp:docPr id="5" name="image17.png" descr="Image provides a visual representation of the definition of the terms used in this publication. 'Adolescents' are defined as being between the ages of 10 and 18, 'youth' between the ages of 15 and 24, 'young people' between the ages of 10 and 24, boys and girls as anyone younger than 18, and women as being over the age of 18."/>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4187952" cy="2551176"/>
                    </a:xfrm>
                    <a:prstGeom prst="rect">
                      <a:avLst/>
                    </a:prstGeom>
                    <a:ln>
                      <a:solidFill>
                        <a:schemeClr val="tx1"/>
                      </a:solidFill>
                    </a:ln>
                  </pic:spPr>
                </pic:pic>
              </a:graphicData>
            </a:graphic>
          </wp:inline>
        </w:drawing>
      </w:r>
    </w:p>
    <w:p w14:paraId="46BD6BD2" w14:textId="77777777" w:rsidR="00D4561C" w:rsidRDefault="00D4561C" w:rsidP="003A2485">
      <w:pPr>
        <w:jc w:val="center"/>
        <w:rPr>
          <w:rFonts w:eastAsia="Helvetica Neue" w:cstheme="majorHAnsi"/>
          <w:sz w:val="20"/>
          <w:szCs w:val="20"/>
        </w:rPr>
      </w:pPr>
    </w:p>
    <w:p w14:paraId="5AA367A8" w14:textId="0B9DFB46" w:rsidR="00202866" w:rsidRPr="00491748" w:rsidRDefault="00202866" w:rsidP="003A2485">
      <w:pPr>
        <w:jc w:val="center"/>
        <w:rPr>
          <w:rFonts w:eastAsia="Helvetica Neue" w:cstheme="majorHAnsi"/>
          <w:sz w:val="20"/>
          <w:szCs w:val="20"/>
        </w:rPr>
      </w:pPr>
      <w:r w:rsidRPr="00491748">
        <w:rPr>
          <w:rFonts w:eastAsia="Helvetica Neue" w:cstheme="majorHAnsi"/>
          <w:sz w:val="20"/>
          <w:szCs w:val="20"/>
        </w:rPr>
        <w:t>Source: UNFPA, Girlhood, Not Motherhood: Preventing Adolescent Pregnancy 6</w:t>
      </w:r>
      <w:r w:rsidR="003A2485" w:rsidRPr="00491748">
        <w:rPr>
          <w:rFonts w:eastAsia="Helvetica Neue" w:cstheme="majorHAnsi"/>
          <w:sz w:val="20"/>
          <w:szCs w:val="20"/>
        </w:rPr>
        <w:t xml:space="preserve"> </w:t>
      </w:r>
      <w:r w:rsidRPr="00491748">
        <w:rPr>
          <w:rFonts w:eastAsia="Helvetica Neue" w:cstheme="majorHAnsi"/>
          <w:sz w:val="20"/>
          <w:szCs w:val="20"/>
        </w:rPr>
        <w:t>(2015)</w:t>
      </w:r>
    </w:p>
    <w:p w14:paraId="58739EEF" w14:textId="4F2A13EE" w:rsidR="00202866" w:rsidRDefault="00202866" w:rsidP="003A2485">
      <w:pPr>
        <w:rPr>
          <w:rFonts w:eastAsia="Helvetica Neue"/>
        </w:rPr>
      </w:pPr>
      <w:r w:rsidRPr="00A64CBE">
        <w:rPr>
          <w:rFonts w:eastAsia="Helvetica Neue"/>
        </w:rPr>
        <w:t xml:space="preserve">Where these Guidelines refer to services for ‘women,’ this includes all women with disabilities across their life cycle, including young women, older women, and all those who identify as women. These Guidelines are also relevant for people with female-typical sex characteristics who do not identify as women. </w:t>
      </w:r>
    </w:p>
    <w:p w14:paraId="5F0D4FD8" w14:textId="72AEE6C6" w:rsidR="00E45B2A" w:rsidRDefault="003D62AE" w:rsidP="003A2485">
      <w:pPr>
        <w:rPr>
          <w:rFonts w:eastAsia="Helvetica Neue"/>
        </w:rPr>
      </w:pPr>
      <w:r w:rsidRPr="00A64CBE">
        <w:rPr>
          <w:rFonts w:eastAsia="Helvetica Neue"/>
        </w:rPr>
        <w:t>Although the focus of these Guidelines is on women and young pe</w:t>
      </w:r>
      <w:r>
        <w:rPr>
          <w:rFonts w:eastAsia="Helvetica Neue"/>
        </w:rPr>
        <w:t>rsons</w:t>
      </w:r>
      <w:r w:rsidRPr="00A64CBE">
        <w:rPr>
          <w:rFonts w:eastAsia="Helvetica Neue"/>
        </w:rPr>
        <w:t xml:space="preserve"> with disabilities, it is important to note that men with disabilities also experience increased risk of GBV and SRHR violations in comparison to their peers without disabilities.</w:t>
      </w:r>
      <w:r w:rsidRPr="00A64CBE">
        <w:rPr>
          <w:rFonts w:eastAsia="Helvetica Neue"/>
          <w:vertAlign w:val="superscript"/>
        </w:rPr>
        <w:endnoteReference w:id="24"/>
      </w:r>
      <w:r w:rsidRPr="00A64CBE">
        <w:rPr>
          <w:rFonts w:eastAsia="Helvetica Neue"/>
        </w:rPr>
        <w:t xml:space="preserve"> Violations against men with disabilities and lack of resources for services for men with disabilities are serious problems. Given the expertise and mandate of UNFPA and WEI, these Guidelines are limited to addressing GBV and SRHR service provision for women and young pe</w:t>
      </w:r>
      <w:r>
        <w:rPr>
          <w:rFonts w:eastAsia="Helvetica Neue"/>
        </w:rPr>
        <w:t>rsons</w:t>
      </w:r>
      <w:r w:rsidRPr="00A64CBE">
        <w:rPr>
          <w:rFonts w:eastAsia="Helvetica Neue"/>
        </w:rPr>
        <w:t xml:space="preserve"> with disabilities. However, service providers and support staff who serve men over the age of 24 with disabilities should consider adapting these Guidelines for their needs.</w:t>
      </w:r>
      <w:r w:rsidRPr="00B1674C">
        <w:rPr>
          <w:rStyle w:val="EndnoteReference"/>
          <w:rFonts w:eastAsia="Helvetica Neue"/>
        </w:rPr>
        <w:endnoteReference w:id="25"/>
      </w:r>
    </w:p>
    <w:p w14:paraId="3AD83590" w14:textId="77777777" w:rsidR="00E45B2A" w:rsidRDefault="00E45B2A">
      <w:pPr>
        <w:rPr>
          <w:rFonts w:eastAsia="Helvetica Neue"/>
        </w:rPr>
      </w:pPr>
      <w:r>
        <w:rPr>
          <w:rFonts w:eastAsia="Helvetica Neue"/>
        </w:rPr>
        <w:br w:type="page"/>
      </w:r>
    </w:p>
    <w:p w14:paraId="08444364" w14:textId="48C3482F" w:rsidR="00E45B2A" w:rsidRPr="005A6AFF" w:rsidRDefault="005A6AFF" w:rsidP="00CD00E1">
      <w:pPr>
        <w:pStyle w:val="Heading4"/>
        <w:ind w:hanging="90"/>
        <w:rPr>
          <w:color w:val="948A54" w:themeColor="background2" w:themeShade="80"/>
        </w:rPr>
      </w:pPr>
      <w:r w:rsidRPr="005A6AFF">
        <w:rPr>
          <w:noProof/>
          <w:color w:val="948A54" w:themeColor="background2" w:themeShade="80"/>
        </w:rPr>
        <w:lastRenderedPageBreak/>
        <mc:AlternateContent>
          <mc:Choice Requires="wps">
            <w:drawing>
              <wp:inline distT="0" distB="0" distL="0" distR="0" wp14:anchorId="1B3A72D3" wp14:editId="71A5C219">
                <wp:extent cx="5943600" cy="0"/>
                <wp:effectExtent l="0" t="38100" r="25400" b="38100"/>
                <wp:docPr id="53" name="Straight Connector 53" descr="Text box follows"/>
                <wp:cNvGraphicFramePr/>
                <a:graphic xmlns:a="http://schemas.openxmlformats.org/drawingml/2006/main">
                  <a:graphicData uri="http://schemas.microsoft.com/office/word/2010/wordprocessingShape">
                    <wps:wsp>
                      <wps:cNvCnPr/>
                      <wps:spPr>
                        <a:xfrm>
                          <a:off x="0" y="0"/>
                          <a:ext cx="5943600" cy="0"/>
                        </a:xfrm>
                        <a:prstGeom prst="line">
                          <a:avLst/>
                        </a:prstGeom>
                        <a:ln w="76200">
                          <a:solidFill>
                            <a:schemeClr val="bg2">
                              <a:lumMod val="50000"/>
                            </a:schemeClr>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1F6FE8C7" id="Straight Connector 53" o:spid="_x0000_s1026" alt="Text box foll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" strokecolor="#938953 [1614]" strokeweight="6pt">
                <w10:anchorlock/>
              </v:line>
            </w:pict>
          </mc:Fallback>
        </mc:AlternateContent>
      </w:r>
      <w:r w:rsidRPr="005A6AFF">
        <w:rPr>
          <w:color w:val="948A54" w:themeColor="background2" w:themeShade="80"/>
        </w:rPr>
        <w:br/>
      </w:r>
      <w:r w:rsidRPr="00FB1366">
        <w:rPr>
          <w:color w:val="948A54" w:themeColor="background2" w:themeShade="80"/>
          <w:sz w:val="16"/>
          <w:szCs w:val="16"/>
        </w:rPr>
        <w:br/>
      </w:r>
      <w:r w:rsidR="00202866" w:rsidRPr="00B92BF0">
        <w:rPr>
          <w:color w:val="948A54" w:themeColor="background2" w:themeShade="80"/>
          <w:sz w:val="32"/>
          <w:szCs w:val="32"/>
        </w:rPr>
        <w:t>Key GBV and SRHR Guidelines</w:t>
      </w:r>
      <w:r w:rsidR="00202866" w:rsidRPr="005A6AFF">
        <w:rPr>
          <w:color w:val="948A54" w:themeColor="background2" w:themeShade="80"/>
        </w:rPr>
        <w:t xml:space="preserve"> </w:t>
      </w:r>
    </w:p>
    <w:p w14:paraId="4F6E7FEB" w14:textId="20CD8FAA" w:rsidR="00202866" w:rsidRPr="00A64CBE" w:rsidRDefault="00202866" w:rsidP="002D42BF">
      <w:pPr>
        <w:spacing w:before="0"/>
        <w:ind w:left="187" w:right="187"/>
        <w:rPr>
          <w:rFonts w:eastAsia="Helvetica Neue"/>
        </w:rPr>
      </w:pPr>
      <w:r w:rsidRPr="00A64CBE">
        <w:rPr>
          <w:rFonts w:eastAsia="Helvetica Neue"/>
        </w:rPr>
        <w:t xml:space="preserve">This document builds upon comprehensive guidelines relating to GBV and SRHR developed by UNFPA and other UN agencies. Two key UN resources that serve as the foundation for these Guidelines are: </w:t>
      </w:r>
    </w:p>
    <w:p w14:paraId="471B2A42" w14:textId="77777777" w:rsidR="002D42BF" w:rsidRDefault="00202866" w:rsidP="006E6012">
      <w:pPr>
        <w:pStyle w:val="ListParagraph"/>
        <w:numPr>
          <w:ilvl w:val="0"/>
          <w:numId w:val="2"/>
        </w:numPr>
        <w:spacing w:before="0"/>
        <w:ind w:left="547" w:right="274"/>
        <w:rPr>
          <w:rFonts w:eastAsia="Helvetica Neue"/>
        </w:rPr>
      </w:pPr>
      <w:r w:rsidRPr="00E45B2A">
        <w:rPr>
          <w:rFonts w:eastAsia="Helvetica Neue"/>
          <w:b/>
          <w:bCs/>
        </w:rPr>
        <w:t>UNFPA, UN Women, WHO, UNDP &amp; UNODC, Essential Services Package for Women and Girls Subject to Violence (2016).</w:t>
      </w:r>
      <w:r w:rsidRPr="00E45B2A">
        <w:rPr>
          <w:rFonts w:eastAsia="Helvetica Neue"/>
          <w:vertAlign w:val="superscript"/>
        </w:rPr>
        <w:t xml:space="preserve"> </w:t>
      </w:r>
      <w:r w:rsidRPr="00A64CBE">
        <w:rPr>
          <w:rFonts w:eastAsia="Helvetica Neue"/>
          <w:vertAlign w:val="superscript"/>
        </w:rPr>
        <w:endnoteReference w:id="26"/>
      </w:r>
      <w:r w:rsidR="002D42BF">
        <w:rPr>
          <w:rFonts w:eastAsia="Helvetica Neue"/>
          <w:vertAlign w:val="superscript"/>
        </w:rPr>
        <w:br/>
      </w:r>
      <w:r w:rsidR="002D42BF" w:rsidRPr="002D42BF">
        <w:rPr>
          <w:rFonts w:eastAsia="Helvetica Neue"/>
          <w:sz w:val="18"/>
          <w:szCs w:val="18"/>
          <w:vertAlign w:val="superscript"/>
        </w:rPr>
        <w:br/>
      </w:r>
      <w:r w:rsidRPr="002D42BF">
        <w:rPr>
          <w:rFonts w:eastAsia="Helvetica Neue"/>
        </w:rPr>
        <w:t xml:space="preserve">This UN Joint Global Programme publication enumerates the essential services for women and girls with and without disabilities who have experienced violence. The package addresses services in four key sectors—health, police and justice, social services, and coordination and governance. The package emphasizes that quality gender-based-violence services must be guided by the following principles: </w:t>
      </w:r>
    </w:p>
    <w:p w14:paraId="578C1361" w14:textId="77777777" w:rsidR="002D42BF" w:rsidRDefault="00202866" w:rsidP="006E6012">
      <w:pPr>
        <w:pStyle w:val="ListParagraph"/>
        <w:numPr>
          <w:ilvl w:val="1"/>
          <w:numId w:val="2"/>
        </w:numPr>
        <w:ind w:left="900" w:right="270"/>
        <w:rPr>
          <w:rFonts w:eastAsia="Helvetica Neue"/>
        </w:rPr>
      </w:pPr>
      <w:r w:rsidRPr="002D42BF">
        <w:rPr>
          <w:rFonts w:eastAsia="Helvetica Neue"/>
        </w:rPr>
        <w:t>A rights-based approach</w:t>
      </w:r>
    </w:p>
    <w:p w14:paraId="435E4F83" w14:textId="77777777" w:rsidR="002D42BF" w:rsidRDefault="00202866" w:rsidP="006E6012">
      <w:pPr>
        <w:pStyle w:val="ListParagraph"/>
        <w:numPr>
          <w:ilvl w:val="1"/>
          <w:numId w:val="2"/>
        </w:numPr>
        <w:ind w:left="900" w:right="270"/>
        <w:rPr>
          <w:rFonts w:eastAsia="Helvetica Neue"/>
        </w:rPr>
      </w:pPr>
      <w:r w:rsidRPr="002D42BF">
        <w:rPr>
          <w:rFonts w:eastAsia="Helvetica Neue"/>
        </w:rPr>
        <w:t>Advancing gender-equality and women’s empowerment</w:t>
      </w:r>
    </w:p>
    <w:p w14:paraId="5CB4B2F7" w14:textId="77777777" w:rsidR="002D42BF" w:rsidRDefault="00202866" w:rsidP="006E6012">
      <w:pPr>
        <w:pStyle w:val="ListParagraph"/>
        <w:numPr>
          <w:ilvl w:val="1"/>
          <w:numId w:val="2"/>
        </w:numPr>
        <w:ind w:left="900" w:right="270"/>
        <w:rPr>
          <w:rFonts w:eastAsia="Helvetica Neue"/>
        </w:rPr>
      </w:pPr>
      <w:r w:rsidRPr="002D42BF">
        <w:rPr>
          <w:rFonts w:eastAsia="Helvetica Neue"/>
        </w:rPr>
        <w:t>Culturally and age appropriate and sensitive (responding to individual characteristics such as disability)</w:t>
      </w:r>
    </w:p>
    <w:p w14:paraId="3AD66910" w14:textId="77777777" w:rsidR="002D42BF" w:rsidRDefault="00202866" w:rsidP="006E6012">
      <w:pPr>
        <w:pStyle w:val="ListParagraph"/>
        <w:numPr>
          <w:ilvl w:val="1"/>
          <w:numId w:val="2"/>
        </w:numPr>
        <w:ind w:left="900" w:right="270"/>
        <w:rPr>
          <w:rFonts w:eastAsia="Helvetica Neue"/>
        </w:rPr>
      </w:pPr>
      <w:r w:rsidRPr="002D42BF">
        <w:rPr>
          <w:rFonts w:eastAsia="Helvetica Neue"/>
        </w:rPr>
        <w:t>Victim/survivor-centred approach</w:t>
      </w:r>
    </w:p>
    <w:p w14:paraId="145CC358" w14:textId="77777777" w:rsidR="002D42BF" w:rsidRDefault="00202866" w:rsidP="006E6012">
      <w:pPr>
        <w:pStyle w:val="ListParagraph"/>
        <w:numPr>
          <w:ilvl w:val="1"/>
          <w:numId w:val="2"/>
        </w:numPr>
        <w:ind w:left="900" w:right="270"/>
        <w:rPr>
          <w:rFonts w:eastAsia="Helvetica Neue"/>
        </w:rPr>
      </w:pPr>
      <w:r w:rsidRPr="002D42BF">
        <w:rPr>
          <w:rFonts w:eastAsia="Helvetica Neue"/>
        </w:rPr>
        <w:t>Safety is paramount</w:t>
      </w:r>
    </w:p>
    <w:p w14:paraId="63268FDE" w14:textId="77777777" w:rsidR="002D42BF" w:rsidRDefault="00202866" w:rsidP="006E6012">
      <w:pPr>
        <w:pStyle w:val="ListParagraph"/>
        <w:numPr>
          <w:ilvl w:val="1"/>
          <w:numId w:val="2"/>
        </w:numPr>
        <w:ind w:left="900" w:right="270"/>
        <w:rPr>
          <w:rFonts w:eastAsia="Helvetica Neue"/>
        </w:rPr>
      </w:pPr>
      <w:r w:rsidRPr="002D42BF">
        <w:rPr>
          <w:rFonts w:eastAsia="Helvetica Neue"/>
        </w:rPr>
        <w:t>Perpetrator accountability</w:t>
      </w:r>
      <w:r w:rsidRPr="00A64CBE">
        <w:rPr>
          <w:rFonts w:eastAsia="Helvetica Neue"/>
          <w:vertAlign w:val="superscript"/>
        </w:rPr>
        <w:endnoteReference w:id="27"/>
      </w:r>
    </w:p>
    <w:p w14:paraId="2692B7EC" w14:textId="30CD0C7A" w:rsidR="002D42BF" w:rsidRDefault="00202866" w:rsidP="006E6012">
      <w:pPr>
        <w:pStyle w:val="ListParagraph"/>
        <w:numPr>
          <w:ilvl w:val="0"/>
          <w:numId w:val="2"/>
        </w:numPr>
        <w:ind w:left="540" w:right="270"/>
        <w:rPr>
          <w:rFonts w:eastAsia="Helvetica Neue"/>
        </w:rPr>
      </w:pPr>
      <w:r w:rsidRPr="002D42BF">
        <w:rPr>
          <w:rFonts w:eastAsia="Helvetica Neue"/>
          <w:b/>
          <w:bCs/>
        </w:rPr>
        <w:t>WHO &amp; UNFPA, Promoting Sexual and Reproductive Health for Persons with Disabilities (2009).</w:t>
      </w:r>
      <w:r w:rsidRPr="00141536">
        <w:rPr>
          <w:rStyle w:val="EndnoteReference"/>
          <w:rFonts w:eastAsia="Helvetica Neue"/>
        </w:rPr>
        <w:endnoteReference w:id="28"/>
      </w:r>
      <w:r w:rsidRPr="002D42BF">
        <w:rPr>
          <w:rFonts w:eastAsia="Helvetica Neue"/>
          <w:b/>
          <w:bCs/>
        </w:rPr>
        <w:t xml:space="preserve"> </w:t>
      </w:r>
      <w:r w:rsidR="002D42BF">
        <w:rPr>
          <w:rFonts w:eastAsia="Helvetica Neue"/>
          <w:b/>
          <w:bCs/>
        </w:rPr>
        <w:br/>
      </w:r>
      <w:r w:rsidR="002D42BF" w:rsidRPr="002D42BF">
        <w:rPr>
          <w:rFonts w:eastAsia="Helvetica Neue"/>
          <w:sz w:val="18"/>
          <w:szCs w:val="18"/>
          <w:vertAlign w:val="superscript"/>
        </w:rPr>
        <w:br/>
      </w:r>
      <w:r w:rsidRPr="002D42BF">
        <w:rPr>
          <w:rFonts w:eastAsia="Helvetica Neue"/>
        </w:rPr>
        <w:t>This WHO and UNFPA guidance note provides important guidance for SRHR experts and advocates as well as service providers, especially those working with provision of SRHR services including; family planning, maternal and newborn health, sexually transmitted infections (STIs), including HIV and AIDS, and adolescent services. The guidance note lays out a framework for full inclusion of pe</w:t>
      </w:r>
      <w:r w:rsidR="004D3006" w:rsidRPr="002D42BF">
        <w:rPr>
          <w:rFonts w:eastAsia="Helvetica Neue"/>
        </w:rPr>
        <w:t>rsons</w:t>
      </w:r>
      <w:r w:rsidRPr="002D42BF">
        <w:rPr>
          <w:rFonts w:eastAsia="Helvetica Neue"/>
        </w:rPr>
        <w:t xml:space="preserve"> with disabilities in sexual and reproductive health services and aims to: </w:t>
      </w:r>
    </w:p>
    <w:p w14:paraId="0BF600B8" w14:textId="77777777" w:rsidR="002D42BF" w:rsidRDefault="00202866" w:rsidP="006E6012">
      <w:pPr>
        <w:pStyle w:val="ListParagraph"/>
        <w:numPr>
          <w:ilvl w:val="1"/>
          <w:numId w:val="2"/>
        </w:numPr>
        <w:ind w:left="900" w:right="270"/>
        <w:rPr>
          <w:rFonts w:eastAsia="Helvetica Neue"/>
        </w:rPr>
      </w:pPr>
      <w:r w:rsidRPr="002D42BF">
        <w:rPr>
          <w:rFonts w:eastAsia="Helvetica Neue"/>
        </w:rPr>
        <w:t>Establish partnerships with organizations of pe</w:t>
      </w:r>
      <w:r w:rsidR="004D3006" w:rsidRPr="002D42BF">
        <w:rPr>
          <w:rFonts w:eastAsia="Helvetica Neue"/>
        </w:rPr>
        <w:t>rsons</w:t>
      </w:r>
      <w:r w:rsidRPr="002D42BF">
        <w:rPr>
          <w:rFonts w:eastAsia="Helvetica Neue"/>
        </w:rPr>
        <w:t xml:space="preserve"> with disabilities from the outset of service programme development and engage pe</w:t>
      </w:r>
      <w:r w:rsidR="004D3006" w:rsidRPr="002D42BF">
        <w:rPr>
          <w:rFonts w:eastAsia="Helvetica Neue"/>
        </w:rPr>
        <w:t>rsons</w:t>
      </w:r>
      <w:r w:rsidRPr="002D42BF">
        <w:rPr>
          <w:rFonts w:eastAsia="Helvetica Neue"/>
        </w:rPr>
        <w:t xml:space="preserve"> with disabilities in training service providers. </w:t>
      </w:r>
    </w:p>
    <w:p w14:paraId="79570BF4" w14:textId="77777777" w:rsidR="002D42BF" w:rsidRDefault="00202866" w:rsidP="006E6012">
      <w:pPr>
        <w:pStyle w:val="ListParagraph"/>
        <w:numPr>
          <w:ilvl w:val="1"/>
          <w:numId w:val="2"/>
        </w:numPr>
        <w:ind w:left="900" w:right="270"/>
        <w:rPr>
          <w:rFonts w:eastAsia="Helvetica Neue"/>
        </w:rPr>
      </w:pPr>
      <w:r w:rsidRPr="002D42BF">
        <w:rPr>
          <w:rFonts w:eastAsia="Helvetica Neue"/>
        </w:rPr>
        <w:t xml:space="preserve">Raise awareness and increase accessibility in provider organizations about the needs of persons with disabilities. This can be done through capacity development by integrating disability-related trainings into existing training and partnering with other stakeholders. </w:t>
      </w:r>
    </w:p>
    <w:p w14:paraId="7529D4AB" w14:textId="39512722" w:rsidR="00202866" w:rsidRPr="002D42BF" w:rsidRDefault="00202866" w:rsidP="006E6012">
      <w:pPr>
        <w:pStyle w:val="ListParagraph"/>
        <w:numPr>
          <w:ilvl w:val="1"/>
          <w:numId w:val="2"/>
        </w:numPr>
        <w:ind w:left="900" w:right="270"/>
        <w:rPr>
          <w:rFonts w:eastAsia="Helvetica Neue"/>
        </w:rPr>
      </w:pPr>
      <w:r w:rsidRPr="002D42BF">
        <w:rPr>
          <w:rFonts w:eastAsia="Helvetica Neue"/>
        </w:rPr>
        <w:t>Ensure that all sexual and reproductive health programmes are accessible to and serve persons with disabilities.</w:t>
      </w:r>
      <w:r w:rsidRPr="00A64CBE">
        <w:rPr>
          <w:rFonts w:eastAsia="Helvetica Neue"/>
          <w:vertAlign w:val="superscript"/>
        </w:rPr>
        <w:endnoteReference w:id="29"/>
      </w:r>
    </w:p>
    <w:p w14:paraId="60D0932A" w14:textId="6663CBD7" w:rsidR="00202866" w:rsidRPr="00A64CBE" w:rsidRDefault="00FB1366" w:rsidP="00FB1366">
      <w:pPr>
        <w:ind w:left="90"/>
        <w:rPr>
          <w:rFonts w:ascii="Arial" w:eastAsia="Helvetica Neue" w:hAnsi="Arial" w:cs="Arial"/>
          <w:color w:val="000000"/>
        </w:rPr>
      </w:pPr>
      <w:r w:rsidRPr="005A6AFF">
        <w:rPr>
          <w:noProof/>
        </w:rPr>
        <mc:AlternateContent>
          <mc:Choice Requires="wps">
            <w:drawing>
              <wp:inline distT="0" distB="0" distL="0" distR="0" wp14:anchorId="1D8FF357" wp14:editId="23FD2D14">
                <wp:extent cx="5943600" cy="0"/>
                <wp:effectExtent l="0" t="12700" r="25400" b="25400"/>
                <wp:docPr id="1" name="Straight Connector 1" descr="Text box ends&#10;"/>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chemeClr val="bg2">
                              <a:lumMod val="50000"/>
                            </a:schemeClr>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1A471FE6" id="Straight Connector 1" o:spid="_x0000_s1026" alt="Text box ends&#10;"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" strokecolor="#938953 [1614]" strokeweight="3pt">
                <w10:anchorlock/>
              </v:line>
            </w:pict>
          </mc:Fallback>
        </mc:AlternateContent>
      </w:r>
    </w:p>
    <w:p w14:paraId="48604F14" w14:textId="5F91FA89" w:rsidR="00161B31" w:rsidRPr="00382156" w:rsidRDefault="005A6AFF" w:rsidP="00CD00E1">
      <w:pPr>
        <w:pStyle w:val="Heading4"/>
        <w:ind w:right="450" w:hanging="90"/>
      </w:pPr>
      <w:r w:rsidRPr="00A6697D">
        <w:rPr>
          <w:noProof/>
        </w:rPr>
        <w:lastRenderedPageBreak/>
        <mc:AlternateContent>
          <mc:Choice Requires="wps">
            <w:drawing>
              <wp:inline distT="0" distB="0" distL="0" distR="0" wp14:anchorId="35577094" wp14:editId="548A5C4D">
                <wp:extent cx="5943600" cy="0"/>
                <wp:effectExtent l="0" t="38100" r="25400" b="38100"/>
                <wp:docPr id="51" name="Straight Connector 51" descr="Text box follows"/>
                <wp:cNvGraphicFramePr/>
                <a:graphic xmlns:a="http://schemas.openxmlformats.org/drawingml/2006/main">
                  <a:graphicData uri="http://schemas.microsoft.com/office/word/2010/wordprocessingShape">
                    <wps:wsp>
                      <wps:cNvCnPr/>
                      <wps:spPr>
                        <a:xfrm>
                          <a:off x="0" y="0"/>
                          <a:ext cx="5943600" cy="0"/>
                        </a:xfrm>
                        <a:prstGeom prst="line">
                          <a:avLst/>
                        </a:prstGeom>
                        <a:ln w="76200">
                          <a:solidFill>
                            <a:schemeClr val="accent6">
                              <a:lumMod val="75000"/>
                            </a:schemeClr>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714355EF" id="Straight Connector 51" o:spid="_x0000_s1026" alt="Text box foll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" strokecolor="#e36c0a [2409]" strokeweight="6pt">
                <w10:anchorlock/>
              </v:line>
            </w:pict>
          </mc:Fallback>
        </mc:AlternateContent>
      </w:r>
      <w:r>
        <w:br/>
      </w:r>
      <w:r w:rsidRPr="00FB1366">
        <w:rPr>
          <w:sz w:val="16"/>
          <w:szCs w:val="16"/>
        </w:rPr>
        <w:br/>
      </w:r>
      <w:r w:rsidR="00161B31" w:rsidRPr="00714E4C">
        <w:rPr>
          <w:color w:val="E36C0A" w:themeColor="accent6" w:themeShade="BF"/>
          <w:sz w:val="32"/>
          <w:szCs w:val="32"/>
        </w:rPr>
        <w:t>Spotlight Issue—GBV and SRHR Violations against Men and Boys with</w:t>
      </w:r>
      <w:r w:rsidR="00141536" w:rsidRPr="00714E4C">
        <w:rPr>
          <w:color w:val="E36C0A" w:themeColor="accent6" w:themeShade="BF"/>
          <w:sz w:val="32"/>
          <w:szCs w:val="32"/>
        </w:rPr>
        <w:t xml:space="preserve"> </w:t>
      </w:r>
      <w:r w:rsidR="00161B31" w:rsidRPr="00714E4C">
        <w:rPr>
          <w:color w:val="E36C0A" w:themeColor="accent6" w:themeShade="BF"/>
          <w:sz w:val="32"/>
          <w:szCs w:val="32"/>
        </w:rPr>
        <w:t>Disabilities</w:t>
      </w:r>
      <w:r w:rsidR="00161B31" w:rsidRPr="00714E4C">
        <w:rPr>
          <w:color w:val="E36C0A" w:themeColor="accent6" w:themeShade="BF"/>
        </w:rPr>
        <w:t xml:space="preserve"> </w:t>
      </w:r>
    </w:p>
    <w:p w14:paraId="31C69865" w14:textId="77777777" w:rsidR="00161B31" w:rsidRPr="00141536" w:rsidRDefault="00161B31" w:rsidP="00CD00E1">
      <w:pPr>
        <w:ind w:right="450"/>
        <w:rPr>
          <w:rFonts w:eastAsia="Helvetica Neue"/>
          <w:b/>
          <w:bCs/>
        </w:rPr>
      </w:pPr>
      <w:r w:rsidRPr="00141536">
        <w:rPr>
          <w:rFonts w:eastAsia="Helvetica Neue"/>
          <w:b/>
          <w:bCs/>
        </w:rPr>
        <w:t xml:space="preserve">GBV: </w:t>
      </w:r>
    </w:p>
    <w:p w14:paraId="2AD12446" w14:textId="77777777" w:rsidR="00161B31" w:rsidRPr="00141536" w:rsidRDefault="00161B31" w:rsidP="00CD00E1">
      <w:pPr>
        <w:ind w:right="450"/>
        <w:rPr>
          <w:rFonts w:eastAsia="Helvetica Neue"/>
        </w:rPr>
      </w:pPr>
      <w:r w:rsidRPr="00141536">
        <w:rPr>
          <w:rFonts w:eastAsia="Helvetica Neue"/>
        </w:rPr>
        <w:t>Men and boys with disabilities have an increased risk of violence, particularly sexual violence.</w:t>
      </w:r>
      <w:r w:rsidRPr="00141536">
        <w:rPr>
          <w:rFonts w:eastAsia="Helvetica Neue"/>
          <w:vertAlign w:val="superscript"/>
        </w:rPr>
        <w:endnoteReference w:id="30"/>
      </w:r>
      <w:r w:rsidRPr="00141536">
        <w:rPr>
          <w:rFonts w:eastAsia="Helvetica Neue"/>
        </w:rPr>
        <w:t xml:space="preserve"> In one small scale study of Deaf adults in the United States, close to 45 percent of Deaf men reported experiencing at least one form of sexual assault or another form of unwanted sexual contact.</w:t>
      </w:r>
      <w:r w:rsidRPr="00714E4C">
        <w:rPr>
          <w:rStyle w:val="EndnoteReference"/>
          <w:rFonts w:eastAsia="Helvetica Neue"/>
        </w:rPr>
        <w:endnoteReference w:id="31"/>
      </w:r>
      <w:r w:rsidRPr="00141536">
        <w:rPr>
          <w:rFonts w:eastAsia="Helvetica Neue"/>
        </w:rPr>
        <w:t xml:space="preserve"> Men and boys with disabilities experience vulnerability to violence for many of the same reasons as women with disabilities. However, men and boys with disabilities can also face GBV because of perceptions that they are unable to fulfil their expected gender role in society.</w:t>
      </w:r>
      <w:r w:rsidRPr="00141536">
        <w:rPr>
          <w:rFonts w:eastAsia="Helvetica Neue"/>
          <w:vertAlign w:val="superscript"/>
        </w:rPr>
        <w:endnoteReference w:id="32"/>
      </w:r>
      <w:r w:rsidRPr="00141536">
        <w:rPr>
          <w:rFonts w:eastAsia="Helvetica Neue"/>
        </w:rPr>
        <w:t xml:space="preserve"> Moreover, because of misconceptions that men and boys are not victims of GBV, they are rarely identified as needing GBV services.</w:t>
      </w:r>
      <w:r w:rsidRPr="00141536">
        <w:rPr>
          <w:rFonts w:eastAsia="Helvetica Neue"/>
          <w:vertAlign w:val="superscript"/>
        </w:rPr>
        <w:endnoteReference w:id="33"/>
      </w:r>
      <w:r w:rsidRPr="00141536">
        <w:rPr>
          <w:rFonts w:eastAsia="Helvetica Neue"/>
        </w:rPr>
        <w:t xml:space="preserve"> </w:t>
      </w:r>
    </w:p>
    <w:p w14:paraId="34695325" w14:textId="77777777" w:rsidR="00161B31" w:rsidRPr="00141536" w:rsidRDefault="00161B31" w:rsidP="00CD00E1">
      <w:pPr>
        <w:ind w:right="450"/>
        <w:rPr>
          <w:rFonts w:eastAsia="Helvetica Neue"/>
          <w:b/>
          <w:bCs/>
        </w:rPr>
      </w:pPr>
      <w:r w:rsidRPr="00141536">
        <w:rPr>
          <w:rFonts w:eastAsia="Helvetica Neue"/>
          <w:b/>
          <w:bCs/>
        </w:rPr>
        <w:t xml:space="preserve">SRHR: </w:t>
      </w:r>
    </w:p>
    <w:p w14:paraId="47A77162" w14:textId="77777777" w:rsidR="00161B31" w:rsidRPr="00141536" w:rsidRDefault="00161B31" w:rsidP="00CD00E1">
      <w:pPr>
        <w:ind w:right="450"/>
        <w:rPr>
          <w:rFonts w:eastAsia="Helvetica Neue"/>
        </w:rPr>
      </w:pPr>
      <w:r w:rsidRPr="00141536">
        <w:rPr>
          <w:rFonts w:eastAsia="Helvetica Neue"/>
        </w:rPr>
        <w:t>Men and boys—both with and without disabilities—often do not receive SRHR education and are left to pick up information about their SRHR from other men and boys through comments, jokes, and socializing.</w:t>
      </w:r>
      <w:r w:rsidRPr="00141536">
        <w:rPr>
          <w:rFonts w:eastAsia="Helvetica Neue"/>
          <w:vertAlign w:val="superscript"/>
        </w:rPr>
        <w:endnoteReference w:id="34"/>
      </w:r>
      <w:r w:rsidRPr="00141536">
        <w:rPr>
          <w:rFonts w:eastAsia="Helvetica Neue"/>
        </w:rPr>
        <w:t xml:space="preserve"> Men and boys with disabilities face increased isolation and communication barriers compared to their non-disabled peers, which presents an additional barrier to accessing essential SRHR information. These barriers are compounded by the fact that men and boys with disabilities also experience the same forms of exclusion from SRHR services as women and girls with disabilities.</w:t>
      </w:r>
      <w:r w:rsidRPr="00141536">
        <w:rPr>
          <w:rFonts w:eastAsia="Helvetica Neue"/>
          <w:vertAlign w:val="superscript"/>
        </w:rPr>
        <w:endnoteReference w:id="35"/>
      </w:r>
      <w:r w:rsidRPr="00141536">
        <w:rPr>
          <w:rFonts w:eastAsia="Helvetica Neue"/>
        </w:rPr>
        <w:t xml:space="preserve"> </w:t>
      </w:r>
    </w:p>
    <w:p w14:paraId="7DB58641" w14:textId="2BB0FB3C" w:rsidR="00161B31" w:rsidRPr="00141536" w:rsidRDefault="00161B31" w:rsidP="00CD00E1">
      <w:pPr>
        <w:ind w:right="450"/>
        <w:rPr>
          <w:noProof/>
        </w:rPr>
      </w:pPr>
      <w:r w:rsidRPr="00141536">
        <w:rPr>
          <w:rFonts w:eastAsia="Helvetica Neue"/>
        </w:rPr>
        <w:t>More data, research, and programmatic approaches are critically needed to identify and respond to the scope of this problem. UNFPA and WEI strongly encourage further research about GBV and SRHR services and violations experienced by men and boys with disabilities.</w:t>
      </w:r>
      <w:r w:rsidRPr="00141536">
        <w:rPr>
          <w:noProof/>
        </w:rPr>
        <w:t xml:space="preserve"> </w:t>
      </w:r>
    </w:p>
    <w:p w14:paraId="3FA2FA0C" w14:textId="45AAF8A4" w:rsidR="00161B31" w:rsidRDefault="005A6AFF" w:rsidP="00CD00E1">
      <w:pPr>
        <w:ind w:right="540" w:hanging="90"/>
        <w:rPr>
          <w:rFonts w:eastAsia="Helvetica Neue"/>
        </w:rPr>
      </w:pPr>
      <w:r w:rsidRPr="00A6697D">
        <w:rPr>
          <w:noProof/>
        </w:rPr>
        <mc:AlternateContent>
          <mc:Choice Requires="wps">
            <w:drawing>
              <wp:inline distT="0" distB="0" distL="0" distR="0" wp14:anchorId="4B1185F1" wp14:editId="5B03E158">
                <wp:extent cx="5943600" cy="0"/>
                <wp:effectExtent l="0" t="12700" r="25400" b="25400"/>
                <wp:docPr id="52" name="Straight Connector 52" descr="Text box ends&#10;"/>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chemeClr val="accent6">
                              <a:lumMod val="75000"/>
                            </a:schemeClr>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6FFDC064" id="Straight Connector 52" o:spid="_x0000_s1026" alt="Text box ends&#10;"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" strokecolor="#e36c0a [2409]" strokeweight="3pt">
                <w10:anchorlock/>
              </v:line>
            </w:pict>
          </mc:Fallback>
        </mc:AlternateContent>
      </w:r>
    </w:p>
    <w:p w14:paraId="78535E91" w14:textId="1B4D40EA" w:rsidR="00202866" w:rsidRPr="00382156" w:rsidRDefault="00202866" w:rsidP="00FB1366">
      <w:pPr>
        <w:pStyle w:val="Heading3"/>
        <w:spacing w:before="480"/>
      </w:pPr>
      <w:r w:rsidRPr="00382156">
        <w:t>1.1.3 How to Use these Guidelines</w:t>
      </w:r>
    </w:p>
    <w:p w14:paraId="0E5B708F" w14:textId="1F526774" w:rsidR="00202866" w:rsidRPr="00A64CBE" w:rsidRDefault="00202866" w:rsidP="00382156">
      <w:pPr>
        <w:rPr>
          <w:rFonts w:ascii="Arial" w:eastAsia="Helvetica Neue" w:hAnsi="Arial" w:cs="Arial"/>
          <w:color w:val="000000"/>
        </w:rPr>
      </w:pPr>
      <w:r w:rsidRPr="00A64CBE">
        <w:rPr>
          <w:rFonts w:eastAsia="Helvetica Neue"/>
        </w:rPr>
        <w:t>These Guidelines are written for use by GBV and SRHR service providers and support staff at all levels. For the purposes of these Guidelines</w:t>
      </w:r>
      <w:r w:rsidRPr="00EE60EE">
        <w:rPr>
          <w:rFonts w:eastAsia="Helvetica Neue"/>
        </w:rPr>
        <w:t xml:space="preserve">, </w:t>
      </w:r>
      <w:r w:rsidRPr="003D62AE">
        <w:rPr>
          <w:rFonts w:eastAsia="Helvetica Neue"/>
        </w:rPr>
        <w:t xml:space="preserve">‘service provider’ refers to anyone who is directly providing services to a person in either a formal or informal setting (e.g. </w:t>
      </w:r>
      <w:r w:rsidR="00A911B5" w:rsidRPr="003D62AE">
        <w:rPr>
          <w:rFonts w:eastAsia="Helvetica Neue"/>
        </w:rPr>
        <w:t>nurse, midwife</w:t>
      </w:r>
      <w:r w:rsidRPr="003D62AE">
        <w:rPr>
          <w:rFonts w:eastAsia="Helvetica Neue"/>
        </w:rPr>
        <w:t>, physicia</w:t>
      </w:r>
      <w:r w:rsidR="00A911B5" w:rsidRPr="003D62AE">
        <w:rPr>
          <w:rFonts w:eastAsia="Helvetica Neue"/>
        </w:rPr>
        <w:t>n, social worker</w:t>
      </w:r>
      <w:r w:rsidRPr="003D62AE">
        <w:rPr>
          <w:rFonts w:eastAsia="Helvetica Neue"/>
        </w:rPr>
        <w:t xml:space="preserve">). ‘Support staff’ refers to administrative personnel, security staff, volunteers, and other people with whom a person may come into contact while seeking or receiving services.   </w:t>
      </w:r>
      <w:r w:rsidRPr="00A64CBE">
        <w:rPr>
          <w:rFonts w:eastAsia="Helvetica Neue"/>
        </w:rPr>
        <w:t xml:space="preserve">These Guidelines are primarily directed at service providers and support staff who may interact with a woman or a young person with a disability who is experiencing or has experienced GBV or requires SRHR-related services. Examples of service providers and support staff who may find these Guidelines relevant include doctors, nurses, midwives, social workers, reception staff, security personnel, orderlies, community health workers, prosecutors, judges, law enforcement officers, independent living </w:t>
      </w:r>
      <w:r w:rsidRPr="0018197A">
        <w:rPr>
          <w:rFonts w:eastAsia="Helvetica Neue"/>
          <w:lang w:val="en-GB"/>
        </w:rPr>
        <w:t>centre</w:t>
      </w:r>
      <w:r w:rsidRPr="00A64CBE">
        <w:rPr>
          <w:rFonts w:eastAsia="Helvetica Neue"/>
        </w:rPr>
        <w:t xml:space="preserve"> staff, rape crisis centre staff, domestic violence shelter staff, and community group leaders. Self-advocates may also find these Guidelines useful as a guide for what to expect from their service providers and support staff. </w:t>
      </w:r>
    </w:p>
    <w:p w14:paraId="64F9D039" w14:textId="348E7D95" w:rsidR="00202866" w:rsidRPr="00A64CBE" w:rsidRDefault="00202866" w:rsidP="00382156">
      <w:pPr>
        <w:rPr>
          <w:rFonts w:eastAsia="Helvetica Neue"/>
        </w:rPr>
      </w:pPr>
      <w:r w:rsidRPr="00A64CBE">
        <w:rPr>
          <w:rFonts w:eastAsia="Helvetica Neue"/>
        </w:rPr>
        <w:lastRenderedPageBreak/>
        <w:t xml:space="preserve">Readers will note that these Guidelines are not written in plain language and thus may not be accessible to </w:t>
      </w:r>
      <w:r w:rsidR="00062BAC">
        <w:rPr>
          <w:rFonts w:eastAsia="Helvetica Neue"/>
        </w:rPr>
        <w:t>persons</w:t>
      </w:r>
      <w:r w:rsidR="00062BAC" w:rsidRPr="00A64CBE">
        <w:rPr>
          <w:rFonts w:eastAsia="Helvetica Neue"/>
        </w:rPr>
        <w:t xml:space="preserve"> </w:t>
      </w:r>
      <w:r w:rsidRPr="00A64CBE">
        <w:rPr>
          <w:rFonts w:eastAsia="Helvetica Neue"/>
        </w:rPr>
        <w:t xml:space="preserve">with disabilities who require simplified formats. UNFPA and WEI strongly encourage service providers and support staff to work with self-advocates to develop </w:t>
      </w:r>
      <w:r w:rsidR="00C9039F">
        <w:rPr>
          <w:rFonts w:eastAsia="Helvetica Neue"/>
        </w:rPr>
        <w:t xml:space="preserve">local accessible </w:t>
      </w:r>
      <w:r w:rsidRPr="00A64CBE">
        <w:rPr>
          <w:rFonts w:eastAsia="Helvetica Neue"/>
        </w:rPr>
        <w:t xml:space="preserve">guides containing relevant information from these Guidelines for distribution in their community. </w:t>
      </w:r>
    </w:p>
    <w:p w14:paraId="0A83D635" w14:textId="586C83B7" w:rsidR="00202866" w:rsidRPr="00A64CBE" w:rsidRDefault="00202866" w:rsidP="00382156">
      <w:pPr>
        <w:rPr>
          <w:rFonts w:eastAsia="Helvetica Neue"/>
        </w:rPr>
      </w:pPr>
      <w:r w:rsidRPr="00A64CBE">
        <w:rPr>
          <w:rFonts w:eastAsia="Helvetica Neue"/>
        </w:rPr>
        <w:t xml:space="preserve">After this overview chapter, these Guidelines are divided into four more chapters. Note, Chapter 2 contains vital information upon which are built the GBV and SRHR thematic guidelines in Chapters 3 and 4 and must be read as a precursor to these guidelines. </w:t>
      </w:r>
    </w:p>
    <w:p w14:paraId="459DADC8" w14:textId="3E3CC161" w:rsidR="00202866" w:rsidRPr="00A64CBE" w:rsidRDefault="00202866" w:rsidP="006E6012">
      <w:pPr>
        <w:pStyle w:val="ListParagraph"/>
        <w:numPr>
          <w:ilvl w:val="0"/>
          <w:numId w:val="65"/>
        </w:numPr>
      </w:pPr>
      <w:r w:rsidRPr="00A64CBE">
        <w:t xml:space="preserve">Chapter 2 enumerates the </w:t>
      </w:r>
      <w:r w:rsidRPr="000A13DC">
        <w:rPr>
          <w:rStyle w:val="Bold"/>
        </w:rPr>
        <w:t>foundational guidelines for action</w:t>
      </w:r>
      <w:r w:rsidRPr="00A64CBE">
        <w:t xml:space="preserve"> that must guide the development and provision of services for women and young pe</w:t>
      </w:r>
      <w:r w:rsidR="00EE60EE">
        <w:t>r</w:t>
      </w:r>
      <w:r w:rsidR="00C13A7B">
        <w:t>sons</w:t>
      </w:r>
      <w:r w:rsidRPr="00A64CBE">
        <w:t xml:space="preserve"> with disabilities across </w:t>
      </w:r>
      <w:r w:rsidRPr="003B0F67">
        <w:rPr>
          <w:rFonts w:eastAsia="Helvetica Neue"/>
        </w:rPr>
        <w:t>all</w:t>
      </w:r>
      <w:r w:rsidRPr="00A64CBE">
        <w:t xml:space="preserve"> </w:t>
      </w:r>
      <w:r w:rsidRPr="003B0F67">
        <w:rPr>
          <w:rFonts w:eastAsia="Helvetica Neue"/>
        </w:rPr>
        <w:t>service</w:t>
      </w:r>
      <w:r w:rsidRPr="00A64CBE">
        <w:t xml:space="preserve"> provision areas. These foundational guidelines address all phases of service provision, beginning with an enabling legislative environment, moving to programme design and implementation, and then addressing considerations at the level of the facility and direct service provision. </w:t>
      </w:r>
    </w:p>
    <w:p w14:paraId="4D20B47C" w14:textId="67C245EC" w:rsidR="00202866" w:rsidRPr="00A64CBE" w:rsidRDefault="00202866" w:rsidP="006E6012">
      <w:pPr>
        <w:pStyle w:val="ListParagraph"/>
        <w:numPr>
          <w:ilvl w:val="0"/>
          <w:numId w:val="65"/>
        </w:numPr>
      </w:pPr>
      <w:r w:rsidRPr="00A64CBE">
        <w:t xml:space="preserve">Chapter 3 contains </w:t>
      </w:r>
      <w:r w:rsidRPr="000A13DC">
        <w:rPr>
          <w:rStyle w:val="Bold"/>
        </w:rPr>
        <w:t xml:space="preserve">guidelines for GBV service provision for women and young </w:t>
      </w:r>
      <w:r w:rsidR="00062BAC">
        <w:rPr>
          <w:rStyle w:val="Bold"/>
        </w:rPr>
        <w:t>persons</w:t>
      </w:r>
      <w:r w:rsidR="00062BAC" w:rsidRPr="000A13DC">
        <w:rPr>
          <w:rStyle w:val="Bold"/>
        </w:rPr>
        <w:t xml:space="preserve"> </w:t>
      </w:r>
      <w:r w:rsidRPr="000A13DC">
        <w:rPr>
          <w:rStyle w:val="Bold"/>
        </w:rPr>
        <w:t>with disabilities</w:t>
      </w:r>
      <w:r w:rsidRPr="00A64CBE">
        <w:t xml:space="preserve">. The chapter begins with an introduction that identifies key GBV issues facing women and </w:t>
      </w:r>
      <w:r w:rsidRPr="003B0F67">
        <w:rPr>
          <w:rFonts w:eastAsia="Helvetica Neue"/>
        </w:rPr>
        <w:t>young</w:t>
      </w:r>
      <w:r w:rsidRPr="00A64CBE">
        <w:t xml:space="preserve"> </w:t>
      </w:r>
      <w:r w:rsidR="00062BAC">
        <w:t>persons</w:t>
      </w:r>
      <w:r w:rsidR="00062BAC" w:rsidRPr="00A64CBE">
        <w:t xml:space="preserve"> </w:t>
      </w:r>
      <w:r w:rsidRPr="00A64CBE">
        <w:t xml:space="preserve">with disabilities. This section is followed by an overview of the international human rights framework that underlies the </w:t>
      </w:r>
      <w:r w:rsidRPr="009F6EE3">
        <w:t>GBV</w:t>
      </w:r>
      <w:r w:rsidRPr="00A64CBE">
        <w:t xml:space="preserve"> service guidelines specifically. The chapter is then divided into subchapters, each covering a separate GBV service provision area. </w:t>
      </w:r>
    </w:p>
    <w:p w14:paraId="7AB8E949" w14:textId="03C87B63" w:rsidR="00202866" w:rsidRPr="00A64CBE" w:rsidRDefault="00202866" w:rsidP="006E6012">
      <w:pPr>
        <w:pStyle w:val="ListParagraph"/>
        <w:numPr>
          <w:ilvl w:val="0"/>
          <w:numId w:val="65"/>
        </w:numPr>
      </w:pPr>
      <w:r w:rsidRPr="00A64CBE">
        <w:t xml:space="preserve">Chapter 4 contains </w:t>
      </w:r>
      <w:r w:rsidRPr="000A13DC">
        <w:rPr>
          <w:rStyle w:val="Bold"/>
        </w:rPr>
        <w:t xml:space="preserve">guidelines for SRHR service provision for women and young </w:t>
      </w:r>
      <w:r w:rsidR="00062BAC">
        <w:rPr>
          <w:rStyle w:val="Bold"/>
        </w:rPr>
        <w:t>persons</w:t>
      </w:r>
      <w:r w:rsidR="00062BAC" w:rsidRPr="000A13DC">
        <w:rPr>
          <w:rStyle w:val="Bold"/>
        </w:rPr>
        <w:t xml:space="preserve"> </w:t>
      </w:r>
      <w:r w:rsidRPr="000A13DC">
        <w:rPr>
          <w:rStyle w:val="Bold"/>
        </w:rPr>
        <w:t xml:space="preserve">with </w:t>
      </w:r>
      <w:r w:rsidRPr="003B0F67">
        <w:rPr>
          <w:rFonts w:eastAsia="Helvetica Neue"/>
          <w:b/>
        </w:rPr>
        <w:t>disabilities</w:t>
      </w:r>
      <w:r w:rsidRPr="00A64CBE">
        <w:t xml:space="preserve">. The chapter begins with an introduction that identifies key SRHR issues facing women and young </w:t>
      </w:r>
      <w:r w:rsidR="00062BAC">
        <w:t>persons</w:t>
      </w:r>
      <w:r w:rsidR="00062BAC" w:rsidRPr="00A64CBE">
        <w:t xml:space="preserve"> </w:t>
      </w:r>
      <w:r w:rsidRPr="00A64CBE">
        <w:t xml:space="preserve">with disabilities. This section is followed by an overview of the </w:t>
      </w:r>
      <w:r w:rsidRPr="003B0F67">
        <w:rPr>
          <w:rFonts w:eastAsia="Helvetica Neue"/>
        </w:rPr>
        <w:t>international</w:t>
      </w:r>
      <w:r w:rsidRPr="00A64CBE">
        <w:t xml:space="preserve"> human rights framework that underlies the SRHR service guidelines specifically. The chapter is then divided into subchapters each covering a separate SRHR service provision area. </w:t>
      </w:r>
    </w:p>
    <w:p w14:paraId="22DA9978" w14:textId="77777777" w:rsidR="00202866" w:rsidRPr="00A64CBE" w:rsidRDefault="00202866" w:rsidP="006E6012">
      <w:pPr>
        <w:pStyle w:val="ListParagraph"/>
        <w:numPr>
          <w:ilvl w:val="0"/>
          <w:numId w:val="65"/>
        </w:numPr>
      </w:pPr>
      <w:r w:rsidRPr="00A64CBE">
        <w:t xml:space="preserve">Chapter 5 </w:t>
      </w:r>
      <w:r w:rsidRPr="003B0F67">
        <w:rPr>
          <w:rFonts w:eastAsia="Helvetica Neue"/>
        </w:rPr>
        <w:t>contains</w:t>
      </w:r>
      <w:r w:rsidRPr="00A64CBE">
        <w:t xml:space="preserve"> a </w:t>
      </w:r>
      <w:r w:rsidRPr="000A13DC">
        <w:rPr>
          <w:rStyle w:val="Bold"/>
        </w:rPr>
        <w:t>glossary</w:t>
      </w:r>
      <w:r w:rsidRPr="00A64CBE">
        <w:t xml:space="preserve"> of key terms, as well as a list of </w:t>
      </w:r>
      <w:r w:rsidRPr="000A13DC">
        <w:rPr>
          <w:rStyle w:val="Bold"/>
        </w:rPr>
        <w:t>resources</w:t>
      </w:r>
      <w:r w:rsidRPr="00A64CBE">
        <w:t xml:space="preserve"> for further reading.</w:t>
      </w:r>
    </w:p>
    <w:p w14:paraId="6FC83E87" w14:textId="77777777" w:rsidR="00202866" w:rsidRPr="00A64CBE" w:rsidRDefault="00202866" w:rsidP="002D42BF">
      <w:pPr>
        <w:spacing w:before="480"/>
        <w:rPr>
          <w:rFonts w:eastAsia="Helvetica Neue"/>
        </w:rPr>
      </w:pPr>
      <w:r w:rsidRPr="00A64CBE">
        <w:rPr>
          <w:rFonts w:eastAsia="Helvetica Neue"/>
        </w:rPr>
        <w:t>Each service area addressed in these Guidelines’ subchapters contains the following sections:</w:t>
      </w:r>
    </w:p>
    <w:p w14:paraId="415C5A76" w14:textId="77777777" w:rsidR="00202866" w:rsidRPr="00A64CBE" w:rsidRDefault="00202866" w:rsidP="006E6012">
      <w:pPr>
        <w:pStyle w:val="ListParagraph"/>
        <w:numPr>
          <w:ilvl w:val="0"/>
          <w:numId w:val="66"/>
        </w:numPr>
        <w:ind w:left="360"/>
      </w:pPr>
      <w:r w:rsidRPr="00A64CBE">
        <w:t xml:space="preserve">A brief </w:t>
      </w:r>
      <w:r w:rsidRPr="000A13DC">
        <w:rPr>
          <w:rStyle w:val="Bold"/>
        </w:rPr>
        <w:t>overview</w:t>
      </w:r>
      <w:r w:rsidRPr="00A64CBE">
        <w:t xml:space="preserve"> of the </w:t>
      </w:r>
      <w:r w:rsidRPr="00493824">
        <w:rPr>
          <w:rFonts w:eastAsia="Helvetica Neue"/>
        </w:rPr>
        <w:t>issues</w:t>
      </w:r>
      <w:r w:rsidRPr="00A64CBE">
        <w:t xml:space="preserve"> </w:t>
      </w:r>
      <w:r w:rsidRPr="00493824">
        <w:rPr>
          <w:rFonts w:eastAsia="Helvetica Neue"/>
        </w:rPr>
        <w:t>related</w:t>
      </w:r>
      <w:r w:rsidRPr="00A64CBE">
        <w:t xml:space="preserve"> to the service area in question</w:t>
      </w:r>
    </w:p>
    <w:p w14:paraId="22AC0BB4" w14:textId="4C2D4764" w:rsidR="00202866" w:rsidRPr="00A64CBE" w:rsidRDefault="00202866" w:rsidP="006E6012">
      <w:pPr>
        <w:pStyle w:val="ListParagraph"/>
        <w:numPr>
          <w:ilvl w:val="0"/>
          <w:numId w:val="66"/>
        </w:numPr>
        <w:ind w:left="360"/>
      </w:pPr>
      <w:r w:rsidRPr="000A13DC">
        <w:rPr>
          <w:rStyle w:val="Bold"/>
        </w:rPr>
        <w:t>Key considerations</w:t>
      </w:r>
      <w:r w:rsidRPr="00A64CBE">
        <w:t xml:space="preserve"> that identify common barriers or issues that bear on the experiences of women and young </w:t>
      </w:r>
      <w:r w:rsidR="00062BAC">
        <w:rPr>
          <w:rFonts w:eastAsia="Helvetica Neue"/>
        </w:rPr>
        <w:t>persons</w:t>
      </w:r>
      <w:r w:rsidR="00062BAC" w:rsidRPr="00A64CBE">
        <w:t xml:space="preserve"> </w:t>
      </w:r>
      <w:r w:rsidRPr="00A64CBE">
        <w:t xml:space="preserve">with disabilities in that service area. These considerations should be kept in mind while </w:t>
      </w:r>
      <w:r w:rsidRPr="00493824">
        <w:rPr>
          <w:rFonts w:eastAsia="Helvetica Neue"/>
        </w:rPr>
        <w:t>assessing</w:t>
      </w:r>
      <w:r w:rsidRPr="00A64CBE">
        <w:t xml:space="preserve"> current or proposed services and taking steps to improve service delivery.</w:t>
      </w:r>
    </w:p>
    <w:p w14:paraId="4EC437DA" w14:textId="28A6DFAD" w:rsidR="00202866" w:rsidRPr="000D6BA0" w:rsidRDefault="00202866" w:rsidP="006E6012">
      <w:pPr>
        <w:pStyle w:val="ListParagraph"/>
        <w:numPr>
          <w:ilvl w:val="0"/>
          <w:numId w:val="66"/>
        </w:numPr>
        <w:ind w:left="360"/>
      </w:pPr>
      <w:r w:rsidRPr="000A13DC">
        <w:rPr>
          <w:rStyle w:val="Bold"/>
        </w:rPr>
        <w:t>Guidelines for Action</w:t>
      </w:r>
      <w:r w:rsidRPr="00A64CBE">
        <w:t xml:space="preserve"> that are examples of actions that can be taken to ensure that rights-based services for </w:t>
      </w:r>
      <w:r w:rsidRPr="00493824">
        <w:rPr>
          <w:rFonts w:eastAsia="Helvetica Neue"/>
        </w:rPr>
        <w:t>women</w:t>
      </w:r>
      <w:r w:rsidRPr="00A64CBE">
        <w:t xml:space="preserve"> and young pe</w:t>
      </w:r>
      <w:r w:rsidR="00C13A7B">
        <w:t>rsons</w:t>
      </w:r>
      <w:r w:rsidRPr="00A64CBE">
        <w:t xml:space="preserve"> with disabilities are available, accessible, acceptable, and of good quality (keeping in mind that actions taken must ultimately depend on the specific context in which the services are provided). These service area-specific Guidelines build on the </w:t>
      </w:r>
      <w:r w:rsidRPr="000A13DC">
        <w:rPr>
          <w:rStyle w:val="Bold"/>
        </w:rPr>
        <w:t>Foundational Guidelines for Action (Chapter 2)</w:t>
      </w:r>
      <w:r w:rsidRPr="00A64CBE">
        <w:t>, which</w:t>
      </w:r>
      <w:r w:rsidRPr="000A13DC">
        <w:rPr>
          <w:rStyle w:val="Bold"/>
        </w:rPr>
        <w:t xml:space="preserve"> </w:t>
      </w:r>
      <w:r w:rsidRPr="00A64CBE">
        <w:t>provide a foundation for all service areas across both GBV and SRHR sectors.</w:t>
      </w:r>
    </w:p>
    <w:p w14:paraId="589F808F" w14:textId="77777777" w:rsidR="00202866" w:rsidRPr="00A64CBE" w:rsidRDefault="00202866" w:rsidP="006E6012">
      <w:pPr>
        <w:pStyle w:val="ListParagraph"/>
        <w:numPr>
          <w:ilvl w:val="0"/>
          <w:numId w:val="66"/>
        </w:numPr>
        <w:ind w:left="360"/>
      </w:pPr>
      <w:r w:rsidRPr="00A64CBE">
        <w:lastRenderedPageBreak/>
        <w:t xml:space="preserve">Illustrative </w:t>
      </w:r>
      <w:r w:rsidRPr="000A13DC">
        <w:rPr>
          <w:rStyle w:val="Bold"/>
        </w:rPr>
        <w:t>indicators</w:t>
      </w:r>
      <w:r w:rsidRPr="00A64CBE">
        <w:t xml:space="preserve"> demonstrating the level of specificity, subjects, and form that indicators should take for effective monitoring and evaluating progress towards rights-based service provision. </w:t>
      </w:r>
      <w:r w:rsidRPr="00493824">
        <w:rPr>
          <w:rFonts w:eastAsia="Helvetica Neue"/>
        </w:rPr>
        <w:t>Indicators</w:t>
      </w:r>
      <w:r w:rsidRPr="00A64CBE">
        <w:t xml:space="preserve"> are critical for quality service provision monitoring and evaluation. Each desired outcome must have a corresponding indicator that is measurable, specific, clear, reliable, timely, and programmatically important.</w:t>
      </w:r>
      <w:r w:rsidRPr="00A64CBE">
        <w:rPr>
          <w:vertAlign w:val="superscript"/>
        </w:rPr>
        <w:endnoteReference w:id="36"/>
      </w:r>
      <w:r w:rsidRPr="00493824">
        <w:rPr>
          <w:vertAlign w:val="superscript"/>
        </w:rPr>
        <w:t xml:space="preserve"> </w:t>
      </w:r>
      <w:r w:rsidRPr="00A64CBE">
        <w:t xml:space="preserve">Qualitative and quantitative indicators can be used as markers of integrated services, health status, knowledge, access, safety, and resource allocation. </w:t>
      </w:r>
    </w:p>
    <w:p w14:paraId="5687D954" w14:textId="332B1CCA" w:rsidR="009F6EE3" w:rsidRPr="00BD4604" w:rsidRDefault="00202866" w:rsidP="00BD4604">
      <w:pPr>
        <w:rPr>
          <w:rFonts w:eastAsia="Helvetica Neue"/>
        </w:rPr>
      </w:pPr>
      <w:r w:rsidRPr="00A64CBE">
        <w:rPr>
          <w:rFonts w:eastAsia="Helvetica Neue"/>
        </w:rPr>
        <w:t xml:space="preserve">The information in these Guidelines is intended to be a </w:t>
      </w:r>
      <w:r w:rsidRPr="008D2B6F">
        <w:rPr>
          <w:rStyle w:val="Bold"/>
        </w:rPr>
        <w:t>starting point</w:t>
      </w:r>
      <w:r w:rsidRPr="00A64CBE">
        <w:rPr>
          <w:rFonts w:eastAsia="Helvetica Neue"/>
        </w:rPr>
        <w:t xml:space="preserve"> and used as a reference document. The service areas addressed in the subsections are not an exhaustive list of the services required for women and young pe</w:t>
      </w:r>
      <w:r w:rsidR="00986122">
        <w:rPr>
          <w:rFonts w:eastAsia="Helvetica Neue"/>
        </w:rPr>
        <w:t>rsons</w:t>
      </w:r>
      <w:r w:rsidRPr="00A64CBE">
        <w:rPr>
          <w:rFonts w:eastAsia="Helvetica Neue"/>
        </w:rPr>
        <w:t xml:space="preserve"> with disabilities, and each subsection must be read as intersecting with the other sections. Readers can use these Guidelines, along with the resources and examples highlighted throughout, to learn more about adapting services to their specific needs, settings, and local contexts. </w:t>
      </w:r>
    </w:p>
    <w:p w14:paraId="60B6391D" w14:textId="648FDC38" w:rsidR="009F6EE3" w:rsidRPr="00366665" w:rsidRDefault="00382156" w:rsidP="00CD00E1">
      <w:pPr>
        <w:pStyle w:val="Heading4"/>
        <w:spacing w:line="360" w:lineRule="auto"/>
        <w:ind w:left="900" w:right="630" w:hanging="90"/>
        <w:rPr>
          <w:rFonts w:eastAsia="Helvetica Neue"/>
        </w:rPr>
      </w:pPr>
      <w:r w:rsidRPr="00A6697D">
        <w:rPr>
          <w:noProof/>
        </w:rPr>
        <mc:AlternateContent>
          <mc:Choice Requires="wps">
            <w:drawing>
              <wp:inline distT="0" distB="0" distL="0" distR="0" wp14:anchorId="0A88ED25" wp14:editId="511DD7DF">
                <wp:extent cx="4953965" cy="0"/>
                <wp:effectExtent l="0" t="38100" r="37465" b="38100"/>
                <wp:docPr id="47" name="Straight Connector 47" descr="Text box follows"/>
                <wp:cNvGraphicFramePr/>
                <a:graphic xmlns:a="http://schemas.openxmlformats.org/drawingml/2006/main">
                  <a:graphicData uri="http://schemas.microsoft.com/office/word/2010/wordprocessingShape">
                    <wps:wsp>
                      <wps:cNvCnPr/>
                      <wps:spPr>
                        <a:xfrm>
                          <a:off x="0" y="0"/>
                          <a:ext cx="4953965" cy="0"/>
                        </a:xfrm>
                        <a:prstGeom prst="line">
                          <a:avLst/>
                        </a:prstGeom>
                        <a:ln w="76200">
                          <a:solidFill>
                            <a:schemeClr val="accent5">
                              <a:lumMod val="75000"/>
                            </a:schemeClr>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006905CB" id="Straight Connector 47" o:spid="_x0000_s1026" alt="Text box follows" style="visibility:visible;mso-wrap-style:square;mso-left-percent:-10001;mso-top-percent:-10001;mso-position-horizontal:absolute;mso-position-horizontal-relative:char;mso-position-vertical:absolute;mso-position-vertical-relative:line;mso-left-percent:-10001;mso-top-percent:-10001" from="0,0" to="390.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" strokecolor="#31849b [2408]" strokeweight="6pt">
                <w10:anchorlock/>
              </v:line>
            </w:pict>
          </mc:Fallback>
        </mc:AlternateContent>
      </w:r>
      <w:r w:rsidR="00BD4604">
        <w:rPr>
          <w:color w:val="0070C0"/>
        </w:rPr>
        <w:br/>
      </w:r>
      <w:r w:rsidR="00202866" w:rsidRPr="00B92BF0">
        <w:rPr>
          <w:color w:val="31849B" w:themeColor="accent5" w:themeShade="BF"/>
          <w:sz w:val="32"/>
          <w:szCs w:val="32"/>
        </w:rPr>
        <w:t>Use of the AAAQ Framework</w:t>
      </w:r>
    </w:p>
    <w:p w14:paraId="4DA71632" w14:textId="77777777" w:rsidR="00BD4604" w:rsidRPr="00366665" w:rsidRDefault="00202866" w:rsidP="00CD00E1">
      <w:pPr>
        <w:ind w:left="900" w:right="630"/>
        <w:rPr>
          <w:rFonts w:eastAsia="Helvetica Neue"/>
        </w:rPr>
      </w:pPr>
      <w:r w:rsidRPr="00366665">
        <w:rPr>
          <w:rFonts w:eastAsia="Helvetica Neue"/>
        </w:rPr>
        <w:t xml:space="preserve">Readers familiar with the SRHR legal framework will recognize the use of the AAAQ framework to organize the GBV and SRHR guidelines for action. The AAAQ framework—the obligation to ensure that health-related information, goods, and services be </w:t>
      </w:r>
      <w:r w:rsidRPr="00366665">
        <w:rPr>
          <w:rStyle w:val="Bold"/>
        </w:rPr>
        <w:t>available, accessible, acceptable, and of good quality</w:t>
      </w:r>
      <w:r w:rsidRPr="00366665">
        <w:rPr>
          <w:rFonts w:eastAsia="Helvetica Neue"/>
        </w:rPr>
        <w:t>—is essential to ensuring the right to health.</w:t>
      </w:r>
      <w:r w:rsidRPr="00366665">
        <w:rPr>
          <w:rFonts w:eastAsia="Helvetica Neue"/>
          <w:vertAlign w:val="superscript"/>
        </w:rPr>
        <w:endnoteReference w:id="37"/>
      </w:r>
      <w:r w:rsidRPr="00366665">
        <w:rPr>
          <w:rFonts w:eastAsia="Helvetica Neue"/>
        </w:rPr>
        <w:t xml:space="preserve"> However, the use of these categories in the GBV chapter does not represent an application of the AAAQ framework as a legal obligation in the context of GBV; rather the four categories are used as a useful tool for organizing the guidelines for service provision. </w:t>
      </w:r>
    </w:p>
    <w:p w14:paraId="11CEBBC0" w14:textId="5C38D85C" w:rsidR="00E85D5B" w:rsidRPr="00CD00E1" w:rsidRDefault="00382156" w:rsidP="00CD00E1">
      <w:pPr>
        <w:ind w:left="900" w:right="270" w:hanging="90"/>
        <w:rPr>
          <w:rFonts w:eastAsia="Helvetica Neue"/>
          <w:color w:val="0070C0"/>
        </w:rPr>
      </w:pPr>
      <w:r w:rsidRPr="00A6697D">
        <w:rPr>
          <w:noProof/>
        </w:rPr>
        <mc:AlternateContent>
          <mc:Choice Requires="wps">
            <w:drawing>
              <wp:inline distT="0" distB="0" distL="0" distR="0" wp14:anchorId="0665173E" wp14:editId="7A055C53">
                <wp:extent cx="4956048" cy="0"/>
                <wp:effectExtent l="0" t="12700" r="35560" b="25400"/>
                <wp:docPr id="48" name="Straight Connector 48" descr="Text box ends"/>
                <wp:cNvGraphicFramePr/>
                <a:graphic xmlns:a="http://schemas.openxmlformats.org/drawingml/2006/main">
                  <a:graphicData uri="http://schemas.microsoft.com/office/word/2010/wordprocessingShape">
                    <wps:wsp>
                      <wps:cNvCnPr/>
                      <wps:spPr>
                        <a:xfrm>
                          <a:off x="0" y="0"/>
                          <a:ext cx="4956048" cy="0"/>
                        </a:xfrm>
                        <a:prstGeom prst="line">
                          <a:avLst/>
                        </a:prstGeom>
                        <a:ln w="38100">
                          <a:solidFill>
                            <a:schemeClr val="accent5">
                              <a:lumMod val="75000"/>
                            </a:schemeClr>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6D99BE40" id="Straight Connector 48" o:spid="_x0000_s1026" alt="Text box ends" style="visibility:visible;mso-wrap-style:square;mso-left-percent:-10001;mso-top-percent:-10001;mso-position-horizontal:absolute;mso-position-horizontal-relative:char;mso-position-vertical:absolute;mso-position-vertical-relative:line;mso-left-percent:-10001;mso-top-percent:-10001" from="0,0" to="39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" strokecolor="#31849b [2408]" strokeweight="3pt">
                <w10:anchorlock/>
              </v:line>
            </w:pict>
          </mc:Fallback>
        </mc:AlternateContent>
      </w:r>
    </w:p>
    <w:p w14:paraId="55D8DAE8" w14:textId="6F815BEF" w:rsidR="009F6EE3" w:rsidRPr="00CD00E1" w:rsidRDefault="00382156" w:rsidP="00CD00E1">
      <w:pPr>
        <w:pStyle w:val="Heading4"/>
        <w:spacing w:before="480"/>
        <w:ind w:hanging="86"/>
        <w:rPr>
          <w:color w:val="E36C0A" w:themeColor="accent6" w:themeShade="BF"/>
        </w:rPr>
      </w:pPr>
      <w:r w:rsidRPr="00382156">
        <w:rPr>
          <w:noProof/>
        </w:rPr>
        <mc:AlternateContent>
          <mc:Choice Requires="wps">
            <w:drawing>
              <wp:inline distT="0" distB="0" distL="0" distR="0" wp14:anchorId="441F21E0" wp14:editId="706D8F6A">
                <wp:extent cx="5943600" cy="0"/>
                <wp:effectExtent l="0" t="38100" r="25400" b="38100"/>
                <wp:docPr id="49" name="Straight Connector 49" descr="Text box follows"/>
                <wp:cNvGraphicFramePr/>
                <a:graphic xmlns:a="http://schemas.openxmlformats.org/drawingml/2006/main">
                  <a:graphicData uri="http://schemas.microsoft.com/office/word/2010/wordprocessingShape">
                    <wps:wsp>
                      <wps:cNvCnPr/>
                      <wps:spPr>
                        <a:xfrm>
                          <a:off x="0" y="0"/>
                          <a:ext cx="5943600" cy="0"/>
                        </a:xfrm>
                        <a:prstGeom prst="line">
                          <a:avLst/>
                        </a:prstGeom>
                        <a:ln w="76200">
                          <a:solidFill>
                            <a:schemeClr val="accent6">
                              <a:lumMod val="75000"/>
                            </a:schemeClr>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0BAB925F" id="Straight Connector 49" o:spid="_x0000_s1026" alt="Text box foll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" strokecolor="#e36c0a [2409]" strokeweight="6pt">
                <w10:anchorlock/>
              </v:line>
            </w:pict>
          </mc:Fallback>
        </mc:AlternateContent>
      </w:r>
      <w:r>
        <w:rPr>
          <w:color w:val="943634" w:themeColor="accent2" w:themeShade="BF"/>
        </w:rPr>
        <w:br/>
      </w:r>
      <w:r w:rsidRPr="00382156">
        <w:rPr>
          <w:color w:val="943634" w:themeColor="accent2" w:themeShade="BF"/>
          <w:sz w:val="16"/>
          <w:szCs w:val="16"/>
        </w:rPr>
        <w:br/>
      </w:r>
      <w:r w:rsidR="00202866" w:rsidRPr="00CD00E1">
        <w:rPr>
          <w:color w:val="E36C0A" w:themeColor="accent6" w:themeShade="BF"/>
          <w:sz w:val="32"/>
          <w:szCs w:val="32"/>
        </w:rPr>
        <w:t>Spotlight Issue—Assessing Current Capacity to Serve Women and Young Pe</w:t>
      </w:r>
      <w:r w:rsidR="00986122" w:rsidRPr="00CD00E1">
        <w:rPr>
          <w:color w:val="E36C0A" w:themeColor="accent6" w:themeShade="BF"/>
          <w:sz w:val="32"/>
          <w:szCs w:val="32"/>
        </w:rPr>
        <w:t>rsons</w:t>
      </w:r>
      <w:r w:rsidR="00202866" w:rsidRPr="00CD00E1">
        <w:rPr>
          <w:color w:val="E36C0A" w:themeColor="accent6" w:themeShade="BF"/>
          <w:sz w:val="32"/>
          <w:szCs w:val="32"/>
        </w:rPr>
        <w:t xml:space="preserve"> with Disabilities</w:t>
      </w:r>
    </w:p>
    <w:p w14:paraId="2B2DA845" w14:textId="4F5598FA" w:rsidR="00202866" w:rsidRPr="00366665" w:rsidRDefault="00202866" w:rsidP="00CD00E1">
      <w:pPr>
        <w:ind w:right="450"/>
        <w:rPr>
          <w:rFonts w:eastAsia="Helvetica Neue"/>
        </w:rPr>
      </w:pPr>
      <w:r w:rsidRPr="00366665">
        <w:rPr>
          <w:rFonts w:eastAsia="Helvetica Neue"/>
        </w:rPr>
        <w:t xml:space="preserve">An assessment of current or proposed programming is critical to ensure that services are accessible to and meet the specific needs of women and young </w:t>
      </w:r>
      <w:r w:rsidR="00062BAC">
        <w:rPr>
          <w:rFonts w:eastAsia="Helvetica Neue"/>
        </w:rPr>
        <w:t>persons</w:t>
      </w:r>
      <w:r w:rsidR="00062BAC" w:rsidRPr="00366665">
        <w:rPr>
          <w:rFonts w:eastAsia="Helvetica Neue"/>
        </w:rPr>
        <w:t xml:space="preserve"> </w:t>
      </w:r>
      <w:r w:rsidRPr="00366665">
        <w:rPr>
          <w:rFonts w:eastAsia="Helvetica Neue"/>
        </w:rPr>
        <w:t xml:space="preserve">with disabilities. Input from women and young </w:t>
      </w:r>
      <w:r w:rsidR="00062BAC">
        <w:rPr>
          <w:rFonts w:eastAsia="Helvetica Neue"/>
        </w:rPr>
        <w:t>persons</w:t>
      </w:r>
      <w:r w:rsidR="00062BAC" w:rsidRPr="00366665">
        <w:rPr>
          <w:rFonts w:eastAsia="Helvetica Neue"/>
        </w:rPr>
        <w:t xml:space="preserve"> </w:t>
      </w:r>
      <w:r w:rsidRPr="00366665">
        <w:rPr>
          <w:rFonts w:eastAsia="Helvetica Neue"/>
        </w:rPr>
        <w:t>with a range of disabilities in each stage of the assessment is critical, and it is essential to ensure that information and materials related to the assessment are available in alternative formats. The following steps for making this assessment are adapted from the Advocates for Human Rights and UNWOMEN’s ‘Working with the Justice Sector to End Violence against Women and Girls’ guidance</w:t>
      </w:r>
      <w:r w:rsidRPr="004B4BB2">
        <w:rPr>
          <w:rFonts w:eastAsia="Helvetica Neue"/>
        </w:rPr>
        <w:t>:</w:t>
      </w:r>
      <w:r w:rsidRPr="004B4BB2">
        <w:rPr>
          <w:rStyle w:val="EndnoteReference"/>
          <w:rFonts w:eastAsia="Helvetica Neue"/>
        </w:rPr>
        <w:endnoteReference w:id="38"/>
      </w:r>
      <w:r w:rsidRPr="004B4BB2">
        <w:rPr>
          <w:rStyle w:val="EndnoteReference"/>
          <w:rFonts w:eastAsia="Helvetica Neue"/>
        </w:rPr>
        <w:t xml:space="preserve"> </w:t>
      </w:r>
    </w:p>
    <w:p w14:paraId="7400EF7B" w14:textId="77777777" w:rsidR="000A13DC" w:rsidRPr="00366665" w:rsidRDefault="00202866" w:rsidP="00CD00E1">
      <w:pPr>
        <w:pStyle w:val="ListParagraph"/>
        <w:numPr>
          <w:ilvl w:val="0"/>
          <w:numId w:val="22"/>
        </w:numPr>
        <w:ind w:left="450" w:right="450"/>
      </w:pPr>
      <w:r w:rsidRPr="00366665">
        <w:rPr>
          <w:rStyle w:val="Bold"/>
        </w:rPr>
        <w:t xml:space="preserve">Step 1: </w:t>
      </w:r>
      <w:r w:rsidRPr="00366665">
        <w:t xml:space="preserve">Conduct an appraisal to assess current capacity to serve women and young </w:t>
      </w:r>
      <w:r w:rsidRPr="003B0F67">
        <w:rPr>
          <w:rFonts w:eastAsia="Helvetica Neue"/>
        </w:rPr>
        <w:t>pe</w:t>
      </w:r>
      <w:r w:rsidR="0091795D" w:rsidRPr="003B0F67">
        <w:rPr>
          <w:rFonts w:eastAsia="Helvetica Neue"/>
        </w:rPr>
        <w:t>rsons</w:t>
      </w:r>
      <w:r w:rsidRPr="00366665">
        <w:t xml:space="preserve"> with disabilities. Before beginning the appraisal, ensure that the programme team has received training about how to conduct and participate in the appraisal. </w:t>
      </w:r>
    </w:p>
    <w:p w14:paraId="6CBAA320" w14:textId="79159A93" w:rsidR="00202866" w:rsidRPr="00366665" w:rsidRDefault="00202866" w:rsidP="00CD00E1">
      <w:pPr>
        <w:pStyle w:val="ListParagraph"/>
        <w:numPr>
          <w:ilvl w:val="0"/>
          <w:numId w:val="22"/>
        </w:numPr>
        <w:ind w:left="450" w:right="450"/>
      </w:pPr>
      <w:r w:rsidRPr="00366665">
        <w:rPr>
          <w:rStyle w:val="Bold"/>
        </w:rPr>
        <w:lastRenderedPageBreak/>
        <w:t xml:space="preserve">Step 2: </w:t>
      </w:r>
      <w:r w:rsidRPr="00366665">
        <w:t xml:space="preserve">Define goals that are narrowly tailored, manageable, and measurable, and </w:t>
      </w:r>
      <w:r w:rsidRPr="003B0F67">
        <w:rPr>
          <w:rFonts w:eastAsia="Helvetica Neue"/>
        </w:rPr>
        <w:t>prioritize</w:t>
      </w:r>
      <w:r w:rsidRPr="00366665">
        <w:t xml:space="preserve"> based on importance and benefit to women and young pe</w:t>
      </w:r>
      <w:r w:rsidR="0091795D" w:rsidRPr="00366665">
        <w:t>rsons</w:t>
      </w:r>
      <w:r w:rsidRPr="00366665">
        <w:t xml:space="preserve"> with disabilities.</w:t>
      </w:r>
    </w:p>
    <w:p w14:paraId="37DBB8A8" w14:textId="4A59146F" w:rsidR="00864832" w:rsidRPr="00366665" w:rsidRDefault="00202866" w:rsidP="00CD00E1">
      <w:pPr>
        <w:pStyle w:val="ListParagraph"/>
        <w:numPr>
          <w:ilvl w:val="0"/>
          <w:numId w:val="22"/>
        </w:numPr>
        <w:ind w:left="450" w:right="450"/>
      </w:pPr>
      <w:r w:rsidRPr="00366665">
        <w:rPr>
          <w:rStyle w:val="Bold"/>
        </w:rPr>
        <w:t xml:space="preserve">Step 3. </w:t>
      </w:r>
      <w:r w:rsidRPr="003B0F67">
        <w:rPr>
          <w:rFonts w:eastAsia="Helvetica Neue"/>
        </w:rPr>
        <w:t>Develop</w:t>
      </w:r>
      <w:r w:rsidRPr="00366665">
        <w:t xml:space="preserve"> a participation plan that identifies the level and means of participation of key stakeholders, particularly women and young pe</w:t>
      </w:r>
      <w:r w:rsidR="0091795D" w:rsidRPr="00366665">
        <w:t>rsons</w:t>
      </w:r>
      <w:r w:rsidRPr="00366665">
        <w:t xml:space="preserve"> with disabilities; barriers and incentives to participation; and strategies to strengthen and support participation.</w:t>
      </w:r>
    </w:p>
    <w:p w14:paraId="4F03C878" w14:textId="65017DDF" w:rsidR="00202866" w:rsidRPr="00366665" w:rsidRDefault="00202866" w:rsidP="00CD00E1">
      <w:pPr>
        <w:pStyle w:val="ListParagraph"/>
        <w:numPr>
          <w:ilvl w:val="0"/>
          <w:numId w:val="22"/>
        </w:numPr>
        <w:ind w:left="450" w:right="450"/>
      </w:pPr>
      <w:r w:rsidRPr="00366665">
        <w:rPr>
          <w:rStyle w:val="Bold"/>
        </w:rPr>
        <w:t xml:space="preserve">Step 4. </w:t>
      </w:r>
      <w:r w:rsidRPr="00366665">
        <w:t xml:space="preserve">Assess the various partnerships necessary to build an effective network of service </w:t>
      </w:r>
      <w:r w:rsidRPr="003B0F67">
        <w:rPr>
          <w:rFonts w:eastAsia="Helvetica Neue"/>
        </w:rPr>
        <w:t>providers</w:t>
      </w:r>
      <w:r w:rsidRPr="00366665">
        <w:t xml:space="preserve"> and other key actors and develop a plan for putting this network into action. </w:t>
      </w:r>
    </w:p>
    <w:p w14:paraId="1535C102" w14:textId="125A0824" w:rsidR="00202866" w:rsidRPr="00366665" w:rsidRDefault="00202866" w:rsidP="00CD00E1">
      <w:pPr>
        <w:pStyle w:val="ListParagraph"/>
        <w:numPr>
          <w:ilvl w:val="0"/>
          <w:numId w:val="22"/>
        </w:numPr>
        <w:ind w:left="450" w:right="450"/>
        <w:rPr>
          <w:rStyle w:val="Bold"/>
        </w:rPr>
      </w:pPr>
      <w:r w:rsidRPr="00366665">
        <w:rPr>
          <w:rStyle w:val="Bold"/>
        </w:rPr>
        <w:t xml:space="preserve">Step 5: </w:t>
      </w:r>
      <w:r w:rsidRPr="00366665">
        <w:t xml:space="preserve">Identify strategies for developing, implementing, and evaluating </w:t>
      </w:r>
      <w:r w:rsidRPr="003B0F67">
        <w:rPr>
          <w:rFonts w:eastAsia="Helvetica Neue"/>
        </w:rPr>
        <w:t>programme</w:t>
      </w:r>
      <w:r w:rsidRPr="00366665">
        <w:t xml:space="preserve"> changes to improve services using stakeholder or SWOT (strength, weakness, opportunity, threat) analyses.</w:t>
      </w:r>
    </w:p>
    <w:p w14:paraId="0B933B2C" w14:textId="77777777" w:rsidR="003B0F67" w:rsidRDefault="00202866" w:rsidP="00CD00E1">
      <w:pPr>
        <w:pStyle w:val="ListParagraph"/>
        <w:numPr>
          <w:ilvl w:val="0"/>
          <w:numId w:val="22"/>
        </w:numPr>
        <w:ind w:left="450" w:right="450"/>
      </w:pPr>
      <w:r w:rsidRPr="00366665">
        <w:rPr>
          <w:rStyle w:val="Bold"/>
        </w:rPr>
        <w:t xml:space="preserve">Step 6: </w:t>
      </w:r>
      <w:r w:rsidRPr="00366665">
        <w:t>Develop a plan to monitor and evaluate progress</w:t>
      </w:r>
      <w:r w:rsidRPr="00366665">
        <w:rPr>
          <w:rStyle w:val="Bold"/>
        </w:rPr>
        <w:t xml:space="preserve"> </w:t>
      </w:r>
      <w:r w:rsidRPr="00366665">
        <w:t xml:space="preserve">and to be responsive to the changing </w:t>
      </w:r>
      <w:r w:rsidRPr="003B0F67">
        <w:rPr>
          <w:rFonts w:eastAsia="Helvetica Neue"/>
        </w:rPr>
        <w:t>needs</w:t>
      </w:r>
      <w:r w:rsidRPr="00366665">
        <w:t xml:space="preserve"> and priorities over time of women and young pe</w:t>
      </w:r>
      <w:r w:rsidR="0091795D" w:rsidRPr="00366665">
        <w:t>rsons</w:t>
      </w:r>
      <w:r w:rsidRPr="00366665">
        <w:t xml:space="preserve"> with disabilities.</w:t>
      </w:r>
    </w:p>
    <w:p w14:paraId="35F207B0" w14:textId="5A445C3B" w:rsidR="00202866" w:rsidRPr="003B0F67" w:rsidRDefault="00202866" w:rsidP="00CD00E1">
      <w:pPr>
        <w:pStyle w:val="ListParagraph"/>
        <w:numPr>
          <w:ilvl w:val="0"/>
          <w:numId w:val="22"/>
        </w:numPr>
        <w:ind w:left="450" w:right="450"/>
      </w:pPr>
      <w:r w:rsidRPr="00366665">
        <w:rPr>
          <w:rStyle w:val="Bold"/>
        </w:rPr>
        <w:t xml:space="preserve">Step 7: </w:t>
      </w:r>
      <w:r w:rsidRPr="00366665">
        <w:t>Develop a work plan and budget</w:t>
      </w:r>
      <w:r w:rsidRPr="00366665">
        <w:rPr>
          <w:rStyle w:val="Bold"/>
        </w:rPr>
        <w:t xml:space="preserve"> </w:t>
      </w:r>
      <w:r w:rsidRPr="00366665">
        <w:t xml:space="preserve">that considers the cost of </w:t>
      </w:r>
      <w:r w:rsidRPr="003B0F67">
        <w:rPr>
          <w:rFonts w:eastAsia="Helvetica Neue"/>
        </w:rPr>
        <w:t>accommodations</w:t>
      </w:r>
      <w:r w:rsidRPr="00366665">
        <w:t xml:space="preserve"> for a range of disabilities and training for service providers and support staff, distinguishing between one-time and ongoing costs. </w:t>
      </w:r>
    </w:p>
    <w:p w14:paraId="690FC7E5" w14:textId="3870769A" w:rsidR="00BD4604" w:rsidRDefault="00382156" w:rsidP="00CD00E1">
      <w:pPr>
        <w:pStyle w:val="ListBullet"/>
        <w:numPr>
          <w:ilvl w:val="0"/>
          <w:numId w:val="0"/>
        </w:numPr>
        <w:ind w:right="450" w:hanging="90"/>
        <w:rPr>
          <w:color w:val="984806" w:themeColor="accent6" w:themeShade="80"/>
        </w:rPr>
      </w:pPr>
      <w:r w:rsidRPr="00A6697D">
        <w:rPr>
          <w:noProof/>
        </w:rPr>
        <mc:AlternateContent>
          <mc:Choice Requires="wps">
            <w:drawing>
              <wp:inline distT="0" distB="0" distL="0" distR="0" wp14:anchorId="4D82C6FD" wp14:editId="157493C4">
                <wp:extent cx="5943600" cy="0"/>
                <wp:effectExtent l="0" t="12700" r="25400" b="25400"/>
                <wp:docPr id="50" name="Straight Connector 50" descr="Text box ends"/>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chemeClr val="accent6">
                              <a:lumMod val="75000"/>
                            </a:schemeClr>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4191B44E" id="Straight Connector 50" o:spid="_x0000_s1026" alt="Text box end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" strokecolor="#e36c0a [2409]" strokeweight="3pt">
                <w10:anchorlock/>
              </v:line>
            </w:pict>
          </mc:Fallback>
        </mc:AlternateContent>
      </w:r>
    </w:p>
    <w:p w14:paraId="1D747B94" w14:textId="01A1B045" w:rsidR="00202866" w:rsidRPr="00A64CBE" w:rsidRDefault="00202866" w:rsidP="00FB1366">
      <w:pPr>
        <w:pStyle w:val="Heading2"/>
        <w:spacing w:before="600" w:after="120"/>
        <w:ind w:left="547" w:right="-720" w:hanging="547"/>
      </w:pPr>
      <w:bookmarkStart w:id="3" w:name="IHR"/>
      <w:r w:rsidRPr="00A64CBE">
        <w:t xml:space="preserve">1.2. </w:t>
      </w:r>
      <w:bookmarkEnd w:id="3"/>
      <w:r w:rsidRPr="00A64CBE">
        <w:t>International Human Rights Framework</w:t>
      </w:r>
    </w:p>
    <w:p w14:paraId="09BBBD11" w14:textId="35D4F30C" w:rsidR="00202866" w:rsidRPr="00A64CBE" w:rsidRDefault="00202866" w:rsidP="00C4610F">
      <w:pPr>
        <w:rPr>
          <w:rFonts w:eastAsia="Helvetica Neue"/>
        </w:rPr>
      </w:pPr>
      <w:r w:rsidRPr="00A64CBE">
        <w:rPr>
          <w:rFonts w:eastAsia="Helvetica Neue"/>
        </w:rPr>
        <w:t>The rights of women and young pe</w:t>
      </w:r>
      <w:r w:rsidR="0091795D">
        <w:rPr>
          <w:rFonts w:eastAsia="Helvetica Neue"/>
        </w:rPr>
        <w:t>rsons</w:t>
      </w:r>
      <w:r w:rsidRPr="00A64CBE">
        <w:rPr>
          <w:rFonts w:eastAsia="Helvetica Neue"/>
        </w:rPr>
        <w:t xml:space="preserve"> with disabilities are human rights that are protected in numerous international human rights treaties, including the International Covenant on Civil and Political Rights, the International Covenant on Economic, Social, and Cultural Rights, the Convention against Torture and other Cruel, Inhuman, and Degrading Treatment or Punishment, the Convention on the Rights of Persons with Disabilities (CRPD), the Convention on the Elimination of All Forms of Discrimination against Women, and the Convention on the Rights of the Child. Each of these international human rights treaties impose specific legal obligations on States that have ratified the treaty. </w:t>
      </w:r>
    </w:p>
    <w:p w14:paraId="77642488" w14:textId="77777777" w:rsidR="00202866" w:rsidRPr="008D2B6F" w:rsidRDefault="00202866" w:rsidP="00C4610F">
      <w:pPr>
        <w:rPr>
          <w:rStyle w:val="Bold"/>
          <w:highlight w:val="white"/>
        </w:rPr>
      </w:pPr>
      <w:r w:rsidRPr="00A64CBE">
        <w:rPr>
          <w:rFonts w:eastAsia="Helvetica Neue"/>
        </w:rPr>
        <w:t xml:space="preserve">For States that have ratified one or more of these treaties, as most States have, the State and its representatives are bound by specific legal obligations to </w:t>
      </w:r>
      <w:r w:rsidRPr="008D2B6F">
        <w:rPr>
          <w:rStyle w:val="Bold"/>
        </w:rPr>
        <w:t>respect</w:t>
      </w:r>
      <w:r w:rsidRPr="00A64CBE">
        <w:rPr>
          <w:rFonts w:eastAsia="Helvetica Neue"/>
        </w:rPr>
        <w:t xml:space="preserve">, </w:t>
      </w:r>
      <w:r w:rsidRPr="008D2B6F">
        <w:rPr>
          <w:rStyle w:val="Bold"/>
        </w:rPr>
        <w:t>protect,</w:t>
      </w:r>
      <w:r w:rsidRPr="00A64CBE">
        <w:rPr>
          <w:rFonts w:eastAsia="Helvetica Neue"/>
        </w:rPr>
        <w:t xml:space="preserve"> and </w:t>
      </w:r>
      <w:r w:rsidRPr="008D2B6F">
        <w:rPr>
          <w:rStyle w:val="Bold"/>
        </w:rPr>
        <w:t xml:space="preserve">fulfil </w:t>
      </w:r>
      <w:r w:rsidRPr="00A64CBE">
        <w:rPr>
          <w:rFonts w:eastAsia="Helvetica Neue"/>
        </w:rPr>
        <w:t>the rights protected in the human rights treaty.</w:t>
      </w:r>
      <w:r w:rsidRPr="00A64CBE">
        <w:rPr>
          <w:rFonts w:eastAsia="Helvetica Neue"/>
          <w:vertAlign w:val="superscript"/>
        </w:rPr>
        <w:endnoteReference w:id="39"/>
      </w:r>
      <w:r w:rsidRPr="00A64CBE">
        <w:rPr>
          <w:rFonts w:eastAsia="Helvetica Neue"/>
          <w:vertAlign w:val="superscript"/>
        </w:rPr>
        <w:t xml:space="preserve">  </w:t>
      </w:r>
    </w:p>
    <w:p w14:paraId="15359EB5" w14:textId="4CD7E1A1" w:rsidR="00C06A34" w:rsidRPr="000D6BA0" w:rsidRDefault="00202866" w:rsidP="000D6BA0">
      <w:r w:rsidRPr="00C4610F">
        <w:rPr>
          <w:rFonts w:eastAsia="Helvetica Neue"/>
        </w:rPr>
        <w:t xml:space="preserve">The obligation to </w:t>
      </w:r>
      <w:r w:rsidRPr="008D2B6F">
        <w:rPr>
          <w:rStyle w:val="Bold"/>
        </w:rPr>
        <w:t>respect</w:t>
      </w:r>
      <w:r w:rsidRPr="00C4610F">
        <w:rPr>
          <w:rFonts w:eastAsia="Helvetica Neue"/>
        </w:rPr>
        <w:t xml:space="preserve"> requires the State to refrain from interfering directly or indirectly with the right in question. </w:t>
      </w:r>
    </w:p>
    <w:p w14:paraId="659FD9EB" w14:textId="0CCC35A5" w:rsidR="0091795D" w:rsidRPr="00C06A34" w:rsidRDefault="00202866" w:rsidP="00493824">
      <w:pPr>
        <w:pStyle w:val="ListBullet"/>
      </w:pPr>
      <w:r w:rsidRPr="003B0F67">
        <w:t>Gender</w:t>
      </w:r>
      <w:r w:rsidRPr="003D62AE">
        <w:t>-based violence example:</w:t>
      </w:r>
      <w:r w:rsidRPr="00A64CBE">
        <w:t xml:space="preserve"> The government must take measures to ensure that no State actors—which includes medical practitioners—commit acts of </w:t>
      </w:r>
      <w:r w:rsidR="0091795D">
        <w:t>GBV</w:t>
      </w:r>
      <w:r w:rsidRPr="00A64CBE">
        <w:t xml:space="preserve"> against women and young </w:t>
      </w:r>
      <w:r w:rsidRPr="000A13DC">
        <w:t>pe</w:t>
      </w:r>
      <w:r w:rsidR="0091795D" w:rsidRPr="000A13DC">
        <w:t>rsons</w:t>
      </w:r>
      <w:r w:rsidRPr="00A64CBE">
        <w:t xml:space="preserve"> with disabilities. This may require, for instance, criminalizing sterilization of women and young pe</w:t>
      </w:r>
      <w:r w:rsidR="0091795D">
        <w:t>rsons</w:t>
      </w:r>
      <w:r w:rsidRPr="00A64CBE">
        <w:t xml:space="preserve"> with disabilities without their informed consent.</w:t>
      </w:r>
      <w:r w:rsidRPr="00A64CBE">
        <w:rPr>
          <w:vertAlign w:val="superscript"/>
        </w:rPr>
        <w:endnoteReference w:id="40"/>
      </w:r>
      <w:r w:rsidRPr="00A64CBE">
        <w:t xml:space="preserve"> </w:t>
      </w:r>
    </w:p>
    <w:p w14:paraId="6BC80FF4" w14:textId="47B569DD" w:rsidR="00202866" w:rsidRPr="000D6BA0" w:rsidRDefault="00202866" w:rsidP="00493824">
      <w:pPr>
        <w:pStyle w:val="ListBullet"/>
      </w:pPr>
      <w:r w:rsidRPr="003D62AE">
        <w:t>Sexual and reproductive health and rights example:</w:t>
      </w:r>
      <w:r w:rsidRPr="000A13DC">
        <w:rPr>
          <w:rStyle w:val="Bold"/>
        </w:rPr>
        <w:t xml:space="preserve"> </w:t>
      </w:r>
      <w:r w:rsidRPr="00A64CBE">
        <w:t xml:space="preserve">The government must eliminate requirements for </w:t>
      </w:r>
      <w:r w:rsidRPr="00C4610F">
        <w:t>third</w:t>
      </w:r>
      <w:r w:rsidRPr="00A64CBE">
        <w:t xml:space="preserve">-party consent for SRHR services. For instance, this means that </w:t>
      </w:r>
      <w:r w:rsidRPr="00A64CBE">
        <w:lastRenderedPageBreak/>
        <w:t xml:space="preserve">allowing parents or guardians to withhold consent for a young woman with a disability to obtain contraceptives violates the </w:t>
      </w:r>
      <w:r w:rsidRPr="000A13DC">
        <w:t>obligation</w:t>
      </w:r>
      <w:r w:rsidRPr="00A64CBE">
        <w:t xml:space="preserve"> to respect the right of women and young pe</w:t>
      </w:r>
      <w:r w:rsidR="0091795D">
        <w:t>rsons</w:t>
      </w:r>
      <w:r w:rsidRPr="00A64CBE">
        <w:t xml:space="preserve"> with disabilities to access contraceptives.</w:t>
      </w:r>
      <w:r w:rsidRPr="00A64CBE">
        <w:rPr>
          <w:vertAlign w:val="superscript"/>
        </w:rPr>
        <w:endnoteReference w:id="41"/>
      </w:r>
    </w:p>
    <w:p w14:paraId="40923456" w14:textId="15AB14E3" w:rsidR="00C06A34" w:rsidRPr="000D6BA0" w:rsidRDefault="00202866" w:rsidP="00493824">
      <w:r w:rsidRPr="00A64CBE">
        <w:rPr>
          <w:rFonts w:eastAsia="Helvetica Neue"/>
        </w:rPr>
        <w:t xml:space="preserve">The obligation to </w:t>
      </w:r>
      <w:r w:rsidRPr="008D2B6F">
        <w:rPr>
          <w:rStyle w:val="Bold"/>
        </w:rPr>
        <w:t>protect</w:t>
      </w:r>
      <w:r w:rsidRPr="00A64CBE">
        <w:rPr>
          <w:rFonts w:eastAsia="Helvetica Neue"/>
        </w:rPr>
        <w:t xml:space="preserve"> requires the State to prevent non-State actors—that is, private citizens—from infringing on the right in question. The obligation to protect encompasses a State’s obligation to exercise due diligence to prevent rights violations from occurring, to investigate, prosecute, and punish non-State actors who commit such violations, and to provide redress to victims when such violations occur. </w:t>
      </w:r>
    </w:p>
    <w:p w14:paraId="3E693E15" w14:textId="77777777" w:rsidR="00493824" w:rsidRDefault="00202866" w:rsidP="00493824">
      <w:pPr>
        <w:pStyle w:val="ListBullet"/>
      </w:pPr>
      <w:r w:rsidRPr="003D62AE">
        <w:t>GBV example:</w:t>
      </w:r>
      <w:r w:rsidRPr="00A64CBE">
        <w:t xml:space="preserve"> A woman with a visual impairment takes out a restraining order against her physically abusive husband. The local police department fails to enforce the order. The State is obligated to take all appropriate measures to ensure that the police enforce the order.</w:t>
      </w:r>
      <w:r w:rsidRPr="00A64CBE">
        <w:rPr>
          <w:vertAlign w:val="superscript"/>
        </w:rPr>
        <w:endnoteReference w:id="42"/>
      </w:r>
    </w:p>
    <w:p w14:paraId="617B78F2" w14:textId="202B7662" w:rsidR="00202866" w:rsidRPr="000D6BA0" w:rsidRDefault="00202866" w:rsidP="00493824">
      <w:pPr>
        <w:pStyle w:val="ListBullet"/>
      </w:pPr>
      <w:r w:rsidRPr="003D62AE">
        <w:t>SRHR example:</w:t>
      </w:r>
      <w:r w:rsidRPr="00A64CBE">
        <w:t xml:space="preserve"> A young woman with Down syndrome visits a pharmacy to fill a prescription for contraceptive pills. The </w:t>
      </w:r>
      <w:r w:rsidRPr="008D2B6F">
        <w:t>pharmacist</w:t>
      </w:r>
      <w:r w:rsidRPr="00A64CBE">
        <w:t xml:space="preserve"> refuses to fill the prescription because he objects to pe</w:t>
      </w:r>
      <w:r w:rsidR="00C06A34">
        <w:t>rsons</w:t>
      </w:r>
      <w:r w:rsidRPr="00A64CBE">
        <w:t xml:space="preserve"> </w:t>
      </w:r>
      <w:r w:rsidRPr="00493824">
        <w:t>with</w:t>
      </w:r>
      <w:r w:rsidRPr="00A64CBE">
        <w:t xml:space="preserve"> disabilities having sex. The State must take measures to prevent the pharmacist from interfering with the woman’s right to access contraception.</w:t>
      </w:r>
      <w:r w:rsidRPr="00A64CBE">
        <w:rPr>
          <w:vertAlign w:val="superscript"/>
        </w:rPr>
        <w:endnoteReference w:id="43"/>
      </w:r>
      <w:r w:rsidRPr="00A64CBE">
        <w:t xml:space="preserve">  </w:t>
      </w:r>
    </w:p>
    <w:p w14:paraId="63B02537" w14:textId="5E3A237D" w:rsidR="00C06A34" w:rsidRPr="000D6BA0" w:rsidRDefault="00202866" w:rsidP="000D6BA0">
      <w:r w:rsidRPr="00A64CBE">
        <w:rPr>
          <w:rFonts w:eastAsia="Helvetica Neue"/>
        </w:rPr>
        <w:t xml:space="preserve">The obligation to </w:t>
      </w:r>
      <w:r w:rsidRPr="008D2B6F">
        <w:rPr>
          <w:rStyle w:val="Bold"/>
        </w:rPr>
        <w:t>fulfil</w:t>
      </w:r>
      <w:r w:rsidRPr="00A64CBE">
        <w:rPr>
          <w:rFonts w:eastAsia="Helvetica Neue"/>
        </w:rPr>
        <w:t xml:space="preserve"> requires that the State take necessary action—legislative, administrative, budgetary, or judicial—to fully achieve the rights in question. In addition, States must take affirmative measures to eradicate practical and social barriers to realizing fundamental rights.</w:t>
      </w:r>
      <w:r w:rsidRPr="00A64CBE">
        <w:rPr>
          <w:rFonts w:eastAsia="Helvetica Neue"/>
          <w:vertAlign w:val="superscript"/>
        </w:rPr>
        <w:endnoteReference w:id="44"/>
      </w:r>
    </w:p>
    <w:p w14:paraId="54DFC5BE" w14:textId="77777777" w:rsidR="00493824" w:rsidRDefault="00202866" w:rsidP="00493824">
      <w:pPr>
        <w:pStyle w:val="ListBullet"/>
      </w:pPr>
      <w:r w:rsidRPr="003D62AE">
        <w:t>GBV example:</w:t>
      </w:r>
      <w:r w:rsidRPr="00A64CBE">
        <w:t xml:space="preserve"> The State must allocate sufficient resources to ensure that both male and female </w:t>
      </w:r>
      <w:r w:rsidR="00501157">
        <w:t>victims/</w:t>
      </w:r>
      <w:r w:rsidRPr="00A64CBE">
        <w:t xml:space="preserve">survivors of sexual violence have access to a range of supports and services, including establishing accessible supports and services necessary </w:t>
      </w:r>
      <w:r w:rsidRPr="008D2B6F">
        <w:t>to</w:t>
      </w:r>
      <w:r w:rsidRPr="00A64CBE">
        <w:t xml:space="preserve"> navigate the justice system. The State must also guarantee that survivors of sexual violence have access—both in law and in practice—to essential physical and mental healthcare, including access to post-exposure services for sexually transmitted infections.</w:t>
      </w:r>
      <w:r w:rsidRPr="00A64CBE">
        <w:rPr>
          <w:vertAlign w:val="superscript"/>
        </w:rPr>
        <w:endnoteReference w:id="45"/>
      </w:r>
    </w:p>
    <w:p w14:paraId="5BFDEA85" w14:textId="22EC0DF2" w:rsidR="00202866" w:rsidRPr="00A64CBE" w:rsidRDefault="00202866" w:rsidP="00493824">
      <w:pPr>
        <w:pStyle w:val="ListBullet"/>
      </w:pPr>
      <w:r w:rsidRPr="003D62AE">
        <w:t>SRHR example:</w:t>
      </w:r>
      <w:r w:rsidRPr="00A64CBE">
        <w:t xml:space="preserve"> The State’s education department distributes policies and guidelines on the provision of comprehensive sexuality education in schools, in addition to coordinating the development of sexuality education course materials. The State must take steps to ensure the course materials are inclusive of women and young pe</w:t>
      </w:r>
      <w:r w:rsidR="00D833EB">
        <w:t>rsons</w:t>
      </w:r>
      <w:r w:rsidRPr="00A64CBE">
        <w:t xml:space="preserve"> with disabilities, including by mainstreaming images of pe</w:t>
      </w:r>
      <w:r w:rsidR="00D833EB">
        <w:t>rsons</w:t>
      </w:r>
      <w:r w:rsidRPr="00A64CBE">
        <w:t xml:space="preserve"> with disabilities throughout the materials, ensuring that materials include information about </w:t>
      </w:r>
      <w:r w:rsidR="00D833EB">
        <w:t xml:space="preserve">SRHR </w:t>
      </w:r>
      <w:r w:rsidRPr="00A64CBE">
        <w:t>of pe</w:t>
      </w:r>
      <w:r w:rsidR="00D833EB">
        <w:t>rsons</w:t>
      </w:r>
      <w:r w:rsidRPr="00A64CBE">
        <w:t xml:space="preserve"> with disabilities, and making course materials accessible.</w:t>
      </w:r>
      <w:r w:rsidRPr="00A64CBE">
        <w:rPr>
          <w:vertAlign w:val="superscript"/>
        </w:rPr>
        <w:endnoteReference w:id="46"/>
      </w:r>
      <w:r w:rsidRPr="00A64CBE">
        <w:t xml:space="preserve"> </w:t>
      </w:r>
    </w:p>
    <w:p w14:paraId="19A4D3E3" w14:textId="2E21E639" w:rsidR="00202866" w:rsidRPr="00A64CBE" w:rsidRDefault="00202866" w:rsidP="00C4610F">
      <w:pPr>
        <w:rPr>
          <w:rFonts w:eastAsia="Helvetica Neue"/>
        </w:rPr>
      </w:pPr>
      <w:r w:rsidRPr="00A64CBE">
        <w:rPr>
          <w:rFonts w:eastAsia="Helvetica Neue"/>
        </w:rPr>
        <w:t>Governments must ensure that all laws, policies, and programmes that bear on the rights of women and young pe</w:t>
      </w:r>
      <w:r w:rsidR="00D833EB">
        <w:rPr>
          <w:rFonts w:eastAsia="Helvetica Neue"/>
        </w:rPr>
        <w:t>rsons</w:t>
      </w:r>
      <w:r w:rsidRPr="00A64CBE">
        <w:rPr>
          <w:rFonts w:eastAsia="Helvetica Neue"/>
        </w:rPr>
        <w:t xml:space="preserve"> with disabilities to be free from </w:t>
      </w:r>
      <w:r w:rsidR="00D833EB">
        <w:rPr>
          <w:rFonts w:eastAsia="Helvetica Neue"/>
        </w:rPr>
        <w:t xml:space="preserve">GBV </w:t>
      </w:r>
      <w:r w:rsidRPr="00A64CBE">
        <w:rPr>
          <w:rFonts w:eastAsia="Helvetica Neue"/>
        </w:rPr>
        <w:t>and to have access to sexual and reproductive health comply with international human rights legal obligations. This obligation extends to service providers and support staff, both directly, through government affiliation or funding, and through government oversight.</w:t>
      </w:r>
    </w:p>
    <w:p w14:paraId="2BBA5BBF" w14:textId="0F8F95E3" w:rsidR="00202866" w:rsidRDefault="00202866" w:rsidP="00C4610F">
      <w:pPr>
        <w:rPr>
          <w:rFonts w:eastAsia="Helvetica Neue"/>
          <w:color w:val="FF0000"/>
        </w:rPr>
      </w:pPr>
      <w:r w:rsidRPr="00A64CBE">
        <w:rPr>
          <w:rFonts w:eastAsia="Helvetica Neue"/>
        </w:rPr>
        <w:t xml:space="preserve">Further details about the specific international human rights frameworks that govern GBV and SRHR services are addressed in </w:t>
      </w:r>
      <w:r w:rsidRPr="00836BCC">
        <w:rPr>
          <w:rFonts w:eastAsia="Helvetica Neue"/>
          <w:color w:val="000000" w:themeColor="text1"/>
        </w:rPr>
        <w:t xml:space="preserve">sections </w:t>
      </w:r>
      <w:hyperlink w:anchor="GBVHRFrame" w:history="1">
        <w:r w:rsidRPr="008D2B6F">
          <w:rPr>
            <w:rStyle w:val="Hyperlink"/>
            <w:rFonts w:eastAsia="Helvetica Neue"/>
          </w:rPr>
          <w:t>3.2</w:t>
        </w:r>
      </w:hyperlink>
      <w:r w:rsidRPr="00836BCC">
        <w:rPr>
          <w:rFonts w:eastAsia="Helvetica Neue"/>
          <w:color w:val="000000" w:themeColor="text1"/>
        </w:rPr>
        <w:t xml:space="preserve"> and </w:t>
      </w:r>
      <w:hyperlink w:anchor="SRHRHRframe" w:history="1">
        <w:r w:rsidRPr="008D2B6F">
          <w:rPr>
            <w:rStyle w:val="Hyperlink"/>
            <w:rFonts w:eastAsia="Helvetica Neue"/>
          </w:rPr>
          <w:t>4.2</w:t>
        </w:r>
      </w:hyperlink>
      <w:r w:rsidRPr="00836BCC">
        <w:rPr>
          <w:rFonts w:eastAsia="Helvetica Neue"/>
          <w:color w:val="000000" w:themeColor="text1"/>
        </w:rPr>
        <w:t xml:space="preserve"> respectively</w:t>
      </w:r>
      <w:r w:rsidRPr="00A64CBE">
        <w:rPr>
          <w:rFonts w:eastAsia="Helvetica Neue"/>
        </w:rPr>
        <w:t xml:space="preserve">.  </w:t>
      </w:r>
    </w:p>
    <w:p w14:paraId="4AB12807" w14:textId="77777777" w:rsidR="002772C9" w:rsidRDefault="002772C9">
      <w:pPr>
        <w:spacing w:before="0" w:after="0"/>
        <w:rPr>
          <w:b/>
          <w:sz w:val="28"/>
          <w:lang w:val="en-GB"/>
        </w:rPr>
      </w:pPr>
      <w:r>
        <w:br w:type="page"/>
      </w:r>
    </w:p>
    <w:p w14:paraId="786B8424" w14:textId="06C18FAA" w:rsidR="00202866" w:rsidRPr="00382156" w:rsidRDefault="00202866" w:rsidP="00382156">
      <w:pPr>
        <w:pStyle w:val="Heading4"/>
      </w:pPr>
      <w:r w:rsidRPr="00382156">
        <w:lastRenderedPageBreak/>
        <w:t xml:space="preserve">Twin Track Approach </w:t>
      </w:r>
    </w:p>
    <w:p w14:paraId="13A5FC49" w14:textId="2BE4B102" w:rsidR="00202866" w:rsidRPr="000D6BA0" w:rsidRDefault="00202866" w:rsidP="002772C9">
      <w:pPr>
        <w:ind w:right="-90"/>
        <w:rPr>
          <w:rFonts w:eastAsia="Helvetica Neue"/>
        </w:rPr>
      </w:pPr>
      <w:r w:rsidRPr="00A64CBE">
        <w:rPr>
          <w:rFonts w:eastAsia="Helvetica Neue"/>
        </w:rPr>
        <w:t xml:space="preserve">The obligation to fulfil also imposes an obligation on States to adopt what is known as a </w:t>
      </w:r>
      <w:r w:rsidRPr="003D62AE">
        <w:rPr>
          <w:rFonts w:eastAsia="Helvetica Neue"/>
        </w:rPr>
        <w:t>‘twin track approach’</w:t>
      </w:r>
      <w:r w:rsidRPr="00A64CBE">
        <w:rPr>
          <w:rFonts w:eastAsia="Helvetica Neue"/>
        </w:rPr>
        <w:t xml:space="preserve"> to fulfil their “ongoing and dynamic duty to adopt and apply the measures needed to secure the development, advancement and empowerment of women [and </w:t>
      </w:r>
      <w:r>
        <w:rPr>
          <w:rFonts w:eastAsia="Helvetica Neue"/>
        </w:rPr>
        <w:t>young pe</w:t>
      </w:r>
      <w:r w:rsidR="00D833EB">
        <w:rPr>
          <w:rFonts w:eastAsia="Helvetica Neue"/>
        </w:rPr>
        <w:t>rsons</w:t>
      </w:r>
      <w:r>
        <w:rPr>
          <w:rFonts w:eastAsia="Helvetica Neue"/>
        </w:rPr>
        <w:t>] with disabilities</w:t>
      </w:r>
      <w:r w:rsidRPr="00A64CBE">
        <w:rPr>
          <w:rFonts w:eastAsia="Helvetica Neue"/>
        </w:rPr>
        <w:t>”</w:t>
      </w:r>
      <w:r>
        <w:rPr>
          <w:rFonts w:eastAsia="Helvetica Neue"/>
        </w:rPr>
        <w:t>.</w:t>
      </w:r>
      <w:r w:rsidRPr="00A64CBE">
        <w:rPr>
          <w:rFonts w:eastAsia="Helvetica Neue"/>
          <w:vertAlign w:val="superscript"/>
        </w:rPr>
        <w:endnoteReference w:id="47"/>
      </w:r>
      <w:r w:rsidRPr="00A64CBE">
        <w:rPr>
          <w:rFonts w:eastAsia="Helvetica Neue"/>
        </w:rPr>
        <w:t xml:space="preserve"> The UN Committee on the Rights of Persons with Disabilities, which monitors compliance with the CRPD, has explained that the twin track approach “is an essential precursor to reducing inequality regarding participation </w:t>
      </w:r>
      <w:r>
        <w:rPr>
          <w:rFonts w:eastAsia="Helvetica Neue"/>
        </w:rPr>
        <w:t>and enjoyment of rights</w:t>
      </w:r>
      <w:r w:rsidRPr="00A64CBE">
        <w:rPr>
          <w:rFonts w:eastAsia="Helvetica Neue"/>
        </w:rPr>
        <w:t>”</w:t>
      </w:r>
      <w:r>
        <w:rPr>
          <w:rFonts w:eastAsia="Helvetica Neue"/>
        </w:rPr>
        <w:t>.</w:t>
      </w:r>
      <w:r w:rsidRPr="00A64CBE">
        <w:rPr>
          <w:rFonts w:eastAsia="Helvetica Neue"/>
          <w:vertAlign w:val="superscript"/>
        </w:rPr>
        <w:endnoteReference w:id="48"/>
      </w:r>
      <w:r w:rsidRPr="00A64CBE">
        <w:rPr>
          <w:rFonts w:eastAsia="Helvetica Neue"/>
        </w:rPr>
        <w:t xml:space="preserve"> A twin track approach entails both </w:t>
      </w:r>
      <w:r w:rsidRPr="003D62AE">
        <w:rPr>
          <w:rFonts w:eastAsia="Helvetica Neue"/>
        </w:rPr>
        <w:t>systematic mainstreaming</w:t>
      </w:r>
      <w:r w:rsidRPr="00A64CBE">
        <w:rPr>
          <w:rFonts w:eastAsia="Helvetica Neue"/>
        </w:rPr>
        <w:t xml:space="preserve"> of the interests of women and young pe</w:t>
      </w:r>
      <w:r w:rsidR="00C6414A">
        <w:rPr>
          <w:rFonts w:eastAsia="Helvetica Neue"/>
        </w:rPr>
        <w:t>rsons</w:t>
      </w:r>
      <w:r w:rsidRPr="00A64CBE">
        <w:rPr>
          <w:rFonts w:eastAsia="Helvetica Neue"/>
        </w:rPr>
        <w:t xml:space="preserve"> with disabilities “across all national action plans, strategies, and policies concerning women, childhood, and disability” and “</w:t>
      </w:r>
      <w:r w:rsidRPr="003D62AE">
        <w:rPr>
          <w:rFonts w:eastAsia="Helvetica Neue"/>
        </w:rPr>
        <w:t>targeted and monitored action</w:t>
      </w:r>
      <w:r w:rsidRPr="00A64CBE">
        <w:rPr>
          <w:rFonts w:eastAsia="Helvetica Neue"/>
        </w:rPr>
        <w:t xml:space="preserve"> aimed specifically at women [and young pe</w:t>
      </w:r>
      <w:r w:rsidR="00C6414A">
        <w:rPr>
          <w:rFonts w:eastAsia="Helvetica Neue"/>
        </w:rPr>
        <w:t>rsons</w:t>
      </w:r>
      <w:r w:rsidRPr="00A64CBE">
        <w:rPr>
          <w:rFonts w:eastAsia="Helvetica Neue"/>
        </w:rPr>
        <w:t>] with disabilities”</w:t>
      </w:r>
      <w:r>
        <w:rPr>
          <w:rFonts w:eastAsia="Helvetica Neue"/>
        </w:rPr>
        <w:t>.</w:t>
      </w:r>
      <w:r w:rsidRPr="00B1674C">
        <w:rPr>
          <w:rStyle w:val="EndnoteReference"/>
          <w:rFonts w:eastAsia="Helvetica Neue"/>
        </w:rPr>
        <w:endnoteReference w:id="49"/>
      </w:r>
      <w:r w:rsidRPr="00A64CBE">
        <w:rPr>
          <w:rFonts w:eastAsia="Helvetica Neue"/>
        </w:rPr>
        <w:t xml:space="preserve"> Some examples of disability-specific services include adaptive devices, special-education programmes, and community-based rehabilitation.</w:t>
      </w:r>
      <w:r w:rsidRPr="00A64CBE">
        <w:rPr>
          <w:rFonts w:eastAsia="Helvetica Neue"/>
          <w:vertAlign w:val="superscript"/>
        </w:rPr>
        <w:endnoteReference w:id="50"/>
      </w:r>
      <w:r w:rsidRPr="00A64CBE">
        <w:rPr>
          <w:rFonts w:eastAsia="Helvetica Neue"/>
        </w:rPr>
        <w:t xml:space="preserve"> </w:t>
      </w:r>
    </w:p>
    <w:p w14:paraId="74EF120D" w14:textId="7F675E48" w:rsidR="00202866" w:rsidRPr="000D6BA0" w:rsidRDefault="00202866" w:rsidP="002772C9">
      <w:pPr>
        <w:ind w:right="-90"/>
        <w:rPr>
          <w:rFonts w:eastAsia="Helvetica Neue"/>
        </w:rPr>
      </w:pPr>
      <w:r w:rsidRPr="00A64CBE">
        <w:rPr>
          <w:rFonts w:eastAsia="Helvetica Neue"/>
        </w:rPr>
        <w:t>Employing the twin track approach to the provision of services is the recommended approach wherever possible. Offering services through only one approach will not provide women and young pe</w:t>
      </w:r>
      <w:r w:rsidR="00C6414A">
        <w:rPr>
          <w:rFonts w:eastAsia="Helvetica Neue"/>
        </w:rPr>
        <w:t>rsons</w:t>
      </w:r>
      <w:r w:rsidRPr="00A64CBE">
        <w:rPr>
          <w:rFonts w:eastAsia="Helvetica Neue"/>
        </w:rPr>
        <w:t xml:space="preserve"> with disabilities with the range of services, involvement, and integration necessary to realize their rights.</w:t>
      </w:r>
      <w:r w:rsidRPr="00A64CBE">
        <w:rPr>
          <w:rFonts w:eastAsia="Helvetica Neue"/>
          <w:vertAlign w:val="superscript"/>
        </w:rPr>
        <w:endnoteReference w:id="51"/>
      </w:r>
      <w:r w:rsidRPr="00A64CBE">
        <w:rPr>
          <w:rFonts w:eastAsia="Helvetica Neue"/>
        </w:rPr>
        <w:t xml:space="preserve"> Service providers do not need to be responsible for offering both types of services but should understand the key referral points and be able to make effective referrals.</w:t>
      </w:r>
      <w:r w:rsidRPr="00A64CBE">
        <w:rPr>
          <w:rFonts w:eastAsia="Helvetica Neue"/>
          <w:vertAlign w:val="superscript"/>
        </w:rPr>
        <w:endnoteReference w:id="52"/>
      </w:r>
    </w:p>
    <w:p w14:paraId="63EE5443" w14:textId="3B98F814" w:rsidR="00202866" w:rsidRPr="000D6BA0" w:rsidRDefault="00202866" w:rsidP="002772C9">
      <w:pPr>
        <w:ind w:right="-90"/>
        <w:rPr>
          <w:rFonts w:eastAsia="Helvetica Neue"/>
        </w:rPr>
      </w:pPr>
      <w:r w:rsidRPr="00A64CBE">
        <w:rPr>
          <w:rFonts w:eastAsia="Helvetica Neue"/>
        </w:rPr>
        <w:t xml:space="preserve">The twin track approach is a concept recommended in and utilized widely in the humanitarian emergency context. Valuable guidance on using the twin track approach can be found at the CBM organization’s guide, </w:t>
      </w:r>
      <w:r w:rsidRPr="008D2B6F">
        <w:rPr>
          <w:rStyle w:val="Bold"/>
        </w:rPr>
        <w:t>‘Inclusion Made Easy’</w:t>
      </w:r>
      <w:r w:rsidRPr="00A64CBE">
        <w:rPr>
          <w:rFonts w:eastAsia="Helvetica Neue"/>
        </w:rPr>
        <w:t>,</w:t>
      </w:r>
      <w:r w:rsidRPr="00A64CBE">
        <w:rPr>
          <w:rFonts w:eastAsia="Helvetica Neue"/>
          <w:vertAlign w:val="superscript"/>
        </w:rPr>
        <w:endnoteReference w:id="53"/>
      </w:r>
      <w:r w:rsidRPr="00A64CBE">
        <w:rPr>
          <w:rFonts w:eastAsia="Helvetica Neue"/>
        </w:rPr>
        <w:t xml:space="preserve"> and the United Nations High Commissioner for Refugees’ guidance, </w:t>
      </w:r>
      <w:r w:rsidRPr="008D2B6F">
        <w:rPr>
          <w:rStyle w:val="Bold"/>
        </w:rPr>
        <w:t>‘Working with Persons with Disabilities in Forced Displacement’</w:t>
      </w:r>
      <w:r w:rsidRPr="00A64CBE">
        <w:rPr>
          <w:rFonts w:eastAsia="Helvetica Neue"/>
        </w:rPr>
        <w:t>.</w:t>
      </w:r>
      <w:r w:rsidRPr="00A64CBE">
        <w:rPr>
          <w:rFonts w:eastAsia="Helvetica Neue"/>
          <w:vertAlign w:val="superscript"/>
        </w:rPr>
        <w:t xml:space="preserve"> </w:t>
      </w:r>
      <w:r w:rsidRPr="00A64CBE">
        <w:rPr>
          <w:rFonts w:eastAsia="Helvetica Neue"/>
          <w:vertAlign w:val="superscript"/>
        </w:rPr>
        <w:endnoteReference w:id="54"/>
      </w:r>
      <w:r w:rsidRPr="00A64CBE">
        <w:rPr>
          <w:rFonts w:eastAsia="Helvetica Neue"/>
          <w:vertAlign w:val="superscript"/>
        </w:rPr>
        <w:t xml:space="preserve"> </w:t>
      </w:r>
    </w:p>
    <w:p w14:paraId="49237597" w14:textId="67C83B79" w:rsidR="00202866" w:rsidRPr="00A64CBE" w:rsidRDefault="00202866" w:rsidP="002772C9">
      <w:pPr>
        <w:ind w:right="-90"/>
        <w:rPr>
          <w:rFonts w:eastAsia="Helvetica Neue"/>
        </w:rPr>
      </w:pPr>
      <w:r w:rsidRPr="00A64CBE">
        <w:rPr>
          <w:rFonts w:eastAsia="Helvetica Neue"/>
        </w:rPr>
        <w:t>CBM offers the following illustrative example of the use of the twin-track approach in their work: “</w:t>
      </w:r>
      <w:proofErr w:type="spellStart"/>
      <w:r w:rsidRPr="00A64CBE">
        <w:rPr>
          <w:rFonts w:eastAsia="Helvetica Neue"/>
        </w:rPr>
        <w:t>Shathi</w:t>
      </w:r>
      <w:proofErr w:type="spellEnd"/>
      <w:r w:rsidRPr="00A64CBE">
        <w:rPr>
          <w:rFonts w:eastAsia="Helvetica Neue"/>
        </w:rPr>
        <w:t xml:space="preserve"> is a 9-year old girl with cerebral palsy who loves to play with her friends and uses a wheelchair to move around. She lives in rural Bangladesh. … The community health worker identified her developmental difficulties early on and referred her to a [community-based rehabilitation] service. This service then provided strategies to assist her development including the wheelchair (</w:t>
      </w:r>
      <w:r w:rsidRPr="003D62AE">
        <w:rPr>
          <w:rFonts w:eastAsia="Helvetica Neue"/>
        </w:rPr>
        <w:t>disability-specific initiative</w:t>
      </w:r>
      <w:r w:rsidRPr="00A64CBE">
        <w:rPr>
          <w:rFonts w:eastAsia="Helvetica Neue"/>
        </w:rPr>
        <w:t xml:space="preserve">). They also set up a local support group for parents who have children with a disability, of which </w:t>
      </w:r>
      <w:proofErr w:type="spellStart"/>
      <w:r w:rsidRPr="00A64CBE">
        <w:rPr>
          <w:rFonts w:eastAsia="Helvetica Neue"/>
        </w:rPr>
        <w:t>Shathi’s</w:t>
      </w:r>
      <w:proofErr w:type="spellEnd"/>
      <w:r w:rsidRPr="00A64CBE">
        <w:rPr>
          <w:rFonts w:eastAsia="Helvetica Neue"/>
        </w:rPr>
        <w:t xml:space="preserve"> mother is a member. </w:t>
      </w:r>
      <w:proofErr w:type="spellStart"/>
      <w:r w:rsidRPr="00A64CBE">
        <w:rPr>
          <w:rFonts w:eastAsia="Helvetica Neue"/>
        </w:rPr>
        <w:t>Shathi</w:t>
      </w:r>
      <w:proofErr w:type="spellEnd"/>
      <w:r w:rsidRPr="00A64CBE">
        <w:rPr>
          <w:rFonts w:eastAsia="Helvetica Neue"/>
        </w:rPr>
        <w:t xml:space="preserve"> herself has spoken about her experience to them and in front of her school class (</w:t>
      </w:r>
      <w:r w:rsidRPr="003D62AE">
        <w:rPr>
          <w:rFonts w:eastAsia="Helvetica Neue"/>
        </w:rPr>
        <w:t>participation</w:t>
      </w:r>
      <w:r w:rsidRPr="00A64CBE">
        <w:rPr>
          <w:rFonts w:eastAsia="Helvetica Neue"/>
        </w:rPr>
        <w:t xml:space="preserve">). When the time came for </w:t>
      </w:r>
      <w:proofErr w:type="spellStart"/>
      <w:r w:rsidRPr="00A64CBE">
        <w:rPr>
          <w:rFonts w:eastAsia="Helvetica Neue"/>
        </w:rPr>
        <w:t>Shathi</w:t>
      </w:r>
      <w:proofErr w:type="spellEnd"/>
      <w:r w:rsidRPr="00A64CBE">
        <w:rPr>
          <w:rFonts w:eastAsia="Helvetica Neue"/>
        </w:rPr>
        <w:t xml:space="preserve"> to go to school, the principal of the school knew that it is </w:t>
      </w:r>
      <w:proofErr w:type="spellStart"/>
      <w:r w:rsidRPr="00A64CBE">
        <w:rPr>
          <w:rFonts w:eastAsia="Helvetica Neue"/>
        </w:rPr>
        <w:t>Shathi’s</w:t>
      </w:r>
      <w:proofErr w:type="spellEnd"/>
      <w:r w:rsidRPr="00A64CBE">
        <w:rPr>
          <w:rFonts w:eastAsia="Helvetica Neue"/>
        </w:rPr>
        <w:t xml:space="preserve"> right, like any other child, to be educated well (</w:t>
      </w:r>
      <w:r w:rsidRPr="003D62AE">
        <w:rPr>
          <w:rFonts w:eastAsia="Helvetica Neue"/>
        </w:rPr>
        <w:t>policy accessibility and mainstreaming</w:t>
      </w:r>
      <w:r w:rsidRPr="00A64CBE">
        <w:rPr>
          <w:rFonts w:eastAsia="Helvetica Neue"/>
        </w:rPr>
        <w:t>). The local teacher was very supportive as he had received training on child-</w:t>
      </w:r>
      <w:proofErr w:type="spellStart"/>
      <w:r w:rsidRPr="00A64CBE">
        <w:rPr>
          <w:rFonts w:eastAsia="Helvetica Neue"/>
        </w:rPr>
        <w:t>centred</w:t>
      </w:r>
      <w:proofErr w:type="spellEnd"/>
      <w:r w:rsidRPr="00A64CBE">
        <w:rPr>
          <w:rFonts w:eastAsia="Helvetica Neue"/>
        </w:rPr>
        <w:t xml:space="preserve"> teaching; she knew of a resource centre that could give support when needed (</w:t>
      </w:r>
      <w:r w:rsidRPr="003D62AE">
        <w:rPr>
          <w:rFonts w:eastAsia="Helvetica Neue"/>
        </w:rPr>
        <w:t>disability-specific initiative</w:t>
      </w:r>
      <w:r w:rsidRPr="00A64CBE">
        <w:rPr>
          <w:rFonts w:eastAsia="Helvetica Neue"/>
        </w:rPr>
        <w:t xml:space="preserve">). When </w:t>
      </w:r>
      <w:proofErr w:type="spellStart"/>
      <w:r w:rsidRPr="00A64CBE">
        <w:rPr>
          <w:rFonts w:eastAsia="Helvetica Neue"/>
        </w:rPr>
        <w:t>Shathi</w:t>
      </w:r>
      <w:proofErr w:type="spellEnd"/>
      <w:r w:rsidRPr="00A64CBE">
        <w:rPr>
          <w:rFonts w:eastAsia="Helvetica Neue"/>
        </w:rPr>
        <w:t xml:space="preserve"> grows up she would like </w:t>
      </w:r>
      <w:r>
        <w:rPr>
          <w:rFonts w:eastAsia="Helvetica Neue"/>
        </w:rPr>
        <w:t>to be a teacher and get married</w:t>
      </w:r>
      <w:r w:rsidRPr="00A64CBE">
        <w:rPr>
          <w:rFonts w:eastAsia="Helvetica Neue"/>
        </w:rPr>
        <w:t>”</w:t>
      </w:r>
      <w:r>
        <w:rPr>
          <w:rFonts w:eastAsia="Helvetica Neue"/>
        </w:rPr>
        <w:t>.</w:t>
      </w:r>
      <w:r w:rsidRPr="00A64CBE">
        <w:rPr>
          <w:rFonts w:eastAsia="Helvetica Neue"/>
          <w:vertAlign w:val="superscript"/>
        </w:rPr>
        <w:endnoteReference w:id="55"/>
      </w:r>
      <w:r w:rsidRPr="00A64CBE">
        <w:rPr>
          <w:rFonts w:eastAsia="Helvetica Neue"/>
        </w:rPr>
        <w:t> </w:t>
      </w:r>
    </w:p>
    <w:p w14:paraId="418848CB" w14:textId="7671DDEC" w:rsidR="00202866" w:rsidRPr="000D6BA0" w:rsidRDefault="00202866" w:rsidP="002772C9">
      <w:pPr>
        <w:ind w:right="-90"/>
        <w:rPr>
          <w:rFonts w:eastAsia="Helvetica Neue"/>
          <w:b/>
        </w:rPr>
      </w:pPr>
      <w:r w:rsidRPr="00A64CBE">
        <w:rPr>
          <w:rFonts w:eastAsia="Helvetica Neue"/>
        </w:rPr>
        <w:t>Service providers and support staff</w:t>
      </w:r>
      <w:r w:rsidRPr="00A64CBE" w:rsidDel="007A58B2">
        <w:rPr>
          <w:rFonts w:eastAsia="Helvetica Neue"/>
        </w:rPr>
        <w:t xml:space="preserve"> </w:t>
      </w:r>
      <w:r w:rsidRPr="00A64CBE">
        <w:rPr>
          <w:rFonts w:eastAsia="Helvetica Neue"/>
        </w:rPr>
        <w:t>should keep this approach in mind while reviewing these Guidelines. If there are existing GBV or SRHR programmes available in one’s community, these Guidelines can help identify how to improve available mainstream or disability-specific services to meet the needs of women and young pe</w:t>
      </w:r>
      <w:r w:rsidR="00CE1CCF">
        <w:rPr>
          <w:rFonts w:eastAsia="Helvetica Neue"/>
        </w:rPr>
        <w:t>rsons</w:t>
      </w:r>
      <w:r w:rsidRPr="00A64CBE">
        <w:rPr>
          <w:rFonts w:eastAsia="Helvetica Neue"/>
        </w:rPr>
        <w:t xml:space="preserve"> with disabilities. Where such services do not exist, these Guidelines should inform the development of such programmes. In general, integrating women and young pe</w:t>
      </w:r>
      <w:r w:rsidR="00CE1CCF">
        <w:rPr>
          <w:rFonts w:eastAsia="Helvetica Neue"/>
        </w:rPr>
        <w:t>rsons</w:t>
      </w:r>
      <w:r w:rsidRPr="00A64CBE">
        <w:rPr>
          <w:rFonts w:eastAsia="Helvetica Neue"/>
        </w:rPr>
        <w:t xml:space="preserve"> with disabilities into mainstream services should be prioritized, and women and young pe</w:t>
      </w:r>
      <w:r w:rsidR="00CE1CCF">
        <w:rPr>
          <w:rFonts w:eastAsia="Helvetica Neue"/>
        </w:rPr>
        <w:t>rsons</w:t>
      </w:r>
      <w:r w:rsidRPr="00A64CBE">
        <w:rPr>
          <w:rFonts w:eastAsia="Helvetica Neue"/>
        </w:rPr>
        <w:t xml:space="preserve"> with disabilities need to participate in decisions about coordinating access to such services</w:t>
      </w:r>
      <w:r w:rsidRPr="008D2B6F">
        <w:rPr>
          <w:rStyle w:val="Bold"/>
        </w:rPr>
        <w:t>.</w:t>
      </w:r>
      <w:r w:rsidRPr="00A64CBE">
        <w:rPr>
          <w:rFonts w:eastAsia="Helvetica Neue"/>
          <w:vertAlign w:val="superscript"/>
        </w:rPr>
        <w:endnoteReference w:id="56"/>
      </w:r>
      <w:r w:rsidRPr="00A64CBE">
        <w:rPr>
          <w:rFonts w:eastAsia="Helvetica Neue"/>
        </w:rPr>
        <w:t xml:space="preserve"> </w:t>
      </w:r>
    </w:p>
    <w:p w14:paraId="3069F7D8" w14:textId="095B8B97" w:rsidR="00202866" w:rsidRPr="00382156" w:rsidRDefault="00202866" w:rsidP="00382156">
      <w:pPr>
        <w:pStyle w:val="Heading4"/>
      </w:pPr>
      <w:bookmarkStart w:id="4" w:name="Equal"/>
      <w:r w:rsidRPr="00382156">
        <w:lastRenderedPageBreak/>
        <w:t>Equal Recognition Before the Law</w:t>
      </w:r>
      <w:bookmarkEnd w:id="4"/>
    </w:p>
    <w:p w14:paraId="6C55F062" w14:textId="59A244B7" w:rsidR="00202866" w:rsidRPr="00A64CBE" w:rsidRDefault="00202866" w:rsidP="008D2B6F">
      <w:pPr>
        <w:rPr>
          <w:rFonts w:eastAsia="Helvetica Neue"/>
        </w:rPr>
      </w:pPr>
      <w:r w:rsidRPr="00A64CBE">
        <w:rPr>
          <w:rFonts w:eastAsia="Helvetica Neue"/>
        </w:rPr>
        <w:t>Human rights law recognizes the right of people everywhere to equal recognition before the law.</w:t>
      </w:r>
      <w:r w:rsidRPr="00A64CBE">
        <w:rPr>
          <w:rFonts w:eastAsia="Helvetica Neue"/>
          <w:vertAlign w:val="superscript"/>
        </w:rPr>
        <w:endnoteReference w:id="57"/>
      </w:r>
      <w:r w:rsidRPr="00A64CBE">
        <w:rPr>
          <w:rFonts w:eastAsia="Helvetica Neue"/>
        </w:rPr>
        <w:t xml:space="preserve"> Article 12 of the CR</w:t>
      </w:r>
      <w:r w:rsidRPr="000E2F2F">
        <w:rPr>
          <w:rFonts w:eastAsia="Helvetica Neue"/>
        </w:rPr>
        <w:t xml:space="preserve">PD expressly </w:t>
      </w:r>
      <w:r w:rsidR="000E2F2F" w:rsidRPr="000E2F2F">
        <w:rPr>
          <w:rFonts w:eastAsia="Helvetica Neue"/>
        </w:rPr>
        <w:t xml:space="preserve">provides that States must realize this right for </w:t>
      </w:r>
      <w:r w:rsidR="00062BAC">
        <w:rPr>
          <w:rFonts w:eastAsia="Helvetica Neue"/>
        </w:rPr>
        <w:t>persons</w:t>
      </w:r>
      <w:r w:rsidR="00062BAC" w:rsidRPr="000E2F2F">
        <w:rPr>
          <w:rFonts w:eastAsia="Helvetica Neue"/>
        </w:rPr>
        <w:t xml:space="preserve"> </w:t>
      </w:r>
      <w:r w:rsidR="000E2F2F" w:rsidRPr="000E2F2F">
        <w:rPr>
          <w:rFonts w:eastAsia="Helvetica Neue"/>
        </w:rPr>
        <w:t xml:space="preserve">with disabilities and explains what it looks like to give effect to this right for </w:t>
      </w:r>
      <w:r w:rsidR="00062BAC">
        <w:rPr>
          <w:rFonts w:eastAsia="Helvetica Neue"/>
        </w:rPr>
        <w:t>persons</w:t>
      </w:r>
      <w:r w:rsidR="00062BAC" w:rsidRPr="000E2F2F">
        <w:rPr>
          <w:rFonts w:eastAsia="Helvetica Neue"/>
        </w:rPr>
        <w:t xml:space="preserve"> </w:t>
      </w:r>
      <w:r w:rsidR="000E2F2F" w:rsidRPr="000E2F2F">
        <w:rPr>
          <w:rFonts w:eastAsia="Helvetica Neue"/>
        </w:rPr>
        <w:t>with disabilities</w:t>
      </w:r>
      <w:r w:rsidRPr="000E2F2F">
        <w:rPr>
          <w:rFonts w:eastAsia="Helvetica Neue"/>
        </w:rPr>
        <w:t>.</w:t>
      </w:r>
      <w:r w:rsidRPr="000E2F2F">
        <w:rPr>
          <w:rFonts w:eastAsia="Helvetica Neue"/>
          <w:vertAlign w:val="superscript"/>
        </w:rPr>
        <w:endnoteReference w:id="58"/>
      </w:r>
      <w:r w:rsidRPr="00A64CBE">
        <w:rPr>
          <w:rFonts w:eastAsia="Helvetica Neue"/>
        </w:rPr>
        <w:t xml:space="preserve"> Therefore, States are required to: </w:t>
      </w:r>
      <w:r w:rsidRPr="008D2B6F">
        <w:rPr>
          <w:rStyle w:val="Bold"/>
        </w:rPr>
        <w:t xml:space="preserve">(1) </w:t>
      </w:r>
      <w:r w:rsidRPr="00A64CBE">
        <w:rPr>
          <w:rFonts w:eastAsia="Helvetica Neue"/>
        </w:rPr>
        <w:t>reaffirm that women and young pe</w:t>
      </w:r>
      <w:r w:rsidR="00CE1CCF">
        <w:rPr>
          <w:rFonts w:eastAsia="Helvetica Neue"/>
        </w:rPr>
        <w:t>rsons</w:t>
      </w:r>
      <w:r w:rsidRPr="00A64CBE">
        <w:rPr>
          <w:rFonts w:eastAsia="Helvetica Neue"/>
        </w:rPr>
        <w:t xml:space="preserve"> with disabilities “have the right to recognition everywhere as </w:t>
      </w:r>
      <w:r w:rsidRPr="003D62AE">
        <w:rPr>
          <w:rFonts w:eastAsia="Helvetica Neue"/>
        </w:rPr>
        <w:t>persons before the law</w:t>
      </w:r>
      <w:r w:rsidRPr="00A64CBE">
        <w:rPr>
          <w:rFonts w:eastAsia="Helvetica Neue"/>
        </w:rPr>
        <w:t>”;</w:t>
      </w:r>
      <w:r w:rsidRPr="00A64CBE">
        <w:rPr>
          <w:rFonts w:eastAsia="Helvetica Neue"/>
          <w:vertAlign w:val="superscript"/>
        </w:rPr>
        <w:endnoteReference w:id="59"/>
      </w:r>
      <w:r w:rsidRPr="00A64CBE">
        <w:rPr>
          <w:rFonts w:eastAsia="Helvetica Neue"/>
        </w:rPr>
        <w:t xml:space="preserve"> </w:t>
      </w:r>
      <w:r w:rsidRPr="008D2B6F">
        <w:rPr>
          <w:rStyle w:val="Bold"/>
        </w:rPr>
        <w:t>(2)</w:t>
      </w:r>
      <w:r w:rsidRPr="00A64CBE">
        <w:rPr>
          <w:rFonts w:eastAsia="Helvetica Neue"/>
        </w:rPr>
        <w:t xml:space="preserve"> recognize that women and young pe</w:t>
      </w:r>
      <w:r w:rsidR="00CE1CCF">
        <w:rPr>
          <w:rFonts w:eastAsia="Helvetica Neue"/>
        </w:rPr>
        <w:t>rsons</w:t>
      </w:r>
      <w:r w:rsidRPr="00A64CBE">
        <w:rPr>
          <w:rFonts w:eastAsia="Helvetica Neue"/>
        </w:rPr>
        <w:t xml:space="preserve"> with disabilities have the right to “enjoy </w:t>
      </w:r>
      <w:r w:rsidRPr="003D62AE">
        <w:rPr>
          <w:rFonts w:eastAsia="Helvetica Neue"/>
        </w:rPr>
        <w:t>legal capacity</w:t>
      </w:r>
      <w:r w:rsidRPr="00A64CBE">
        <w:rPr>
          <w:rFonts w:eastAsia="Helvetica Neue"/>
        </w:rPr>
        <w:t xml:space="preserve"> on an equal basis with others in all aspects of life”;</w:t>
      </w:r>
      <w:r w:rsidRPr="00A64CBE">
        <w:rPr>
          <w:rFonts w:eastAsia="Helvetica Neue"/>
          <w:vertAlign w:val="superscript"/>
        </w:rPr>
        <w:endnoteReference w:id="60"/>
      </w:r>
      <w:r w:rsidRPr="00A64CBE">
        <w:rPr>
          <w:rFonts w:eastAsia="Helvetica Neue"/>
        </w:rPr>
        <w:t xml:space="preserve"> </w:t>
      </w:r>
      <w:r w:rsidRPr="008D2B6F">
        <w:rPr>
          <w:rStyle w:val="Bold"/>
        </w:rPr>
        <w:t>(3)</w:t>
      </w:r>
      <w:r w:rsidRPr="00A64CBE">
        <w:rPr>
          <w:rFonts w:eastAsia="Helvetica Neue"/>
        </w:rPr>
        <w:t xml:space="preserve"> “take appropriate measures to provide access by [women and young pe</w:t>
      </w:r>
      <w:r w:rsidR="00CE1CCF">
        <w:rPr>
          <w:rFonts w:eastAsia="Helvetica Neue"/>
        </w:rPr>
        <w:t>rsons</w:t>
      </w:r>
      <w:r w:rsidRPr="00A64CBE">
        <w:rPr>
          <w:rFonts w:eastAsia="Helvetica Neue"/>
        </w:rPr>
        <w:t>] with disabilities to the support they may require in exercising their legal capacity</w:t>
      </w:r>
      <w:r w:rsidR="000E2F2F">
        <w:rPr>
          <w:rFonts w:eastAsia="Helvetica Neue"/>
        </w:rPr>
        <w:t>,</w:t>
      </w:r>
      <w:r w:rsidRPr="00A64CBE">
        <w:rPr>
          <w:rFonts w:eastAsia="Helvetica Neue"/>
        </w:rPr>
        <w:t>”</w:t>
      </w:r>
      <w:r w:rsidRPr="00A64CBE">
        <w:rPr>
          <w:rFonts w:eastAsia="Helvetica Neue"/>
          <w:vertAlign w:val="superscript"/>
        </w:rPr>
        <w:endnoteReference w:id="61"/>
      </w:r>
      <w:r w:rsidRPr="00A64CBE">
        <w:rPr>
          <w:rFonts w:eastAsia="Helvetica Neue"/>
        </w:rPr>
        <w:t xml:space="preserve"> such as </w:t>
      </w:r>
      <w:r w:rsidRPr="003D62AE">
        <w:rPr>
          <w:rFonts w:eastAsia="Helvetica Neue"/>
        </w:rPr>
        <w:t>supported decision-making models</w:t>
      </w:r>
      <w:r w:rsidRPr="00A64CBE">
        <w:rPr>
          <w:rFonts w:eastAsia="Helvetica Neue"/>
        </w:rPr>
        <w:t xml:space="preserve">; </w:t>
      </w:r>
      <w:r w:rsidRPr="008D2B6F">
        <w:rPr>
          <w:rStyle w:val="Bold"/>
        </w:rPr>
        <w:t>(4)</w:t>
      </w:r>
      <w:r w:rsidRPr="00A64CBE">
        <w:rPr>
          <w:rFonts w:eastAsia="Helvetica Neue"/>
        </w:rPr>
        <w:t xml:space="preserve"> “ensure that all measures that relate to the exercise of legal capacity provide for appropriate and effective </w:t>
      </w:r>
      <w:r w:rsidRPr="003D62AE">
        <w:rPr>
          <w:rFonts w:eastAsia="Helvetica Neue"/>
        </w:rPr>
        <w:t>safeguards</w:t>
      </w:r>
      <w:r w:rsidRPr="00A64CBE">
        <w:rPr>
          <w:rFonts w:eastAsia="Helvetica Neue"/>
        </w:rPr>
        <w:t xml:space="preserve"> to prevent abuse,”</w:t>
      </w:r>
      <w:r w:rsidRPr="00A64CBE">
        <w:rPr>
          <w:rFonts w:eastAsia="Helvetica Neue"/>
          <w:vertAlign w:val="superscript"/>
        </w:rPr>
        <w:endnoteReference w:id="62"/>
      </w:r>
      <w:r w:rsidRPr="00A64CBE">
        <w:rPr>
          <w:rFonts w:eastAsia="Helvetica Neue"/>
        </w:rPr>
        <w:t xml:space="preserve"> while respecting the rights of the woman or young person with a disability’s will and preference, without coercion or conflicts of interest; and </w:t>
      </w:r>
      <w:r w:rsidRPr="008D2B6F">
        <w:rPr>
          <w:rStyle w:val="Bold"/>
        </w:rPr>
        <w:t>(5)</w:t>
      </w:r>
      <w:r w:rsidRPr="00A64CBE">
        <w:rPr>
          <w:rFonts w:eastAsia="Helvetica Neue"/>
        </w:rPr>
        <w:t xml:space="preserve"> ensure the </w:t>
      </w:r>
      <w:r w:rsidRPr="003D62AE">
        <w:rPr>
          <w:rFonts w:eastAsia="Helvetica Neue"/>
        </w:rPr>
        <w:t>equal right</w:t>
      </w:r>
      <w:r w:rsidRPr="00A64CBE">
        <w:rPr>
          <w:rFonts w:eastAsia="Helvetica Neue"/>
        </w:rPr>
        <w:t xml:space="preserve"> of women and young pe</w:t>
      </w:r>
      <w:r w:rsidR="00CE1CCF">
        <w:rPr>
          <w:rFonts w:eastAsia="Helvetica Neue"/>
        </w:rPr>
        <w:t>rsons</w:t>
      </w:r>
      <w:r w:rsidRPr="00A64CBE">
        <w:rPr>
          <w:rFonts w:eastAsia="Helvetica Neue"/>
        </w:rPr>
        <w:t xml:space="preserve"> with disabilities to own and control their property.</w:t>
      </w:r>
      <w:r w:rsidRPr="00A64CBE">
        <w:rPr>
          <w:rFonts w:eastAsia="Helvetica Neue"/>
          <w:vertAlign w:val="superscript"/>
        </w:rPr>
        <w:endnoteReference w:id="63"/>
      </w:r>
      <w:r w:rsidRPr="00A64CBE">
        <w:rPr>
          <w:rFonts w:eastAsia="Helvetica Neue"/>
        </w:rPr>
        <w:t xml:space="preserve"> </w:t>
      </w:r>
    </w:p>
    <w:p w14:paraId="2028C73E" w14:textId="41331871" w:rsidR="00202866" w:rsidRPr="00A64CBE" w:rsidRDefault="00202866" w:rsidP="000D6BA0">
      <w:pPr>
        <w:rPr>
          <w:rFonts w:eastAsia="Helvetica Neue"/>
        </w:rPr>
      </w:pPr>
      <w:r w:rsidRPr="003D62AE">
        <w:rPr>
          <w:rFonts w:eastAsia="Helvetica Neue"/>
        </w:rPr>
        <w:t>Understanding the right of women and young pe</w:t>
      </w:r>
      <w:r w:rsidR="00CE1CCF">
        <w:rPr>
          <w:rFonts w:eastAsia="Helvetica Neue"/>
        </w:rPr>
        <w:t>rsons</w:t>
      </w:r>
      <w:r w:rsidRPr="003D62AE">
        <w:rPr>
          <w:rFonts w:eastAsia="Helvetica Neue"/>
        </w:rPr>
        <w:t xml:space="preserve"> with disabilities to equal recognition before the law is necessary so service providers and support staff can ensure that they do not participate in violating women and young </w:t>
      </w:r>
      <w:r w:rsidR="00062BAC">
        <w:rPr>
          <w:rFonts w:eastAsia="Helvetica Neue"/>
        </w:rPr>
        <w:t>person</w:t>
      </w:r>
      <w:r w:rsidR="00062BAC" w:rsidRPr="003D62AE">
        <w:rPr>
          <w:rFonts w:eastAsia="Helvetica Neue"/>
        </w:rPr>
        <w:t xml:space="preserve">’s </w:t>
      </w:r>
      <w:r w:rsidRPr="003D62AE">
        <w:rPr>
          <w:rFonts w:eastAsia="Helvetica Neue"/>
        </w:rPr>
        <w:t>rights.</w:t>
      </w:r>
    </w:p>
    <w:p w14:paraId="0C8A55B2" w14:textId="5C95AA75" w:rsidR="00202866" w:rsidRPr="00A64CBE" w:rsidRDefault="00EF056B" w:rsidP="000A13DC">
      <w:pPr>
        <w:rPr>
          <w:rFonts w:eastAsia="Helvetica Neue"/>
        </w:rPr>
      </w:pPr>
      <w:r>
        <w:rPr>
          <w:rFonts w:eastAsia="Helvetica Neue"/>
        </w:rPr>
        <w:t>S</w:t>
      </w:r>
      <w:r w:rsidR="00202866" w:rsidRPr="00A64CBE">
        <w:rPr>
          <w:rFonts w:eastAsia="Helvetica Neue"/>
        </w:rPr>
        <w:t>ervice providers and support staff must understand the meaning</w:t>
      </w:r>
      <w:r w:rsidR="000E2F2F">
        <w:rPr>
          <w:rFonts w:eastAsia="Helvetica Neue"/>
        </w:rPr>
        <w:t xml:space="preserve"> of</w:t>
      </w:r>
      <w:r w:rsidR="00202866" w:rsidRPr="00A64CBE">
        <w:rPr>
          <w:rFonts w:eastAsia="Helvetica Neue"/>
        </w:rPr>
        <w:t xml:space="preserve"> </w:t>
      </w:r>
      <w:r>
        <w:rPr>
          <w:rFonts w:eastAsia="Helvetica Neue"/>
        </w:rPr>
        <w:t>and how to implement the following key concepts</w:t>
      </w:r>
      <w:r w:rsidR="00202866" w:rsidRPr="00A64CBE">
        <w:rPr>
          <w:rFonts w:eastAsia="Helvetica Neue"/>
        </w:rPr>
        <w:t xml:space="preserve">: </w:t>
      </w:r>
    </w:p>
    <w:p w14:paraId="02D03C10" w14:textId="603D7978" w:rsidR="003B0F67" w:rsidRPr="002174FD" w:rsidRDefault="00202866" w:rsidP="006E6012">
      <w:pPr>
        <w:pStyle w:val="ListParagraph"/>
        <w:numPr>
          <w:ilvl w:val="0"/>
          <w:numId w:val="67"/>
        </w:numPr>
        <w:ind w:left="270" w:hanging="270"/>
      </w:pPr>
      <w:r w:rsidRPr="00493824">
        <w:rPr>
          <w:b/>
        </w:rPr>
        <w:t xml:space="preserve">Legal capacity </w:t>
      </w:r>
      <w:r w:rsidRPr="00A64CBE">
        <w:t>refers to</w:t>
      </w:r>
      <w:r w:rsidRPr="00493824">
        <w:rPr>
          <w:b/>
        </w:rPr>
        <w:t xml:space="preserve"> </w:t>
      </w:r>
      <w:r w:rsidRPr="00A64CBE">
        <w:t xml:space="preserve">“the capacity to be both </w:t>
      </w:r>
      <w:r w:rsidRPr="003D62AE">
        <w:t>a holder of rights</w:t>
      </w:r>
      <w:r w:rsidRPr="00A64CBE">
        <w:t xml:space="preserve"> and </w:t>
      </w:r>
      <w:r w:rsidRPr="003D62AE">
        <w:t>an actor under the law</w:t>
      </w:r>
      <w:r w:rsidRPr="00A64CBE">
        <w:t xml:space="preserve">. Legal capacity to be a holder of rights entitles a person to full protection of his or her rights by the </w:t>
      </w:r>
      <w:r w:rsidRPr="00493824">
        <w:rPr>
          <w:rFonts w:eastAsia="Helvetica Neue"/>
        </w:rPr>
        <w:t>legal</w:t>
      </w:r>
      <w:r w:rsidRPr="00A64CBE">
        <w:t xml:space="preserve"> system. Legal capacity to act under the law recognizes that person as an agent with the power to engage in transactions and create, mod</w:t>
      </w:r>
      <w:r>
        <w:t>ify, or end legal relationships</w:t>
      </w:r>
      <w:r w:rsidRPr="00A64CBE">
        <w:t>”</w:t>
      </w:r>
      <w:r>
        <w:t>.</w:t>
      </w:r>
      <w:r w:rsidRPr="00A64CBE">
        <w:rPr>
          <w:vertAlign w:val="superscript"/>
        </w:rPr>
        <w:endnoteReference w:id="64"/>
      </w:r>
      <w:r w:rsidRPr="00A64CBE">
        <w:t xml:space="preserve"> Supported decision-making mechanisms may be necessary to empower pe</w:t>
      </w:r>
      <w:r w:rsidR="00C51D54">
        <w:t>rsons</w:t>
      </w:r>
      <w:r w:rsidRPr="00A64CBE">
        <w:t xml:space="preserve"> with disabilities to exercise their rights to legal capacity.</w:t>
      </w:r>
      <w:r w:rsidRPr="00A64CBE">
        <w:rPr>
          <w:vertAlign w:val="superscript"/>
        </w:rPr>
        <w:endnoteReference w:id="65"/>
      </w:r>
      <w:r w:rsidR="000A13DC">
        <w:t xml:space="preserve"> </w:t>
      </w:r>
      <w:r w:rsidR="002174FD">
        <w:br/>
      </w:r>
      <w:r w:rsidR="002174FD">
        <w:br/>
      </w:r>
      <w:r w:rsidRPr="000A13DC">
        <w:rPr>
          <w:rStyle w:val="Bold"/>
        </w:rPr>
        <w:t>Note on mental capacity:</w:t>
      </w:r>
      <w:r w:rsidRPr="00493824">
        <w:rPr>
          <w:rFonts w:eastAsia="Helvetica Neue"/>
          <w:b/>
        </w:rPr>
        <w:t xml:space="preserve"> </w:t>
      </w:r>
      <w:r w:rsidRPr="00493824">
        <w:rPr>
          <w:rFonts w:eastAsia="Helvetica Neue"/>
        </w:rPr>
        <w:t>Mental capacity and legal capacity are not the same things. However, the two are often conflated, and thus a person is assumed to lack legal capacity because of a mental or intellectual disability. Such an assumption is discrimination and a violation of Article 12 of the Convention on the Rights of Persons with Disabilities.</w:t>
      </w:r>
      <w:r w:rsidRPr="00A64CBE">
        <w:rPr>
          <w:rFonts w:eastAsia="Helvetica Neue"/>
          <w:vertAlign w:val="superscript"/>
        </w:rPr>
        <w:endnoteReference w:id="66"/>
      </w:r>
      <w:r w:rsidRPr="00493824">
        <w:rPr>
          <w:rFonts w:eastAsia="Helvetica Neue"/>
        </w:rPr>
        <w:t xml:space="preserve"> </w:t>
      </w:r>
      <w:r w:rsidR="002174FD" w:rsidRPr="00493824">
        <w:rPr>
          <w:rFonts w:eastAsia="Helvetica Neue"/>
        </w:rPr>
        <w:br/>
      </w:r>
      <w:r w:rsidR="002174FD" w:rsidRPr="00493824">
        <w:rPr>
          <w:rFonts w:eastAsia="Helvetica Neue"/>
        </w:rPr>
        <w:br/>
      </w:r>
      <w:r w:rsidRPr="000A13DC">
        <w:rPr>
          <w:rStyle w:val="Bold"/>
        </w:rPr>
        <w:t xml:space="preserve">Note on young </w:t>
      </w:r>
      <w:r w:rsidR="00062BAC">
        <w:rPr>
          <w:rStyle w:val="Bold"/>
        </w:rPr>
        <w:t>persons</w:t>
      </w:r>
      <w:r w:rsidR="00062BAC" w:rsidRPr="000A13DC">
        <w:rPr>
          <w:rStyle w:val="Bold"/>
        </w:rPr>
        <w:t xml:space="preserve"> </w:t>
      </w:r>
      <w:r w:rsidRPr="000A13DC">
        <w:rPr>
          <w:rStyle w:val="Bold"/>
        </w:rPr>
        <w:t>with disabilities under age 18:</w:t>
      </w:r>
      <w:r w:rsidRPr="00493824">
        <w:rPr>
          <w:rFonts w:eastAsia="Helvetica Neue"/>
          <w:b/>
        </w:rPr>
        <w:t xml:space="preserve"> </w:t>
      </w:r>
      <w:r w:rsidRPr="00493824">
        <w:rPr>
          <w:rFonts w:eastAsia="Helvetica Neue"/>
        </w:rPr>
        <w:t>The age at which a person with or without a disability has the legal capacity to make decisions for themselves varies by country. Service providers and support staff must be familiar with the laws in their country. Generally, children under 15 lack legal capacity to make decisions for themselves. If a child or adolescent lacks legal capacity, their opinion should still be assessed within the limitations imposed by their age and level of understanding.</w:t>
      </w:r>
      <w:r w:rsidRPr="00A64CBE">
        <w:rPr>
          <w:rFonts w:eastAsia="Helvetica Neue"/>
          <w:vertAlign w:val="superscript"/>
        </w:rPr>
        <w:endnoteReference w:id="67"/>
      </w:r>
      <w:r w:rsidRPr="00493824">
        <w:rPr>
          <w:rFonts w:eastAsia="Helvetica Neue"/>
        </w:rPr>
        <w:t xml:space="preserve"> In the context of SRHR services, the United Nation’s Committee on the Rights of the Child has said there should be a “legal presumption that adolescents are competent to seek and have access to preventive or time-sensitive sexual and reproductive health commodities and services,”</w:t>
      </w:r>
      <w:r w:rsidRPr="00A64CBE">
        <w:rPr>
          <w:rFonts w:eastAsia="Helvetica Neue"/>
          <w:vertAlign w:val="superscript"/>
        </w:rPr>
        <w:endnoteReference w:id="68"/>
      </w:r>
      <w:r w:rsidRPr="00493824">
        <w:rPr>
          <w:rFonts w:eastAsia="Helvetica Neue"/>
        </w:rPr>
        <w:t xml:space="preserve"> which shifts the burden to service providers or other officials to prove a lack of capacity to consent where they wish to deny adolescents access to certain SRHR services.</w:t>
      </w:r>
    </w:p>
    <w:p w14:paraId="4E922E60" w14:textId="2D391B12" w:rsidR="00C41991" w:rsidRPr="00493824" w:rsidRDefault="00202866" w:rsidP="006E6012">
      <w:pPr>
        <w:pStyle w:val="ListParagraph"/>
        <w:numPr>
          <w:ilvl w:val="0"/>
          <w:numId w:val="67"/>
        </w:numPr>
        <w:ind w:left="270" w:hanging="270"/>
        <w:rPr>
          <w:rFonts w:eastAsia="Helvetica Neue"/>
        </w:rPr>
      </w:pPr>
      <w:r w:rsidRPr="00493824">
        <w:rPr>
          <w:b/>
        </w:rPr>
        <w:lastRenderedPageBreak/>
        <w:t>Informed consent</w:t>
      </w:r>
      <w:r w:rsidRPr="00A64CBE">
        <w:t xml:space="preserve"> is more than the process of acquiring a signature for a procedure, </w:t>
      </w:r>
      <w:r w:rsidRPr="00493824">
        <w:rPr>
          <w:rFonts w:eastAsia="Helvetica Neue"/>
        </w:rPr>
        <w:t>according</w:t>
      </w:r>
      <w:r w:rsidRPr="00A64CBE">
        <w:t xml:space="preserve"> to guidelines developed by the International Federation of Gynecology and Obstetrics (FIGO). It is a process of communication between a service provider and a service recipient that results in the service recipient giving, withdrawing, or refusing to give permission for a procedure based on full knowledge of the procedure. FIGO defines informed consent as </w:t>
      </w:r>
      <w:r w:rsidRPr="003D62AE">
        <w:t>“a consent obtained freely, without threats or improper inducements, after appropriate disclosure to the patient of adequate and understandable information in a form and language understood by the patient on: (a) the diagnostic assessment; (b) the purpose, method, likely duration and expected benefit of the proposed treatment; (c) alternative modes of treatment, including those less intrusive, and (d) possible pain or discomfort, risks and side effects of the proposed treatment”.</w:t>
      </w:r>
      <w:r w:rsidRPr="003D62AE">
        <w:rPr>
          <w:vertAlign w:val="superscript"/>
        </w:rPr>
        <w:endnoteReference w:id="69"/>
      </w:r>
      <w:r w:rsidRPr="00493824">
        <w:rPr>
          <w:b/>
        </w:rPr>
        <w:t xml:space="preserve"> </w:t>
      </w:r>
      <w:r w:rsidRPr="00A64CBE">
        <w:t xml:space="preserve">While the process of obtaining informed consent may be time-consuming, particularly when there are communication difficulties, this does not absolve a service provider of their obligation to obtain informed consent. Moreover, </w:t>
      </w:r>
      <w:r w:rsidRPr="003D62AE">
        <w:t>only the service recipient can provide informed consent,</w:t>
      </w:r>
      <w:r w:rsidRPr="00493824">
        <w:rPr>
          <w:b/>
        </w:rPr>
        <w:t xml:space="preserve"> </w:t>
      </w:r>
      <w:r w:rsidRPr="00A64CBE">
        <w:t>regardless of family member’s or advocate’s opinions. It is the service provider’s obligation to ensure that the rights of the woman or young person with the disability are respected by a communication process that leads to the provision or withholding of informed consent. Consent can also be withdrawn at any time.</w:t>
      </w:r>
      <w:r w:rsidRPr="00A64CBE">
        <w:rPr>
          <w:vertAlign w:val="superscript"/>
        </w:rPr>
        <w:endnoteReference w:id="70"/>
      </w:r>
      <w:r w:rsidRPr="00A64CBE">
        <w:t xml:space="preserve"> </w:t>
      </w:r>
    </w:p>
    <w:p w14:paraId="675DA2E1" w14:textId="3F0C22C0" w:rsidR="005B0C6B" w:rsidRPr="00FB1366" w:rsidRDefault="005B0C6B" w:rsidP="00FB1366">
      <w:pPr>
        <w:shd w:val="clear" w:color="auto" w:fill="948A54" w:themeFill="background2" w:themeFillShade="80"/>
        <w:spacing w:line="276" w:lineRule="auto"/>
        <w:ind w:left="252" w:hanging="252"/>
        <w:rPr>
          <w:b/>
          <w:bCs/>
          <w:color w:val="FFFFFF" w:themeColor="background1"/>
          <w:sz w:val="28"/>
          <w:szCs w:val="28"/>
        </w:rPr>
      </w:pPr>
      <w:r w:rsidRPr="00FB1366">
        <w:rPr>
          <w:b/>
          <w:bCs/>
          <w:noProof/>
          <w:color w:val="FFFFFF" w:themeColor="background1"/>
          <w:sz w:val="28"/>
          <w:szCs w:val="28"/>
        </w:rPr>
        <mc:AlternateContent>
          <mc:Choice Requires="wps">
            <w:drawing>
              <wp:inline distT="0" distB="0" distL="0" distR="0" wp14:anchorId="0E3E7326" wp14:editId="3FB75234">
                <wp:extent cx="124691" cy="0"/>
                <wp:effectExtent l="0" t="0" r="15240" b="12700"/>
                <wp:docPr id="37" name="Straight Connector 37" descr="Text box follows"/>
                <wp:cNvGraphicFramePr/>
                <a:graphic xmlns:a="http://schemas.openxmlformats.org/drawingml/2006/main">
                  <a:graphicData uri="http://schemas.microsoft.com/office/word/2010/wordprocessingShape">
                    <wps:wsp>
                      <wps:cNvCnPr/>
                      <wps:spPr>
                        <a:xfrm flipV="1">
                          <a:off x="0" y="0"/>
                          <a:ext cx="124691" cy="0"/>
                        </a:xfrm>
                        <a:prstGeom prst="line">
                          <a:avLst/>
                        </a:prstGeom>
                        <a:ln w="3175">
                          <a:solidFill>
                            <a:schemeClr val="bg2">
                              <a:lumMod val="50000"/>
                            </a:schemeClr>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692EDDAD" id="Straight Connector 37" o:spid="_x0000_s1026" alt="Text box follows" style="flip:y;visibility:visible;mso-wrap-style:square;mso-left-percent:-10001;mso-top-percent:-10001;mso-position-horizontal:absolute;mso-position-horizontal-relative:char;mso-position-vertical:absolute;mso-position-vertical-relative:line;mso-left-percent:-10001;mso-top-percent:-10001" from="0,0" to="9.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" strokecolor="#938953 [1614]" strokeweight=".25pt">
                <w10:anchorlock/>
              </v:line>
            </w:pict>
          </mc:Fallback>
        </mc:AlternateContent>
      </w:r>
      <w:r w:rsidRPr="00FB1366">
        <w:rPr>
          <w:b/>
          <w:bCs/>
          <w:color w:val="FFFFFF" w:themeColor="background1"/>
          <w:sz w:val="28"/>
          <w:szCs w:val="28"/>
          <w:shd w:val="clear" w:color="auto" w:fill="948A54" w:themeFill="background2" w:themeFillShade="80"/>
        </w:rPr>
        <w:br/>
      </w:r>
      <w:r w:rsidRPr="00FB1366">
        <w:rPr>
          <w:b/>
          <w:bCs/>
          <w:color w:val="FFFFFF" w:themeColor="background1"/>
          <w:shd w:val="clear" w:color="auto" w:fill="948A54" w:themeFill="background2" w:themeFillShade="80"/>
        </w:rPr>
        <w:t>Informed Consent in Practice</w:t>
      </w:r>
    </w:p>
    <w:p w14:paraId="2EC230BE" w14:textId="6308AAE3" w:rsidR="00C41991" w:rsidRPr="000A0A69" w:rsidRDefault="00C41991" w:rsidP="005B0C6B">
      <w:pPr>
        <w:ind w:left="270"/>
      </w:pPr>
      <w:r w:rsidRPr="000A0A69">
        <w:rPr>
          <w:rFonts w:eastAsia="Helvetica Neue"/>
          <w:b/>
        </w:rPr>
        <w:t>What does it mean to obtain free and informed consent?</w:t>
      </w:r>
      <w:r w:rsidRPr="000A0A69">
        <w:rPr>
          <w:rFonts w:eastAsia="Helvetica Neue"/>
        </w:rPr>
        <w:t xml:space="preserve"> To ensure that free and informed consent is always obtained, develop internal policies and train all service providers and support staff on understanding legal capacity and informed consent. Service providers must understand how to obtain informed consent and when to advocate for a person who is assumed to lack legal capacity to provide informed consent.</w:t>
      </w:r>
    </w:p>
    <w:p w14:paraId="184BC333" w14:textId="77777777" w:rsidR="006D6D8E" w:rsidRPr="006D6D8E" w:rsidRDefault="00C41991" w:rsidP="006E6012">
      <w:pPr>
        <w:pStyle w:val="ListParagraph"/>
        <w:numPr>
          <w:ilvl w:val="0"/>
          <w:numId w:val="22"/>
        </w:numPr>
        <w:ind w:left="630" w:right="180"/>
        <w:rPr>
          <w:b/>
        </w:rPr>
      </w:pPr>
      <w:r w:rsidRPr="000A0A69">
        <w:t>Never assume a person lacks capacity to provide free and informed consent.</w:t>
      </w:r>
      <w:r w:rsidRPr="000A0A69">
        <w:rPr>
          <w:b/>
        </w:rPr>
        <w:t xml:space="preserve"> </w:t>
      </w:r>
      <w:r w:rsidRPr="000A0A69">
        <w:t>Service providers and support staff must understand that just because a person has an intellectual disability or cannot communicate verbally does not mean that they cannot give their informed consent.</w:t>
      </w:r>
    </w:p>
    <w:p w14:paraId="79697DC7" w14:textId="23052AE8" w:rsidR="00C41991" w:rsidRPr="000A0A69" w:rsidRDefault="00C41991" w:rsidP="005B0C6B">
      <w:pPr>
        <w:pStyle w:val="ListBullet"/>
        <w:numPr>
          <w:ilvl w:val="0"/>
          <w:numId w:val="0"/>
        </w:numPr>
        <w:ind w:left="630"/>
        <w:rPr>
          <w:b/>
        </w:rPr>
      </w:pPr>
      <w:r w:rsidRPr="000A0A69">
        <w:t xml:space="preserve">Utilize tools such as The Women’s Refugee Commission and International Rescue Committee’s </w:t>
      </w:r>
      <w:r w:rsidRPr="000A0A69">
        <w:rPr>
          <w:b/>
          <w:bCs/>
        </w:rPr>
        <w:t>‘Guidance for GBV Service Providers: Informed Consent Process with Adult Survivors with Disabilities—Tool 6: Guidance on Communicating with Persons with Disabilities’</w:t>
      </w:r>
      <w:r w:rsidRPr="000A0A69">
        <w:rPr>
          <w:vertAlign w:val="superscript"/>
        </w:rPr>
        <w:endnoteReference w:id="71"/>
      </w:r>
      <w:r w:rsidRPr="000A0A69">
        <w:rPr>
          <w:b/>
        </w:rPr>
        <w:t xml:space="preserve"> </w:t>
      </w:r>
      <w:r w:rsidRPr="000A0A69">
        <w:t>to educate service providers and support staff on how to communicate with people with a range of disabilities. Lack of accessible communication skills and resources is not a sufficient reason for failure to acquire informed consent.</w:t>
      </w:r>
      <w:r w:rsidRPr="000A0A69">
        <w:rPr>
          <w:b/>
        </w:rPr>
        <w:t xml:space="preserve"> </w:t>
      </w:r>
    </w:p>
    <w:p w14:paraId="65A5C90B" w14:textId="77777777" w:rsidR="00493824" w:rsidRDefault="00C41991" w:rsidP="006E6012">
      <w:pPr>
        <w:pStyle w:val="ListParagraph"/>
        <w:numPr>
          <w:ilvl w:val="0"/>
          <w:numId w:val="22"/>
        </w:numPr>
        <w:ind w:left="630" w:right="180"/>
      </w:pPr>
      <w:r w:rsidRPr="000A0A69">
        <w:t xml:space="preserve">Three key components to obtaining free and informed consent (adapted from The Women’s Refugee Commission and International Rescue Committee’s </w:t>
      </w:r>
      <w:r w:rsidRPr="000A0A69">
        <w:rPr>
          <w:b/>
        </w:rPr>
        <w:t>‘Guidance for GBV Service Providers: Informed Consent Process with Adult Survivors with Disabilities’</w:t>
      </w:r>
      <w:r w:rsidRPr="000A0A69">
        <w:t>):</w:t>
      </w:r>
      <w:r w:rsidRPr="000A0A69">
        <w:rPr>
          <w:vertAlign w:val="superscript"/>
        </w:rPr>
        <w:endnoteReference w:id="72"/>
      </w:r>
    </w:p>
    <w:p w14:paraId="29D3580D" w14:textId="77777777" w:rsidR="00493824" w:rsidRDefault="00C41991" w:rsidP="006E6012">
      <w:pPr>
        <w:pStyle w:val="ListParagraph"/>
        <w:numPr>
          <w:ilvl w:val="1"/>
          <w:numId w:val="22"/>
        </w:numPr>
        <w:ind w:left="990" w:right="180"/>
      </w:pPr>
      <w:r w:rsidRPr="000A0A69">
        <w:t>Provide all possible information, including benefits, risks, and alternatives, to a woman or young person with a disability in their preferred format and in a way, they can understand; offer and utilize supported decision-making</w:t>
      </w:r>
      <w:r w:rsidRPr="00493824">
        <w:rPr>
          <w:b/>
        </w:rPr>
        <w:t xml:space="preserve"> </w:t>
      </w:r>
      <w:r w:rsidRPr="000A0A69">
        <w:t xml:space="preserve">tools if desired. </w:t>
      </w:r>
    </w:p>
    <w:p w14:paraId="2B3F258F" w14:textId="77777777" w:rsidR="00493824" w:rsidRDefault="00C41991" w:rsidP="006E6012">
      <w:pPr>
        <w:pStyle w:val="ListParagraph"/>
        <w:numPr>
          <w:ilvl w:val="1"/>
          <w:numId w:val="22"/>
        </w:numPr>
        <w:ind w:left="990" w:right="180"/>
      </w:pPr>
      <w:r w:rsidRPr="000A0A69">
        <w:lastRenderedPageBreak/>
        <w:t>Determine if the woman or young person can understand the information and their decisions (also known as ‘capacity to consent’).</w:t>
      </w:r>
    </w:p>
    <w:p w14:paraId="62BECFD1" w14:textId="2A12B890" w:rsidR="00C41991" w:rsidRPr="000A0A69" w:rsidRDefault="00C41991" w:rsidP="006E6012">
      <w:pPr>
        <w:pStyle w:val="ListParagraph"/>
        <w:numPr>
          <w:ilvl w:val="1"/>
          <w:numId w:val="22"/>
        </w:numPr>
        <w:ind w:left="990" w:right="180"/>
      </w:pPr>
      <w:r w:rsidRPr="000A0A69">
        <w:t xml:space="preserve">Ensure that the decisions of the woman or young person with a disability are voluntary and not coerced by others (e.g. family members, caregivers, or service providers). </w:t>
      </w:r>
    </w:p>
    <w:p w14:paraId="21DE8A6F" w14:textId="130B7775" w:rsidR="00C41991" w:rsidRPr="000A0A69" w:rsidRDefault="00C41991" w:rsidP="006E6012">
      <w:pPr>
        <w:pStyle w:val="ListParagraph"/>
        <w:numPr>
          <w:ilvl w:val="0"/>
          <w:numId w:val="22"/>
        </w:numPr>
        <w:ind w:left="630" w:right="-180"/>
      </w:pPr>
      <w:r w:rsidRPr="003B0F67">
        <w:rPr>
          <w:rFonts w:eastAsia="Helvetica Neue"/>
        </w:rPr>
        <w:t>Determining</w:t>
      </w:r>
      <w:r w:rsidRPr="000A0A69">
        <w:t xml:space="preserve"> capacity to consent: Service providers and support staff</w:t>
      </w:r>
      <w:r w:rsidRPr="000A0A69" w:rsidDel="007A58B2">
        <w:t xml:space="preserve"> </w:t>
      </w:r>
      <w:r w:rsidRPr="000A0A69">
        <w:t xml:space="preserve">may encounter service recipients who are unable to provide informed consent even with the necessary supports. To make this determination, all of the foregoing steps to acquire informed consent should have been exhausted. In making such a determination, a service provider must consult the ethical and legal standards in their country for acquiring informed consent and determining a person’s capacity. A service provider must not assume that because a person has an intellectual disability or is unable to communicate that they do not have the capacity to provide informed consent. </w:t>
      </w:r>
      <w:r w:rsidR="0093332E" w:rsidRPr="000A0A69">
        <w:br/>
      </w:r>
      <w:r w:rsidR="0093332E" w:rsidRPr="000A0A69">
        <w:br/>
      </w:r>
      <w:r w:rsidRPr="000A0A69">
        <w:t>Vanderbilt University’s</w:t>
      </w:r>
      <w:r w:rsidRPr="000A0A69">
        <w:rPr>
          <w:b/>
        </w:rPr>
        <w:t xml:space="preserve"> </w:t>
      </w:r>
      <w:r w:rsidRPr="000A0A69">
        <w:rPr>
          <w:b/>
          <w:iCs/>
        </w:rPr>
        <w:t>Health Care for Adults with Intellectual and Developmental Disabilities: Toolkit for Primary Care Providers</w:t>
      </w:r>
      <w:r w:rsidRPr="000A0A69">
        <w:rPr>
          <w:vertAlign w:val="superscript"/>
        </w:rPr>
        <w:endnoteReference w:id="73"/>
      </w:r>
      <w:r w:rsidRPr="000A0A69">
        <w:t xml:space="preserve"> offers the following steps in the consent process, including situations where a person does not have capacity to consent: </w:t>
      </w:r>
      <w:r w:rsidRPr="000A0A69">
        <w:rPr>
          <w:b/>
        </w:rPr>
        <w:t xml:space="preserve">(1) </w:t>
      </w:r>
      <w:r w:rsidRPr="000A0A69">
        <w:rPr>
          <w:b/>
          <w:iCs/>
        </w:rPr>
        <w:t>Determine capacity</w:t>
      </w:r>
      <w:r w:rsidRPr="000A0A69">
        <w:rPr>
          <w:b/>
        </w:rPr>
        <w:t>:</w:t>
      </w:r>
      <w:r w:rsidRPr="000A0A69">
        <w:t xml:space="preserve"> Keep in mind that capacity is not static—assessed capacity can vary per the supported decision-making tools provided; engage family members or trusted friends or caregivers to better understand the person and their communication style; follow all applicable legal and ethical procedures and standards.</w:t>
      </w:r>
      <w:r w:rsidRPr="000A0A69">
        <w:rPr>
          <w:vertAlign w:val="superscript"/>
        </w:rPr>
        <w:endnoteReference w:id="74"/>
      </w:r>
      <w:r w:rsidRPr="000A0A69">
        <w:t xml:space="preserve"> </w:t>
      </w:r>
      <w:r w:rsidRPr="000A0A69">
        <w:rPr>
          <w:b/>
        </w:rPr>
        <w:t xml:space="preserve">(2) </w:t>
      </w:r>
      <w:r w:rsidRPr="000A0A69">
        <w:rPr>
          <w:b/>
          <w:iCs/>
        </w:rPr>
        <w:t>Document consent</w:t>
      </w:r>
      <w:r w:rsidRPr="000A0A69">
        <w:rPr>
          <w:b/>
        </w:rPr>
        <w:t>:</w:t>
      </w:r>
      <w:r w:rsidRPr="000A0A69">
        <w:t xml:space="preserve"> Keep in mind that consent must be provided voluntarily, be related to the proposed treatment or service and well-informed, and cannot be obtained through fraud, coercion, or misrepresentation. </w:t>
      </w:r>
      <w:r w:rsidRPr="000A0A69">
        <w:rPr>
          <w:b/>
        </w:rPr>
        <w:t xml:space="preserve">(3) </w:t>
      </w:r>
      <w:r w:rsidRPr="000A0A69">
        <w:rPr>
          <w:b/>
          <w:iCs/>
        </w:rPr>
        <w:t>Identify the current surrogate decision maker:</w:t>
      </w:r>
      <w:r w:rsidRPr="000A0A69">
        <w:rPr>
          <w:iCs/>
        </w:rPr>
        <w:t xml:space="preserve"> </w:t>
      </w:r>
      <w:r w:rsidRPr="000A0A69">
        <w:t xml:space="preserve">If the prior steps lead to a conclusion that a person lacks the capacity to provide informed consent because the person lacks the capacity to understand and make decisions, proceed with identifying the person’s designated surrogate decision maker. Generally, preference for a surrogate decision maker is prioritized as follows: Spouse (unless legally separated), adult child, parent or step-parent, adult sibling, other adult relative, adults who demonstrate special care and concern for the person. However, service providers and support staff must consult their jurisdictions legal and ethical requirements first. </w:t>
      </w:r>
      <w:r w:rsidRPr="000A0A69">
        <w:rPr>
          <w:b/>
        </w:rPr>
        <w:t xml:space="preserve">(4) </w:t>
      </w:r>
      <w:r w:rsidRPr="000A0A69">
        <w:rPr>
          <w:b/>
          <w:iCs/>
        </w:rPr>
        <w:t>Informed consent should always be obtained:</w:t>
      </w:r>
      <w:r w:rsidRPr="000A0A69">
        <w:rPr>
          <w:iCs/>
        </w:rPr>
        <w:t xml:space="preserve"> </w:t>
      </w:r>
      <w:r w:rsidRPr="000A0A69">
        <w:t>For medical service providers, there may be emergency situations where treatment can occur without it; service providers should consult local legal counsel to fully understand.</w:t>
      </w:r>
      <w:r w:rsidRPr="000A0A69">
        <w:rPr>
          <w:vertAlign w:val="superscript"/>
        </w:rPr>
        <w:endnoteReference w:id="75"/>
      </w:r>
      <w:r w:rsidRPr="000A0A69">
        <w:t xml:space="preserve"> However, it is important to note that sterilization can never “be justified on grounds of medical emergency”.</w:t>
      </w:r>
      <w:r w:rsidRPr="000A0A69">
        <w:rPr>
          <w:vertAlign w:val="superscript"/>
        </w:rPr>
        <w:endnoteReference w:id="76"/>
      </w:r>
    </w:p>
    <w:p w14:paraId="528809EA" w14:textId="77777777" w:rsidR="0093332E" w:rsidRPr="000A0A69" w:rsidRDefault="00C41991" w:rsidP="005B0C6B">
      <w:pPr>
        <w:spacing w:before="240"/>
        <w:ind w:left="270" w:right="-90"/>
        <w:rPr>
          <w:rFonts w:eastAsia="Helvetica Neue"/>
        </w:rPr>
      </w:pPr>
      <w:r w:rsidRPr="000A0A69">
        <w:rPr>
          <w:rFonts w:eastAsia="Helvetica Neue"/>
        </w:rPr>
        <w:t>Visit the Toolkit webpage for a link to an informed consent checklist and sample questions.</w:t>
      </w:r>
      <w:r w:rsidRPr="000A0A69">
        <w:rPr>
          <w:rFonts w:eastAsia="Helvetica Neue"/>
          <w:vertAlign w:val="superscript"/>
        </w:rPr>
        <w:endnoteReference w:id="77"/>
      </w:r>
    </w:p>
    <w:p w14:paraId="2720117C" w14:textId="3758EF69" w:rsidR="00C41991" w:rsidRPr="000A0A69" w:rsidRDefault="00C41991" w:rsidP="005B0C6B">
      <w:pPr>
        <w:ind w:left="270" w:right="90"/>
        <w:rPr>
          <w:rFonts w:eastAsia="Helvetica Neue"/>
        </w:rPr>
      </w:pPr>
      <w:r w:rsidRPr="000A0A69">
        <w:rPr>
          <w:rFonts w:eastAsia="Helvetica Neue"/>
        </w:rPr>
        <w:t xml:space="preserve">If a determination is made that a person lacks capacity to provide informed consent, </w:t>
      </w:r>
      <w:r w:rsidRPr="000A0A69">
        <w:rPr>
          <w:rStyle w:val="Bold"/>
        </w:rPr>
        <w:t>service providers must ensure that the woman or young person with the disability remains involved in the decision-making process as much as possible and that the person’s best interests and preferences are prioritized.</w:t>
      </w:r>
      <w:r w:rsidRPr="000A0A69">
        <w:rPr>
          <w:rFonts w:eastAsia="Helvetica Neue"/>
          <w:vertAlign w:val="superscript"/>
        </w:rPr>
        <w:endnoteReference w:id="78"/>
      </w:r>
      <w:r w:rsidRPr="000A0A69">
        <w:rPr>
          <w:rFonts w:eastAsia="Helvetica Neue"/>
        </w:rPr>
        <w:t xml:space="preserve"> </w:t>
      </w:r>
    </w:p>
    <w:p w14:paraId="3E43DCF4" w14:textId="27796930" w:rsidR="00C41991" w:rsidRPr="005B0C6B" w:rsidRDefault="005B0C6B" w:rsidP="00FB1366">
      <w:pPr>
        <w:ind w:left="540" w:right="-360" w:hanging="540"/>
        <w:rPr>
          <w:rFonts w:eastAsia="Helvetica Neue"/>
          <w:lang w:val="en-GB"/>
        </w:rPr>
      </w:pPr>
      <w:r>
        <w:rPr>
          <w:noProof/>
        </w:rPr>
        <mc:AlternateContent>
          <mc:Choice Requires="wps">
            <w:drawing>
              <wp:inline distT="0" distB="0" distL="0" distR="0" wp14:anchorId="77C510BB" wp14:editId="31319B6A">
                <wp:extent cx="6030410" cy="0"/>
                <wp:effectExtent l="0" t="25400" r="40640" b="38100"/>
                <wp:docPr id="39" name="Straight Connector 39" descr="Text box ends"/>
                <wp:cNvGraphicFramePr/>
                <a:graphic xmlns:a="http://schemas.openxmlformats.org/drawingml/2006/main">
                  <a:graphicData uri="http://schemas.microsoft.com/office/word/2010/wordprocessingShape">
                    <wps:wsp>
                      <wps:cNvCnPr/>
                      <wps:spPr>
                        <a:xfrm>
                          <a:off x="0" y="0"/>
                          <a:ext cx="6030410" cy="0"/>
                        </a:xfrm>
                        <a:prstGeom prst="line">
                          <a:avLst/>
                        </a:prstGeom>
                        <a:ln w="63500">
                          <a:solidFill>
                            <a:schemeClr val="bg2">
                              <a:lumMod val="50000"/>
                            </a:schemeClr>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4CFB6644" id="Straight Connector 39" o:spid="_x0000_s1026" alt="Text box ends" style="visibility:visible;mso-wrap-style:square;mso-left-percent:-10001;mso-top-percent:-10001;mso-position-horizontal:absolute;mso-position-horizontal-relative:char;mso-position-vertical:absolute;mso-position-vertical-relative:line;mso-left-percent:-10001;mso-top-percent:-10001" from="0,0" to="474.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" strokecolor="#938953 [1614]" strokeweight="5pt">
                <w10:anchorlock/>
              </v:line>
            </w:pict>
          </mc:Fallback>
        </mc:AlternateContent>
      </w:r>
    </w:p>
    <w:p w14:paraId="64C4D008" w14:textId="6A4EAC62" w:rsidR="00202866" w:rsidRPr="000A0A69" w:rsidRDefault="00202866" w:rsidP="00141536">
      <w:pPr>
        <w:snapToGrid w:val="0"/>
        <w:spacing w:before="480"/>
      </w:pPr>
      <w:r w:rsidRPr="00A64CBE">
        <w:rPr>
          <w:rFonts w:eastAsia="Helvetica Neue"/>
          <w:b/>
        </w:rPr>
        <w:lastRenderedPageBreak/>
        <w:t>Supported decision-making</w:t>
      </w:r>
      <w:r w:rsidRPr="00A64CBE">
        <w:rPr>
          <w:rFonts w:eastAsia="Helvetica Neue"/>
        </w:rPr>
        <w:t xml:space="preserve"> is a mechanism to support pe</w:t>
      </w:r>
      <w:r w:rsidR="00780CEB">
        <w:rPr>
          <w:rFonts w:eastAsia="Helvetica Neue"/>
        </w:rPr>
        <w:t>rsons</w:t>
      </w:r>
      <w:r w:rsidRPr="00A64CBE">
        <w:rPr>
          <w:rFonts w:eastAsia="Helvetica Neue"/>
        </w:rPr>
        <w:t xml:space="preserve"> with disabilities who require assistance to make decisions independently and retain legal authority to make decisions. </w:t>
      </w:r>
      <w:r w:rsidRPr="003D62AE">
        <w:rPr>
          <w:rFonts w:eastAsia="Helvetica Neue"/>
        </w:rPr>
        <w:t>Supported decision-making “comprises various support options which give primacy to a person’s will and preferences and respect human rights norms. It should provide protection for all rights, including those related to autonomy (right to legal capacity, right to equal recognition before the law, right to choose where to live, etc.) and rights related to freedom from abuse and ill-treatment (right to life, right to physical integrity, etc.)”.</w:t>
      </w:r>
      <w:r w:rsidRPr="003D62AE">
        <w:rPr>
          <w:rFonts w:eastAsia="Helvetica Neue"/>
          <w:vertAlign w:val="superscript"/>
        </w:rPr>
        <w:endnoteReference w:id="79"/>
      </w:r>
      <w:r w:rsidRPr="00A64CBE">
        <w:rPr>
          <w:rFonts w:eastAsia="Helvetica Neue"/>
          <w:b/>
        </w:rPr>
        <w:t xml:space="preserve"> </w:t>
      </w:r>
      <w:r w:rsidRPr="00A64CBE">
        <w:rPr>
          <w:rFonts w:eastAsia="Helvetica Neue"/>
        </w:rPr>
        <w:t>Supported decision-making regimes replace substituted decision-making systems, such as guardianship.</w:t>
      </w:r>
    </w:p>
    <w:p w14:paraId="3A9380FD" w14:textId="441BBECB" w:rsidR="00C41991" w:rsidRPr="00FB1366" w:rsidRDefault="00202866" w:rsidP="006E6012">
      <w:pPr>
        <w:pStyle w:val="ListParagraph"/>
        <w:numPr>
          <w:ilvl w:val="0"/>
          <w:numId w:val="33"/>
        </w:numPr>
        <w:ind w:left="360"/>
        <w:rPr>
          <w:rFonts w:eastAsia="Helvetica Neue"/>
        </w:rPr>
      </w:pPr>
      <w:r w:rsidRPr="00141536">
        <w:rPr>
          <w:rFonts w:eastAsia="Helvetica Neue"/>
          <w:b/>
        </w:rPr>
        <w:t xml:space="preserve">Example: </w:t>
      </w:r>
      <w:r w:rsidRPr="00141536">
        <w:rPr>
          <w:rFonts w:eastAsia="Helvetica Neue"/>
        </w:rPr>
        <w:t xml:space="preserve">In the United States of America, the </w:t>
      </w:r>
      <w:r w:rsidRPr="00141536">
        <w:rPr>
          <w:rFonts w:eastAsia="Helvetica Neue"/>
          <w:b/>
        </w:rPr>
        <w:t>Center for Public Representation</w:t>
      </w:r>
      <w:r w:rsidRPr="00141536">
        <w:rPr>
          <w:rFonts w:eastAsia="Helvetica Neue"/>
        </w:rPr>
        <w:t xml:space="preserve"> and </w:t>
      </w:r>
      <w:proofErr w:type="spellStart"/>
      <w:r w:rsidRPr="00141536">
        <w:rPr>
          <w:rFonts w:eastAsia="Helvetica Neue"/>
          <w:b/>
        </w:rPr>
        <w:t>Nonotuck</w:t>
      </w:r>
      <w:proofErr w:type="spellEnd"/>
      <w:r w:rsidRPr="00141536">
        <w:rPr>
          <w:rFonts w:eastAsia="Helvetica Neue"/>
          <w:b/>
        </w:rPr>
        <w:t xml:space="preserve"> Resource Associates</w:t>
      </w:r>
      <w:r w:rsidRPr="00141536">
        <w:rPr>
          <w:rFonts w:eastAsia="Helvetica Neue"/>
        </w:rPr>
        <w:t xml:space="preserve"> developed a pilot project for supported decision-making. Beginning with nine adults with intellectual or developmental disabilities, the project proved very successful, with the participants using supported decision-making for seventy-two decisions in the first two years.</w:t>
      </w:r>
      <w:r w:rsidRPr="003D62AE">
        <w:rPr>
          <w:rFonts w:eastAsia="Helvetica Neue"/>
          <w:vertAlign w:val="superscript"/>
        </w:rPr>
        <w:endnoteReference w:id="80"/>
      </w:r>
      <w:r w:rsidRPr="00141536">
        <w:rPr>
          <w:rFonts w:eastAsia="Helvetica Neue"/>
        </w:rPr>
        <w:t xml:space="preserve"> The model developed by the Center for Public Representation and </w:t>
      </w:r>
      <w:proofErr w:type="spellStart"/>
      <w:r w:rsidRPr="00141536">
        <w:rPr>
          <w:rFonts w:eastAsia="Helvetica Neue"/>
        </w:rPr>
        <w:t>Nonotuck</w:t>
      </w:r>
      <w:proofErr w:type="spellEnd"/>
      <w:r w:rsidRPr="00141536">
        <w:rPr>
          <w:rFonts w:eastAsia="Helvetica Neue"/>
        </w:rPr>
        <w:t xml:space="preserve"> involves four components: “</w:t>
      </w:r>
      <w:r w:rsidRPr="00141536">
        <w:rPr>
          <w:rFonts w:eastAsia="Helvetica Neue"/>
          <w:b/>
        </w:rPr>
        <w:t xml:space="preserve">(1) </w:t>
      </w:r>
      <w:r w:rsidRPr="00141536">
        <w:rPr>
          <w:rFonts w:eastAsia="Helvetica Neue"/>
        </w:rPr>
        <w:t xml:space="preserve">Individuals with [intellectual or developmental disabilities] enter into Representation Agreements in which they specify areas where they need help making decisions and designate supporters to help them reach their decisions. </w:t>
      </w:r>
      <w:r w:rsidRPr="00141536">
        <w:rPr>
          <w:rFonts w:eastAsia="Helvetica Neue"/>
          <w:b/>
        </w:rPr>
        <w:t>(2)</w:t>
      </w:r>
      <w:r w:rsidRPr="00141536">
        <w:rPr>
          <w:rFonts w:eastAsia="Helvetica Neue"/>
        </w:rPr>
        <w:t xml:space="preserve"> Support areas include healthcare, finances, employment, living arrangements and relationships. </w:t>
      </w:r>
      <w:r w:rsidRPr="00141536">
        <w:rPr>
          <w:rFonts w:eastAsia="Helvetica Neue"/>
          <w:b/>
        </w:rPr>
        <w:t>(3)</w:t>
      </w:r>
      <w:r w:rsidRPr="00141536">
        <w:rPr>
          <w:rFonts w:eastAsia="Helvetica Neue"/>
        </w:rPr>
        <w:t xml:space="preserve"> Network supporters, who sign statements that they will respect the person’s choices and decisions, can be family members, friends, and past and current providers. </w:t>
      </w:r>
      <w:r w:rsidRPr="00141536">
        <w:rPr>
          <w:rFonts w:eastAsia="Helvetica Neue"/>
          <w:b/>
        </w:rPr>
        <w:t>(4)</w:t>
      </w:r>
      <w:r w:rsidRPr="00141536">
        <w:rPr>
          <w:rFonts w:eastAsia="Helvetica Neue"/>
        </w:rPr>
        <w:t xml:space="preserve"> Individuals sign their Representation Agreements before a notary public who stamps, signs, and dates the document, making it official, and hopefully, a document that will be honored in the community by doctors, merchants, landlords, </w:t>
      </w:r>
      <w:r w:rsidR="003634E1" w:rsidRPr="00141536">
        <w:rPr>
          <w:rFonts w:eastAsia="Helvetica Neue"/>
        </w:rPr>
        <w:t>etc.</w:t>
      </w:r>
      <w:r w:rsidRPr="00141536">
        <w:rPr>
          <w:rFonts w:eastAsia="Helvetica Neue"/>
        </w:rPr>
        <w:t>”.</w:t>
      </w:r>
      <w:r w:rsidRPr="003D62AE">
        <w:rPr>
          <w:rFonts w:eastAsia="Helvetica Neue"/>
          <w:vertAlign w:val="superscript"/>
        </w:rPr>
        <w:endnoteReference w:id="81"/>
      </w:r>
      <w:r w:rsidRPr="00141536">
        <w:rPr>
          <w:rFonts w:eastAsia="Helvetica Neue"/>
        </w:rPr>
        <w:t xml:space="preserve"> The project participants reported satisfaction with the project and utilized their supports for a range of decisions including, for one adopter, discussing her boyfriend’s interest in having children and the care and money requirements involved with being a parent.</w:t>
      </w:r>
      <w:r w:rsidRPr="00141536">
        <w:rPr>
          <w:rFonts w:eastAsia="Helvetica Neue"/>
          <w:vertAlign w:val="superscript"/>
        </w:rPr>
        <w:t xml:space="preserve"> </w:t>
      </w:r>
      <w:r w:rsidRPr="003D62AE">
        <w:rPr>
          <w:rFonts w:eastAsia="Helvetica Neue"/>
          <w:vertAlign w:val="superscript"/>
        </w:rPr>
        <w:endnoteReference w:id="82"/>
      </w:r>
      <w:r w:rsidRPr="00141536">
        <w:rPr>
          <w:rFonts w:eastAsia="Helvetica Neue"/>
        </w:rPr>
        <w:t xml:space="preserve"> Supported decision-making was most frequently used for healthcare decisions.</w:t>
      </w:r>
      <w:r w:rsidRPr="00141536">
        <w:rPr>
          <w:rFonts w:eastAsia="Helvetica Neue"/>
          <w:vertAlign w:val="superscript"/>
        </w:rPr>
        <w:t xml:space="preserve"> </w:t>
      </w:r>
      <w:r w:rsidRPr="00A64CBE">
        <w:rPr>
          <w:rFonts w:eastAsia="Helvetica Neue"/>
          <w:vertAlign w:val="superscript"/>
        </w:rPr>
        <w:endnoteReference w:id="83"/>
      </w:r>
    </w:p>
    <w:p w14:paraId="495CE127" w14:textId="632C9218" w:rsidR="00FB1366" w:rsidRPr="00FB1366" w:rsidRDefault="00FB1366" w:rsidP="00FB1366">
      <w:pPr>
        <w:shd w:val="clear" w:color="auto" w:fill="948A54" w:themeFill="background2" w:themeFillShade="80"/>
        <w:spacing w:line="276" w:lineRule="auto"/>
        <w:ind w:left="252" w:hanging="252"/>
        <w:rPr>
          <w:b/>
          <w:bCs/>
          <w:color w:val="FFFFFF" w:themeColor="background1"/>
          <w:sz w:val="28"/>
          <w:szCs w:val="28"/>
        </w:rPr>
      </w:pPr>
      <w:r w:rsidRPr="00FB1366">
        <w:rPr>
          <w:b/>
          <w:bCs/>
          <w:noProof/>
          <w:color w:val="FFFFFF" w:themeColor="background1"/>
          <w:sz w:val="28"/>
          <w:szCs w:val="28"/>
        </w:rPr>
        <mc:AlternateContent>
          <mc:Choice Requires="wps">
            <w:drawing>
              <wp:inline distT="0" distB="0" distL="0" distR="0" wp14:anchorId="0B368437" wp14:editId="5979D980">
                <wp:extent cx="124691" cy="0"/>
                <wp:effectExtent l="0" t="0" r="15240" b="12700"/>
                <wp:docPr id="8" name="Straight Connector 8" descr="Text box follows"/>
                <wp:cNvGraphicFramePr/>
                <a:graphic xmlns:a="http://schemas.openxmlformats.org/drawingml/2006/main">
                  <a:graphicData uri="http://schemas.microsoft.com/office/word/2010/wordprocessingShape">
                    <wps:wsp>
                      <wps:cNvCnPr/>
                      <wps:spPr>
                        <a:xfrm flipV="1">
                          <a:off x="0" y="0"/>
                          <a:ext cx="124691" cy="0"/>
                        </a:xfrm>
                        <a:prstGeom prst="line">
                          <a:avLst/>
                        </a:prstGeom>
                        <a:ln w="3175">
                          <a:solidFill>
                            <a:schemeClr val="bg2">
                              <a:lumMod val="50000"/>
                            </a:schemeClr>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644E6C91" id="Straight Connector 8" o:spid="_x0000_s1026" alt="Text box follows" style="flip:y;visibility:visible;mso-wrap-style:square;mso-left-percent:-10001;mso-top-percent:-10001;mso-position-horizontal:absolute;mso-position-horizontal-relative:char;mso-position-vertical:absolute;mso-position-vertical-relative:line;mso-left-percent:-10001;mso-top-percent:-10001" from="0,0" to="9.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" strokecolor="#938953 [1614]" strokeweight=".25pt">
                <w10:anchorlock/>
              </v:line>
            </w:pict>
          </mc:Fallback>
        </mc:AlternateContent>
      </w:r>
      <w:r w:rsidRPr="00FB1366">
        <w:rPr>
          <w:b/>
          <w:bCs/>
          <w:color w:val="FFFFFF" w:themeColor="background1"/>
          <w:sz w:val="28"/>
          <w:szCs w:val="28"/>
          <w:shd w:val="clear" w:color="auto" w:fill="948A54" w:themeFill="background2" w:themeFillShade="80"/>
        </w:rPr>
        <w:br/>
      </w:r>
      <w:r w:rsidRPr="00FB1366">
        <w:rPr>
          <w:b/>
          <w:bCs/>
          <w:color w:val="FFFFFF" w:themeColor="background1"/>
          <w:shd w:val="clear" w:color="auto" w:fill="948A54" w:themeFill="background2" w:themeFillShade="80"/>
        </w:rPr>
        <w:t>Supported Decision Making in Practice</w:t>
      </w:r>
    </w:p>
    <w:p w14:paraId="621446BA" w14:textId="43BC243C" w:rsidR="00202866" w:rsidRPr="00C41991" w:rsidRDefault="00202866" w:rsidP="005B0C6B">
      <w:pPr>
        <w:ind w:left="270" w:right="540"/>
        <w:rPr>
          <w:rFonts w:eastAsia="Helvetica Neue"/>
        </w:rPr>
      </w:pPr>
      <w:r w:rsidRPr="00A64CBE">
        <w:rPr>
          <w:rFonts w:eastAsia="Helvetica Neue"/>
          <w:b/>
        </w:rPr>
        <w:t>What does supported decision-making look like?</w:t>
      </w:r>
      <w:r w:rsidRPr="00A64CBE">
        <w:rPr>
          <w:rFonts w:eastAsia="Helvetica Neue"/>
        </w:rPr>
        <w:t xml:space="preserve"> Supported decision-making systems come in various forms, such as informal circles of support or formal support networks. </w:t>
      </w:r>
      <w:r w:rsidRPr="00C41991">
        <w:rPr>
          <w:rFonts w:eastAsia="Helvetica Neue"/>
        </w:rPr>
        <w:t xml:space="preserve">No matter the form, all supported decision-making programmes share the following characteristics: </w:t>
      </w:r>
    </w:p>
    <w:p w14:paraId="3EEA4BAD" w14:textId="77777777" w:rsidR="00202866" w:rsidRPr="00A64CBE" w:rsidRDefault="00202866" w:rsidP="006E6012">
      <w:pPr>
        <w:pStyle w:val="ListParagraph"/>
        <w:numPr>
          <w:ilvl w:val="0"/>
          <w:numId w:val="22"/>
        </w:numPr>
        <w:ind w:left="990" w:right="540"/>
      </w:pPr>
      <w:r w:rsidRPr="00A64CBE">
        <w:t xml:space="preserve">Do </w:t>
      </w:r>
      <w:r w:rsidRPr="003B0F67">
        <w:rPr>
          <w:rFonts w:eastAsia="Helvetica Neue"/>
        </w:rPr>
        <w:t>not</w:t>
      </w:r>
      <w:r w:rsidRPr="00A64CBE">
        <w:t xml:space="preserve"> overly regulate the lives of the person with the disability. </w:t>
      </w:r>
    </w:p>
    <w:p w14:paraId="3D65FA39" w14:textId="77777777" w:rsidR="00202866" w:rsidRPr="00A64CBE" w:rsidRDefault="00202866" w:rsidP="006E6012">
      <w:pPr>
        <w:pStyle w:val="ListParagraph"/>
        <w:numPr>
          <w:ilvl w:val="0"/>
          <w:numId w:val="22"/>
        </w:numPr>
        <w:ind w:left="990" w:right="540"/>
      </w:pPr>
      <w:r w:rsidRPr="00A64CBE">
        <w:t xml:space="preserve">Do </w:t>
      </w:r>
      <w:r w:rsidRPr="003B0F67">
        <w:rPr>
          <w:rFonts w:eastAsia="Helvetica Neue"/>
        </w:rPr>
        <w:t>not</w:t>
      </w:r>
      <w:r w:rsidRPr="00A64CBE">
        <w:t xml:space="preserve"> have restrictions on who can use the supported decision-making system. </w:t>
      </w:r>
    </w:p>
    <w:p w14:paraId="0C3D3666" w14:textId="77777777" w:rsidR="00202866" w:rsidRPr="00A64CBE" w:rsidRDefault="00202866" w:rsidP="006E6012">
      <w:pPr>
        <w:pStyle w:val="ListParagraph"/>
        <w:numPr>
          <w:ilvl w:val="0"/>
          <w:numId w:val="22"/>
        </w:numPr>
        <w:ind w:left="990" w:right="540"/>
      </w:pPr>
      <w:r w:rsidRPr="00A64CBE">
        <w:t xml:space="preserve">Do make the person with the disability’s </w:t>
      </w:r>
      <w:r w:rsidRPr="00757B7C">
        <w:t>will</w:t>
      </w:r>
      <w:r w:rsidRPr="00A64CBE">
        <w:t xml:space="preserve"> and preference the priority. </w:t>
      </w:r>
    </w:p>
    <w:p w14:paraId="235CAACB" w14:textId="025CEC47" w:rsidR="00202866" w:rsidRPr="00010C80" w:rsidRDefault="00202866" w:rsidP="006E6012">
      <w:pPr>
        <w:pStyle w:val="ListParagraph"/>
        <w:numPr>
          <w:ilvl w:val="0"/>
          <w:numId w:val="22"/>
        </w:numPr>
        <w:ind w:left="990" w:right="540"/>
      </w:pPr>
      <w:r w:rsidRPr="00010C80">
        <w:t xml:space="preserve">Do </w:t>
      </w:r>
      <w:r w:rsidRPr="003B0F67">
        <w:rPr>
          <w:rFonts w:eastAsia="Helvetica Neue"/>
        </w:rPr>
        <w:t>offer</w:t>
      </w:r>
      <w:r w:rsidRPr="00010C80">
        <w:t xml:space="preserve"> all forms of communication. </w:t>
      </w:r>
    </w:p>
    <w:p w14:paraId="3510E904" w14:textId="77777777" w:rsidR="00202866" w:rsidRPr="00A64CBE" w:rsidRDefault="00202866" w:rsidP="006E6012">
      <w:pPr>
        <w:pStyle w:val="ListParagraph"/>
        <w:numPr>
          <w:ilvl w:val="0"/>
          <w:numId w:val="22"/>
        </w:numPr>
        <w:ind w:left="990" w:right="90"/>
      </w:pPr>
      <w:r w:rsidRPr="00A64CBE">
        <w:t xml:space="preserve">Do </w:t>
      </w:r>
      <w:r w:rsidRPr="00757B7C">
        <w:t>make</w:t>
      </w:r>
      <w:r w:rsidRPr="00A64CBE">
        <w:t xml:space="preserve"> available and accessible legal recognition of the support person or persons. </w:t>
      </w:r>
    </w:p>
    <w:p w14:paraId="64C80BED" w14:textId="77777777" w:rsidR="00202866" w:rsidRPr="00A64CBE" w:rsidRDefault="00202866" w:rsidP="006E6012">
      <w:pPr>
        <w:pStyle w:val="ListParagraph"/>
        <w:numPr>
          <w:ilvl w:val="0"/>
          <w:numId w:val="22"/>
        </w:numPr>
        <w:ind w:left="990" w:right="540"/>
      </w:pPr>
      <w:r w:rsidRPr="00A64CBE">
        <w:t xml:space="preserve">Do </w:t>
      </w:r>
      <w:r w:rsidRPr="003B0F67">
        <w:rPr>
          <w:rFonts w:eastAsia="Helvetica Neue"/>
        </w:rPr>
        <w:t>offer</w:t>
      </w:r>
      <w:r w:rsidRPr="00A64CBE">
        <w:t xml:space="preserve"> availability through State mechanisms and at no cost or nominal cost. </w:t>
      </w:r>
    </w:p>
    <w:p w14:paraId="697E7C41" w14:textId="77777777" w:rsidR="00202866" w:rsidRPr="00A64CBE" w:rsidRDefault="00202866" w:rsidP="006E6012">
      <w:pPr>
        <w:pStyle w:val="ListParagraph"/>
        <w:numPr>
          <w:ilvl w:val="0"/>
          <w:numId w:val="22"/>
        </w:numPr>
        <w:ind w:left="990" w:right="180"/>
      </w:pPr>
      <w:r w:rsidRPr="00A64CBE">
        <w:t xml:space="preserve">Do </w:t>
      </w:r>
      <w:r w:rsidRPr="003B0F67">
        <w:rPr>
          <w:rFonts w:eastAsia="Helvetica Neue"/>
        </w:rPr>
        <w:t>not</w:t>
      </w:r>
      <w:r w:rsidRPr="00A64CBE">
        <w:t xml:space="preserve"> infringe on other rights (such as </w:t>
      </w:r>
      <w:r w:rsidRPr="00757B7C">
        <w:t>sexual</w:t>
      </w:r>
      <w:r w:rsidRPr="00A64CBE">
        <w:t xml:space="preserve"> and reproductive health and rights). </w:t>
      </w:r>
    </w:p>
    <w:p w14:paraId="3471BECD" w14:textId="77777777" w:rsidR="00202866" w:rsidRPr="00A64CBE" w:rsidRDefault="00202866" w:rsidP="006E6012">
      <w:pPr>
        <w:pStyle w:val="ListParagraph"/>
        <w:numPr>
          <w:ilvl w:val="0"/>
          <w:numId w:val="22"/>
        </w:numPr>
        <w:ind w:left="990" w:right="540"/>
      </w:pPr>
      <w:r w:rsidRPr="00A64CBE">
        <w:t xml:space="preserve">Do </w:t>
      </w:r>
      <w:r w:rsidRPr="003B0F67">
        <w:rPr>
          <w:rFonts w:eastAsia="Helvetica Neue"/>
        </w:rPr>
        <w:t>include</w:t>
      </w:r>
      <w:r w:rsidRPr="00A64CBE">
        <w:t xml:space="preserve"> the right to refuse and </w:t>
      </w:r>
      <w:r w:rsidRPr="00757B7C">
        <w:t>terminate</w:t>
      </w:r>
      <w:r w:rsidRPr="00A64CBE">
        <w:t xml:space="preserve"> the support relationship. </w:t>
      </w:r>
    </w:p>
    <w:p w14:paraId="0AB19B9D" w14:textId="77777777" w:rsidR="00202866" w:rsidRPr="00A64CBE" w:rsidRDefault="00202866" w:rsidP="006E6012">
      <w:pPr>
        <w:pStyle w:val="ListParagraph"/>
        <w:numPr>
          <w:ilvl w:val="0"/>
          <w:numId w:val="22"/>
        </w:numPr>
        <w:ind w:left="990" w:right="540"/>
      </w:pPr>
      <w:r w:rsidRPr="00A64CBE">
        <w:lastRenderedPageBreak/>
        <w:t xml:space="preserve">Do </w:t>
      </w:r>
      <w:r w:rsidRPr="003B0F67">
        <w:rPr>
          <w:rFonts w:eastAsia="Helvetica Neue"/>
        </w:rPr>
        <w:t>include</w:t>
      </w:r>
      <w:r w:rsidRPr="00A64CBE">
        <w:t xml:space="preserve"> safeguards </w:t>
      </w:r>
      <w:r w:rsidRPr="00757B7C">
        <w:t>throughout</w:t>
      </w:r>
      <w:r w:rsidRPr="00A64CBE">
        <w:t xml:space="preserve"> the process. </w:t>
      </w:r>
    </w:p>
    <w:p w14:paraId="58670B77" w14:textId="77777777" w:rsidR="002174FD" w:rsidRDefault="00202866" w:rsidP="006E6012">
      <w:pPr>
        <w:pStyle w:val="ListParagraph"/>
        <w:numPr>
          <w:ilvl w:val="0"/>
          <w:numId w:val="22"/>
        </w:numPr>
        <w:ind w:left="990" w:right="540"/>
      </w:pPr>
      <w:r w:rsidRPr="00A64CBE">
        <w:t xml:space="preserve">Do not </w:t>
      </w:r>
      <w:r w:rsidRPr="00757B7C">
        <w:t>discriminate</w:t>
      </w:r>
      <w:r w:rsidRPr="00A64CBE">
        <w:t>.</w:t>
      </w:r>
      <w:r w:rsidRPr="00A64CBE">
        <w:rPr>
          <w:vertAlign w:val="superscript"/>
        </w:rPr>
        <w:endnoteReference w:id="84"/>
      </w:r>
      <w:r w:rsidRPr="00A64CBE">
        <w:t xml:space="preserve"> </w:t>
      </w:r>
    </w:p>
    <w:p w14:paraId="25B17E16" w14:textId="042FBF62" w:rsidR="00202866" w:rsidRPr="002174FD" w:rsidRDefault="00202866" w:rsidP="005B0C6B">
      <w:pPr>
        <w:ind w:left="315" w:right="450"/>
      </w:pPr>
      <w:r w:rsidRPr="002174FD">
        <w:rPr>
          <w:rFonts w:eastAsia="Helvetica Neue"/>
          <w:b/>
        </w:rPr>
        <w:t>Representation agreements</w:t>
      </w:r>
      <w:r w:rsidRPr="002174FD">
        <w:rPr>
          <w:rFonts w:eastAsia="Helvetica Neue"/>
        </w:rPr>
        <w:t xml:space="preserve"> can be an effective mechanism for formalizing supported decision-making. Representation agreements are written documents that lay out the personal planning needs and areas of support provided when an individual with a disability requests support with making decisions in a particular area. In some jurisdictions, representation agreements are legally enforceable. For example, in British Columbia in Canada, representation agreements allow a person with a disability to give a representative of their choice the legal authority to help them with healthcare, personal care, or financial or legal matters in a temporary or ongoing basis.</w:t>
      </w:r>
      <w:r w:rsidRPr="00A64CBE">
        <w:rPr>
          <w:rFonts w:eastAsia="Helvetica Neue"/>
          <w:vertAlign w:val="superscript"/>
        </w:rPr>
        <w:endnoteReference w:id="85"/>
      </w:r>
    </w:p>
    <w:p w14:paraId="253EDC40" w14:textId="173117DA" w:rsidR="00202866" w:rsidRPr="00A64CBE" w:rsidRDefault="00757B7C" w:rsidP="00FB1366">
      <w:pPr>
        <w:widowControl w:val="0"/>
        <w:pBdr>
          <w:top w:val="nil"/>
          <w:left w:val="nil"/>
          <w:bottom w:val="nil"/>
          <w:right w:val="nil"/>
          <w:between w:val="nil"/>
        </w:pBdr>
        <w:tabs>
          <w:tab w:val="left" w:pos="4076"/>
        </w:tabs>
        <w:ind w:left="360" w:right="-90" w:hanging="360"/>
        <w:rPr>
          <w:rFonts w:ascii="Arial" w:eastAsia="Helvetica Neue" w:hAnsi="Arial" w:cs="Arial"/>
          <w:color w:val="000000"/>
        </w:rPr>
      </w:pPr>
      <w:r>
        <w:rPr>
          <w:noProof/>
        </w:rPr>
        <mc:AlternateContent>
          <mc:Choice Requires="wps">
            <w:drawing>
              <wp:inline distT="0" distB="0" distL="0" distR="0" wp14:anchorId="516CBCF8" wp14:editId="323E5C12">
                <wp:extent cx="5879939" cy="0"/>
                <wp:effectExtent l="0" t="25400" r="38735" b="38100"/>
                <wp:docPr id="24" name="Straight Connector 24" descr="Text box ends"/>
                <wp:cNvGraphicFramePr/>
                <a:graphic xmlns:a="http://schemas.openxmlformats.org/drawingml/2006/main">
                  <a:graphicData uri="http://schemas.microsoft.com/office/word/2010/wordprocessingShape">
                    <wps:wsp>
                      <wps:cNvCnPr/>
                      <wps:spPr>
                        <a:xfrm>
                          <a:off x="0" y="0"/>
                          <a:ext cx="5879939" cy="0"/>
                        </a:xfrm>
                        <a:prstGeom prst="line">
                          <a:avLst/>
                        </a:prstGeom>
                        <a:ln w="63500">
                          <a:solidFill>
                            <a:schemeClr val="bg2">
                              <a:lumMod val="50000"/>
                            </a:schemeClr>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134590D2" id="Straight Connector 24" o:spid="_x0000_s1026" alt="Text box ends" style="visibility:visible;mso-wrap-style:square;mso-left-percent:-10001;mso-top-percent:-10001;mso-position-horizontal:absolute;mso-position-horizontal-relative:char;mso-position-vertical:absolute;mso-position-vertical-relative:line;mso-left-percent:-10001;mso-top-percent:-10001" from="0,0" to="46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" strokecolor="#938953 [1614]" strokeweight="5pt">
                <w10:anchorlock/>
              </v:line>
            </w:pict>
          </mc:Fallback>
        </mc:AlternateContent>
      </w:r>
    </w:p>
    <w:p w14:paraId="77944273" w14:textId="77777777" w:rsidR="00202866" w:rsidRPr="00A64CBE" w:rsidRDefault="00202866" w:rsidP="003C6133">
      <w:pPr>
        <w:pStyle w:val="Heading4"/>
      </w:pPr>
      <w:r w:rsidRPr="00A64CBE">
        <w:t xml:space="preserve">Humanitarian </w:t>
      </w:r>
      <w:r w:rsidRPr="003C6133">
        <w:t>Emergencies</w:t>
      </w:r>
    </w:p>
    <w:p w14:paraId="066C92EB" w14:textId="3169E94E" w:rsidR="00202866" w:rsidRPr="00A64CBE" w:rsidRDefault="00202866" w:rsidP="00757B7C">
      <w:pPr>
        <w:rPr>
          <w:rFonts w:eastAsia="Helvetica Neue"/>
        </w:rPr>
      </w:pPr>
      <w:r w:rsidRPr="00A64CBE">
        <w:rPr>
          <w:rFonts w:eastAsia="Helvetica Neue"/>
        </w:rPr>
        <w:t>During a humanitarian emergency, human rights law continues to apply and is complementary and mutually reinforcing with the laws that apply in emergencies.</w:t>
      </w:r>
      <w:r w:rsidRPr="00A64CBE">
        <w:rPr>
          <w:rFonts w:eastAsia="Helvetica Neue"/>
          <w:vertAlign w:val="superscript"/>
        </w:rPr>
        <w:endnoteReference w:id="86"/>
      </w:r>
      <w:r w:rsidRPr="00A64CBE">
        <w:rPr>
          <w:rFonts w:eastAsia="Helvetica Neue"/>
        </w:rPr>
        <w:t xml:space="preserve"> </w:t>
      </w:r>
      <w:r w:rsidRPr="00A64CBE">
        <w:rPr>
          <w:rFonts w:eastAsia="Helvetica Neue"/>
          <w:b/>
        </w:rPr>
        <w:t>Article 11</w:t>
      </w:r>
      <w:r w:rsidRPr="00A64CBE">
        <w:rPr>
          <w:rFonts w:eastAsia="Helvetica Neue"/>
        </w:rPr>
        <w:t xml:space="preserve"> of the Convention on the Rights of Persons with Disabilities enumerates the obligations of States under international human rights law and international humanitarian law (the body of law that applies during humanitarian emergencies) to take all </w:t>
      </w:r>
      <w:r w:rsidRPr="003D62AE">
        <w:rPr>
          <w:rFonts w:eastAsia="Helvetica Neue"/>
        </w:rPr>
        <w:t>necessary measures</w:t>
      </w:r>
      <w:r w:rsidRPr="00A64CBE">
        <w:rPr>
          <w:rFonts w:eastAsia="Helvetica Neue"/>
        </w:rPr>
        <w:t xml:space="preserve"> to keep </w:t>
      </w:r>
      <w:r w:rsidR="00062BAC">
        <w:rPr>
          <w:rFonts w:eastAsia="Helvetica Neue"/>
        </w:rPr>
        <w:t>persons</w:t>
      </w:r>
      <w:r w:rsidR="00062BAC" w:rsidRPr="00A64CBE">
        <w:rPr>
          <w:rFonts w:eastAsia="Helvetica Neue"/>
        </w:rPr>
        <w:t xml:space="preserve"> </w:t>
      </w:r>
      <w:r w:rsidRPr="00A64CBE">
        <w:rPr>
          <w:rFonts w:eastAsia="Helvetica Neue"/>
        </w:rPr>
        <w:t>with disabilities safe and protected during situations of risk, including armed conflict, natural disasters, and other humanitarian emergencies.</w:t>
      </w:r>
      <w:r w:rsidRPr="00A64CBE">
        <w:rPr>
          <w:rFonts w:eastAsia="Helvetica Neue"/>
          <w:vertAlign w:val="superscript"/>
        </w:rPr>
        <w:endnoteReference w:id="87"/>
      </w:r>
      <w:r w:rsidRPr="00A64CBE">
        <w:rPr>
          <w:rFonts w:eastAsia="Helvetica Neue"/>
        </w:rPr>
        <w:t xml:space="preserve"> </w:t>
      </w:r>
    </w:p>
    <w:p w14:paraId="39571AA2" w14:textId="472820B7" w:rsidR="00202866" w:rsidRPr="00A64CBE" w:rsidRDefault="00202866" w:rsidP="00757B7C">
      <w:pPr>
        <w:rPr>
          <w:rFonts w:eastAsia="Helvetica Neue"/>
          <w:b/>
          <w:u w:val="single"/>
        </w:rPr>
      </w:pPr>
      <w:r w:rsidRPr="00A64CBE">
        <w:rPr>
          <w:rFonts w:eastAsia="Helvetica Neue"/>
        </w:rPr>
        <w:t xml:space="preserve">The Office of the United Nations High Commissioner for Human Rights prepared a report on the rights of </w:t>
      </w:r>
      <w:r w:rsidR="00062BAC">
        <w:rPr>
          <w:rFonts w:eastAsia="Helvetica Neue"/>
        </w:rPr>
        <w:t>persons</w:t>
      </w:r>
      <w:r w:rsidR="00062BAC" w:rsidRPr="00A64CBE">
        <w:rPr>
          <w:rFonts w:eastAsia="Helvetica Neue"/>
        </w:rPr>
        <w:t xml:space="preserve"> </w:t>
      </w:r>
      <w:r w:rsidRPr="00A64CBE">
        <w:rPr>
          <w:rFonts w:eastAsia="Helvetica Neue"/>
        </w:rPr>
        <w:t>with disabilities under Article 11 of the CRPD. The Report explains in detail the human rights obligations of States along with findings from a thematic study on pe</w:t>
      </w:r>
      <w:r w:rsidR="00F86B4D">
        <w:rPr>
          <w:rFonts w:eastAsia="Helvetica Neue"/>
        </w:rPr>
        <w:t>rsons</w:t>
      </w:r>
      <w:r w:rsidRPr="00A64CBE">
        <w:rPr>
          <w:rFonts w:eastAsia="Helvetica Neue"/>
        </w:rPr>
        <w:t xml:space="preserve"> with disabilities in situations of risk and humanitarian emergencies. The following recommendations were made for implementing Article 11:</w:t>
      </w:r>
      <w:r w:rsidRPr="00A64CBE">
        <w:rPr>
          <w:rFonts w:eastAsia="Helvetica Neue"/>
          <w:vertAlign w:val="superscript"/>
        </w:rPr>
        <w:endnoteReference w:id="88"/>
      </w:r>
      <w:r w:rsidRPr="00A64CBE">
        <w:rPr>
          <w:rFonts w:eastAsia="Helvetica Neue"/>
        </w:rPr>
        <w:t xml:space="preserve"> </w:t>
      </w:r>
    </w:p>
    <w:p w14:paraId="5DA5965C" w14:textId="77777777" w:rsidR="00202866" w:rsidRPr="00757B7C" w:rsidRDefault="00202866" w:rsidP="006E6012">
      <w:pPr>
        <w:pStyle w:val="ListParagraph"/>
        <w:numPr>
          <w:ilvl w:val="0"/>
          <w:numId w:val="22"/>
        </w:numPr>
      </w:pPr>
      <w:r w:rsidRPr="003B0F67">
        <w:rPr>
          <w:rFonts w:eastAsia="Helvetica Neue"/>
        </w:rPr>
        <w:t>Ensure</w:t>
      </w:r>
      <w:r w:rsidRPr="00757B7C">
        <w:t xml:space="preserve"> adequate and timely delivery of accessible information. Utilize multiple and innovative means of communication. </w:t>
      </w:r>
    </w:p>
    <w:p w14:paraId="34863BA3" w14:textId="77777777" w:rsidR="00202866" w:rsidRPr="00757B7C" w:rsidRDefault="00202866" w:rsidP="006E6012">
      <w:pPr>
        <w:pStyle w:val="ListParagraph"/>
        <w:numPr>
          <w:ilvl w:val="0"/>
          <w:numId w:val="22"/>
        </w:numPr>
      </w:pPr>
      <w:r w:rsidRPr="00757B7C">
        <w:t xml:space="preserve">Ensure the principles of participation, accountability, non-discrimination and </w:t>
      </w:r>
      <w:r w:rsidRPr="003B0F67">
        <w:rPr>
          <w:rFonts w:eastAsia="Helvetica Neue"/>
        </w:rPr>
        <w:t>empowerment</w:t>
      </w:r>
      <w:r w:rsidRPr="00757B7C">
        <w:t>.</w:t>
      </w:r>
    </w:p>
    <w:p w14:paraId="1CAAAB7E" w14:textId="77777777" w:rsidR="00202866" w:rsidRPr="00757B7C" w:rsidRDefault="00202866" w:rsidP="006E6012">
      <w:pPr>
        <w:pStyle w:val="ListParagraph"/>
        <w:numPr>
          <w:ilvl w:val="0"/>
          <w:numId w:val="22"/>
        </w:numPr>
      </w:pPr>
      <w:r w:rsidRPr="00757B7C">
        <w:t xml:space="preserve">Ensure sufficient resource allocation for inclusive and accessible emergency preparedness and response. </w:t>
      </w:r>
    </w:p>
    <w:p w14:paraId="5A81BAFE" w14:textId="398FDFDC" w:rsidR="00202866" w:rsidRPr="00757B7C" w:rsidRDefault="00202866" w:rsidP="006E6012">
      <w:pPr>
        <w:pStyle w:val="ListParagraph"/>
        <w:numPr>
          <w:ilvl w:val="0"/>
          <w:numId w:val="22"/>
        </w:numPr>
      </w:pPr>
      <w:r w:rsidRPr="00757B7C">
        <w:t>Ensure capacity of field operations personnel and other stakeholders regarding supporting pe</w:t>
      </w:r>
      <w:r w:rsidR="00F86B4D" w:rsidRPr="00757B7C">
        <w:t>rsons</w:t>
      </w:r>
      <w:r w:rsidRPr="00757B7C">
        <w:t xml:space="preserve"> </w:t>
      </w:r>
      <w:r w:rsidRPr="003B0F67">
        <w:rPr>
          <w:rFonts w:eastAsia="Helvetica Neue"/>
        </w:rPr>
        <w:t>with</w:t>
      </w:r>
      <w:r w:rsidRPr="00757B7C">
        <w:t xml:space="preserve"> disabilities. </w:t>
      </w:r>
    </w:p>
    <w:p w14:paraId="3DEF8148" w14:textId="77777777" w:rsidR="00202866" w:rsidRPr="00757B7C" w:rsidRDefault="00202866" w:rsidP="006E6012">
      <w:pPr>
        <w:pStyle w:val="ListParagraph"/>
        <w:numPr>
          <w:ilvl w:val="0"/>
          <w:numId w:val="22"/>
        </w:numPr>
      </w:pPr>
      <w:r w:rsidRPr="00757B7C">
        <w:t xml:space="preserve">Ensure that a human-rights based approach to reconstruction and rebuilding is employed by </w:t>
      </w:r>
      <w:r w:rsidRPr="003B0F67">
        <w:rPr>
          <w:rFonts w:eastAsia="Helvetica Neue"/>
        </w:rPr>
        <w:t>ensuring</w:t>
      </w:r>
      <w:r w:rsidRPr="00757B7C">
        <w:t xml:space="preserve"> accessibility and use of universal design. </w:t>
      </w:r>
    </w:p>
    <w:p w14:paraId="283F8D49" w14:textId="77777777" w:rsidR="00202866" w:rsidRPr="00757B7C" w:rsidRDefault="00202866" w:rsidP="006E6012">
      <w:pPr>
        <w:pStyle w:val="ListParagraph"/>
        <w:numPr>
          <w:ilvl w:val="0"/>
          <w:numId w:val="22"/>
        </w:numPr>
      </w:pPr>
      <w:r w:rsidRPr="00757B7C">
        <w:t xml:space="preserve">Ensure that prevention health strategies do not negatively influence allocation of resources for disability-related strategies. </w:t>
      </w:r>
    </w:p>
    <w:p w14:paraId="291BF31A" w14:textId="697BDBFA" w:rsidR="00202866" w:rsidRPr="00757B7C" w:rsidRDefault="00202866" w:rsidP="006E6012">
      <w:pPr>
        <w:pStyle w:val="ListParagraph"/>
        <w:numPr>
          <w:ilvl w:val="0"/>
          <w:numId w:val="22"/>
        </w:numPr>
      </w:pPr>
      <w:r w:rsidRPr="00757B7C">
        <w:t xml:space="preserve">Ensure that </w:t>
      </w:r>
      <w:r w:rsidR="00062BAC">
        <w:t>persons</w:t>
      </w:r>
      <w:r w:rsidR="00062BAC" w:rsidRPr="00757B7C">
        <w:t xml:space="preserve"> </w:t>
      </w:r>
      <w:r w:rsidRPr="00757B7C">
        <w:t>with disabilities are part of frameworks to collect information to facilitate data collection.</w:t>
      </w:r>
    </w:p>
    <w:p w14:paraId="1F4259D6" w14:textId="4FB2FB4F" w:rsidR="00202866" w:rsidRPr="00A64CBE" w:rsidRDefault="00202866" w:rsidP="00757B7C">
      <w:pPr>
        <w:rPr>
          <w:rFonts w:eastAsia="Helvetica Neue"/>
        </w:rPr>
      </w:pPr>
      <w:r w:rsidRPr="00A64CBE">
        <w:rPr>
          <w:rFonts w:eastAsia="Helvetica Neue"/>
        </w:rPr>
        <w:lastRenderedPageBreak/>
        <w:t xml:space="preserve">Although nonbinding, the </w:t>
      </w:r>
      <w:r w:rsidRPr="00757B7C">
        <w:rPr>
          <w:rFonts w:eastAsia="Helvetica Neue"/>
          <w:b/>
        </w:rPr>
        <w:t>‘Charter on Inclusion of Persons with Disabilities in Humanitarian Action’</w:t>
      </w:r>
      <w:r w:rsidRPr="00A64CBE">
        <w:rPr>
          <w:rFonts w:eastAsia="Helvetica Neue"/>
          <w:b/>
        </w:rPr>
        <w:t xml:space="preserve"> </w:t>
      </w:r>
      <w:r w:rsidRPr="00A64CBE">
        <w:rPr>
          <w:rFonts w:eastAsia="Helvetica Neue"/>
        </w:rPr>
        <w:t xml:space="preserve">marks an important development in the inclusion of </w:t>
      </w:r>
      <w:r w:rsidR="00062BAC">
        <w:rPr>
          <w:rFonts w:eastAsia="Helvetica Neue"/>
        </w:rPr>
        <w:t>persons</w:t>
      </w:r>
      <w:r w:rsidR="00062BAC" w:rsidRPr="00A64CBE">
        <w:rPr>
          <w:rFonts w:eastAsia="Helvetica Neue"/>
        </w:rPr>
        <w:t xml:space="preserve"> </w:t>
      </w:r>
      <w:r w:rsidRPr="00A64CBE">
        <w:rPr>
          <w:rFonts w:eastAsia="Helvetica Neue"/>
        </w:rPr>
        <w:t xml:space="preserve">with disabilities in humanitarian action by affirming States’ determination and commitment to make humanitarian action inclusive and place people with disabilities at the centre of humanitarian response. Developed by seventy stakeholders, including States and civil society, in advance of the 2016 World Humanitarian Summit, the Charter commits signatories to the following five areas in humanitarian action: </w:t>
      </w:r>
      <w:r w:rsidRPr="003D62AE">
        <w:rPr>
          <w:rFonts w:eastAsia="Helvetica Neue"/>
          <w:b/>
        </w:rPr>
        <w:t>(1)</w:t>
      </w:r>
      <w:r w:rsidRPr="00A64CBE">
        <w:rPr>
          <w:rFonts w:eastAsia="Helvetica Neue"/>
        </w:rPr>
        <w:t xml:space="preserve"> Non-Discrimination; </w:t>
      </w:r>
      <w:r w:rsidRPr="003D62AE">
        <w:rPr>
          <w:rFonts w:eastAsia="Helvetica Neue"/>
          <w:b/>
        </w:rPr>
        <w:t>(2)</w:t>
      </w:r>
      <w:r w:rsidRPr="00A64CBE">
        <w:rPr>
          <w:rFonts w:eastAsia="Helvetica Neue"/>
        </w:rPr>
        <w:t xml:space="preserve"> Participation; </w:t>
      </w:r>
      <w:r w:rsidRPr="003D62AE">
        <w:rPr>
          <w:rFonts w:eastAsia="Helvetica Neue"/>
          <w:b/>
        </w:rPr>
        <w:t>(3)</w:t>
      </w:r>
      <w:r w:rsidRPr="00A64CBE">
        <w:rPr>
          <w:rFonts w:eastAsia="Helvetica Neue"/>
        </w:rPr>
        <w:t xml:space="preserve"> Inclusive Policies; </w:t>
      </w:r>
      <w:r w:rsidRPr="003D62AE">
        <w:rPr>
          <w:rFonts w:eastAsia="Helvetica Neue"/>
          <w:b/>
        </w:rPr>
        <w:t>(4)</w:t>
      </w:r>
      <w:r w:rsidRPr="00A64CBE">
        <w:rPr>
          <w:rFonts w:eastAsia="Helvetica Neue"/>
        </w:rPr>
        <w:t xml:space="preserve"> Inclusive Response and Services; and </w:t>
      </w:r>
      <w:r w:rsidRPr="003D62AE">
        <w:rPr>
          <w:rFonts w:eastAsia="Helvetica Neue"/>
          <w:b/>
        </w:rPr>
        <w:t>(5)</w:t>
      </w:r>
      <w:r w:rsidRPr="00A64CBE">
        <w:rPr>
          <w:rFonts w:eastAsia="Helvetica Neue"/>
        </w:rPr>
        <w:t xml:space="preserve"> Cooperation and Coordination.</w:t>
      </w:r>
      <w:r w:rsidRPr="00A64CBE">
        <w:rPr>
          <w:rFonts w:eastAsia="Helvetica Neue"/>
          <w:vertAlign w:val="superscript"/>
        </w:rPr>
        <w:endnoteReference w:id="89"/>
      </w:r>
      <w:r w:rsidRPr="00A64CBE">
        <w:rPr>
          <w:rFonts w:eastAsia="Helvetica Neue"/>
        </w:rPr>
        <w:t xml:space="preserve"> </w:t>
      </w:r>
      <w:r w:rsidRPr="00A64CBE">
        <w:br w:type="page"/>
      </w:r>
    </w:p>
    <w:p w14:paraId="449BEA7B" w14:textId="72F72E59" w:rsidR="00202866" w:rsidRPr="007F42CB" w:rsidRDefault="00647406" w:rsidP="007C3EAA">
      <w:pPr>
        <w:pStyle w:val="Heading1"/>
      </w:pPr>
      <w:bookmarkStart w:id="5" w:name="Foundational"/>
      <w:r>
        <w:lastRenderedPageBreak/>
        <w:t>Chapter</w:t>
      </w:r>
      <w:r w:rsidR="00202866" w:rsidRPr="007F42CB">
        <w:t xml:space="preserve"> 2:</w:t>
      </w:r>
      <w:r w:rsidR="007F42CB" w:rsidRPr="007F42CB">
        <w:t xml:space="preserve"> </w:t>
      </w:r>
      <w:r w:rsidR="00202866" w:rsidRPr="007F42CB">
        <w:t>Foundational Guidelines for Action for Providing Rights-Based GBV and SRHR Services for Women and Young Pe</w:t>
      </w:r>
      <w:r w:rsidR="00BB7A8B" w:rsidRPr="007F42CB">
        <w:t>rsons</w:t>
      </w:r>
      <w:r w:rsidR="00202866" w:rsidRPr="007F42CB">
        <w:t xml:space="preserve"> with Disabilities </w:t>
      </w:r>
    </w:p>
    <w:p w14:paraId="27FC43A4" w14:textId="77777777" w:rsidR="00202866" w:rsidRPr="0067641C" w:rsidRDefault="00202866" w:rsidP="00EC13D0">
      <w:pPr>
        <w:pStyle w:val="Heading2"/>
        <w:spacing w:before="480" w:after="120"/>
        <w:ind w:left="547" w:right="-720" w:hanging="547"/>
      </w:pPr>
      <w:bookmarkStart w:id="6" w:name="FoundationalIntro"/>
      <w:bookmarkEnd w:id="5"/>
      <w:r w:rsidRPr="0067641C">
        <w:t xml:space="preserve">2.1 Introduction </w:t>
      </w:r>
    </w:p>
    <w:bookmarkEnd w:id="6"/>
    <w:p w14:paraId="236E4570" w14:textId="1090E3FC" w:rsidR="00202866" w:rsidRPr="00A64CBE" w:rsidRDefault="00202866" w:rsidP="007C3EAA">
      <w:pPr>
        <w:rPr>
          <w:rFonts w:eastAsia="Helvetica Neue"/>
        </w:rPr>
      </w:pPr>
      <w:r w:rsidRPr="00A64CBE">
        <w:rPr>
          <w:rFonts w:eastAsia="Helvetica Neue"/>
        </w:rPr>
        <w:t>This chapter enumerates the foundational guidelines that should inform the provision of GBV or SRHR services to women and young pe</w:t>
      </w:r>
      <w:r w:rsidR="00175EF5">
        <w:rPr>
          <w:rFonts w:eastAsia="Helvetica Neue"/>
        </w:rPr>
        <w:t>rsons</w:t>
      </w:r>
      <w:r w:rsidRPr="00A64CBE">
        <w:rPr>
          <w:rFonts w:eastAsia="Helvetica Neue"/>
        </w:rPr>
        <w:t xml:space="preserve"> with disabilities. These guidelines are grounded in international human rights frameworks. </w:t>
      </w:r>
    </w:p>
    <w:p w14:paraId="0AB935CE" w14:textId="2F49BF10" w:rsidR="00202866" w:rsidRPr="00A64CBE" w:rsidRDefault="00202866" w:rsidP="0067641C">
      <w:pPr>
        <w:rPr>
          <w:rFonts w:eastAsia="Helvetica Neue"/>
        </w:rPr>
      </w:pPr>
      <w:r w:rsidRPr="003D62AE">
        <w:rPr>
          <w:rFonts w:eastAsia="Helvetica Neue"/>
        </w:rPr>
        <w:t>Lack of resources is an unfortunate reality for GBV and SRHR service providers around the world. However, lack of resources is not sufficient justification to exclude women and young pe</w:t>
      </w:r>
      <w:r w:rsidR="00175EF5">
        <w:rPr>
          <w:rFonts w:eastAsia="Helvetica Neue"/>
        </w:rPr>
        <w:t>rsons</w:t>
      </w:r>
      <w:r w:rsidRPr="003D62AE">
        <w:rPr>
          <w:rFonts w:eastAsia="Helvetica Neue"/>
        </w:rPr>
        <w:t xml:space="preserve"> with disabilities from such services. Service providers—and the national and subnational governments responsible for providing services—must consider and budget for accessible services for women and young pe</w:t>
      </w:r>
      <w:r w:rsidR="00175EF5">
        <w:rPr>
          <w:rFonts w:eastAsia="Helvetica Neue"/>
        </w:rPr>
        <w:t>rsons</w:t>
      </w:r>
      <w:r w:rsidRPr="003D62AE">
        <w:rPr>
          <w:rFonts w:eastAsia="Helvetica Neue"/>
        </w:rPr>
        <w:t xml:space="preserve"> with disabilities from the programme development stage. Moreover, while some of the guidelines in this document may be unaffordable to service providers in low-resource </w:t>
      </w:r>
      <w:r w:rsidRPr="0067641C">
        <w:rPr>
          <w:rFonts w:eastAsia="Helvetica Neue"/>
        </w:rPr>
        <w:t>settings</w:t>
      </w:r>
      <w:r w:rsidRPr="003D62AE">
        <w:rPr>
          <w:rFonts w:eastAsia="Helvetica Neue"/>
        </w:rPr>
        <w:t>, these Guidelines offer a starting point for developing creative solutions and programmes that are guided by and aim to meet the principles laid out below.</w:t>
      </w:r>
    </w:p>
    <w:p w14:paraId="23751DA0" w14:textId="205FD859" w:rsidR="00202866" w:rsidRPr="00A64CBE" w:rsidRDefault="00202866" w:rsidP="007C3EAA">
      <w:pPr>
        <w:rPr>
          <w:rFonts w:eastAsia="Helvetica Neue"/>
        </w:rPr>
      </w:pPr>
      <w:r w:rsidRPr="00A64CBE">
        <w:rPr>
          <w:rFonts w:eastAsia="Helvetica Neue"/>
        </w:rPr>
        <w:t xml:space="preserve">The essential principle that should guide all quality rights-based services for women and young </w:t>
      </w:r>
      <w:r w:rsidR="00455C0D">
        <w:rPr>
          <w:rFonts w:eastAsia="Helvetica Neue"/>
        </w:rPr>
        <w:t>persons</w:t>
      </w:r>
      <w:r w:rsidR="00455C0D" w:rsidRPr="00A64CBE">
        <w:rPr>
          <w:rFonts w:eastAsia="Helvetica Neue"/>
        </w:rPr>
        <w:t xml:space="preserve"> </w:t>
      </w:r>
      <w:r w:rsidRPr="00A64CBE">
        <w:rPr>
          <w:rFonts w:eastAsia="Helvetica Neue"/>
        </w:rPr>
        <w:t xml:space="preserve">with disabilities is: </w:t>
      </w:r>
      <w:r w:rsidRPr="003D62AE">
        <w:rPr>
          <w:rFonts w:eastAsia="Helvetica Neue"/>
          <w:b/>
        </w:rPr>
        <w:t>When in doubt, ask the person with the disability.</w:t>
      </w:r>
      <w:r w:rsidRPr="00A64CBE">
        <w:rPr>
          <w:rFonts w:eastAsia="Helvetica Neue"/>
        </w:rPr>
        <w:t xml:space="preserve"> In fact, the Convention on the Rights of Persons with Disabilities requires such consultation in the development and implementation of legislation and policies to realize women and young pe</w:t>
      </w:r>
      <w:r w:rsidR="00175EF5">
        <w:rPr>
          <w:rFonts w:eastAsia="Helvetica Neue"/>
        </w:rPr>
        <w:t>rsons</w:t>
      </w:r>
      <w:r w:rsidRPr="00A64CBE">
        <w:rPr>
          <w:rFonts w:eastAsia="Helvetica Neue"/>
        </w:rPr>
        <w:t xml:space="preserve"> with disabilities’ full and equal enjoyment of their human rights.</w:t>
      </w:r>
      <w:r w:rsidRPr="00A64CBE">
        <w:rPr>
          <w:rFonts w:eastAsia="Helvetica Neue"/>
          <w:vertAlign w:val="superscript"/>
        </w:rPr>
        <w:endnoteReference w:id="90"/>
      </w:r>
      <w:r w:rsidRPr="00A64CBE">
        <w:rPr>
          <w:rFonts w:eastAsia="Helvetica Neue"/>
        </w:rPr>
        <w:t xml:space="preserve"> Women and young pe</w:t>
      </w:r>
      <w:r w:rsidR="00175EF5">
        <w:rPr>
          <w:rFonts w:eastAsia="Helvetica Neue"/>
        </w:rPr>
        <w:t>rsons</w:t>
      </w:r>
      <w:r w:rsidRPr="00A64CBE">
        <w:rPr>
          <w:rFonts w:eastAsia="Helvetica Neue"/>
        </w:rPr>
        <w:t xml:space="preserve"> with disabilities are the experts on their own needs, the barriers they experience, and the accommodations they require for equal access to services. </w:t>
      </w:r>
    </w:p>
    <w:p w14:paraId="5CA09FAA" w14:textId="77777777" w:rsidR="00202866" w:rsidRPr="00A64CBE" w:rsidRDefault="00202866" w:rsidP="007C3EAA">
      <w:pPr>
        <w:rPr>
          <w:rFonts w:eastAsia="Helvetica Neue"/>
        </w:rPr>
      </w:pPr>
      <w:r w:rsidRPr="00A64CBE">
        <w:rPr>
          <w:rFonts w:eastAsia="Helvetica Neue"/>
        </w:rPr>
        <w:t xml:space="preserve">The following criteria are also essential to all stages of the development and implementation of rights-based services, programmes, and policies generally: </w:t>
      </w:r>
    </w:p>
    <w:p w14:paraId="1999B4FB" w14:textId="490E189F" w:rsidR="00202866" w:rsidRPr="007C3EAA" w:rsidRDefault="00202866" w:rsidP="006E6012">
      <w:pPr>
        <w:pStyle w:val="ListParagraph"/>
        <w:numPr>
          <w:ilvl w:val="0"/>
          <w:numId w:val="64"/>
        </w:numPr>
      </w:pPr>
      <w:r w:rsidRPr="003B0F67">
        <w:rPr>
          <w:rFonts w:eastAsia="Helvetica Neue"/>
        </w:rPr>
        <w:t>Participation</w:t>
      </w:r>
      <w:r w:rsidRPr="007C3EAA">
        <w:t xml:space="preserve"> of women and young pe</w:t>
      </w:r>
      <w:r w:rsidR="00175EF5" w:rsidRPr="007C3EAA">
        <w:t>rsons</w:t>
      </w:r>
      <w:r w:rsidRPr="007C3EAA">
        <w:t xml:space="preserve"> with disabilities at all stages of programme development and assessment. </w:t>
      </w:r>
    </w:p>
    <w:p w14:paraId="38C0B902" w14:textId="77777777" w:rsidR="00202866" w:rsidRPr="007C3EAA" w:rsidRDefault="00202866" w:rsidP="006E6012">
      <w:pPr>
        <w:pStyle w:val="ListParagraph"/>
        <w:numPr>
          <w:ilvl w:val="0"/>
          <w:numId w:val="64"/>
        </w:numPr>
      </w:pPr>
      <w:r w:rsidRPr="003B0F67">
        <w:rPr>
          <w:rFonts w:eastAsia="Helvetica Neue"/>
        </w:rPr>
        <w:t>Inclusive</w:t>
      </w:r>
      <w:r w:rsidRPr="007C3EAA">
        <w:t xml:space="preserve"> services for people with and without disabilities.</w:t>
      </w:r>
    </w:p>
    <w:p w14:paraId="54864191" w14:textId="77777777" w:rsidR="00202866" w:rsidRPr="007C3EAA" w:rsidRDefault="00202866" w:rsidP="006E6012">
      <w:pPr>
        <w:pStyle w:val="ListParagraph"/>
        <w:numPr>
          <w:ilvl w:val="0"/>
          <w:numId w:val="64"/>
        </w:numPr>
      </w:pPr>
      <w:r w:rsidRPr="003B0F67">
        <w:rPr>
          <w:rFonts w:eastAsia="Helvetica Neue"/>
        </w:rPr>
        <w:t>Respect</w:t>
      </w:r>
      <w:r w:rsidRPr="007C3EAA">
        <w:t xml:space="preserve"> for a person’s legal capacity, informed consent, and privacy, along with mechanisms for supported decision-making and confidentiality safeguards. </w:t>
      </w:r>
    </w:p>
    <w:p w14:paraId="3D8E2839" w14:textId="77777777" w:rsidR="00202866" w:rsidRPr="007C3EAA" w:rsidRDefault="00202866" w:rsidP="006E6012">
      <w:pPr>
        <w:pStyle w:val="ListParagraph"/>
        <w:numPr>
          <w:ilvl w:val="0"/>
          <w:numId w:val="64"/>
        </w:numPr>
      </w:pPr>
      <w:r w:rsidRPr="003B0F67">
        <w:rPr>
          <w:rFonts w:eastAsia="Helvetica Neue"/>
        </w:rPr>
        <w:t>Sufficient</w:t>
      </w:r>
      <w:r w:rsidRPr="007C3EAA">
        <w:t xml:space="preserve"> funding for accessible services. </w:t>
      </w:r>
    </w:p>
    <w:p w14:paraId="11A9F6AA" w14:textId="3CD368F9" w:rsidR="00202866" w:rsidRPr="007C3EAA" w:rsidRDefault="00202866" w:rsidP="006E6012">
      <w:pPr>
        <w:pStyle w:val="ListParagraph"/>
        <w:numPr>
          <w:ilvl w:val="0"/>
          <w:numId w:val="64"/>
        </w:numPr>
      </w:pPr>
      <w:r w:rsidRPr="003B0F67">
        <w:rPr>
          <w:rFonts w:eastAsia="Helvetica Neue"/>
        </w:rPr>
        <w:t>Training</w:t>
      </w:r>
      <w:r w:rsidRPr="007C3EAA">
        <w:t xml:space="preserve"> and supportive supervision of service providers and support staff about the rights and needs of women and young pe</w:t>
      </w:r>
      <w:r w:rsidR="00175EF5" w:rsidRPr="007C3EAA">
        <w:t>rsons</w:t>
      </w:r>
      <w:r w:rsidRPr="007C3EAA">
        <w:t xml:space="preserve"> with different types of disabilities and how to provide respectful care. </w:t>
      </w:r>
      <w:r w:rsidRPr="007C3EAA">
        <w:rPr>
          <w:highlight w:val="white"/>
        </w:rPr>
        <w:t xml:space="preserve"> Incorporate </w:t>
      </w:r>
      <w:r w:rsidR="006827CE" w:rsidRPr="007C3EAA">
        <w:rPr>
          <w:highlight w:val="white"/>
        </w:rPr>
        <w:t>disability issues</w:t>
      </w:r>
      <w:r w:rsidRPr="007C3EAA">
        <w:rPr>
          <w:highlight w:val="white"/>
        </w:rPr>
        <w:t xml:space="preserve"> in curricula for service providers and support staff.</w:t>
      </w:r>
    </w:p>
    <w:p w14:paraId="40689713" w14:textId="77777777" w:rsidR="00202866" w:rsidRPr="007C3EAA" w:rsidRDefault="00202866" w:rsidP="006E6012">
      <w:pPr>
        <w:pStyle w:val="ListParagraph"/>
        <w:numPr>
          <w:ilvl w:val="0"/>
          <w:numId w:val="64"/>
        </w:numPr>
      </w:pPr>
      <w:r w:rsidRPr="003B0F67">
        <w:rPr>
          <w:rFonts w:eastAsia="Helvetica Neue"/>
        </w:rPr>
        <w:t>Effective</w:t>
      </w:r>
      <w:r w:rsidRPr="007C3EAA">
        <w:t xml:space="preserve"> referrals through streamlined inter-agency coordination. </w:t>
      </w:r>
    </w:p>
    <w:p w14:paraId="07787A0A" w14:textId="60C81D3E" w:rsidR="00202866" w:rsidRPr="007C3EAA" w:rsidRDefault="00202866" w:rsidP="006E6012">
      <w:pPr>
        <w:pStyle w:val="ListParagraph"/>
        <w:numPr>
          <w:ilvl w:val="0"/>
          <w:numId w:val="64"/>
        </w:numPr>
      </w:pPr>
      <w:r w:rsidRPr="003B0F67">
        <w:rPr>
          <w:rFonts w:eastAsia="Helvetica Neue"/>
        </w:rPr>
        <w:t>Accessible</w:t>
      </w:r>
      <w:r w:rsidRPr="007C3EAA">
        <w:t xml:space="preserve"> services (physical, information, communication, financial, sensory environment).</w:t>
      </w:r>
    </w:p>
    <w:p w14:paraId="608C53CF" w14:textId="156EF0CD" w:rsidR="00202866" w:rsidRPr="00A64CBE" w:rsidRDefault="00202866" w:rsidP="007C3EAA">
      <w:pPr>
        <w:rPr>
          <w:rFonts w:eastAsia="Helvetica Neue"/>
        </w:rPr>
      </w:pPr>
      <w:r w:rsidRPr="00A64CBE">
        <w:rPr>
          <w:rFonts w:eastAsia="Helvetica Neue"/>
        </w:rPr>
        <w:lastRenderedPageBreak/>
        <w:t>The following Foundational Guidelines are organized into the three stages of developing and administering programmes to meet the needs of women and young pe</w:t>
      </w:r>
      <w:r w:rsidR="00916DBC">
        <w:rPr>
          <w:rFonts w:eastAsia="Helvetica Neue"/>
        </w:rPr>
        <w:t>rsons</w:t>
      </w:r>
      <w:r w:rsidRPr="00A64CBE">
        <w:rPr>
          <w:rFonts w:eastAsia="Helvetica Neue"/>
        </w:rPr>
        <w:t xml:space="preserve"> with disabilities: </w:t>
      </w:r>
      <w:r w:rsidRPr="003D62AE">
        <w:rPr>
          <w:rFonts w:eastAsia="Helvetica Neue"/>
          <w:b/>
        </w:rPr>
        <w:t>(1)</w:t>
      </w:r>
      <w:r w:rsidRPr="00A64CBE">
        <w:rPr>
          <w:rFonts w:eastAsia="Helvetica Neue"/>
        </w:rPr>
        <w:t xml:space="preserve"> developing disability- and gender-sensitive </w:t>
      </w:r>
      <w:r w:rsidRPr="003D62AE">
        <w:rPr>
          <w:rFonts w:eastAsia="Helvetica Neue"/>
        </w:rPr>
        <w:t>laws and policies</w:t>
      </w:r>
      <w:r w:rsidRPr="00A64CBE">
        <w:rPr>
          <w:rFonts w:eastAsia="Helvetica Neue"/>
        </w:rPr>
        <w:t xml:space="preserve">; </w:t>
      </w:r>
      <w:r w:rsidRPr="003D62AE">
        <w:rPr>
          <w:rFonts w:eastAsia="Helvetica Neue"/>
          <w:b/>
        </w:rPr>
        <w:t>(2)</w:t>
      </w:r>
      <w:r w:rsidRPr="00A64CBE">
        <w:rPr>
          <w:rFonts w:eastAsia="Helvetica Neue"/>
        </w:rPr>
        <w:t xml:space="preserve"> </w:t>
      </w:r>
      <w:r w:rsidRPr="003D62AE">
        <w:rPr>
          <w:rFonts w:eastAsia="Helvetica Neue"/>
        </w:rPr>
        <w:t>programme</w:t>
      </w:r>
      <w:r w:rsidRPr="00A64CBE">
        <w:rPr>
          <w:rFonts w:eastAsia="Helvetica Neue"/>
        </w:rPr>
        <w:t xml:space="preserve"> development, implementation, monitoring and evaluation; and </w:t>
      </w:r>
      <w:r w:rsidRPr="003D62AE">
        <w:rPr>
          <w:rFonts w:eastAsia="Helvetica Neue"/>
          <w:b/>
        </w:rPr>
        <w:t>(3)</w:t>
      </w:r>
      <w:r w:rsidRPr="00A64CBE">
        <w:rPr>
          <w:rFonts w:eastAsia="Helvetica Neue"/>
        </w:rPr>
        <w:t xml:space="preserve"> designing </w:t>
      </w:r>
      <w:r w:rsidRPr="003D62AE">
        <w:rPr>
          <w:rFonts w:eastAsia="Helvetica Neue"/>
        </w:rPr>
        <w:t>facilities</w:t>
      </w:r>
      <w:r w:rsidRPr="00A64CBE">
        <w:rPr>
          <w:rFonts w:eastAsia="Helvetica Neue"/>
        </w:rPr>
        <w:t>.</w:t>
      </w:r>
    </w:p>
    <w:p w14:paraId="524A36C5" w14:textId="5F1B9006" w:rsidR="00202866" w:rsidRPr="007F42CB" w:rsidRDefault="00202866" w:rsidP="00EC13D0">
      <w:pPr>
        <w:pStyle w:val="Heading2"/>
        <w:spacing w:before="480" w:after="120"/>
        <w:ind w:left="547" w:right="-720" w:hanging="547"/>
      </w:pPr>
      <w:bookmarkStart w:id="7" w:name="FoundationalLaws"/>
      <w:r w:rsidRPr="007F42CB">
        <w:t xml:space="preserve">2.2 </w:t>
      </w:r>
      <w:bookmarkEnd w:id="7"/>
      <w:r w:rsidRPr="007F42CB">
        <w:t>Laws and Policies</w:t>
      </w:r>
    </w:p>
    <w:p w14:paraId="7327EE2E" w14:textId="5C18A1DE" w:rsidR="00202866" w:rsidRDefault="00202866" w:rsidP="00177A74">
      <w:pPr>
        <w:rPr>
          <w:rFonts w:eastAsia="Helvetica Neue"/>
        </w:rPr>
      </w:pPr>
      <w:r w:rsidRPr="00A64CBE">
        <w:rPr>
          <w:rFonts w:eastAsia="Helvetica Neue"/>
        </w:rPr>
        <w:t>Creating an enabling legislative environment is essential to providing quality rights-based services for women and young pe</w:t>
      </w:r>
      <w:r w:rsidR="00916DBC">
        <w:rPr>
          <w:rFonts w:eastAsia="Helvetica Neue"/>
        </w:rPr>
        <w:t>rsons</w:t>
      </w:r>
      <w:r w:rsidRPr="00A64CBE">
        <w:rPr>
          <w:rFonts w:eastAsia="Helvetica Neue"/>
        </w:rPr>
        <w:t xml:space="preserve"> with disabilities. The following actions are crucial to creating this environment: </w:t>
      </w:r>
    </w:p>
    <w:p w14:paraId="678D5595" w14:textId="6818ABBF" w:rsidR="00177A74" w:rsidRPr="00417440" w:rsidRDefault="00916DBC" w:rsidP="003C6133">
      <w:pPr>
        <w:pStyle w:val="Heading4"/>
        <w:spacing w:before="480"/>
      </w:pPr>
      <w:r w:rsidRPr="003D62AE">
        <w:t>Guidelines for Action:</w:t>
      </w:r>
      <w:r w:rsidR="00417440">
        <w:t xml:space="preserve"> </w:t>
      </w:r>
      <w:r w:rsidR="00202866" w:rsidRPr="00417440">
        <w:rPr>
          <w:rFonts w:eastAsia="Helvetica Neue"/>
        </w:rPr>
        <w:t xml:space="preserve">Legal Environment Assessment and Monitoring </w:t>
      </w:r>
    </w:p>
    <w:p w14:paraId="23DB867C" w14:textId="77777777" w:rsidR="00177A74" w:rsidRDefault="00202866" w:rsidP="006E6012">
      <w:pPr>
        <w:pStyle w:val="ListParagraph"/>
        <w:numPr>
          <w:ilvl w:val="0"/>
          <w:numId w:val="12"/>
        </w:numPr>
        <w:snapToGrid w:val="0"/>
        <w:rPr>
          <w:rFonts w:eastAsia="Helvetica Neue"/>
        </w:rPr>
      </w:pPr>
      <w:r w:rsidRPr="00177A74">
        <w:rPr>
          <w:rFonts w:eastAsia="Helvetica Neue"/>
        </w:rPr>
        <w:t>Conduct a review of existing laws and regulations, in collaboration with women and young pe</w:t>
      </w:r>
      <w:r w:rsidR="00916DBC" w:rsidRPr="00177A74">
        <w:rPr>
          <w:rFonts w:eastAsia="Helvetica Neue"/>
        </w:rPr>
        <w:t>rsons</w:t>
      </w:r>
      <w:r w:rsidRPr="00177A74">
        <w:rPr>
          <w:rFonts w:eastAsia="Helvetica Neue"/>
        </w:rPr>
        <w:t xml:space="preserve"> with disabilities, to identify current laws and regulations that create barriers</w:t>
      </w:r>
      <w:r w:rsidRPr="00177A74">
        <w:rPr>
          <w:rFonts w:eastAsia="Helvetica Neue"/>
          <w:b/>
        </w:rPr>
        <w:t xml:space="preserve"> </w:t>
      </w:r>
      <w:r w:rsidRPr="00177A74">
        <w:rPr>
          <w:rFonts w:eastAsia="Helvetica Neue"/>
        </w:rPr>
        <w:t xml:space="preserve">to accessing services, including those that create barriers in practice that may not be apparent on the face of the law or </w:t>
      </w:r>
      <w:r w:rsidRPr="00C1523A">
        <w:rPr>
          <w:rFonts w:eastAsia="Helvetica Neue"/>
        </w:rPr>
        <w:t>regulation</w:t>
      </w:r>
      <w:r w:rsidRPr="00177A74">
        <w:rPr>
          <w:rFonts w:eastAsia="Helvetica Neue"/>
        </w:rPr>
        <w:t>. Advocate for mandatory minimum standards of accessibility to ensure that all services have a minimum level of accessibility, including those from private service providers.</w:t>
      </w:r>
    </w:p>
    <w:p w14:paraId="6AF35FED" w14:textId="77777777" w:rsidR="00C1523A" w:rsidRPr="00C1523A" w:rsidRDefault="00202866" w:rsidP="006E6012">
      <w:pPr>
        <w:pStyle w:val="ListParagraph"/>
        <w:numPr>
          <w:ilvl w:val="1"/>
          <w:numId w:val="12"/>
        </w:numPr>
        <w:snapToGrid w:val="0"/>
        <w:rPr>
          <w:rFonts w:eastAsia="Helvetica Neue"/>
        </w:rPr>
      </w:pPr>
      <w:r w:rsidRPr="00177A74">
        <w:rPr>
          <w:rFonts w:eastAsia="Helvetica Neue"/>
          <w:b/>
        </w:rPr>
        <w:t xml:space="preserve">Example: </w:t>
      </w:r>
      <w:r w:rsidRPr="00177A74">
        <w:rPr>
          <w:rFonts w:eastAsia="Helvetica Neue"/>
        </w:rPr>
        <w:t xml:space="preserve">In Argentina, REDI, a grassroots disability organization, evaluated the extent to which Argentina’s laws, policies, and national plans realize the SRHR of women with disabilities in Argentina in a report entitled </w:t>
      </w:r>
      <w:r w:rsidRPr="00177A74">
        <w:rPr>
          <w:rFonts w:eastAsia="Helvetica Neue"/>
          <w:b/>
        </w:rPr>
        <w:t xml:space="preserve">‘El derecho de las personas con </w:t>
      </w:r>
      <w:proofErr w:type="spellStart"/>
      <w:r w:rsidRPr="00177A74">
        <w:rPr>
          <w:rFonts w:eastAsia="Helvetica Neue"/>
          <w:b/>
        </w:rPr>
        <w:t>discapacidad</w:t>
      </w:r>
      <w:proofErr w:type="spellEnd"/>
      <w:r w:rsidRPr="00177A74">
        <w:rPr>
          <w:rFonts w:eastAsia="Helvetica Neue"/>
          <w:b/>
        </w:rPr>
        <w:t xml:space="preserve"> a la </w:t>
      </w:r>
      <w:proofErr w:type="spellStart"/>
      <w:r w:rsidRPr="00177A74">
        <w:rPr>
          <w:rFonts w:eastAsia="Helvetica Neue"/>
          <w:b/>
        </w:rPr>
        <w:t>salud</w:t>
      </w:r>
      <w:proofErr w:type="spellEnd"/>
      <w:r w:rsidRPr="00177A74">
        <w:rPr>
          <w:rFonts w:eastAsia="Helvetica Neue"/>
          <w:b/>
        </w:rPr>
        <w:t xml:space="preserve"> sexual y </w:t>
      </w:r>
      <w:proofErr w:type="spellStart"/>
      <w:r w:rsidRPr="00177A74">
        <w:rPr>
          <w:rFonts w:eastAsia="Helvetica Neue"/>
          <w:b/>
        </w:rPr>
        <w:t>reproductiva</w:t>
      </w:r>
      <w:proofErr w:type="spellEnd"/>
      <w:r w:rsidRPr="00177A74">
        <w:rPr>
          <w:rFonts w:eastAsia="Helvetica Neue"/>
          <w:b/>
        </w:rPr>
        <w:t xml:space="preserve">: 20 </w:t>
      </w:r>
      <w:proofErr w:type="spellStart"/>
      <w:r w:rsidRPr="00177A74">
        <w:rPr>
          <w:rFonts w:eastAsia="Helvetica Neue"/>
          <w:b/>
        </w:rPr>
        <w:t>preguntas</w:t>
      </w:r>
      <w:proofErr w:type="spellEnd"/>
      <w:r w:rsidRPr="00177A74">
        <w:rPr>
          <w:rFonts w:eastAsia="Helvetica Neue"/>
          <w:b/>
        </w:rPr>
        <w:t xml:space="preserve"> </w:t>
      </w:r>
      <w:proofErr w:type="spellStart"/>
      <w:r w:rsidRPr="00177A74">
        <w:rPr>
          <w:rFonts w:eastAsia="Helvetica Neue"/>
          <w:b/>
        </w:rPr>
        <w:t>fundamentales</w:t>
      </w:r>
      <w:proofErr w:type="spellEnd"/>
      <w:r w:rsidRPr="00177A74">
        <w:rPr>
          <w:rFonts w:eastAsia="Helvetica Neue"/>
          <w:b/>
        </w:rPr>
        <w:t xml:space="preserve"> </w:t>
      </w:r>
      <w:proofErr w:type="spellStart"/>
      <w:r w:rsidRPr="00177A74">
        <w:rPr>
          <w:rFonts w:eastAsia="Helvetica Neue"/>
          <w:b/>
        </w:rPr>
        <w:t>sobre</w:t>
      </w:r>
      <w:proofErr w:type="spellEnd"/>
      <w:r w:rsidRPr="00177A74">
        <w:rPr>
          <w:rFonts w:eastAsia="Helvetica Neue"/>
          <w:b/>
        </w:rPr>
        <w:t xml:space="preserve"> las </w:t>
      </w:r>
      <w:proofErr w:type="spellStart"/>
      <w:r w:rsidRPr="00177A74">
        <w:rPr>
          <w:rFonts w:eastAsia="Helvetica Neue"/>
          <w:b/>
        </w:rPr>
        <w:t>pol</w:t>
      </w:r>
      <w:r w:rsidRPr="00177A74">
        <w:rPr>
          <w:b/>
          <w:color w:val="222222"/>
          <w:shd w:val="clear" w:color="auto" w:fill="FFFFFF"/>
        </w:rPr>
        <w:t>íticas</w:t>
      </w:r>
      <w:proofErr w:type="spellEnd"/>
      <w:r w:rsidRPr="00177A74">
        <w:rPr>
          <w:b/>
          <w:color w:val="222222"/>
          <w:shd w:val="clear" w:color="auto" w:fill="FFFFFF"/>
        </w:rPr>
        <w:t xml:space="preserve"> </w:t>
      </w:r>
      <w:proofErr w:type="spellStart"/>
      <w:r w:rsidRPr="00177A74">
        <w:rPr>
          <w:b/>
          <w:color w:val="222222"/>
          <w:shd w:val="clear" w:color="auto" w:fill="FFFFFF"/>
        </w:rPr>
        <w:t>públicas</w:t>
      </w:r>
      <w:proofErr w:type="spellEnd"/>
      <w:r w:rsidRPr="00177A74">
        <w:rPr>
          <w:b/>
          <w:color w:val="222222"/>
          <w:shd w:val="clear" w:color="auto" w:fill="FFFFFF"/>
        </w:rPr>
        <w:t xml:space="preserve"> del Estado </w:t>
      </w:r>
      <w:proofErr w:type="spellStart"/>
      <w:r w:rsidRPr="00177A74">
        <w:rPr>
          <w:b/>
          <w:color w:val="222222"/>
          <w:shd w:val="clear" w:color="auto" w:fill="FFFFFF"/>
        </w:rPr>
        <w:t>argentino</w:t>
      </w:r>
      <w:proofErr w:type="spellEnd"/>
      <w:r w:rsidRPr="00177A74">
        <w:rPr>
          <w:color w:val="222222"/>
          <w:shd w:val="clear" w:color="auto" w:fill="FFFFFF"/>
        </w:rPr>
        <w:t>.</w:t>
      </w:r>
      <w:r w:rsidRPr="00177A74">
        <w:rPr>
          <w:b/>
          <w:color w:val="222222"/>
          <w:shd w:val="clear" w:color="auto" w:fill="FFFFFF"/>
        </w:rPr>
        <w:t xml:space="preserve">’ </w:t>
      </w:r>
      <w:r w:rsidRPr="00177A74">
        <w:rPr>
          <w:color w:val="222222"/>
          <w:shd w:val="clear" w:color="auto" w:fill="FFFFFF"/>
        </w:rPr>
        <w:t>(Rights of Persons with Disabilities to Sexual and Reproductive Health: 20 Fundamental Questions on Public Policies of the Argentinian State).</w:t>
      </w:r>
      <w:r w:rsidRPr="00A64CBE">
        <w:rPr>
          <w:rStyle w:val="EndnoteReference"/>
          <w:rFonts w:ascii="Arial" w:hAnsi="Arial" w:cs="Arial"/>
          <w:color w:val="222222"/>
          <w:shd w:val="clear" w:color="auto" w:fill="FFFFFF"/>
        </w:rPr>
        <w:endnoteReference w:id="91"/>
      </w:r>
      <w:r w:rsidRPr="00177A74">
        <w:rPr>
          <w:color w:val="222222"/>
          <w:shd w:val="clear" w:color="auto" w:fill="FFFFFF"/>
        </w:rPr>
        <w:t xml:space="preserve"> </w:t>
      </w:r>
    </w:p>
    <w:p w14:paraId="1CE2F958" w14:textId="77777777" w:rsidR="00C1523A" w:rsidRDefault="00202866" w:rsidP="006E6012">
      <w:pPr>
        <w:pStyle w:val="ListParagraph"/>
        <w:numPr>
          <w:ilvl w:val="0"/>
          <w:numId w:val="12"/>
        </w:numPr>
        <w:snapToGrid w:val="0"/>
        <w:rPr>
          <w:rFonts w:eastAsia="Helvetica Neue"/>
        </w:rPr>
      </w:pPr>
      <w:r w:rsidRPr="00C1523A">
        <w:rPr>
          <w:rFonts w:eastAsia="Helvetica Neue"/>
        </w:rPr>
        <w:t>Ensure that laws and regulations are responsive</w:t>
      </w:r>
      <w:r w:rsidRPr="00C1523A">
        <w:rPr>
          <w:rFonts w:eastAsia="Helvetica Neue"/>
          <w:b/>
        </w:rPr>
        <w:t xml:space="preserve"> </w:t>
      </w:r>
      <w:r w:rsidRPr="00C1523A">
        <w:rPr>
          <w:rFonts w:eastAsia="Helvetica Neue"/>
        </w:rPr>
        <w:t>to and inclusive of women and young pe</w:t>
      </w:r>
      <w:r w:rsidR="00834343" w:rsidRPr="00C1523A">
        <w:rPr>
          <w:rFonts w:eastAsia="Helvetica Neue"/>
        </w:rPr>
        <w:t>rsons</w:t>
      </w:r>
      <w:r w:rsidRPr="00C1523A">
        <w:rPr>
          <w:rFonts w:eastAsia="Helvetica Neue"/>
        </w:rPr>
        <w:t xml:space="preserve"> with disabilities. Draft model legislation to improve advocacy. </w:t>
      </w:r>
    </w:p>
    <w:p w14:paraId="157F4729" w14:textId="77777777" w:rsidR="00C1523A" w:rsidRDefault="00202866" w:rsidP="006E6012">
      <w:pPr>
        <w:pStyle w:val="ListParagraph"/>
        <w:numPr>
          <w:ilvl w:val="1"/>
          <w:numId w:val="12"/>
        </w:numPr>
        <w:snapToGrid w:val="0"/>
        <w:rPr>
          <w:rFonts w:eastAsia="Helvetica Neue"/>
        </w:rPr>
      </w:pPr>
      <w:r w:rsidRPr="00C1523A">
        <w:rPr>
          <w:rFonts w:eastAsia="Helvetica Neue"/>
          <w:b/>
        </w:rPr>
        <w:t>Example:</w:t>
      </w:r>
      <w:r w:rsidRPr="00C1523A">
        <w:rPr>
          <w:rFonts w:eastAsia="Helvetica Neue"/>
        </w:rPr>
        <w:t xml:space="preserve"> In the United States of America, the State of Illinois’</w:t>
      </w:r>
      <w:r w:rsidRPr="00C1523A">
        <w:rPr>
          <w:rFonts w:eastAsia="Helvetica Neue"/>
          <w:b/>
        </w:rPr>
        <w:t xml:space="preserve"> ‘Domestic Violence Act of 1986’</w:t>
      </w:r>
      <w:r w:rsidRPr="00C1523A">
        <w:rPr>
          <w:rFonts w:eastAsia="Helvetica Neue"/>
        </w:rPr>
        <w:t xml:space="preserve"> (750 ILCS 60) includes the following within the definition of family or household members: “In the case of a high-risk adult with disabilities, ‘family or household members’ includes any person who has the responsibility for a high-risk adult as a result of a family relationship or who has assumed responsibility for all or a portion of the care of a high-risk adult with disabilities voluntarily, or by express or implied contract, or by court order”.</w:t>
      </w:r>
      <w:r w:rsidRPr="00A64CBE">
        <w:rPr>
          <w:rFonts w:eastAsia="Helvetica Neue"/>
          <w:vertAlign w:val="superscript"/>
        </w:rPr>
        <w:endnoteReference w:id="92"/>
      </w:r>
      <w:r w:rsidRPr="00C1523A">
        <w:rPr>
          <w:rFonts w:eastAsia="Helvetica Neue"/>
        </w:rPr>
        <w:t> </w:t>
      </w:r>
    </w:p>
    <w:p w14:paraId="381180A9" w14:textId="28B23CB9" w:rsidR="00C1523A" w:rsidRDefault="00202866" w:rsidP="006E6012">
      <w:pPr>
        <w:pStyle w:val="ListParagraph"/>
        <w:numPr>
          <w:ilvl w:val="1"/>
          <w:numId w:val="12"/>
        </w:numPr>
        <w:snapToGrid w:val="0"/>
        <w:rPr>
          <w:rFonts w:eastAsia="Helvetica Neue"/>
        </w:rPr>
      </w:pPr>
      <w:r w:rsidRPr="00C1523A">
        <w:rPr>
          <w:rFonts w:eastAsia="Helvetica Neue"/>
          <w:b/>
        </w:rPr>
        <w:t>Example:</w:t>
      </w:r>
      <w:r w:rsidRPr="00C1523A">
        <w:rPr>
          <w:rFonts w:eastAsia="Helvetica Neue"/>
        </w:rPr>
        <w:t xml:space="preserve"> In the Philippines, the </w:t>
      </w:r>
      <w:r w:rsidRPr="00C1523A">
        <w:rPr>
          <w:rFonts w:eastAsia="Helvetica Neue"/>
          <w:b/>
        </w:rPr>
        <w:t>‘Responsible Parenthood and Reproductive Health Act’</w:t>
      </w:r>
      <w:r w:rsidRPr="00C1523A">
        <w:rPr>
          <w:rFonts w:eastAsia="Helvetica Neue"/>
        </w:rPr>
        <w:t xml:space="preserve"> (RA No. 10354, also known as the Reproductive Health Law) was developed in consultation with the National Council on Disability Affairs and a range of disabled persons’ organizations, including those focused on women. Section 18 of the Act includes strong provisions in relation to the reproductive health of </w:t>
      </w:r>
      <w:r w:rsidR="00455C0D">
        <w:rPr>
          <w:rFonts w:eastAsia="Helvetica Neue"/>
        </w:rPr>
        <w:t>persons</w:t>
      </w:r>
      <w:r w:rsidR="00455C0D" w:rsidRPr="00C1523A">
        <w:rPr>
          <w:rFonts w:eastAsia="Helvetica Neue"/>
        </w:rPr>
        <w:t xml:space="preserve"> </w:t>
      </w:r>
      <w:r w:rsidRPr="00C1523A">
        <w:rPr>
          <w:rFonts w:eastAsia="Helvetica Neue"/>
        </w:rPr>
        <w:t xml:space="preserve">with disabilities, including a legal mandate to protect the rights of women with disabilities to access the full range of sexual and reproductive health information, services, and commodities on an equal basis to women without disabilities. The section requires cities </w:t>
      </w:r>
      <w:r w:rsidRPr="00C1523A">
        <w:rPr>
          <w:rFonts w:eastAsia="Helvetica Neue"/>
        </w:rPr>
        <w:lastRenderedPageBreak/>
        <w:t>and municipalities to dismantle barriers to reproductive health services for pe</w:t>
      </w:r>
      <w:r w:rsidR="00834343" w:rsidRPr="00C1523A">
        <w:rPr>
          <w:rFonts w:eastAsia="Helvetica Neue"/>
        </w:rPr>
        <w:t>rsons</w:t>
      </w:r>
      <w:r w:rsidRPr="00C1523A">
        <w:rPr>
          <w:rFonts w:eastAsia="Helvetica Neue"/>
        </w:rPr>
        <w:t xml:space="preserve"> with disabilities through various initiatives, including providing physical access, transportation, adapting examination tables and laboratory procedures, increasing access to information and materials in accessible formats, offering continuing education for service providers about the rights of pe</w:t>
      </w:r>
      <w:r w:rsidR="00006AA9" w:rsidRPr="00C1523A">
        <w:rPr>
          <w:rFonts w:eastAsia="Helvetica Neue"/>
        </w:rPr>
        <w:t>rsons</w:t>
      </w:r>
      <w:r w:rsidRPr="00C1523A">
        <w:rPr>
          <w:rFonts w:eastAsia="Helvetica Neue"/>
        </w:rPr>
        <w:t xml:space="preserve"> with disabilities, and awareness-raising campaigns which combat misconceptions about the sexual and reproductive health and rights of </w:t>
      </w:r>
      <w:r w:rsidR="00455C0D">
        <w:rPr>
          <w:rFonts w:eastAsia="Helvetica Neue"/>
        </w:rPr>
        <w:t>persons</w:t>
      </w:r>
      <w:r w:rsidR="00455C0D" w:rsidRPr="00C1523A">
        <w:rPr>
          <w:rFonts w:eastAsia="Helvetica Neue"/>
        </w:rPr>
        <w:t xml:space="preserve"> </w:t>
      </w:r>
      <w:r w:rsidRPr="00C1523A">
        <w:rPr>
          <w:rFonts w:eastAsia="Helvetica Neue"/>
        </w:rPr>
        <w:t>with disabilities.</w:t>
      </w:r>
      <w:r w:rsidRPr="00A64CBE">
        <w:rPr>
          <w:rFonts w:eastAsia="Helvetica Neue"/>
          <w:vertAlign w:val="superscript"/>
        </w:rPr>
        <w:endnoteReference w:id="93"/>
      </w:r>
    </w:p>
    <w:p w14:paraId="2AFDB8EF" w14:textId="77777777" w:rsidR="00C1523A" w:rsidRDefault="00202866" w:rsidP="006E6012">
      <w:pPr>
        <w:pStyle w:val="ListParagraph"/>
        <w:numPr>
          <w:ilvl w:val="0"/>
          <w:numId w:val="12"/>
        </w:numPr>
        <w:snapToGrid w:val="0"/>
        <w:rPr>
          <w:rFonts w:eastAsia="Helvetica Neue"/>
        </w:rPr>
      </w:pPr>
      <w:r w:rsidRPr="00C1523A">
        <w:rPr>
          <w:rFonts w:eastAsia="Helvetica Neue"/>
        </w:rPr>
        <w:t>Ensure that service animals are legally permitted access to all public buildings and private facilities, even where animals would otherwise be prohibited.</w:t>
      </w:r>
    </w:p>
    <w:p w14:paraId="490935FB" w14:textId="77777777" w:rsidR="00C1523A" w:rsidRDefault="00202866" w:rsidP="006E6012">
      <w:pPr>
        <w:pStyle w:val="ListParagraph"/>
        <w:numPr>
          <w:ilvl w:val="0"/>
          <w:numId w:val="12"/>
        </w:numPr>
        <w:snapToGrid w:val="0"/>
        <w:rPr>
          <w:rFonts w:eastAsia="Helvetica Neue"/>
        </w:rPr>
      </w:pPr>
      <w:r w:rsidRPr="00C1523A">
        <w:rPr>
          <w:rFonts w:eastAsia="Helvetica Neue"/>
        </w:rPr>
        <w:t xml:space="preserve">Implement monitoring mechanisms that provide oversight to GBV and SRHR service providers to ensure that informed consent is being attained appropriately. </w:t>
      </w:r>
    </w:p>
    <w:p w14:paraId="7907D229" w14:textId="7B8BF493" w:rsidR="00202866" w:rsidRPr="00C1523A" w:rsidRDefault="00202866" w:rsidP="006E6012">
      <w:pPr>
        <w:pStyle w:val="ListParagraph"/>
        <w:numPr>
          <w:ilvl w:val="0"/>
          <w:numId w:val="12"/>
        </w:numPr>
        <w:snapToGrid w:val="0"/>
        <w:rPr>
          <w:rFonts w:eastAsia="Helvetica Neue"/>
        </w:rPr>
      </w:pPr>
      <w:r w:rsidRPr="00C1523A">
        <w:rPr>
          <w:rFonts w:eastAsia="Helvetica Neue"/>
        </w:rPr>
        <w:t xml:space="preserve">Enforce information and communication confidentiality requirements for GBV and SRHR service providers and support staff, regardless of the service recipient’s disability. </w:t>
      </w:r>
    </w:p>
    <w:p w14:paraId="1B1A18F2" w14:textId="7ED94EDD" w:rsidR="00C1523A" w:rsidRPr="00417440" w:rsidRDefault="00006AA9" w:rsidP="003C6133">
      <w:pPr>
        <w:pStyle w:val="Heading4"/>
        <w:spacing w:before="480"/>
      </w:pPr>
      <w:r w:rsidRPr="003D62AE">
        <w:t>Guidelines for Action:</w:t>
      </w:r>
      <w:r w:rsidR="00417440">
        <w:t xml:space="preserve"> </w:t>
      </w:r>
      <w:r w:rsidR="00202866" w:rsidRPr="00417440">
        <w:rPr>
          <w:rFonts w:eastAsia="Helvetica Neue"/>
        </w:rPr>
        <w:t xml:space="preserve">Legislative Advocacy and Lobbying </w:t>
      </w:r>
    </w:p>
    <w:p w14:paraId="762F3198" w14:textId="58D055D4" w:rsidR="00C1523A" w:rsidRPr="00C1523A" w:rsidRDefault="00202866" w:rsidP="006E6012">
      <w:pPr>
        <w:pStyle w:val="ListParagraph"/>
        <w:numPr>
          <w:ilvl w:val="0"/>
          <w:numId w:val="23"/>
        </w:numPr>
        <w:snapToGrid w:val="0"/>
        <w:rPr>
          <w:rFonts w:eastAsia="Helvetica Neue"/>
        </w:rPr>
      </w:pPr>
      <w:r w:rsidRPr="00C1523A">
        <w:rPr>
          <w:rFonts w:eastAsia="Helvetica Neue"/>
        </w:rPr>
        <w:t xml:space="preserve">Engage women and young </w:t>
      </w:r>
      <w:r w:rsidR="00455C0D">
        <w:rPr>
          <w:rFonts w:eastAsia="Helvetica Neue"/>
        </w:rPr>
        <w:t>persons</w:t>
      </w:r>
      <w:r w:rsidR="00455C0D" w:rsidRPr="00C1523A">
        <w:rPr>
          <w:rFonts w:eastAsia="Helvetica Neue"/>
        </w:rPr>
        <w:t xml:space="preserve"> </w:t>
      </w:r>
      <w:r w:rsidRPr="00C1523A">
        <w:rPr>
          <w:rFonts w:eastAsia="Helvetica Neue"/>
        </w:rPr>
        <w:t>with disabilities, disabled person’s organizations, and families of pe</w:t>
      </w:r>
      <w:r w:rsidR="00006AA9" w:rsidRPr="00C1523A">
        <w:rPr>
          <w:rFonts w:eastAsia="Helvetica Neue"/>
        </w:rPr>
        <w:t>rsons</w:t>
      </w:r>
      <w:r w:rsidRPr="00C1523A">
        <w:rPr>
          <w:rFonts w:eastAsia="Helvetica Neue"/>
        </w:rPr>
        <w:t xml:space="preserve"> with disabilities (where appropriate),</w:t>
      </w:r>
      <w:r w:rsidRPr="00C1523A">
        <w:rPr>
          <w:rFonts w:eastAsia="Helvetica Neue"/>
          <w:b/>
        </w:rPr>
        <w:t xml:space="preserve"> </w:t>
      </w:r>
      <w:r w:rsidRPr="00C1523A">
        <w:rPr>
          <w:rFonts w:eastAsia="Helvetica Neue"/>
        </w:rPr>
        <w:t>in all stages of the review and development of laws and policies relating to GBV and SRHR service provision. Support and engage lawmakers with disabilities.</w:t>
      </w:r>
    </w:p>
    <w:p w14:paraId="44F80EB4" w14:textId="4B7990F0" w:rsidR="00202866" w:rsidRPr="00C1523A" w:rsidRDefault="00202866" w:rsidP="006E6012">
      <w:pPr>
        <w:pStyle w:val="ListParagraph"/>
        <w:numPr>
          <w:ilvl w:val="1"/>
          <w:numId w:val="23"/>
        </w:numPr>
        <w:snapToGrid w:val="0"/>
      </w:pPr>
      <w:r w:rsidRPr="00C1523A">
        <w:rPr>
          <w:rFonts w:eastAsia="Helvetica Neue"/>
          <w:b/>
        </w:rPr>
        <w:t>Example:</w:t>
      </w:r>
      <w:r w:rsidRPr="00C1523A">
        <w:rPr>
          <w:rFonts w:eastAsia="Helvetica Neue"/>
        </w:rPr>
        <w:t xml:space="preserve"> </w:t>
      </w:r>
      <w:r w:rsidRPr="00C1523A">
        <w:rPr>
          <w:rFonts w:eastAsia="Helvetica Neue"/>
          <w:b/>
        </w:rPr>
        <w:t xml:space="preserve">Freedom of Movement Society. </w:t>
      </w:r>
      <w:r w:rsidRPr="00C1523A">
        <w:rPr>
          <w:rFonts w:eastAsia="Helvetica Neue"/>
        </w:rPr>
        <w:t xml:space="preserve">In Ekaterinburg, Russia, a group of </w:t>
      </w:r>
      <w:r w:rsidR="00455C0D">
        <w:rPr>
          <w:rFonts w:eastAsia="Helvetica Neue"/>
        </w:rPr>
        <w:t>persons</w:t>
      </w:r>
      <w:r w:rsidR="00455C0D" w:rsidRPr="00C1523A">
        <w:rPr>
          <w:rFonts w:eastAsia="Helvetica Neue"/>
        </w:rPr>
        <w:t xml:space="preserve"> </w:t>
      </w:r>
      <w:r w:rsidRPr="00C1523A">
        <w:rPr>
          <w:rFonts w:eastAsia="Helvetica Neue"/>
        </w:rPr>
        <w:t>with disabilities formed the Freedom of Movement Society to enforce their access to public buildings and places. The group created a list of the most important places in the city that needed to be accessible and advocated for change with city officials. As a result, city officials engaged the society in city committees responsible for improving access and gave society members final approval of any committee projects. The society also created accessibility guidelines for architects, which were used regularly.</w:t>
      </w:r>
      <w:r w:rsidRPr="00A64CBE">
        <w:rPr>
          <w:rFonts w:eastAsia="Helvetica Neue"/>
          <w:vertAlign w:val="superscript"/>
        </w:rPr>
        <w:endnoteReference w:id="94"/>
      </w:r>
      <w:r w:rsidRPr="00C1523A">
        <w:rPr>
          <w:rFonts w:eastAsia="Helvetica Neue"/>
        </w:rPr>
        <w:t xml:space="preserve"> </w:t>
      </w:r>
    </w:p>
    <w:p w14:paraId="7A5BCCC8" w14:textId="77777777" w:rsidR="00C1523A" w:rsidRDefault="00202866" w:rsidP="006E6012">
      <w:pPr>
        <w:pStyle w:val="ListParagraph"/>
        <w:numPr>
          <w:ilvl w:val="0"/>
          <w:numId w:val="23"/>
        </w:numPr>
        <w:snapToGrid w:val="0"/>
      </w:pPr>
      <w:r w:rsidRPr="00C1523A">
        <w:rPr>
          <w:rFonts w:eastAsia="Helvetica Neue"/>
        </w:rPr>
        <w:t xml:space="preserve">Advocate for non-discrimination laws and regulations that are comprehensive and applicable to both public and private GBV and SRHR service providers and support staff. The CRPD provides a framework for model non-discrimination laws. </w:t>
      </w:r>
    </w:p>
    <w:p w14:paraId="3009F2DE" w14:textId="2ECC1952" w:rsidR="00006AA9" w:rsidRPr="00C1523A" w:rsidRDefault="00202866" w:rsidP="006E6012">
      <w:pPr>
        <w:pStyle w:val="ListParagraph"/>
        <w:numPr>
          <w:ilvl w:val="1"/>
          <w:numId w:val="23"/>
        </w:numPr>
        <w:snapToGrid w:val="0"/>
      </w:pPr>
      <w:r w:rsidRPr="00C1523A">
        <w:rPr>
          <w:rFonts w:eastAsia="Helvetica Neue"/>
          <w:b/>
        </w:rPr>
        <w:t>Example:</w:t>
      </w:r>
      <w:r w:rsidRPr="00C1523A">
        <w:rPr>
          <w:rFonts w:eastAsia="Helvetica Neue"/>
        </w:rPr>
        <w:t xml:space="preserve"> The </w:t>
      </w:r>
      <w:r w:rsidRPr="00C1523A">
        <w:rPr>
          <w:rFonts w:eastAsia="Helvetica Neue"/>
          <w:b/>
        </w:rPr>
        <w:t>Americans with Disabilities Act</w:t>
      </w:r>
      <w:r w:rsidRPr="00C1523A">
        <w:rPr>
          <w:rFonts w:eastAsia="Helvetica Neue"/>
        </w:rPr>
        <w:t xml:space="preserve"> (ADA) prohibits discrimination and guarantees equal opportunities for Americans with disabilities in both public and private settings.</w:t>
      </w:r>
      <w:r w:rsidRPr="003D62AE">
        <w:rPr>
          <w:rFonts w:eastAsia="Helvetica Neue"/>
          <w:vertAlign w:val="superscript"/>
        </w:rPr>
        <w:endnoteReference w:id="95"/>
      </w:r>
    </w:p>
    <w:p w14:paraId="5549E468" w14:textId="3F086E5F" w:rsidR="00202866" w:rsidRPr="00C1523A" w:rsidRDefault="00202866" w:rsidP="006E6012">
      <w:pPr>
        <w:pStyle w:val="ListParagraph"/>
        <w:numPr>
          <w:ilvl w:val="1"/>
          <w:numId w:val="23"/>
        </w:numPr>
        <w:snapToGrid w:val="0"/>
      </w:pPr>
      <w:r w:rsidRPr="00C1523A">
        <w:rPr>
          <w:rFonts w:eastAsia="Helvetica Neue"/>
          <w:b/>
        </w:rPr>
        <w:t>Example:</w:t>
      </w:r>
      <w:r w:rsidRPr="00C1523A">
        <w:rPr>
          <w:rFonts w:eastAsia="Helvetica Neue"/>
        </w:rPr>
        <w:t xml:space="preserve"> The </w:t>
      </w:r>
      <w:r w:rsidRPr="00C1523A">
        <w:rPr>
          <w:rFonts w:eastAsia="Helvetica Neue"/>
          <w:b/>
        </w:rPr>
        <w:t xml:space="preserve">Network for the Rights of Persons with Disabilities </w:t>
      </w:r>
      <w:r w:rsidRPr="00C1523A">
        <w:rPr>
          <w:rFonts w:eastAsia="Helvetica Neue"/>
        </w:rPr>
        <w:t>(REDI) is an Argentinian political organization led by pe</w:t>
      </w:r>
      <w:r w:rsidR="00006AA9" w:rsidRPr="00C1523A">
        <w:rPr>
          <w:rFonts w:eastAsia="Helvetica Neue"/>
        </w:rPr>
        <w:t>rsons</w:t>
      </w:r>
      <w:r w:rsidRPr="00C1523A">
        <w:rPr>
          <w:rFonts w:eastAsia="Helvetica Neue"/>
        </w:rPr>
        <w:t xml:space="preserve"> with disabilities that aims to improve the rights of pe</w:t>
      </w:r>
      <w:r w:rsidR="00803F31" w:rsidRPr="00C1523A">
        <w:rPr>
          <w:rFonts w:eastAsia="Helvetica Neue"/>
        </w:rPr>
        <w:t>rsons</w:t>
      </w:r>
      <w:r w:rsidRPr="00C1523A">
        <w:rPr>
          <w:rFonts w:eastAsia="Helvetica Neue"/>
        </w:rPr>
        <w:t xml:space="preserve"> with disabilities by advocating for their full recognition under the law. A primary focus is proposing and advocating for disability-inclusive legislation. The recommendations span national and international legislation and policy, and subjects including work, benefits, licenses, health, education, accessibility, and transportation. The organization also produces publications updating the public on legislative changes and reports on the impact of legislation.</w:t>
      </w:r>
      <w:r w:rsidRPr="003D62AE">
        <w:rPr>
          <w:rFonts w:eastAsia="Helvetica Neue"/>
          <w:vertAlign w:val="superscript"/>
        </w:rPr>
        <w:endnoteReference w:id="96"/>
      </w:r>
      <w:r w:rsidRPr="00C1523A">
        <w:rPr>
          <w:rFonts w:eastAsia="Helvetica Neue"/>
        </w:rPr>
        <w:t xml:space="preserve"> </w:t>
      </w:r>
    </w:p>
    <w:p w14:paraId="73E1782F" w14:textId="2DB9EDE5" w:rsidR="00803F31" w:rsidRPr="002239A3" w:rsidRDefault="00202866" w:rsidP="006E6012">
      <w:pPr>
        <w:pStyle w:val="ListParagraph"/>
        <w:numPr>
          <w:ilvl w:val="0"/>
          <w:numId w:val="23"/>
        </w:numPr>
        <w:snapToGrid w:val="0"/>
      </w:pPr>
      <w:r w:rsidRPr="002239A3">
        <w:rPr>
          <w:rFonts w:eastAsia="Helvetica Neue"/>
        </w:rPr>
        <w:lastRenderedPageBreak/>
        <w:t xml:space="preserve">Advocate for and ensure that national accountability mechanisms allow for reporting, monitoring, and redress of violations experienced by women and young </w:t>
      </w:r>
      <w:r w:rsidR="00455C0D">
        <w:rPr>
          <w:rFonts w:eastAsia="Helvetica Neue"/>
        </w:rPr>
        <w:t>persons</w:t>
      </w:r>
      <w:r w:rsidR="00455C0D" w:rsidRPr="002239A3">
        <w:rPr>
          <w:rFonts w:eastAsia="Helvetica Neue"/>
        </w:rPr>
        <w:t xml:space="preserve"> </w:t>
      </w:r>
      <w:r w:rsidRPr="002239A3">
        <w:rPr>
          <w:rFonts w:eastAsia="Helvetica Neue"/>
        </w:rPr>
        <w:t>with disabilities, including sexual and reproductive rights violations. Ensure that such mechanisms are independent and responsive to women and young pe</w:t>
      </w:r>
      <w:r w:rsidR="00803F31" w:rsidRPr="002239A3">
        <w:rPr>
          <w:rFonts w:eastAsia="Helvetica Neue"/>
        </w:rPr>
        <w:t>rsons</w:t>
      </w:r>
      <w:r w:rsidRPr="002239A3">
        <w:rPr>
          <w:rFonts w:eastAsia="Helvetica Neue"/>
        </w:rPr>
        <w:t xml:space="preserve"> with disabilities and the issues they experience. Such mechanisms should include a means of tracking and responding to violation trends. Relatedly, remedies offered by the accountability mechanism should be relevant to </w:t>
      </w:r>
      <w:r w:rsidR="00455C0D">
        <w:rPr>
          <w:rFonts w:eastAsia="Helvetica Neue"/>
        </w:rPr>
        <w:t>persons</w:t>
      </w:r>
      <w:r w:rsidR="00455C0D" w:rsidRPr="002239A3">
        <w:rPr>
          <w:rFonts w:eastAsia="Helvetica Neue"/>
        </w:rPr>
        <w:t xml:space="preserve"> </w:t>
      </w:r>
      <w:r w:rsidRPr="002239A3">
        <w:rPr>
          <w:rFonts w:eastAsia="Helvetica Neue"/>
        </w:rPr>
        <w:t xml:space="preserve">with disabilities. </w:t>
      </w:r>
    </w:p>
    <w:p w14:paraId="1568EE65" w14:textId="77777777" w:rsidR="002239A3" w:rsidRPr="002239A3" w:rsidRDefault="00202866" w:rsidP="006E6012">
      <w:pPr>
        <w:pStyle w:val="ListParagraph"/>
        <w:numPr>
          <w:ilvl w:val="0"/>
          <w:numId w:val="23"/>
        </w:numPr>
        <w:snapToGrid w:val="0"/>
      </w:pPr>
      <w:r w:rsidRPr="00C1523A">
        <w:rPr>
          <w:rFonts w:eastAsia="Helvetica Neue"/>
        </w:rPr>
        <w:t>Advocate for a legislative and regulatory scheme that gives women and young pe</w:t>
      </w:r>
      <w:r w:rsidR="00803F31" w:rsidRPr="00C1523A">
        <w:rPr>
          <w:rFonts w:eastAsia="Helvetica Neue"/>
        </w:rPr>
        <w:t>rsons</w:t>
      </w:r>
      <w:r w:rsidRPr="00C1523A">
        <w:rPr>
          <w:rFonts w:eastAsia="Helvetica Neue"/>
        </w:rPr>
        <w:t xml:space="preserve"> with disabilities equal recognition before the law in accordance with the rights laid out in Article 12 of the CRPD. Relatedly, advocate for government-funded and promoted supported decision-making models, including legally binding mechanisms, such as a healthcare proxy or power of attorney to assist women and young pe</w:t>
      </w:r>
      <w:r w:rsidR="00803F31" w:rsidRPr="00C1523A">
        <w:rPr>
          <w:rFonts w:eastAsia="Helvetica Neue"/>
        </w:rPr>
        <w:t>rsons</w:t>
      </w:r>
      <w:r w:rsidRPr="00C1523A">
        <w:rPr>
          <w:rFonts w:eastAsia="Helvetica Neue"/>
        </w:rPr>
        <w:t xml:space="preserve"> with disabilities who require support in exercising their legal capacity. To assist with your advocacy, utilize the </w:t>
      </w:r>
      <w:r w:rsidRPr="002239A3">
        <w:rPr>
          <w:rFonts w:eastAsia="Helvetica Neue"/>
          <w:b/>
          <w:iCs/>
        </w:rPr>
        <w:t>Handbook for Parliamentarians on the Convention on the Rights of Persons with Disabilities</w:t>
      </w:r>
      <w:r w:rsidRPr="002239A3">
        <w:rPr>
          <w:rFonts w:eastAsia="Helvetica Neue"/>
          <w:iCs/>
        </w:rPr>
        <w:t>,</w:t>
      </w:r>
      <w:r w:rsidRPr="00C1523A">
        <w:rPr>
          <w:rFonts w:eastAsia="Helvetica Neue"/>
        </w:rPr>
        <w:t xml:space="preserve"> which includes a subchapter on Legal Capacity and supported decision-making.</w:t>
      </w:r>
      <w:r w:rsidRPr="00A64CBE">
        <w:rPr>
          <w:rFonts w:eastAsia="Helvetica Neue"/>
          <w:vertAlign w:val="superscript"/>
        </w:rPr>
        <w:endnoteReference w:id="97"/>
      </w:r>
      <w:r w:rsidRPr="00C1523A">
        <w:rPr>
          <w:rFonts w:eastAsia="Helvetica Neue"/>
        </w:rPr>
        <w:t xml:space="preserve"> </w:t>
      </w:r>
    </w:p>
    <w:p w14:paraId="08F86F99" w14:textId="77777777" w:rsidR="002239A3" w:rsidRPr="002239A3" w:rsidRDefault="00202866" w:rsidP="006E6012">
      <w:pPr>
        <w:pStyle w:val="ListParagraph"/>
        <w:numPr>
          <w:ilvl w:val="0"/>
          <w:numId w:val="23"/>
        </w:numPr>
        <w:snapToGrid w:val="0"/>
      </w:pPr>
      <w:r w:rsidRPr="002239A3">
        <w:rPr>
          <w:rFonts w:eastAsia="Helvetica Neue"/>
        </w:rPr>
        <w:t xml:space="preserve">After </w:t>
      </w:r>
      <w:r w:rsidRPr="002239A3">
        <w:rPr>
          <w:rFonts w:eastAsia="Helvetica Neue"/>
          <w:b/>
        </w:rPr>
        <w:t>humanitarian emergencies</w:t>
      </w:r>
      <w:r w:rsidRPr="002239A3">
        <w:rPr>
          <w:rFonts w:eastAsia="Helvetica Neue"/>
        </w:rPr>
        <w:t>, engage women and young pe</w:t>
      </w:r>
      <w:r w:rsidR="00803F31" w:rsidRPr="002239A3">
        <w:rPr>
          <w:rFonts w:eastAsia="Helvetica Neue"/>
        </w:rPr>
        <w:t>rsons</w:t>
      </w:r>
      <w:r w:rsidRPr="002239A3">
        <w:rPr>
          <w:rFonts w:eastAsia="Helvetica Neue"/>
        </w:rPr>
        <w:t xml:space="preserve"> with disabilities in the development of new laws and policies to ensure removal of the barriers that confronted them before and during the emergency and to promote development and implementation of new, more inclusive laws and policies. </w:t>
      </w:r>
    </w:p>
    <w:p w14:paraId="39C24C6C" w14:textId="77777777" w:rsidR="002239A3" w:rsidRPr="002239A3" w:rsidRDefault="00202866" w:rsidP="006E6012">
      <w:pPr>
        <w:pStyle w:val="ListParagraph"/>
        <w:numPr>
          <w:ilvl w:val="0"/>
          <w:numId w:val="86"/>
        </w:numPr>
        <w:snapToGrid w:val="0"/>
      </w:pPr>
      <w:r w:rsidRPr="00C72F27">
        <w:rPr>
          <w:rFonts w:eastAsia="Helvetica Neue"/>
          <w:b/>
          <w:iCs/>
        </w:rPr>
        <w:t>United Nations Security Council Resolution 1325</w:t>
      </w:r>
      <w:r w:rsidRPr="00C72F27">
        <w:rPr>
          <w:rFonts w:eastAsia="Helvetica Neue"/>
        </w:rPr>
        <w:t xml:space="preserve"> urges governments to develop National Action Plans (NAPs) regarding the protection and participation of women.</w:t>
      </w:r>
      <w:r w:rsidRPr="00A64CBE">
        <w:rPr>
          <w:rFonts w:eastAsia="Helvetica Neue"/>
          <w:vertAlign w:val="superscript"/>
        </w:rPr>
        <w:endnoteReference w:id="98"/>
      </w:r>
    </w:p>
    <w:p w14:paraId="67315334" w14:textId="6FA71319" w:rsidR="00202866" w:rsidRPr="00010C80" w:rsidRDefault="00202866" w:rsidP="006E6012">
      <w:pPr>
        <w:pStyle w:val="ListParagraph"/>
        <w:numPr>
          <w:ilvl w:val="0"/>
          <w:numId w:val="86"/>
        </w:numPr>
        <w:snapToGrid w:val="0"/>
      </w:pPr>
      <w:r w:rsidRPr="00C72F27">
        <w:rPr>
          <w:rFonts w:eastAsia="Helvetica Neue"/>
          <w:b/>
          <w:iCs/>
        </w:rPr>
        <w:t>United Nations Security Council Resolution 2250</w:t>
      </w:r>
      <w:r w:rsidRPr="00C72F27">
        <w:rPr>
          <w:rFonts w:eastAsia="Helvetica Neue"/>
        </w:rPr>
        <w:t xml:space="preserve"> urges governments to find ways to increase representation and meaningful input from youth in peace processes and dispute resolution.</w:t>
      </w:r>
      <w:r w:rsidRPr="00A64CBE">
        <w:rPr>
          <w:rFonts w:eastAsia="Helvetica Neue"/>
          <w:vertAlign w:val="superscript"/>
        </w:rPr>
        <w:endnoteReference w:id="99"/>
      </w:r>
      <w:r w:rsidRPr="00C72F27">
        <w:rPr>
          <w:rFonts w:eastAsia="Helvetica Neue"/>
        </w:rPr>
        <w:t xml:space="preserve"> </w:t>
      </w:r>
    </w:p>
    <w:p w14:paraId="5B014792" w14:textId="7DC90C30" w:rsidR="00480593" w:rsidRPr="00417440" w:rsidRDefault="00803F31" w:rsidP="003C6133">
      <w:pPr>
        <w:pStyle w:val="Heading4"/>
        <w:spacing w:before="480"/>
      </w:pPr>
      <w:r w:rsidRPr="003D62AE">
        <w:t>Guidelines for Action:</w:t>
      </w:r>
      <w:r w:rsidR="00417440">
        <w:t xml:space="preserve"> </w:t>
      </w:r>
      <w:r w:rsidR="00202866" w:rsidRPr="006419F3">
        <w:t>National</w:t>
      </w:r>
      <w:r w:rsidR="00202866" w:rsidRPr="00417440">
        <w:rPr>
          <w:rFonts w:eastAsia="Helvetica Neue"/>
        </w:rPr>
        <w:t xml:space="preserve"> Policies and Plans </w:t>
      </w:r>
    </w:p>
    <w:p w14:paraId="1E3A9426" w14:textId="77777777" w:rsidR="00480593" w:rsidRDefault="00202866" w:rsidP="006E6012">
      <w:pPr>
        <w:pStyle w:val="ListParagraph"/>
        <w:numPr>
          <w:ilvl w:val="0"/>
          <w:numId w:val="24"/>
        </w:numPr>
        <w:snapToGrid w:val="0"/>
        <w:rPr>
          <w:rFonts w:eastAsia="Helvetica Neue"/>
        </w:rPr>
      </w:pPr>
      <w:r w:rsidRPr="00480593">
        <w:rPr>
          <w:rFonts w:eastAsia="Helvetica Neue"/>
        </w:rPr>
        <w:t>Adopt and implement a national strategy and action plan, with adequate budget allocation, on GBV against and the SRHR of women and young pe</w:t>
      </w:r>
      <w:r w:rsidR="00A16811" w:rsidRPr="00480593">
        <w:rPr>
          <w:rFonts w:eastAsia="Helvetica Neue"/>
        </w:rPr>
        <w:t>rsons</w:t>
      </w:r>
      <w:r w:rsidRPr="00480593">
        <w:rPr>
          <w:rFonts w:eastAsia="Helvetica Neue"/>
        </w:rPr>
        <w:t xml:space="preserve"> with disabilities, that is devised, periodically reviewed, and monitored through a participatory and transparent process. </w:t>
      </w:r>
    </w:p>
    <w:p w14:paraId="68AFA825" w14:textId="77777777" w:rsidR="00480593" w:rsidRDefault="00202866" w:rsidP="006E6012">
      <w:pPr>
        <w:pStyle w:val="ListParagraph"/>
        <w:numPr>
          <w:ilvl w:val="1"/>
          <w:numId w:val="24"/>
        </w:numPr>
        <w:rPr>
          <w:rFonts w:eastAsia="Helvetica Neue"/>
        </w:rPr>
      </w:pPr>
      <w:r w:rsidRPr="00480593">
        <w:rPr>
          <w:rFonts w:eastAsia="Helvetica Neue"/>
          <w:b/>
        </w:rPr>
        <w:t>Example:</w:t>
      </w:r>
      <w:r w:rsidRPr="00480593">
        <w:rPr>
          <w:rFonts w:eastAsia="Helvetica Neue"/>
        </w:rPr>
        <w:t xml:space="preserve"> The </w:t>
      </w:r>
      <w:r w:rsidRPr="00480593">
        <w:rPr>
          <w:rFonts w:eastAsia="Helvetica Neue"/>
          <w:b/>
        </w:rPr>
        <w:t>Australian ‘National Plan to Reduce Violence against Women and their Children’</w:t>
      </w:r>
      <w:r w:rsidRPr="00480593">
        <w:rPr>
          <w:rFonts w:eastAsia="Helvetica Neue"/>
        </w:rPr>
        <w:t xml:space="preserve"> assessment includes women with disabilities. This has resulted in collection of important information relating to women with disabilities; improved access to domestic violence and sexual assault services; better services through evidence-based approaches; improved access to justice; grants for prevention programmes; and promotion of respectful relationships in various settings.</w:t>
      </w:r>
      <w:r w:rsidRPr="003D62AE">
        <w:rPr>
          <w:rFonts w:eastAsia="Helvetica Neue"/>
          <w:vertAlign w:val="superscript"/>
        </w:rPr>
        <w:endnoteReference w:id="100"/>
      </w:r>
    </w:p>
    <w:p w14:paraId="263EEB8C" w14:textId="77777777" w:rsidR="00480593" w:rsidRDefault="00202866" w:rsidP="006E6012">
      <w:pPr>
        <w:pStyle w:val="ListParagraph"/>
        <w:numPr>
          <w:ilvl w:val="0"/>
          <w:numId w:val="24"/>
        </w:numPr>
        <w:rPr>
          <w:rFonts w:eastAsia="Helvetica Neue"/>
        </w:rPr>
      </w:pPr>
      <w:r w:rsidRPr="00480593">
        <w:rPr>
          <w:rFonts w:eastAsia="Helvetica Neue"/>
        </w:rPr>
        <w:t xml:space="preserve">Enumerate licensing and education requirements for GBV and SRHR service providers that include training on disability rights, accessibility, and participation. </w:t>
      </w:r>
    </w:p>
    <w:p w14:paraId="24A4FDA2" w14:textId="77777777" w:rsidR="006D6D8E" w:rsidRDefault="00202866" w:rsidP="006E6012">
      <w:pPr>
        <w:pStyle w:val="ListParagraph"/>
        <w:numPr>
          <w:ilvl w:val="0"/>
          <w:numId w:val="24"/>
        </w:numPr>
        <w:rPr>
          <w:rFonts w:eastAsia="Helvetica Neue"/>
        </w:rPr>
      </w:pPr>
      <w:r w:rsidRPr="00480593">
        <w:rPr>
          <w:rFonts w:eastAsia="Helvetica Neue"/>
        </w:rPr>
        <w:t xml:space="preserve">Register essential medicines, as outlined by the </w:t>
      </w:r>
      <w:r w:rsidRPr="00480593">
        <w:rPr>
          <w:rFonts w:eastAsia="Helvetica Neue"/>
          <w:b/>
          <w:iCs/>
        </w:rPr>
        <w:t>WHO List of Essential Medicines</w:t>
      </w:r>
      <w:r w:rsidRPr="00480593">
        <w:rPr>
          <w:rFonts w:eastAsia="Helvetica Neue"/>
          <w:iCs/>
        </w:rPr>
        <w:t>,</w:t>
      </w:r>
      <w:r w:rsidRPr="00480593">
        <w:rPr>
          <w:rFonts w:eastAsia="Helvetica Neue"/>
          <w:iCs/>
          <w:vertAlign w:val="superscript"/>
        </w:rPr>
        <w:endnoteReference w:id="101"/>
      </w:r>
      <w:r w:rsidRPr="00480593">
        <w:rPr>
          <w:rFonts w:eastAsia="Helvetica Neue"/>
        </w:rPr>
        <w:t xml:space="preserve"> to ensure they are legally available.</w:t>
      </w:r>
    </w:p>
    <w:p w14:paraId="67282F58" w14:textId="77777777" w:rsidR="006D6D8E" w:rsidRDefault="00202866" w:rsidP="006E6012">
      <w:pPr>
        <w:pStyle w:val="ListParagraph"/>
        <w:numPr>
          <w:ilvl w:val="0"/>
          <w:numId w:val="24"/>
        </w:numPr>
        <w:rPr>
          <w:rFonts w:eastAsia="Helvetica Neue"/>
        </w:rPr>
      </w:pPr>
      <w:r w:rsidRPr="006D6D8E">
        <w:rPr>
          <w:rFonts w:eastAsia="Helvetica Neue"/>
        </w:rPr>
        <w:t xml:space="preserve">Allocate sufficient resources for disability </w:t>
      </w:r>
      <w:r w:rsidR="00C73E2C" w:rsidRPr="006D6D8E">
        <w:rPr>
          <w:rFonts w:eastAsia="Helvetica Neue"/>
        </w:rPr>
        <w:t xml:space="preserve">issues and rights </w:t>
      </w:r>
      <w:r w:rsidRPr="006D6D8E">
        <w:rPr>
          <w:rFonts w:eastAsia="Helvetica Neue"/>
        </w:rPr>
        <w:t xml:space="preserve">training and supportive supervision for service providers and support staff and accessibility mechanisms for </w:t>
      </w:r>
      <w:r w:rsidRPr="006D6D8E">
        <w:rPr>
          <w:rFonts w:eastAsia="Helvetica Neue"/>
        </w:rPr>
        <w:lastRenderedPageBreak/>
        <w:t>government-funded programmes. Where possible, budgets should include funding for transportation, subsidies, social protection schemes, and public information campaigns.</w:t>
      </w:r>
    </w:p>
    <w:p w14:paraId="180FD17E" w14:textId="5191F31B" w:rsidR="00480593" w:rsidRPr="006D6D8E" w:rsidRDefault="00202866" w:rsidP="006E6012">
      <w:pPr>
        <w:pStyle w:val="ListParagraph"/>
        <w:numPr>
          <w:ilvl w:val="0"/>
          <w:numId w:val="24"/>
        </w:numPr>
        <w:rPr>
          <w:rFonts w:eastAsia="Helvetica Neue"/>
        </w:rPr>
      </w:pPr>
      <w:r w:rsidRPr="006D6D8E">
        <w:rPr>
          <w:rFonts w:eastAsia="Helvetica Neue"/>
        </w:rPr>
        <w:t xml:space="preserve">Develop national and local data collection systems disaggregated by gender, disability, age, sexual orientation, socio-economic status and living environment. A coordinated mechanism should be in place for regular data review and analysis to improve services. </w:t>
      </w:r>
    </w:p>
    <w:p w14:paraId="25750A1D" w14:textId="119CF0ED" w:rsidR="00202866" w:rsidRPr="00010C80" w:rsidRDefault="00202866" w:rsidP="006E6012">
      <w:pPr>
        <w:numPr>
          <w:ilvl w:val="1"/>
          <w:numId w:val="24"/>
        </w:numPr>
        <w:pBdr>
          <w:top w:val="nil"/>
          <w:left w:val="nil"/>
          <w:bottom w:val="nil"/>
          <w:right w:val="nil"/>
          <w:between w:val="nil"/>
        </w:pBdr>
        <w:rPr>
          <w:rFonts w:ascii="Arial" w:hAnsi="Arial" w:cs="Arial"/>
          <w:b/>
          <w:color w:val="000000"/>
        </w:rPr>
      </w:pPr>
      <w:r w:rsidRPr="00480593">
        <w:rPr>
          <w:rFonts w:eastAsia="Helvetica Neue"/>
          <w:b/>
        </w:rPr>
        <w:t>Example:</w:t>
      </w:r>
      <w:r w:rsidRPr="00480593">
        <w:rPr>
          <w:rFonts w:eastAsia="Helvetica Neue"/>
        </w:rPr>
        <w:t xml:space="preserve"> With the support of </w:t>
      </w:r>
      <w:r w:rsidRPr="00480593">
        <w:rPr>
          <w:rFonts w:eastAsia="Helvetica Neue"/>
          <w:highlight w:val="white"/>
        </w:rPr>
        <w:t>UN Partnership on the Rights of Persons with Disabilities</w:t>
      </w:r>
      <w:r w:rsidRPr="00480593">
        <w:rPr>
          <w:rFonts w:eastAsia="Helvetica Neue"/>
        </w:rPr>
        <w:t>, Bolivia strengthened its disability reporting by integrating disability information in the statistics collected in three key sectors—education, health, and justice. The Ministry of Justice sought to improve justice for pe</w:t>
      </w:r>
      <w:r w:rsidR="00A16811" w:rsidRPr="00480593">
        <w:rPr>
          <w:rFonts w:eastAsia="Helvetica Neue"/>
        </w:rPr>
        <w:t>rsons</w:t>
      </w:r>
      <w:r w:rsidRPr="00480593">
        <w:rPr>
          <w:rFonts w:eastAsia="Helvetica Neue"/>
        </w:rPr>
        <w:t xml:space="preserve"> with disabilities by introducing disability variables into the </w:t>
      </w:r>
      <w:r w:rsidRPr="00480593">
        <w:rPr>
          <w:rFonts w:eastAsia="Helvetica Neue"/>
          <w:b/>
        </w:rPr>
        <w:t>Integral System of Prevention, Care, Punishment, and Eradication of Gender-Based Violence</w:t>
      </w:r>
      <w:r w:rsidRPr="00480593">
        <w:rPr>
          <w:rFonts w:eastAsia="Helvetica Neue"/>
        </w:rPr>
        <w:t>. This also led to a guide for users of the system addressing disability-rights and GBV- and disability-inclusive data collection.</w:t>
      </w:r>
      <w:r w:rsidRPr="003D62AE">
        <w:rPr>
          <w:rFonts w:eastAsia="Helvetica Neue"/>
          <w:vertAlign w:val="superscript"/>
        </w:rPr>
        <w:endnoteReference w:id="102"/>
      </w:r>
      <w:r w:rsidRPr="00480593">
        <w:rPr>
          <w:rFonts w:eastAsia="Helvetica Neue"/>
        </w:rPr>
        <w:t xml:space="preserve"> </w:t>
      </w:r>
    </w:p>
    <w:p w14:paraId="44B9DC4C" w14:textId="5460FE29" w:rsidR="00202866" w:rsidRPr="00EC13D0" w:rsidRDefault="00202866" w:rsidP="00EC13D0">
      <w:pPr>
        <w:pStyle w:val="Heading2"/>
        <w:spacing w:before="480" w:after="120"/>
        <w:ind w:left="547" w:right="-720" w:hanging="547"/>
      </w:pPr>
      <w:bookmarkStart w:id="8" w:name="FoundationalProg"/>
      <w:r w:rsidRPr="007F42CB">
        <w:t xml:space="preserve">2.3. </w:t>
      </w:r>
      <w:bookmarkEnd w:id="8"/>
      <w:r w:rsidRPr="007F42CB">
        <w:t xml:space="preserve">Programmes </w:t>
      </w:r>
    </w:p>
    <w:p w14:paraId="29452D6C" w14:textId="61DB9D0E" w:rsidR="00202866" w:rsidRDefault="00202866" w:rsidP="00480593">
      <w:pPr>
        <w:rPr>
          <w:rFonts w:eastAsia="Helvetica Neue"/>
        </w:rPr>
      </w:pPr>
      <w:r w:rsidRPr="00A64CBE">
        <w:rPr>
          <w:rFonts w:eastAsia="Helvetica Neue"/>
        </w:rPr>
        <w:t>Ensuring that GBV and SRHR service programmes are non-discriminatory and disability-sensitive requires a comprehensive assessment and ongoing monitoring of all stages of a programmes life cycle to ensure that barriers do not arise and that existing barriers are addressed for women or young pe</w:t>
      </w:r>
      <w:r w:rsidR="007215A6">
        <w:rPr>
          <w:rFonts w:eastAsia="Helvetica Neue"/>
        </w:rPr>
        <w:t>rsons</w:t>
      </w:r>
      <w:r w:rsidRPr="00A64CBE">
        <w:rPr>
          <w:rFonts w:eastAsia="Helvetica Neue"/>
        </w:rPr>
        <w:t xml:space="preserve"> with disabilities in accessing services. The following guidelines are essential to ensuring non-discriminatory programming: </w:t>
      </w:r>
    </w:p>
    <w:p w14:paraId="4D1CEB5F" w14:textId="046D5192" w:rsidR="00202866" w:rsidRPr="00417440" w:rsidRDefault="00B86F5C" w:rsidP="003C6133">
      <w:pPr>
        <w:pStyle w:val="Heading4"/>
        <w:spacing w:before="480"/>
      </w:pPr>
      <w:r w:rsidRPr="003D62AE">
        <w:t>Guidelines for Action:</w:t>
      </w:r>
      <w:r w:rsidR="00417440">
        <w:t xml:space="preserve"> </w:t>
      </w:r>
      <w:r w:rsidR="00202866" w:rsidRPr="006419F3">
        <w:t>Engagement</w:t>
      </w:r>
      <w:r w:rsidR="00202866" w:rsidRPr="00417440">
        <w:rPr>
          <w:rFonts w:eastAsia="Helvetica Neue"/>
        </w:rPr>
        <w:t xml:space="preserve"> of Women and Young Pe</w:t>
      </w:r>
      <w:r w:rsidRPr="00417440">
        <w:rPr>
          <w:rFonts w:eastAsia="Helvetica Neue"/>
        </w:rPr>
        <w:t>rsons</w:t>
      </w:r>
      <w:r w:rsidR="00202866" w:rsidRPr="00417440">
        <w:rPr>
          <w:rFonts w:eastAsia="Helvetica Neue"/>
        </w:rPr>
        <w:t xml:space="preserve"> with Disabilities</w:t>
      </w:r>
    </w:p>
    <w:p w14:paraId="34A50124" w14:textId="50E8411C" w:rsidR="00202866" w:rsidRPr="00A64CBE" w:rsidRDefault="00202866" w:rsidP="00417440">
      <w:pPr>
        <w:pStyle w:val="ListParagraph"/>
      </w:pPr>
      <w:r w:rsidRPr="00480593">
        <w:rPr>
          <w:rFonts w:eastAsia="Helvetica Neue"/>
        </w:rPr>
        <w:t>Self-advocacy</w:t>
      </w:r>
      <w:r w:rsidRPr="00480593">
        <w:rPr>
          <w:rFonts w:eastAsia="Helvetica Neue"/>
          <w:b/>
        </w:rPr>
        <w:t xml:space="preserve"> </w:t>
      </w:r>
      <w:r w:rsidRPr="00480593">
        <w:rPr>
          <w:rFonts w:eastAsia="Helvetica Neue"/>
        </w:rPr>
        <w:t>is a key element of the disability rights movement globally. It refers to the concept that pe</w:t>
      </w:r>
      <w:r w:rsidR="00B86F5C" w:rsidRPr="00480593">
        <w:rPr>
          <w:rFonts w:eastAsia="Helvetica Neue"/>
        </w:rPr>
        <w:t>rsons</w:t>
      </w:r>
      <w:r w:rsidRPr="00480593">
        <w:rPr>
          <w:rFonts w:eastAsia="Helvetica Neue"/>
        </w:rPr>
        <w:t xml:space="preserve"> with disabilities are capable of and most effective in advocating for their own rights and needs. Self-advocates advocate for their own rights, the rights of others, and for the assistance they require to support their own advocacy. Disabled </w:t>
      </w:r>
      <w:r w:rsidR="00743375">
        <w:rPr>
          <w:rFonts w:eastAsia="Helvetica Neue"/>
        </w:rPr>
        <w:t>Persons</w:t>
      </w:r>
      <w:r w:rsidR="00743375" w:rsidRPr="00480593">
        <w:rPr>
          <w:rFonts w:eastAsia="Helvetica Neue"/>
        </w:rPr>
        <w:t xml:space="preserve"> </w:t>
      </w:r>
      <w:r w:rsidRPr="00480593">
        <w:rPr>
          <w:rFonts w:eastAsia="Helvetica Neue"/>
        </w:rPr>
        <w:t xml:space="preserve">Organizations are a key mechanism for supporting and organizing self-advocates. Self-advocates must be actively involved in all decisions affecting their rights. This principle of participation is captured by the </w:t>
      </w:r>
      <w:r w:rsidR="000E742B" w:rsidRPr="00480593">
        <w:rPr>
          <w:rFonts w:eastAsia="Helvetica Neue"/>
        </w:rPr>
        <w:t xml:space="preserve">disability rights </w:t>
      </w:r>
      <w:r w:rsidRPr="00480593">
        <w:rPr>
          <w:rFonts w:eastAsia="Helvetica Neue"/>
        </w:rPr>
        <w:t>movement’s motto—</w:t>
      </w:r>
      <w:r w:rsidR="000E742B" w:rsidRPr="00480593">
        <w:rPr>
          <w:rFonts w:eastAsia="Helvetica Neue"/>
        </w:rPr>
        <w:t>Nothing About Us Without U</w:t>
      </w:r>
      <w:r w:rsidRPr="00480593">
        <w:rPr>
          <w:rFonts w:eastAsia="Helvetica Neue"/>
        </w:rPr>
        <w:t xml:space="preserve">s. </w:t>
      </w:r>
    </w:p>
    <w:p w14:paraId="09458F55" w14:textId="77777777" w:rsidR="0094756C" w:rsidRPr="0094756C" w:rsidRDefault="00202866" w:rsidP="006E6012">
      <w:pPr>
        <w:pStyle w:val="ListParagraph"/>
        <w:numPr>
          <w:ilvl w:val="0"/>
          <w:numId w:val="14"/>
        </w:numPr>
      </w:pPr>
      <w:r w:rsidRPr="00480593">
        <w:rPr>
          <w:rFonts w:eastAsia="Helvetica Neue"/>
        </w:rPr>
        <w:t>Engage women and young pe</w:t>
      </w:r>
      <w:r w:rsidR="00B86F5C" w:rsidRPr="00480593">
        <w:rPr>
          <w:rFonts w:eastAsia="Helvetica Neue"/>
        </w:rPr>
        <w:t>rsons</w:t>
      </w:r>
      <w:r w:rsidRPr="00480593">
        <w:rPr>
          <w:rFonts w:eastAsia="Helvetica Neue"/>
        </w:rPr>
        <w:t xml:space="preserve"> with a range of disabilities in GBV and SRHR programme development and implementation. </w:t>
      </w:r>
    </w:p>
    <w:p w14:paraId="4325DDC4" w14:textId="2D6EA891" w:rsidR="00202866" w:rsidRPr="00A64CBE" w:rsidRDefault="00202866" w:rsidP="006E6012">
      <w:pPr>
        <w:pStyle w:val="ListParagraph"/>
        <w:numPr>
          <w:ilvl w:val="1"/>
          <w:numId w:val="14"/>
        </w:numPr>
      </w:pPr>
      <w:r w:rsidRPr="0094756C">
        <w:rPr>
          <w:rFonts w:eastAsia="Helvetica Neue"/>
        </w:rPr>
        <w:t>Women and young pe</w:t>
      </w:r>
      <w:r w:rsidR="00B86F5C" w:rsidRPr="0094756C">
        <w:rPr>
          <w:rFonts w:eastAsia="Helvetica Neue"/>
        </w:rPr>
        <w:t>rsons</w:t>
      </w:r>
      <w:r w:rsidRPr="0094756C">
        <w:rPr>
          <w:rFonts w:eastAsia="Helvetica Neue"/>
        </w:rPr>
        <w:t xml:space="preserve"> with disabilities should participate in developing programmes and offering input and feedback</w:t>
      </w:r>
      <w:r w:rsidRPr="0094756C">
        <w:rPr>
          <w:rFonts w:eastAsia="Helvetica Neue"/>
          <w:b/>
        </w:rPr>
        <w:t xml:space="preserve"> </w:t>
      </w:r>
      <w:r w:rsidRPr="0094756C">
        <w:rPr>
          <w:rFonts w:eastAsia="Helvetica Neue"/>
        </w:rPr>
        <w:t xml:space="preserve">at all stages (planning, design, implementation, and monitoring) and relating to all components (training, staffing, facility, etc.). </w:t>
      </w:r>
    </w:p>
    <w:p w14:paraId="65820CAA" w14:textId="77777777" w:rsidR="0094756C" w:rsidRPr="0094756C" w:rsidRDefault="00202866" w:rsidP="006E6012">
      <w:pPr>
        <w:pStyle w:val="ListParagraph"/>
        <w:numPr>
          <w:ilvl w:val="1"/>
          <w:numId w:val="14"/>
        </w:numPr>
      </w:pPr>
      <w:r w:rsidRPr="00480593">
        <w:rPr>
          <w:rFonts w:eastAsia="Helvetica Neue"/>
        </w:rPr>
        <w:t>Implement a participatory design and evaluation process</w:t>
      </w:r>
      <w:r w:rsidRPr="00480593">
        <w:rPr>
          <w:rFonts w:eastAsia="Helvetica Neue"/>
          <w:b/>
        </w:rPr>
        <w:t xml:space="preserve"> </w:t>
      </w:r>
      <w:r w:rsidRPr="00480593">
        <w:rPr>
          <w:rFonts w:eastAsia="Helvetica Neue"/>
        </w:rPr>
        <w:t>with women and young pe</w:t>
      </w:r>
      <w:r w:rsidR="00B86F5C" w:rsidRPr="00480593">
        <w:rPr>
          <w:rFonts w:eastAsia="Helvetica Neue"/>
        </w:rPr>
        <w:t>rsons</w:t>
      </w:r>
      <w:r w:rsidRPr="00480593">
        <w:rPr>
          <w:rFonts w:eastAsia="Helvetica Neue"/>
        </w:rPr>
        <w:t xml:space="preserve"> with disabilities</w:t>
      </w:r>
      <w:r w:rsidRPr="00480593">
        <w:rPr>
          <w:rFonts w:eastAsia="Helvetica Neue"/>
          <w:b/>
        </w:rPr>
        <w:t xml:space="preserve"> </w:t>
      </w:r>
      <w:r w:rsidRPr="00480593">
        <w:rPr>
          <w:rFonts w:eastAsia="Helvetica Neue"/>
        </w:rPr>
        <w:t>for all programmes. This enables women and young pe</w:t>
      </w:r>
      <w:r w:rsidR="00B86F5C" w:rsidRPr="00480593">
        <w:rPr>
          <w:rFonts w:eastAsia="Helvetica Neue"/>
        </w:rPr>
        <w:t>rsons</w:t>
      </w:r>
      <w:r w:rsidRPr="00480593">
        <w:rPr>
          <w:rFonts w:eastAsia="Helvetica Neue"/>
        </w:rPr>
        <w:t xml:space="preserve"> with disabilities to determine programme priorities and give feedback to improve a programme. Effective participation can also facilitate engagement of caregivers and increase confidence of participants. </w:t>
      </w:r>
    </w:p>
    <w:p w14:paraId="76D2D11D" w14:textId="77777777" w:rsidR="0094756C" w:rsidRPr="0094756C" w:rsidRDefault="00202866" w:rsidP="006E6012">
      <w:pPr>
        <w:pStyle w:val="ListParagraph"/>
        <w:numPr>
          <w:ilvl w:val="1"/>
          <w:numId w:val="14"/>
        </w:numPr>
      </w:pPr>
      <w:r w:rsidRPr="0094756C">
        <w:rPr>
          <w:rFonts w:eastAsia="Helvetica Neue"/>
        </w:rPr>
        <w:lastRenderedPageBreak/>
        <w:t>The following are some examples of key entry points to engage women and young pe</w:t>
      </w:r>
      <w:r w:rsidR="00B86F5C" w:rsidRPr="0094756C">
        <w:rPr>
          <w:rFonts w:eastAsia="Helvetica Neue"/>
        </w:rPr>
        <w:t>rson</w:t>
      </w:r>
      <w:r w:rsidRPr="0094756C">
        <w:rPr>
          <w:rFonts w:eastAsia="Helvetica Neue"/>
        </w:rPr>
        <w:t>’s participation:</w:t>
      </w:r>
    </w:p>
    <w:p w14:paraId="5BC6DC3F" w14:textId="77777777" w:rsidR="0094756C" w:rsidRPr="0094756C" w:rsidRDefault="00202866" w:rsidP="006E6012">
      <w:pPr>
        <w:pStyle w:val="ListParagraph"/>
        <w:numPr>
          <w:ilvl w:val="2"/>
          <w:numId w:val="14"/>
        </w:numPr>
      </w:pPr>
      <w:r w:rsidRPr="0094756C">
        <w:rPr>
          <w:rFonts w:eastAsia="Helvetica Neue"/>
        </w:rPr>
        <w:t>Map local organizations, including organizations of women and young pe</w:t>
      </w:r>
      <w:r w:rsidR="00B86F5C" w:rsidRPr="0094756C">
        <w:rPr>
          <w:rFonts w:eastAsia="Helvetica Neue"/>
        </w:rPr>
        <w:t>rsons</w:t>
      </w:r>
      <w:r w:rsidRPr="0094756C">
        <w:rPr>
          <w:rFonts w:eastAsia="Helvetica Neue"/>
        </w:rPr>
        <w:t xml:space="preserve"> with disabilities, to engage in the coordination mechanisms.</w:t>
      </w:r>
    </w:p>
    <w:p w14:paraId="3C1A11CF" w14:textId="77777777" w:rsidR="0094756C" w:rsidRPr="0094756C" w:rsidRDefault="00202866" w:rsidP="006E6012">
      <w:pPr>
        <w:pStyle w:val="ListParagraph"/>
        <w:numPr>
          <w:ilvl w:val="2"/>
          <w:numId w:val="14"/>
        </w:numPr>
      </w:pPr>
      <w:r w:rsidRPr="0094756C">
        <w:rPr>
          <w:rFonts w:eastAsia="Helvetica Neue"/>
        </w:rPr>
        <w:t>Set criteria that a certain percentage of community committees, associations, volunteers, and workers will be women and young pe</w:t>
      </w:r>
      <w:r w:rsidR="00B86F5C" w:rsidRPr="0094756C">
        <w:rPr>
          <w:rFonts w:eastAsia="Helvetica Neue"/>
        </w:rPr>
        <w:t>rsons</w:t>
      </w:r>
      <w:r w:rsidRPr="0094756C">
        <w:rPr>
          <w:rFonts w:eastAsia="Helvetica Neue"/>
        </w:rPr>
        <w:t xml:space="preserve"> with disabilities.</w:t>
      </w:r>
    </w:p>
    <w:p w14:paraId="46DB92A1" w14:textId="77777777" w:rsidR="0094756C" w:rsidRPr="0094756C" w:rsidRDefault="00202866" w:rsidP="006E6012">
      <w:pPr>
        <w:pStyle w:val="ListParagraph"/>
        <w:numPr>
          <w:ilvl w:val="2"/>
          <w:numId w:val="14"/>
        </w:numPr>
      </w:pPr>
      <w:r w:rsidRPr="0094756C">
        <w:rPr>
          <w:rFonts w:eastAsia="Helvetica Neue"/>
        </w:rPr>
        <w:t>During humanitarian emergencies, include women and young pe</w:t>
      </w:r>
      <w:r w:rsidR="00F81F68" w:rsidRPr="0094756C">
        <w:rPr>
          <w:rFonts w:eastAsia="Helvetica Neue"/>
        </w:rPr>
        <w:t>rsons</w:t>
      </w:r>
      <w:r w:rsidRPr="0094756C">
        <w:rPr>
          <w:rFonts w:eastAsia="Helvetica Neue"/>
        </w:rPr>
        <w:t xml:space="preserve"> with disabilities in rapid needs assessments, and disaggregate data by age, gender, socio-economic status and disability to understand who is and is not using GBV and SRHR services. </w:t>
      </w:r>
    </w:p>
    <w:p w14:paraId="5B79364A" w14:textId="77777777" w:rsidR="0094756C" w:rsidRPr="0094756C" w:rsidRDefault="00202866" w:rsidP="006E6012">
      <w:pPr>
        <w:pStyle w:val="ListParagraph"/>
        <w:numPr>
          <w:ilvl w:val="1"/>
          <w:numId w:val="14"/>
        </w:numPr>
      </w:pPr>
      <w:r w:rsidRPr="0094756C">
        <w:rPr>
          <w:rFonts w:eastAsia="Helvetica Neue"/>
        </w:rPr>
        <w:t>Participation is equally as important during humanitarian emergencies. Feedback should, however, be solicited in an ongoing cycle throughout the emergency and post-emergency period. This includes engagement in the setting of priorities for aid distribution</w:t>
      </w:r>
      <w:r w:rsidRPr="00A64CBE">
        <w:rPr>
          <w:rFonts w:eastAsia="Helvetica Neue"/>
          <w:vertAlign w:val="superscript"/>
        </w:rPr>
        <w:endnoteReference w:id="103"/>
      </w:r>
      <w:r w:rsidRPr="0094756C">
        <w:rPr>
          <w:rFonts w:eastAsia="Helvetica Neue"/>
        </w:rPr>
        <w:t xml:space="preserve"> and the peacebuilding process.</w:t>
      </w:r>
      <w:r w:rsidRPr="00A64CBE">
        <w:rPr>
          <w:rFonts w:eastAsia="Helvetica Neue"/>
          <w:vertAlign w:val="superscript"/>
        </w:rPr>
        <w:endnoteReference w:id="104"/>
      </w:r>
    </w:p>
    <w:p w14:paraId="4C5ADD4A" w14:textId="551681AA" w:rsidR="00F81F68" w:rsidRPr="002A0ED7" w:rsidRDefault="00202866" w:rsidP="006E6012">
      <w:pPr>
        <w:pStyle w:val="ListParagraph"/>
        <w:numPr>
          <w:ilvl w:val="1"/>
          <w:numId w:val="14"/>
        </w:numPr>
      </w:pPr>
      <w:r w:rsidRPr="0094756C">
        <w:rPr>
          <w:rFonts w:eastAsia="Helvetica Neue"/>
        </w:rPr>
        <w:t>Recognize and respect women and young pe</w:t>
      </w:r>
      <w:r w:rsidR="00F81F68" w:rsidRPr="0094756C">
        <w:rPr>
          <w:rFonts w:eastAsia="Helvetica Neue"/>
        </w:rPr>
        <w:t>rsons</w:t>
      </w:r>
      <w:r w:rsidRPr="0094756C">
        <w:rPr>
          <w:rFonts w:eastAsia="Helvetica Neue"/>
        </w:rPr>
        <w:t xml:space="preserve"> with disabilities’ intersecting identities and ensure that services are sensitive and responsive to each identity. For example, a woman with a disability may also identify as a member of a minority group or indigenous community; live in a rural area; be a refugee or an internally displaced person; or identify as lesbian, gay, bisexual, transgender, or intersex (LGBTI).</w:t>
      </w:r>
      <w:r w:rsidRPr="00A64CBE">
        <w:rPr>
          <w:rFonts w:eastAsia="Helvetica Neue"/>
          <w:vertAlign w:val="superscript"/>
        </w:rPr>
        <w:endnoteReference w:id="105"/>
      </w:r>
      <w:r w:rsidRPr="0094756C">
        <w:rPr>
          <w:rFonts w:eastAsia="Helvetica Neue"/>
        </w:rPr>
        <w:t xml:space="preserve"> </w:t>
      </w:r>
    </w:p>
    <w:p w14:paraId="36E2113C" w14:textId="5B2665DA" w:rsidR="00202866" w:rsidRPr="00417440" w:rsidRDefault="00F81F68" w:rsidP="003C6133">
      <w:pPr>
        <w:pStyle w:val="Heading4"/>
        <w:spacing w:before="480"/>
      </w:pPr>
      <w:r w:rsidRPr="003D62AE">
        <w:t>Guidelines for Action:</w:t>
      </w:r>
      <w:r w:rsidR="00417440">
        <w:t xml:space="preserve"> </w:t>
      </w:r>
      <w:r w:rsidR="00202866" w:rsidRPr="00417440">
        <w:rPr>
          <w:rFonts w:eastAsia="Helvetica Neue"/>
        </w:rPr>
        <w:t xml:space="preserve">Capacity </w:t>
      </w:r>
      <w:r w:rsidR="00202866" w:rsidRPr="003C6133">
        <w:rPr>
          <w:rFonts w:eastAsia="Helvetica Neue"/>
        </w:rPr>
        <w:t>Building</w:t>
      </w:r>
      <w:r w:rsidR="00202866" w:rsidRPr="00417440">
        <w:rPr>
          <w:rFonts w:eastAsia="Helvetica Neue"/>
        </w:rPr>
        <w:t xml:space="preserve"> </w:t>
      </w:r>
    </w:p>
    <w:p w14:paraId="544DB990" w14:textId="77777777" w:rsidR="00505A56" w:rsidRPr="00505A56" w:rsidRDefault="00202866" w:rsidP="006E6012">
      <w:pPr>
        <w:pStyle w:val="ListParagraph"/>
        <w:numPr>
          <w:ilvl w:val="0"/>
          <w:numId w:val="25"/>
        </w:numPr>
      </w:pPr>
      <w:r w:rsidRPr="002A0ED7">
        <w:rPr>
          <w:rFonts w:eastAsia="Helvetica Neue"/>
          <w:b/>
        </w:rPr>
        <w:t>Develop the capacity</w:t>
      </w:r>
      <w:r w:rsidRPr="002A0ED7">
        <w:rPr>
          <w:rFonts w:eastAsia="Helvetica Neue"/>
        </w:rPr>
        <w:t xml:space="preserve"> of both rights holders (women and young pe</w:t>
      </w:r>
      <w:r w:rsidR="00F81F68" w:rsidRPr="002A0ED7">
        <w:rPr>
          <w:rFonts w:eastAsia="Helvetica Neue"/>
        </w:rPr>
        <w:t>rsons</w:t>
      </w:r>
      <w:r w:rsidRPr="002A0ED7">
        <w:rPr>
          <w:rFonts w:eastAsia="Helvetica Neue"/>
        </w:rPr>
        <w:t xml:space="preserve"> with disabilities) and duty bearers (service providers and support staff). </w:t>
      </w:r>
    </w:p>
    <w:p w14:paraId="7A402DDB" w14:textId="77777777" w:rsidR="00505A56" w:rsidRPr="00505A56" w:rsidRDefault="00202866" w:rsidP="006E6012">
      <w:pPr>
        <w:pStyle w:val="ListParagraph"/>
        <w:numPr>
          <w:ilvl w:val="1"/>
          <w:numId w:val="25"/>
        </w:numPr>
      </w:pPr>
      <w:r w:rsidRPr="00505A56">
        <w:rPr>
          <w:rFonts w:eastAsia="Helvetica Neue"/>
          <w:b/>
        </w:rPr>
        <w:t>Rights holders</w:t>
      </w:r>
      <w:r w:rsidRPr="00505A56">
        <w:rPr>
          <w:rFonts w:eastAsia="Helvetica Neue"/>
        </w:rPr>
        <w:t>: Support women and young pe</w:t>
      </w:r>
      <w:r w:rsidR="00F81F68" w:rsidRPr="00505A56">
        <w:rPr>
          <w:rFonts w:eastAsia="Helvetica Neue"/>
        </w:rPr>
        <w:t>rsons</w:t>
      </w:r>
      <w:r w:rsidRPr="00505A56">
        <w:rPr>
          <w:rFonts w:eastAsia="Helvetica Neue"/>
        </w:rPr>
        <w:t xml:space="preserve"> with disabilities to understand and enforce their rights through targeted capacity-development programmes. Such programmes generally fall into three categories: </w:t>
      </w:r>
      <w:r w:rsidRPr="00505A56">
        <w:rPr>
          <w:rFonts w:eastAsia="Helvetica Neue"/>
          <w:b/>
        </w:rPr>
        <w:t>(1)</w:t>
      </w:r>
      <w:r w:rsidRPr="00505A56">
        <w:rPr>
          <w:rFonts w:eastAsia="Helvetica Neue"/>
        </w:rPr>
        <w:t xml:space="preserve"> programming developed for women and young pe</w:t>
      </w:r>
      <w:r w:rsidR="00F81F68" w:rsidRPr="00505A56">
        <w:rPr>
          <w:rFonts w:eastAsia="Helvetica Neue"/>
        </w:rPr>
        <w:t>rsons</w:t>
      </w:r>
      <w:r w:rsidRPr="00505A56">
        <w:rPr>
          <w:rFonts w:eastAsia="Helvetica Neue"/>
        </w:rPr>
        <w:t xml:space="preserve"> with disabilities to improve their knowledge and understanding of their rights and available services; </w:t>
      </w:r>
      <w:r w:rsidRPr="00505A56">
        <w:rPr>
          <w:rFonts w:eastAsia="Helvetica Neue"/>
          <w:b/>
        </w:rPr>
        <w:t>(2)</w:t>
      </w:r>
      <w:r w:rsidRPr="00505A56">
        <w:rPr>
          <w:rFonts w:eastAsia="Helvetica Neue"/>
        </w:rPr>
        <w:t xml:space="preserve"> ongoing feedback and engagement between women and young pe</w:t>
      </w:r>
      <w:r w:rsidR="00F81F68" w:rsidRPr="00505A56">
        <w:rPr>
          <w:rFonts w:eastAsia="Helvetica Neue"/>
        </w:rPr>
        <w:t>rsons</w:t>
      </w:r>
      <w:r w:rsidRPr="00505A56">
        <w:rPr>
          <w:rFonts w:eastAsia="Helvetica Neue"/>
        </w:rPr>
        <w:t xml:space="preserve"> with disabilities and service providers and support staff; and </w:t>
      </w:r>
      <w:r w:rsidRPr="00505A56">
        <w:rPr>
          <w:rFonts w:eastAsia="Helvetica Neue"/>
          <w:b/>
        </w:rPr>
        <w:t>(3)</w:t>
      </w:r>
      <w:r w:rsidRPr="00505A56">
        <w:rPr>
          <w:rFonts w:eastAsia="Helvetica Neue"/>
        </w:rPr>
        <w:t xml:space="preserve"> leadership and empowerment programmes for women and young pe</w:t>
      </w:r>
      <w:r w:rsidR="00F81F68" w:rsidRPr="00505A56">
        <w:rPr>
          <w:rFonts w:eastAsia="Helvetica Neue"/>
        </w:rPr>
        <w:t>rsons</w:t>
      </w:r>
      <w:r w:rsidRPr="00505A56">
        <w:rPr>
          <w:rFonts w:eastAsia="Helvetica Neue"/>
        </w:rPr>
        <w:t xml:space="preserve"> with disabilities.</w:t>
      </w:r>
    </w:p>
    <w:p w14:paraId="3AF18BBA" w14:textId="77777777" w:rsidR="00505A56" w:rsidRPr="00505A56" w:rsidRDefault="00202866" w:rsidP="006E6012">
      <w:pPr>
        <w:pStyle w:val="ListParagraph"/>
        <w:numPr>
          <w:ilvl w:val="2"/>
          <w:numId w:val="25"/>
        </w:numPr>
      </w:pPr>
      <w:r w:rsidRPr="00505A56">
        <w:rPr>
          <w:rFonts w:eastAsia="Helvetica Neue"/>
        </w:rPr>
        <w:t>Establish support groups and peer-to-peer networks led and structured by women and young pe</w:t>
      </w:r>
      <w:r w:rsidR="00F81F68" w:rsidRPr="00505A56">
        <w:rPr>
          <w:rFonts w:eastAsia="Helvetica Neue"/>
        </w:rPr>
        <w:t>rsons</w:t>
      </w:r>
      <w:r w:rsidRPr="00505A56">
        <w:rPr>
          <w:rFonts w:eastAsia="Helvetica Neue"/>
        </w:rPr>
        <w:t xml:space="preserve"> with disabilities coupled with ongoing support, as needed.</w:t>
      </w:r>
    </w:p>
    <w:p w14:paraId="49522187" w14:textId="77777777" w:rsidR="00505A56" w:rsidRPr="00505A56" w:rsidRDefault="00202866" w:rsidP="006E6012">
      <w:pPr>
        <w:pStyle w:val="ListParagraph"/>
        <w:numPr>
          <w:ilvl w:val="2"/>
          <w:numId w:val="14"/>
        </w:numPr>
        <w:rPr>
          <w:b/>
        </w:rPr>
      </w:pPr>
      <w:r w:rsidRPr="00505A56">
        <w:rPr>
          <w:rFonts w:eastAsia="Helvetica Neue"/>
        </w:rPr>
        <w:t>Make spaces for capacity development safe for and inclusive of women and young pe</w:t>
      </w:r>
      <w:r w:rsidR="00F81F68" w:rsidRPr="00505A56">
        <w:rPr>
          <w:rFonts w:eastAsia="Helvetica Neue"/>
        </w:rPr>
        <w:t>rsons</w:t>
      </w:r>
      <w:r w:rsidRPr="00505A56">
        <w:rPr>
          <w:rFonts w:eastAsia="Helvetica Neue"/>
        </w:rPr>
        <w:t xml:space="preserve"> with disabilities from a variety of backgrounds and identities</w:t>
      </w:r>
      <w:r w:rsidR="00505A56" w:rsidRPr="00505A56">
        <w:rPr>
          <w:rFonts w:eastAsia="Helvetica Neue"/>
        </w:rPr>
        <w:t>.</w:t>
      </w:r>
    </w:p>
    <w:p w14:paraId="356167F1" w14:textId="77777777" w:rsidR="00505A56" w:rsidRPr="00505A56" w:rsidRDefault="00202866" w:rsidP="006E6012">
      <w:pPr>
        <w:pStyle w:val="ListParagraph"/>
        <w:numPr>
          <w:ilvl w:val="2"/>
          <w:numId w:val="14"/>
        </w:numPr>
        <w:rPr>
          <w:b/>
        </w:rPr>
      </w:pPr>
      <w:r w:rsidRPr="00505A56">
        <w:rPr>
          <w:rFonts w:eastAsia="Helvetica Neue"/>
        </w:rPr>
        <w:t>Involve both people with and without disabilities in age- and gender-appropriate capacity-development programmes,</w:t>
      </w:r>
      <w:r w:rsidRPr="00A64CBE">
        <w:rPr>
          <w:rFonts w:eastAsia="Helvetica Neue"/>
          <w:vertAlign w:val="superscript"/>
        </w:rPr>
        <w:endnoteReference w:id="106"/>
      </w:r>
      <w:r w:rsidRPr="00505A56">
        <w:rPr>
          <w:rFonts w:eastAsia="Helvetica Neue"/>
        </w:rPr>
        <w:t xml:space="preserve"> and engage allies, such as caregivers and family members, in such programmes</w:t>
      </w:r>
      <w:r w:rsidR="00505A56" w:rsidRPr="00505A56">
        <w:rPr>
          <w:rFonts w:eastAsia="Helvetica Neue"/>
        </w:rPr>
        <w:t>.</w:t>
      </w:r>
    </w:p>
    <w:p w14:paraId="677051FA" w14:textId="77777777" w:rsidR="00505A56" w:rsidRPr="00505A56" w:rsidRDefault="00202866" w:rsidP="006E6012">
      <w:pPr>
        <w:pStyle w:val="ListParagraph"/>
        <w:numPr>
          <w:ilvl w:val="2"/>
          <w:numId w:val="14"/>
        </w:numPr>
        <w:rPr>
          <w:b/>
        </w:rPr>
      </w:pPr>
      <w:r w:rsidRPr="00505A56">
        <w:rPr>
          <w:rFonts w:eastAsia="Helvetica Neue"/>
        </w:rPr>
        <w:t xml:space="preserve">Develop programmes that make space for varying communication and engagement styles, recognizing that participation looks different for everyone. For example, a </w:t>
      </w:r>
      <w:r w:rsidRPr="00505A56">
        <w:rPr>
          <w:rFonts w:eastAsia="Helvetica Neue"/>
        </w:rPr>
        <w:lastRenderedPageBreak/>
        <w:t>service recipient with an intellectual disability may require more time to provide feedback or alternative communication formats. Programmes should be built to allow the space and flexibility for different forms of participation.</w:t>
      </w:r>
      <w:r w:rsidRPr="00A64CBE">
        <w:rPr>
          <w:rFonts w:eastAsia="Helvetica Neue"/>
          <w:vertAlign w:val="superscript"/>
        </w:rPr>
        <w:endnoteReference w:id="107"/>
      </w:r>
    </w:p>
    <w:p w14:paraId="1738DC48" w14:textId="77777777" w:rsidR="00505A56" w:rsidRPr="00505A56" w:rsidRDefault="00202866" w:rsidP="006E6012">
      <w:pPr>
        <w:pStyle w:val="ListParagraph"/>
        <w:numPr>
          <w:ilvl w:val="2"/>
          <w:numId w:val="14"/>
        </w:numPr>
        <w:rPr>
          <w:b/>
        </w:rPr>
      </w:pPr>
      <w:r w:rsidRPr="00505A56">
        <w:rPr>
          <w:rFonts w:eastAsia="Helvetica Neue"/>
        </w:rPr>
        <w:t xml:space="preserve">Create multiple trainings tailored for the audience’s disability-related needs to effectively relay pertinent information. </w:t>
      </w:r>
    </w:p>
    <w:p w14:paraId="2B20BBD9" w14:textId="77777777" w:rsidR="00505A56" w:rsidRPr="00505A56" w:rsidRDefault="00202866" w:rsidP="006E6012">
      <w:pPr>
        <w:pStyle w:val="ListParagraph"/>
        <w:numPr>
          <w:ilvl w:val="2"/>
          <w:numId w:val="14"/>
        </w:numPr>
        <w:rPr>
          <w:b/>
        </w:rPr>
      </w:pPr>
      <w:r w:rsidRPr="00505A56">
        <w:rPr>
          <w:rFonts w:eastAsia="Helvetica Neue"/>
        </w:rPr>
        <w:t>Offer ongoing training and mentorship programmes for women and young pe</w:t>
      </w:r>
      <w:r w:rsidR="00DF555A" w:rsidRPr="00505A56">
        <w:rPr>
          <w:rFonts w:eastAsia="Helvetica Neue"/>
        </w:rPr>
        <w:t>rsons</w:t>
      </w:r>
      <w:r w:rsidRPr="00505A56">
        <w:rPr>
          <w:rFonts w:eastAsia="Helvetica Neue"/>
        </w:rPr>
        <w:t xml:space="preserve"> with disabilities to serve and be supported as leaders, service providers, support staff, and advisers.</w:t>
      </w:r>
    </w:p>
    <w:p w14:paraId="5F67201D" w14:textId="77777777" w:rsidR="00505A56" w:rsidRPr="00505A56" w:rsidRDefault="00202866" w:rsidP="006E6012">
      <w:pPr>
        <w:pStyle w:val="ListParagraph"/>
        <w:numPr>
          <w:ilvl w:val="1"/>
          <w:numId w:val="14"/>
        </w:numPr>
        <w:rPr>
          <w:b/>
        </w:rPr>
      </w:pPr>
      <w:r w:rsidRPr="00505A56">
        <w:rPr>
          <w:rFonts w:eastAsia="Helvetica Neue"/>
          <w:b/>
        </w:rPr>
        <w:t>Duty bearers:</w:t>
      </w:r>
      <w:r w:rsidRPr="00505A56">
        <w:rPr>
          <w:rFonts w:eastAsia="Helvetica Neue"/>
        </w:rPr>
        <w:t xml:space="preserve"> Deliver comprehensive training programmes for service providers and support staff about </w:t>
      </w:r>
      <w:r w:rsidR="00186187" w:rsidRPr="00505A56">
        <w:rPr>
          <w:rFonts w:eastAsia="Helvetica Neue"/>
        </w:rPr>
        <w:t>disability inclusion, including the needs and</w:t>
      </w:r>
      <w:r w:rsidRPr="00505A56">
        <w:rPr>
          <w:rFonts w:eastAsia="Helvetica Neue"/>
        </w:rPr>
        <w:t xml:space="preserve"> experiences</w:t>
      </w:r>
      <w:r w:rsidR="00186187" w:rsidRPr="00505A56">
        <w:rPr>
          <w:rFonts w:eastAsia="Helvetica Neue"/>
        </w:rPr>
        <w:t xml:space="preserve"> of women and young pe</w:t>
      </w:r>
      <w:r w:rsidR="00DF555A" w:rsidRPr="00505A56">
        <w:rPr>
          <w:rFonts w:eastAsia="Helvetica Neue"/>
        </w:rPr>
        <w:t>rsons</w:t>
      </w:r>
      <w:r w:rsidR="00186187" w:rsidRPr="00505A56">
        <w:rPr>
          <w:rFonts w:eastAsia="Helvetica Neue"/>
        </w:rPr>
        <w:t xml:space="preserve"> with disabilities, accessibility mechanisms and techniques, and</w:t>
      </w:r>
      <w:r w:rsidRPr="00505A56">
        <w:rPr>
          <w:rFonts w:eastAsia="Helvetica Neue"/>
        </w:rPr>
        <w:t xml:space="preserve"> </w:t>
      </w:r>
      <w:r w:rsidR="000E742B" w:rsidRPr="00505A56">
        <w:rPr>
          <w:rFonts w:eastAsia="Helvetica Neue"/>
        </w:rPr>
        <w:t>reasonable accommodations</w:t>
      </w:r>
      <w:r w:rsidRPr="00505A56">
        <w:rPr>
          <w:rFonts w:eastAsia="Helvetica Neue"/>
        </w:rPr>
        <w:t>.</w:t>
      </w:r>
      <w:r w:rsidRPr="00C03F69">
        <w:rPr>
          <w:rStyle w:val="EndnoteReference"/>
          <w:rFonts w:eastAsia="Helvetica Neue"/>
        </w:rPr>
        <w:endnoteReference w:id="108"/>
      </w:r>
      <w:r w:rsidRPr="00505A56">
        <w:rPr>
          <w:rStyle w:val="EndnoteReference"/>
          <w:rFonts w:eastAsia="Helvetica Neue"/>
        </w:rPr>
        <w:t xml:space="preserve"> </w:t>
      </w:r>
    </w:p>
    <w:p w14:paraId="7D37A2EB" w14:textId="77777777" w:rsidR="00505A56" w:rsidRPr="00505A56" w:rsidRDefault="00202866" w:rsidP="006E6012">
      <w:pPr>
        <w:pStyle w:val="ListParagraph"/>
        <w:numPr>
          <w:ilvl w:val="2"/>
          <w:numId w:val="14"/>
        </w:numPr>
        <w:rPr>
          <w:b/>
        </w:rPr>
      </w:pPr>
      <w:r w:rsidRPr="00505A56">
        <w:rPr>
          <w:rFonts w:eastAsia="Helvetica Neue"/>
        </w:rPr>
        <w:t>Ensure that training programmes address all different forms of disabilities and associated accessibility needs and offer specific actionable guidance.</w:t>
      </w:r>
    </w:p>
    <w:p w14:paraId="54ACCA71" w14:textId="77777777" w:rsidR="00505A56" w:rsidRPr="00505A56" w:rsidRDefault="00202866" w:rsidP="006E6012">
      <w:pPr>
        <w:pStyle w:val="ListParagraph"/>
        <w:numPr>
          <w:ilvl w:val="2"/>
          <w:numId w:val="14"/>
        </w:numPr>
        <w:rPr>
          <w:b/>
        </w:rPr>
      </w:pPr>
      <w:r w:rsidRPr="00505A56">
        <w:rPr>
          <w:rFonts w:eastAsia="Helvetica Neue"/>
        </w:rPr>
        <w:t>Make training and supportive supervision an ongoing job requirement. Offer continuing education to assist service providers and support staff, e.g. in developing additional and relevant communication skills</w:t>
      </w:r>
      <w:r w:rsidR="00505A56">
        <w:rPr>
          <w:rFonts w:eastAsia="Helvetica Neue"/>
        </w:rPr>
        <w:t>.</w:t>
      </w:r>
    </w:p>
    <w:p w14:paraId="364FA452" w14:textId="77777777" w:rsidR="00505A56" w:rsidRPr="00505A56" w:rsidRDefault="00202866" w:rsidP="006E6012">
      <w:pPr>
        <w:pStyle w:val="ListParagraph"/>
        <w:numPr>
          <w:ilvl w:val="2"/>
          <w:numId w:val="14"/>
        </w:numPr>
        <w:rPr>
          <w:b/>
        </w:rPr>
      </w:pPr>
      <w:r w:rsidRPr="00505A56">
        <w:rPr>
          <w:rFonts w:eastAsia="Helvetica Neue"/>
        </w:rPr>
        <w:t>For service provider roles requiring a certificate or degree, such as a medical degree, create curricular programmes that teach students about providing services to pe</w:t>
      </w:r>
      <w:r w:rsidR="006A6105" w:rsidRPr="00505A56">
        <w:rPr>
          <w:rFonts w:eastAsia="Helvetica Neue"/>
        </w:rPr>
        <w:t>rsons</w:t>
      </w:r>
      <w:r w:rsidRPr="00505A56">
        <w:rPr>
          <w:rFonts w:eastAsia="Helvetica Neue"/>
        </w:rPr>
        <w:t xml:space="preserve"> with disabilities. Programmes must focus on skill development and practical experience and not be limited to concepts of disability inclusivity. </w:t>
      </w:r>
    </w:p>
    <w:p w14:paraId="1C25A226" w14:textId="77777777" w:rsidR="00505A56" w:rsidRPr="00505A56" w:rsidRDefault="00202866" w:rsidP="006E6012">
      <w:pPr>
        <w:pStyle w:val="ListParagraph"/>
        <w:numPr>
          <w:ilvl w:val="2"/>
          <w:numId w:val="14"/>
        </w:numPr>
        <w:rPr>
          <w:b/>
        </w:rPr>
      </w:pPr>
      <w:r w:rsidRPr="00505A56">
        <w:rPr>
          <w:rFonts w:eastAsia="Helvetica Neue"/>
        </w:rPr>
        <w:t>In</w:t>
      </w:r>
      <w:r w:rsidR="00186187" w:rsidRPr="00505A56">
        <w:rPr>
          <w:rFonts w:eastAsia="Helvetica Neue"/>
        </w:rPr>
        <w:t>volve</w:t>
      </w:r>
      <w:r w:rsidRPr="00505A56">
        <w:rPr>
          <w:rFonts w:eastAsia="Helvetica Neue"/>
        </w:rPr>
        <w:t xml:space="preserve"> instructors with a disability whenever possible, as doing so both increases the effectiveness of the training and contributes to the shift in power dynamics that otherwise might contribute to stigma and discrimination. </w:t>
      </w:r>
    </w:p>
    <w:p w14:paraId="496C392A" w14:textId="28D20564" w:rsidR="00202866" w:rsidRPr="00505A56" w:rsidRDefault="00202866" w:rsidP="006E6012">
      <w:pPr>
        <w:pStyle w:val="ListParagraph"/>
        <w:numPr>
          <w:ilvl w:val="2"/>
          <w:numId w:val="14"/>
        </w:numPr>
        <w:rPr>
          <w:b/>
        </w:rPr>
      </w:pPr>
      <w:r w:rsidRPr="00505A56">
        <w:rPr>
          <w:rFonts w:eastAsia="Helvetica Neue"/>
        </w:rPr>
        <w:t>Offer experiential learning opportunities for service providers and support staff that allow them to build confidence in providing services to pe</w:t>
      </w:r>
      <w:r w:rsidR="006A6105" w:rsidRPr="00505A56">
        <w:rPr>
          <w:rFonts w:eastAsia="Helvetica Neue"/>
        </w:rPr>
        <w:t>rsons</w:t>
      </w:r>
      <w:r w:rsidRPr="00505A56">
        <w:rPr>
          <w:rFonts w:eastAsia="Helvetica Neue"/>
        </w:rPr>
        <w:t xml:space="preserve"> with disabilities.</w:t>
      </w:r>
    </w:p>
    <w:p w14:paraId="520B6881" w14:textId="3911A609" w:rsidR="000A0A69" w:rsidRPr="00A6697D" w:rsidRDefault="00382156" w:rsidP="00CD00E1">
      <w:pPr>
        <w:pStyle w:val="Heading4"/>
        <w:ind w:hanging="90"/>
      </w:pPr>
      <w:r w:rsidRPr="00A6697D">
        <w:rPr>
          <w:noProof/>
        </w:rPr>
        <mc:AlternateContent>
          <mc:Choice Requires="wps">
            <w:drawing>
              <wp:inline distT="0" distB="0" distL="0" distR="0" wp14:anchorId="66748401" wp14:editId="5FE760DE">
                <wp:extent cx="5943600" cy="0"/>
                <wp:effectExtent l="0" t="38100" r="25400" b="38100"/>
                <wp:docPr id="41" name="Straight Connector 41" descr="Text box follows"/>
                <wp:cNvGraphicFramePr/>
                <a:graphic xmlns:a="http://schemas.openxmlformats.org/drawingml/2006/main">
                  <a:graphicData uri="http://schemas.microsoft.com/office/word/2010/wordprocessingShape">
                    <wps:wsp>
                      <wps:cNvCnPr/>
                      <wps:spPr>
                        <a:xfrm>
                          <a:off x="0" y="0"/>
                          <a:ext cx="5943600" cy="0"/>
                        </a:xfrm>
                        <a:prstGeom prst="line">
                          <a:avLst/>
                        </a:prstGeom>
                        <a:ln w="76200">
                          <a:solidFill>
                            <a:srgbClr val="9B4868"/>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70202A73" id="Straight Connector 41" o:spid="_x0000_s1026" alt="Text box foll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" strokecolor="#9b4868" strokeweight="6pt">
                <w10:anchorlock/>
              </v:line>
            </w:pict>
          </mc:Fallback>
        </mc:AlternateContent>
      </w:r>
      <w:r w:rsidR="001A2518" w:rsidRPr="001A2518">
        <w:br/>
      </w:r>
      <w:r w:rsidR="001A2518" w:rsidRPr="001A2518">
        <w:rPr>
          <w:sz w:val="16"/>
          <w:szCs w:val="16"/>
        </w:rPr>
        <w:br/>
      </w:r>
      <w:r w:rsidRPr="0060005C">
        <w:rPr>
          <w:color w:val="9B4868"/>
          <w:sz w:val="32"/>
          <w:szCs w:val="32"/>
        </w:rPr>
        <w:t>Humanitarian Emergencies</w:t>
      </w:r>
      <w:r w:rsidR="0067641C" w:rsidRPr="0060005C">
        <w:rPr>
          <w:color w:val="9B4868"/>
          <w:sz w:val="32"/>
          <w:szCs w:val="32"/>
        </w:rPr>
        <w:t>—</w:t>
      </w:r>
      <w:r w:rsidR="00202866" w:rsidRPr="0060005C">
        <w:rPr>
          <w:color w:val="9B4868"/>
          <w:sz w:val="32"/>
          <w:szCs w:val="32"/>
        </w:rPr>
        <w:t xml:space="preserve">Developing the Capacity of Duty Bearers </w:t>
      </w:r>
      <w:r w:rsidR="003B0F67" w:rsidRPr="0060005C">
        <w:rPr>
          <w:color w:val="9B4868"/>
          <w:sz w:val="32"/>
          <w:szCs w:val="32"/>
        </w:rPr>
        <w:t>D</w:t>
      </w:r>
      <w:r w:rsidR="00202866" w:rsidRPr="0060005C">
        <w:rPr>
          <w:color w:val="9B4868"/>
          <w:sz w:val="32"/>
          <w:szCs w:val="32"/>
        </w:rPr>
        <w:t>uring Emergencies</w:t>
      </w:r>
    </w:p>
    <w:p w14:paraId="6623E8BC" w14:textId="6C995980" w:rsidR="00202866" w:rsidRPr="00A64CBE" w:rsidRDefault="00202866" w:rsidP="000A0A69">
      <w:pPr>
        <w:rPr>
          <w:rFonts w:eastAsia="Helvetica Neue"/>
        </w:rPr>
      </w:pPr>
      <w:r w:rsidRPr="00A64CBE">
        <w:rPr>
          <w:rFonts w:eastAsia="Helvetica Neue"/>
        </w:rPr>
        <w:t>Given the increased barriers, vulnerabilities, and demands for services experienced by pe</w:t>
      </w:r>
      <w:r w:rsidR="006A6105">
        <w:rPr>
          <w:rFonts w:eastAsia="Helvetica Neue"/>
        </w:rPr>
        <w:t>rsons</w:t>
      </w:r>
      <w:r w:rsidRPr="00A64CBE">
        <w:rPr>
          <w:rFonts w:eastAsia="Helvetica Neue"/>
        </w:rPr>
        <w:t xml:space="preserve"> with disabilities during humanitarian emergencies, it is essential to make sure that service providers and support staff understand their duty to provide services to women and young pe</w:t>
      </w:r>
      <w:r w:rsidR="00A36776">
        <w:rPr>
          <w:rFonts w:eastAsia="Helvetica Neue"/>
        </w:rPr>
        <w:t>rsons</w:t>
      </w:r>
      <w:r w:rsidRPr="00A64CBE">
        <w:rPr>
          <w:rFonts w:eastAsia="Helvetica Neue"/>
        </w:rPr>
        <w:t xml:space="preserve"> with disabilities and that they know how to do this. </w:t>
      </w:r>
    </w:p>
    <w:p w14:paraId="1463C775" w14:textId="73B76673" w:rsidR="00202866" w:rsidRPr="00A64CBE" w:rsidRDefault="00202866" w:rsidP="000A0A69">
      <w:pPr>
        <w:rPr>
          <w:rFonts w:eastAsia="Helvetica Neue"/>
        </w:rPr>
      </w:pPr>
      <w:r w:rsidRPr="00A64CBE">
        <w:rPr>
          <w:rFonts w:eastAsia="Helvetica Neue"/>
        </w:rPr>
        <w:t xml:space="preserve">Key guidance for humanitarian actors on gender-mainstreaming, including collection of disability disaggregated data, is available in the </w:t>
      </w:r>
      <w:r w:rsidRPr="000A0A69">
        <w:rPr>
          <w:rFonts w:eastAsia="Helvetica Neue"/>
          <w:iCs/>
        </w:rPr>
        <w:t>‘</w:t>
      </w:r>
      <w:r w:rsidRPr="000A0A69">
        <w:rPr>
          <w:b/>
          <w:iCs/>
          <w:color w:val="000000" w:themeColor="text1"/>
          <w:lang w:val="en-GB"/>
        </w:rPr>
        <w:t>Inter-Agency Standing Committee (IASC), The Gender Handbook for Humanitarian Action</w:t>
      </w:r>
      <w:r w:rsidRPr="000A0A69">
        <w:rPr>
          <w:rFonts w:eastAsia="Helvetica Neue"/>
          <w:iCs/>
        </w:rPr>
        <w:t>.’</w:t>
      </w:r>
      <w:r w:rsidRPr="00B1674C">
        <w:rPr>
          <w:rStyle w:val="EndnoteReference"/>
          <w:rFonts w:eastAsia="Helvetica Neue"/>
        </w:rPr>
        <w:endnoteReference w:id="109"/>
      </w:r>
    </w:p>
    <w:p w14:paraId="5A6E7B47" w14:textId="338CB500" w:rsidR="00202866" w:rsidRPr="00A64CBE" w:rsidRDefault="00202866" w:rsidP="000A0A69">
      <w:pPr>
        <w:rPr>
          <w:rFonts w:eastAsia="Helvetica Neue"/>
        </w:rPr>
      </w:pPr>
      <w:r w:rsidRPr="00A64CBE">
        <w:rPr>
          <w:rFonts w:eastAsia="Helvetica Neue"/>
        </w:rPr>
        <w:lastRenderedPageBreak/>
        <w:t xml:space="preserve">Specific guidance on disability inclusion in the humanitarian emergency setting includes the following (service providers and support staff in non-emergency settings may also find this guidance illuminating): </w:t>
      </w:r>
    </w:p>
    <w:p w14:paraId="5B7C44C2" w14:textId="0665B8EE" w:rsidR="00202866" w:rsidRPr="000A0A69" w:rsidRDefault="00202866" w:rsidP="006E6012">
      <w:pPr>
        <w:pStyle w:val="ListParagraph"/>
        <w:numPr>
          <w:ilvl w:val="1"/>
          <w:numId w:val="64"/>
        </w:numPr>
        <w:ind w:left="270" w:hanging="270"/>
      </w:pPr>
      <w:r w:rsidRPr="003B0F67">
        <w:rPr>
          <w:rFonts w:eastAsia="Helvetica Neue"/>
        </w:rPr>
        <w:t>Ensure</w:t>
      </w:r>
      <w:r w:rsidRPr="00A64CBE">
        <w:t xml:space="preserve"> all actors involved in humanitarian emergencies have received disability-awareness </w:t>
      </w:r>
      <w:r w:rsidRPr="000A0A69">
        <w:t>training that emphasizes their responsibility to provide services to pe</w:t>
      </w:r>
      <w:r w:rsidR="00A36776" w:rsidRPr="000A0A69">
        <w:t>rsons</w:t>
      </w:r>
      <w:r w:rsidRPr="000A0A69">
        <w:t xml:space="preserve"> with disabilities.</w:t>
      </w:r>
      <w:r w:rsidRPr="006D6D8E">
        <w:rPr>
          <w:rStyle w:val="EndnoteReference"/>
        </w:rPr>
        <w:endnoteReference w:id="110"/>
      </w:r>
      <w:r w:rsidRPr="000A0A69">
        <w:t xml:space="preserve"> </w:t>
      </w:r>
    </w:p>
    <w:p w14:paraId="4966AAE1" w14:textId="077426F4" w:rsidR="00202866" w:rsidRPr="000A0A69" w:rsidRDefault="00202866" w:rsidP="006E6012">
      <w:pPr>
        <w:pStyle w:val="ListParagraph"/>
        <w:numPr>
          <w:ilvl w:val="1"/>
          <w:numId w:val="64"/>
        </w:numPr>
        <w:ind w:left="270" w:hanging="270"/>
      </w:pPr>
      <w:r w:rsidRPr="003B0F67">
        <w:rPr>
          <w:rFonts w:eastAsia="Helvetica Neue"/>
        </w:rPr>
        <w:t>Implement</w:t>
      </w:r>
      <w:r w:rsidRPr="000A0A69">
        <w:t xml:space="preserve"> compulsory human rights trainings for members of the armed forces, including disability-inclusive sexual and </w:t>
      </w:r>
      <w:r w:rsidR="00A36776" w:rsidRPr="000A0A69">
        <w:t>GBV</w:t>
      </w:r>
      <w:r w:rsidRPr="000A0A69">
        <w:t xml:space="preserve"> prevention and response.</w:t>
      </w:r>
      <w:r w:rsidRPr="006D6D8E">
        <w:rPr>
          <w:rStyle w:val="EndnoteReference"/>
        </w:rPr>
        <w:endnoteReference w:id="111"/>
      </w:r>
    </w:p>
    <w:p w14:paraId="02B662DE" w14:textId="3C62A4B4" w:rsidR="00202866" w:rsidRPr="000A0A69" w:rsidRDefault="00202866" w:rsidP="006E6012">
      <w:pPr>
        <w:pStyle w:val="ListParagraph"/>
        <w:numPr>
          <w:ilvl w:val="1"/>
          <w:numId w:val="64"/>
        </w:numPr>
        <w:ind w:left="270" w:hanging="270"/>
      </w:pPr>
      <w:r w:rsidRPr="000A0A69">
        <w:t>Train SRHR and GBV service providers and support staff in emergency settings on how to offer inclusive SRHR and GBV services in emergency settings.</w:t>
      </w:r>
    </w:p>
    <w:p w14:paraId="79C1FA21" w14:textId="4C5E8F40" w:rsidR="00A36776" w:rsidRPr="000A0A69" w:rsidRDefault="00202866" w:rsidP="006E6012">
      <w:pPr>
        <w:pStyle w:val="ListParagraph"/>
        <w:numPr>
          <w:ilvl w:val="1"/>
          <w:numId w:val="64"/>
        </w:numPr>
        <w:ind w:left="270" w:hanging="270"/>
      </w:pPr>
      <w:r w:rsidRPr="000A0A69">
        <w:t>Build capacity for disability inclusion by increasing understanding and recognition of the needs of survivors with disabilities, providing social and economic empowerment opportunities for women and young pe</w:t>
      </w:r>
      <w:r w:rsidR="00A36776" w:rsidRPr="000A0A69">
        <w:t>rsons</w:t>
      </w:r>
      <w:r w:rsidRPr="000A0A69">
        <w:t xml:space="preserve"> with disabilities and their caregivers to increase independence and create peer networks, and promoting and recognizing women with disabilities as leaders. </w:t>
      </w:r>
    </w:p>
    <w:p w14:paraId="3238D1C7" w14:textId="43038BCB" w:rsidR="00202866" w:rsidRPr="00A64CBE" w:rsidRDefault="00202866" w:rsidP="000A0A69">
      <w:r w:rsidRPr="00A64CBE">
        <w:rPr>
          <w:rFonts w:eastAsia="Helvetica Neue"/>
        </w:rPr>
        <w:t xml:space="preserve">For more important guidance on building capacity, review </w:t>
      </w:r>
      <w:r w:rsidRPr="004B4BB2">
        <w:rPr>
          <w:rFonts w:eastAsia="Helvetica Neue"/>
          <w:b/>
          <w:bCs/>
        </w:rPr>
        <w:t>‘</w:t>
      </w:r>
      <w:r w:rsidRPr="000A0A69">
        <w:rPr>
          <w:rFonts w:eastAsia="Helvetica Neue"/>
          <w:b/>
          <w:bCs/>
        </w:rPr>
        <w:t>I See That It Is Possible’: Building capacity for disability inclusion in GBV programs in humanitarian settings</w:t>
      </w:r>
      <w:r w:rsidRPr="004B4BB2">
        <w:rPr>
          <w:rFonts w:eastAsia="Helvetica Neue"/>
        </w:rPr>
        <w:t xml:space="preserve"> (</w:t>
      </w:r>
      <w:r w:rsidRPr="003D62AE">
        <w:rPr>
          <w:rFonts w:eastAsia="Helvetica Neue"/>
        </w:rPr>
        <w:t>May 2015</w:t>
      </w:r>
      <w:r w:rsidRPr="00A36776">
        <w:rPr>
          <w:rFonts w:eastAsia="Helvetica Neue"/>
        </w:rPr>
        <w:t>)</w:t>
      </w:r>
      <w:r w:rsidRPr="00A64CBE">
        <w:rPr>
          <w:rFonts w:eastAsia="Helvetica Neue"/>
          <w:vertAlign w:val="superscript"/>
        </w:rPr>
        <w:endnoteReference w:id="112"/>
      </w:r>
      <w:r w:rsidRPr="00A64CBE">
        <w:rPr>
          <w:rFonts w:eastAsia="Helvetica Neue"/>
        </w:rPr>
        <w:t xml:space="preserve"> and </w:t>
      </w:r>
      <w:r w:rsidRPr="000A0A69">
        <w:rPr>
          <w:rFonts w:eastAsia="Helvetica Neue"/>
          <w:b/>
          <w:bCs/>
        </w:rPr>
        <w:t>Strengthening the Role of Women with Disabilities in Humanitarian Action: A Facilitator’s Guide</w:t>
      </w:r>
      <w:r w:rsidRPr="00A64CBE">
        <w:rPr>
          <w:rFonts w:eastAsia="Helvetica Neue"/>
        </w:rPr>
        <w:t xml:space="preserve"> </w:t>
      </w:r>
      <w:r w:rsidRPr="003D62AE">
        <w:rPr>
          <w:rFonts w:eastAsia="Helvetica Neue"/>
        </w:rPr>
        <w:t>(Feb</w:t>
      </w:r>
      <w:r w:rsidR="003D62AE">
        <w:rPr>
          <w:rFonts w:eastAsia="Helvetica Neue"/>
        </w:rPr>
        <w:t>ruary</w:t>
      </w:r>
      <w:r w:rsidRPr="003D62AE">
        <w:rPr>
          <w:rFonts w:eastAsia="Helvetica Neue"/>
        </w:rPr>
        <w:t>, 2017)</w:t>
      </w:r>
      <w:r w:rsidRPr="00A64CBE">
        <w:rPr>
          <w:rFonts w:eastAsia="Helvetica Neue"/>
        </w:rPr>
        <w:t>.</w:t>
      </w:r>
      <w:r w:rsidRPr="00A64CBE">
        <w:rPr>
          <w:rFonts w:eastAsia="Helvetica Neue"/>
          <w:vertAlign w:val="superscript"/>
        </w:rPr>
        <w:endnoteReference w:id="113"/>
      </w:r>
      <w:r w:rsidRPr="00A64CBE">
        <w:rPr>
          <w:rFonts w:eastAsia="Helvetica Neue"/>
        </w:rPr>
        <w:t xml:space="preserve"> </w:t>
      </w:r>
    </w:p>
    <w:p w14:paraId="1AED2E1A" w14:textId="79823BE3" w:rsidR="00202866" w:rsidRDefault="00382156" w:rsidP="00CD00E1">
      <w:pPr>
        <w:ind w:hanging="90"/>
        <w:rPr>
          <w:rFonts w:ascii="Arial" w:eastAsia="Helvetica Neue" w:hAnsi="Arial" w:cs="Arial"/>
          <w:color w:val="000000"/>
        </w:rPr>
      </w:pPr>
      <w:r w:rsidRPr="00A6697D">
        <w:rPr>
          <w:noProof/>
        </w:rPr>
        <mc:AlternateContent>
          <mc:Choice Requires="wps">
            <w:drawing>
              <wp:inline distT="0" distB="0" distL="0" distR="0" wp14:anchorId="08654C9F" wp14:editId="4A7C1ACF">
                <wp:extent cx="5943600" cy="0"/>
                <wp:effectExtent l="0" t="12700" r="25400" b="25400"/>
                <wp:docPr id="42" name="Straight Connector 42" descr="Text box ends"/>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rgbClr val="9B4868"/>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09CDC5CB" id="Straight Connector 42" o:spid="_x0000_s1026" alt="Text box end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" strokecolor="#9b4868" strokeweight="3pt">
                <w10:anchorlock/>
              </v:line>
            </w:pict>
          </mc:Fallback>
        </mc:AlternateContent>
      </w:r>
    </w:p>
    <w:p w14:paraId="180E525F" w14:textId="7EDFD5F7" w:rsidR="00202866" w:rsidRPr="00417440" w:rsidRDefault="00A36776" w:rsidP="009D6503">
      <w:pPr>
        <w:pStyle w:val="Heading4"/>
        <w:spacing w:before="600"/>
      </w:pPr>
      <w:r w:rsidRPr="003D62AE">
        <w:t>Guidelines for Action:</w:t>
      </w:r>
      <w:r w:rsidR="00417440">
        <w:t xml:space="preserve"> </w:t>
      </w:r>
      <w:r w:rsidR="00202866" w:rsidRPr="006419F3">
        <w:t>Programme</w:t>
      </w:r>
      <w:r w:rsidR="00202866" w:rsidRPr="00417440">
        <w:rPr>
          <w:rFonts w:eastAsia="Helvetica Neue"/>
        </w:rPr>
        <w:t xml:space="preserve"> Delivery </w:t>
      </w:r>
    </w:p>
    <w:p w14:paraId="180FC725" w14:textId="73A9BD6B" w:rsidR="00202866" w:rsidRPr="00A64CBE" w:rsidRDefault="00202866" w:rsidP="006E6012">
      <w:pPr>
        <w:pStyle w:val="ListParagraph"/>
        <w:numPr>
          <w:ilvl w:val="0"/>
          <w:numId w:val="15"/>
        </w:numPr>
      </w:pPr>
      <w:r w:rsidRPr="000A0A69">
        <w:rPr>
          <w:rFonts w:eastAsia="Helvetica Neue"/>
        </w:rPr>
        <w:t>Integrate</w:t>
      </w:r>
      <w:r w:rsidRPr="000A0A69">
        <w:rPr>
          <w:rFonts w:eastAsia="Helvetica Neue"/>
          <w:b/>
        </w:rPr>
        <w:t xml:space="preserve"> </w:t>
      </w:r>
      <w:r w:rsidRPr="000A0A69">
        <w:rPr>
          <w:rFonts w:eastAsia="Helvetica Neue"/>
        </w:rPr>
        <w:t>services for women and young pe</w:t>
      </w:r>
      <w:r w:rsidR="00A36776" w:rsidRPr="000A0A69">
        <w:rPr>
          <w:rFonts w:eastAsia="Helvetica Neue"/>
        </w:rPr>
        <w:t>rsons</w:t>
      </w:r>
      <w:r w:rsidRPr="000A0A69">
        <w:rPr>
          <w:rFonts w:eastAsia="Helvetica Neue"/>
        </w:rPr>
        <w:t xml:space="preserve"> with disabilities into mainstream service provision. Service providers must take care not to place total responsibility to serve women and young pe</w:t>
      </w:r>
      <w:r w:rsidR="00A36776" w:rsidRPr="000A0A69">
        <w:rPr>
          <w:rFonts w:eastAsia="Helvetica Neue"/>
        </w:rPr>
        <w:t>rsons</w:t>
      </w:r>
      <w:r w:rsidRPr="000A0A69">
        <w:rPr>
          <w:rFonts w:eastAsia="Helvetica Neue"/>
        </w:rPr>
        <w:t xml:space="preserve"> with disabilities on service providers specializing in serving </w:t>
      </w:r>
      <w:r w:rsidR="00743375">
        <w:rPr>
          <w:rFonts w:eastAsia="Helvetica Neue"/>
        </w:rPr>
        <w:t>persons</w:t>
      </w:r>
      <w:r w:rsidR="00743375" w:rsidRPr="000A0A69">
        <w:rPr>
          <w:rFonts w:eastAsia="Helvetica Neue"/>
        </w:rPr>
        <w:t xml:space="preserve"> </w:t>
      </w:r>
      <w:r w:rsidRPr="000A0A69">
        <w:rPr>
          <w:rFonts w:eastAsia="Helvetica Neue"/>
        </w:rPr>
        <w:t>with disabilities; ensuring that services are accessible is an obligation of all service providers and support staff. Service providers and support staff</w:t>
      </w:r>
      <w:r w:rsidRPr="000A0A69" w:rsidDel="000D4663">
        <w:rPr>
          <w:rFonts w:eastAsia="Helvetica Neue"/>
        </w:rPr>
        <w:t xml:space="preserve"> </w:t>
      </w:r>
      <w:r w:rsidRPr="000A0A69">
        <w:rPr>
          <w:rFonts w:eastAsia="Helvetica Neue"/>
        </w:rPr>
        <w:t xml:space="preserve">lacking experience or training to serve </w:t>
      </w:r>
      <w:r w:rsidR="00743375">
        <w:rPr>
          <w:rFonts w:eastAsia="Helvetica Neue"/>
        </w:rPr>
        <w:t>persons</w:t>
      </w:r>
      <w:r w:rsidR="00743375" w:rsidRPr="000A0A69">
        <w:rPr>
          <w:rFonts w:eastAsia="Helvetica Neue"/>
        </w:rPr>
        <w:t xml:space="preserve"> </w:t>
      </w:r>
      <w:r w:rsidRPr="000A0A69">
        <w:rPr>
          <w:rFonts w:eastAsia="Helvetica Neue"/>
        </w:rPr>
        <w:t xml:space="preserve">with disabilities should look to </w:t>
      </w:r>
      <w:r w:rsidR="00E538CD" w:rsidRPr="000A0A69">
        <w:rPr>
          <w:rFonts w:eastAsia="Helvetica Neue"/>
        </w:rPr>
        <w:t xml:space="preserve">disability inclusive </w:t>
      </w:r>
      <w:r w:rsidRPr="000A0A69">
        <w:rPr>
          <w:rFonts w:eastAsia="Helvetica Neue"/>
        </w:rPr>
        <w:t>service providers for their expertise and guidance.</w:t>
      </w:r>
    </w:p>
    <w:p w14:paraId="30578F9D" w14:textId="24C9DEE8" w:rsidR="00202866" w:rsidRPr="00A64CBE" w:rsidRDefault="00202866" w:rsidP="006E6012">
      <w:pPr>
        <w:pStyle w:val="ListParagraph"/>
        <w:numPr>
          <w:ilvl w:val="0"/>
          <w:numId w:val="15"/>
        </w:numPr>
      </w:pPr>
      <w:r w:rsidRPr="000A0A69">
        <w:rPr>
          <w:rFonts w:eastAsia="Helvetica Neue"/>
        </w:rPr>
        <w:t>Strengthen the capacity of case coordinators—individuals responsible for helping service recipients to navigate within and across particular service area systems—to assist women and young pe</w:t>
      </w:r>
      <w:r w:rsidR="00A36776" w:rsidRPr="000A0A69">
        <w:rPr>
          <w:rFonts w:eastAsia="Helvetica Neue"/>
        </w:rPr>
        <w:t>rsons</w:t>
      </w:r>
      <w:r w:rsidRPr="000A0A69">
        <w:rPr>
          <w:rFonts w:eastAsia="Helvetica Neue"/>
        </w:rPr>
        <w:t xml:space="preserve"> with disabilities to address any barriers they encounter. This is particularly important during humanitarian emergencies. A designated coordinator should be knowledgeable about the barriers to services experienced by women and young pe</w:t>
      </w:r>
      <w:r w:rsidR="00A36776" w:rsidRPr="000A0A69">
        <w:rPr>
          <w:rFonts w:eastAsia="Helvetica Neue"/>
        </w:rPr>
        <w:t>rsons</w:t>
      </w:r>
      <w:r w:rsidRPr="000A0A69">
        <w:rPr>
          <w:rFonts w:eastAsia="Helvetica Neue"/>
        </w:rPr>
        <w:t xml:space="preserve"> with disabilities, the range of service options, and how to communicate and build trust with a client. It is essential that coordinators understand and implement supported decision-making and implement safeguards so that the case coordinator position does not become a substituted decision-making mechanism in practice. </w:t>
      </w:r>
    </w:p>
    <w:p w14:paraId="73D77AFE" w14:textId="51D497FF" w:rsidR="00B45FDF" w:rsidRPr="000A0A69" w:rsidRDefault="00202866" w:rsidP="006E6012">
      <w:pPr>
        <w:pStyle w:val="ListParagraph"/>
        <w:numPr>
          <w:ilvl w:val="0"/>
          <w:numId w:val="15"/>
        </w:numPr>
      </w:pPr>
      <w:r w:rsidRPr="000A0A69">
        <w:rPr>
          <w:rFonts w:eastAsia="Helvetica Neue"/>
        </w:rPr>
        <w:t xml:space="preserve">Ensure that women and young </w:t>
      </w:r>
      <w:r w:rsidR="00743375">
        <w:rPr>
          <w:rFonts w:eastAsia="Helvetica Neue"/>
        </w:rPr>
        <w:t>persons</w:t>
      </w:r>
      <w:r w:rsidR="00743375" w:rsidRPr="000A0A69">
        <w:rPr>
          <w:rFonts w:eastAsia="Helvetica Neue"/>
        </w:rPr>
        <w:t xml:space="preserve"> </w:t>
      </w:r>
      <w:r w:rsidRPr="000A0A69">
        <w:rPr>
          <w:rFonts w:eastAsia="Helvetica Neue"/>
        </w:rPr>
        <w:t xml:space="preserve">with disabilities are not excluded from eligibility criteria because their experiences are not captured in the criteria. For example, </w:t>
      </w:r>
      <w:r w:rsidR="00B45FDF" w:rsidRPr="000A0A69">
        <w:rPr>
          <w:rFonts w:eastAsia="Helvetica Neue"/>
        </w:rPr>
        <w:t>GBV</w:t>
      </w:r>
      <w:r w:rsidRPr="000A0A69">
        <w:rPr>
          <w:rFonts w:eastAsia="Helvetica Neue"/>
        </w:rPr>
        <w:t xml:space="preserve"> services should not exclude women and young pe</w:t>
      </w:r>
      <w:r w:rsidR="00B45FDF" w:rsidRPr="000A0A69">
        <w:rPr>
          <w:rFonts w:eastAsia="Helvetica Neue"/>
        </w:rPr>
        <w:t>rsons</w:t>
      </w:r>
      <w:r w:rsidRPr="000A0A69">
        <w:rPr>
          <w:rFonts w:eastAsia="Helvetica Neue"/>
        </w:rPr>
        <w:t xml:space="preserve"> with disabilities because they rely </w:t>
      </w:r>
      <w:r w:rsidRPr="000A0A69">
        <w:rPr>
          <w:rFonts w:eastAsia="Helvetica Neue"/>
        </w:rPr>
        <w:lastRenderedPageBreak/>
        <w:t xml:space="preserve">on a definition of </w:t>
      </w:r>
      <w:r w:rsidR="00B45FDF" w:rsidRPr="000A0A69">
        <w:rPr>
          <w:rFonts w:eastAsia="Helvetica Neue"/>
        </w:rPr>
        <w:t>GBV</w:t>
      </w:r>
      <w:r w:rsidRPr="000A0A69">
        <w:rPr>
          <w:rFonts w:eastAsia="Helvetica Neue"/>
        </w:rPr>
        <w:t xml:space="preserve"> that does not encompass violence by caregivers or </w:t>
      </w:r>
      <w:r w:rsidR="00B45FDF" w:rsidRPr="000A0A69">
        <w:rPr>
          <w:rFonts w:eastAsia="Helvetica Neue"/>
        </w:rPr>
        <w:t>GBV</w:t>
      </w:r>
      <w:r w:rsidRPr="000A0A69">
        <w:rPr>
          <w:rFonts w:eastAsia="Helvetica Neue"/>
        </w:rPr>
        <w:t xml:space="preserve"> experienced by boys and men. </w:t>
      </w:r>
    </w:p>
    <w:p w14:paraId="02E9649A" w14:textId="5AF77281" w:rsidR="00202866" w:rsidRPr="00417440" w:rsidRDefault="00B45FDF" w:rsidP="003C6133">
      <w:pPr>
        <w:pStyle w:val="Heading4"/>
        <w:spacing w:before="480"/>
      </w:pPr>
      <w:r w:rsidRPr="003D62AE">
        <w:t>Guidelines for Action:</w:t>
      </w:r>
      <w:r w:rsidR="00417440">
        <w:t xml:space="preserve"> </w:t>
      </w:r>
      <w:r w:rsidR="00202866" w:rsidRPr="00417440">
        <w:rPr>
          <w:rFonts w:eastAsia="Helvetica Neue"/>
        </w:rPr>
        <w:t>Available Services</w:t>
      </w:r>
    </w:p>
    <w:p w14:paraId="7C57DFBB" w14:textId="63D801A7" w:rsidR="00580728" w:rsidRPr="00580728" w:rsidRDefault="00202866" w:rsidP="006E6012">
      <w:pPr>
        <w:pStyle w:val="ListParagraph"/>
        <w:numPr>
          <w:ilvl w:val="0"/>
          <w:numId w:val="16"/>
        </w:numPr>
      </w:pPr>
      <w:r w:rsidRPr="00580728">
        <w:rPr>
          <w:rFonts w:eastAsia="Helvetica Neue"/>
        </w:rPr>
        <w:t>Make sure that services are available</w:t>
      </w:r>
      <w:r w:rsidRPr="00580728">
        <w:rPr>
          <w:rFonts w:eastAsia="Helvetica Neue"/>
          <w:b/>
        </w:rPr>
        <w:t xml:space="preserve"> </w:t>
      </w:r>
      <w:r w:rsidRPr="00580728">
        <w:rPr>
          <w:rFonts w:eastAsia="Helvetica Neue"/>
        </w:rPr>
        <w:t>in sufficient quantity and quality to all women and young pe</w:t>
      </w:r>
      <w:r w:rsidR="00B45FDF" w:rsidRPr="00580728">
        <w:rPr>
          <w:rFonts w:eastAsia="Helvetica Neue"/>
        </w:rPr>
        <w:t>rsons</w:t>
      </w:r>
      <w:r w:rsidRPr="00580728">
        <w:rPr>
          <w:rFonts w:eastAsia="Helvetica Neue"/>
        </w:rPr>
        <w:t xml:space="preserve"> with disabilities regardless of the person’s disability, place of residence, nationality, ethnicity, caste, class, migrant or refugee status, indigenous status, age, religion, language and level of literacy, sexual orientation or gender identity, marital status, or any other characteristic.</w:t>
      </w:r>
      <w:r w:rsidR="009D6503">
        <w:rPr>
          <w:rFonts w:eastAsia="Helvetica Neue"/>
        </w:rPr>
        <w:br/>
      </w:r>
      <w:r w:rsidR="009D6503" w:rsidRPr="009D6503">
        <w:rPr>
          <w:rFonts w:eastAsia="Helvetica Neue"/>
          <w:sz w:val="13"/>
          <w:szCs w:val="13"/>
        </w:rPr>
        <w:br/>
      </w:r>
      <w:r w:rsidRPr="00580728">
        <w:rPr>
          <w:rFonts w:eastAsia="Helvetica Neue"/>
          <w:iCs/>
        </w:rPr>
        <w:t>Note on low-resource settings:</w:t>
      </w:r>
      <w:r w:rsidRPr="00580728">
        <w:rPr>
          <w:rFonts w:eastAsia="Helvetica Neue"/>
          <w:b/>
        </w:rPr>
        <w:t xml:space="preserve"> </w:t>
      </w:r>
      <w:r w:rsidRPr="00580728">
        <w:rPr>
          <w:rFonts w:eastAsia="Helvetica Neue"/>
        </w:rPr>
        <w:t>When allocating limited resources, service providers and support staff must ensure that the needs of women and young pe</w:t>
      </w:r>
      <w:r w:rsidR="00B45FDF" w:rsidRPr="00580728">
        <w:rPr>
          <w:rFonts w:eastAsia="Helvetica Neue"/>
        </w:rPr>
        <w:t>rsons</w:t>
      </w:r>
      <w:r w:rsidRPr="00580728">
        <w:rPr>
          <w:rFonts w:eastAsia="Helvetica Neue"/>
        </w:rPr>
        <w:t xml:space="preserve"> with disabilities are prioritized equally with the needs of service recipients without disabilities. Service providers should work with women and young pe</w:t>
      </w:r>
      <w:r w:rsidR="00B45FDF" w:rsidRPr="00580728">
        <w:rPr>
          <w:rFonts w:eastAsia="Helvetica Neue"/>
        </w:rPr>
        <w:t>rsons</w:t>
      </w:r>
      <w:r w:rsidRPr="00580728">
        <w:rPr>
          <w:rFonts w:eastAsia="Helvetica Neue"/>
        </w:rPr>
        <w:t xml:space="preserve"> with disabilities to develop creative and low-cost solutions to ensure that, to the extent services are available, women and young </w:t>
      </w:r>
      <w:r w:rsidR="00743375">
        <w:rPr>
          <w:rFonts w:eastAsia="Helvetica Neue"/>
        </w:rPr>
        <w:t>persons</w:t>
      </w:r>
      <w:r w:rsidR="00743375" w:rsidRPr="00580728">
        <w:rPr>
          <w:rFonts w:eastAsia="Helvetica Neue"/>
        </w:rPr>
        <w:t xml:space="preserve"> </w:t>
      </w:r>
      <w:r w:rsidRPr="00580728">
        <w:rPr>
          <w:rFonts w:eastAsia="Helvetica Neue"/>
        </w:rPr>
        <w:t xml:space="preserve">with disabilities have equal access as their peers without disabilities. </w:t>
      </w:r>
    </w:p>
    <w:p w14:paraId="56CDC4DB" w14:textId="5535645B" w:rsidR="00202866" w:rsidRPr="0018197A" w:rsidRDefault="00202866" w:rsidP="006E6012">
      <w:pPr>
        <w:pStyle w:val="ListParagraph"/>
        <w:numPr>
          <w:ilvl w:val="0"/>
          <w:numId w:val="16"/>
        </w:numPr>
      </w:pPr>
      <w:r w:rsidRPr="00580728">
        <w:rPr>
          <w:rFonts w:eastAsia="Helvetica Neue"/>
        </w:rPr>
        <w:t>Develop services tailored to reach women and young pe</w:t>
      </w:r>
      <w:r w:rsidR="00B2463C" w:rsidRPr="00580728">
        <w:rPr>
          <w:rFonts w:eastAsia="Helvetica Neue"/>
        </w:rPr>
        <w:t>rsons</w:t>
      </w:r>
      <w:r w:rsidRPr="00580728">
        <w:rPr>
          <w:rFonts w:eastAsia="Helvetica Neue"/>
        </w:rPr>
        <w:t xml:space="preserve"> with disabilities living in isolation in institutional settings, camps, nursing or group homes, family residences or who are homeless. For example, develop accessible </w:t>
      </w:r>
      <w:r w:rsidR="00B2463C" w:rsidRPr="00580728">
        <w:rPr>
          <w:rFonts w:eastAsia="Helvetica Neue"/>
        </w:rPr>
        <w:t>GBV</w:t>
      </w:r>
      <w:r w:rsidRPr="00580728">
        <w:rPr>
          <w:rFonts w:eastAsia="Helvetica Neue"/>
        </w:rPr>
        <w:t xml:space="preserve"> know-your-rights resources and reporting hotlines or programmes designed to increase family member’s understanding and acceptance of the </w:t>
      </w:r>
      <w:r w:rsidR="00B2463C" w:rsidRPr="00580728">
        <w:rPr>
          <w:rFonts w:eastAsia="Helvetica Neue"/>
        </w:rPr>
        <w:t>SRHR</w:t>
      </w:r>
      <w:r w:rsidRPr="00580728">
        <w:rPr>
          <w:rFonts w:eastAsia="Helvetica Neue"/>
        </w:rPr>
        <w:t xml:space="preserve"> needs of women and young pe</w:t>
      </w:r>
      <w:r w:rsidR="00B2463C" w:rsidRPr="00580728">
        <w:rPr>
          <w:rFonts w:eastAsia="Helvetica Neue"/>
        </w:rPr>
        <w:t>rsons</w:t>
      </w:r>
      <w:r w:rsidRPr="00580728">
        <w:rPr>
          <w:rFonts w:eastAsia="Helvetica Neue"/>
        </w:rPr>
        <w:t xml:space="preserve"> since many family members act as the gatekeepers for services. </w:t>
      </w:r>
    </w:p>
    <w:p w14:paraId="3EB3F356" w14:textId="77777777" w:rsidR="00580728" w:rsidRPr="00580728" w:rsidRDefault="00202866" w:rsidP="006E6012">
      <w:pPr>
        <w:pStyle w:val="ListParagraph"/>
        <w:numPr>
          <w:ilvl w:val="0"/>
          <w:numId w:val="33"/>
        </w:numPr>
        <w:ind w:left="720"/>
        <w:rPr>
          <w:rFonts w:eastAsia="Helvetica Neue"/>
        </w:rPr>
      </w:pPr>
      <w:r w:rsidRPr="00580728">
        <w:rPr>
          <w:rFonts w:eastAsia="Helvetica Neue"/>
          <w:b/>
        </w:rPr>
        <w:t>Example:</w:t>
      </w:r>
      <w:r w:rsidRPr="00580728">
        <w:rPr>
          <w:rFonts w:eastAsia="Helvetica Neue"/>
        </w:rPr>
        <w:t xml:space="preserve"> The</w:t>
      </w:r>
      <w:r w:rsidRPr="00580728">
        <w:rPr>
          <w:rFonts w:eastAsia="Helvetica Neue"/>
          <w:b/>
        </w:rPr>
        <w:t xml:space="preserve"> Women’s Refugee Commission </w:t>
      </w:r>
      <w:r w:rsidRPr="00580728">
        <w:rPr>
          <w:rFonts w:eastAsia="Helvetica Neue"/>
        </w:rPr>
        <w:t>and the</w:t>
      </w:r>
      <w:r w:rsidRPr="00580728">
        <w:rPr>
          <w:rFonts w:eastAsia="Helvetica Neue"/>
          <w:b/>
        </w:rPr>
        <w:t xml:space="preserve"> International Rescue Committee</w:t>
      </w:r>
      <w:r w:rsidRPr="00580728">
        <w:rPr>
          <w:rFonts w:eastAsia="Helvetica Neue"/>
        </w:rPr>
        <w:t xml:space="preserve"> piloted and evaluated actions to promote disability inclusion in GBV programming. In Ethiopia, traditional “coffee discussions” were being used as a vehicle for conversations about </w:t>
      </w:r>
      <w:r w:rsidR="00B2463C" w:rsidRPr="00580728">
        <w:rPr>
          <w:rFonts w:eastAsia="Helvetica Neue"/>
        </w:rPr>
        <w:t xml:space="preserve">GBV </w:t>
      </w:r>
      <w:r w:rsidRPr="00580728">
        <w:rPr>
          <w:rFonts w:eastAsia="Helvetica Neue"/>
        </w:rPr>
        <w:t xml:space="preserve">and the available services in the refugee community. Women with disabilities and their caregivers volunteered to host coffee discussions in their homes, inviting other women who lived near them to join the activity. Thus, women with disabilities who were isolated in their homes had the opportunity to learn more about gender-based violence and to strengthen protective peer networks within their neighbourhoods. </w:t>
      </w:r>
      <w:r w:rsidR="00580728" w:rsidRPr="00580728">
        <w:rPr>
          <w:rFonts w:eastAsia="Helvetica Neue"/>
        </w:rPr>
        <w:br/>
      </w:r>
      <w:r w:rsidR="00580728" w:rsidRPr="009D6503">
        <w:rPr>
          <w:rFonts w:eastAsia="Helvetica Neue"/>
          <w:sz w:val="13"/>
          <w:szCs w:val="13"/>
        </w:rPr>
        <w:br/>
      </w:r>
      <w:r w:rsidRPr="00580728">
        <w:rPr>
          <w:rFonts w:eastAsia="Helvetica Neue"/>
        </w:rPr>
        <w:t>“We have hosted coffee discussions in our home, right here. This has brought people closer to us. When they come to the home, we discuss many things, things that are really important, but they also have a chance to see that we are good parents even though we are a bit different. Now, people understand us better, they even come to say hello and see how we are. It makes me feel safer having neighbours that I know now</w:t>
      </w:r>
      <w:r w:rsidR="00B2463C" w:rsidRPr="00580728">
        <w:rPr>
          <w:rFonts w:eastAsia="Helvetica Neue"/>
        </w:rPr>
        <w:t>”. —</w:t>
      </w:r>
      <w:proofErr w:type="spellStart"/>
      <w:r w:rsidRPr="00580728">
        <w:rPr>
          <w:rFonts w:eastAsia="Helvetica Neue"/>
        </w:rPr>
        <w:t>Seida</w:t>
      </w:r>
      <w:proofErr w:type="spellEnd"/>
      <w:r w:rsidRPr="00580728">
        <w:rPr>
          <w:rFonts w:eastAsia="Helvetica Neue"/>
        </w:rPr>
        <w:t xml:space="preserve"> Ibrahim (refugee woman with disabilities).</w:t>
      </w:r>
      <w:r w:rsidRPr="00A64CBE">
        <w:rPr>
          <w:rFonts w:eastAsia="Helvetica Neue"/>
          <w:vertAlign w:val="superscript"/>
        </w:rPr>
        <w:endnoteReference w:id="114"/>
      </w:r>
      <w:r w:rsidRPr="00580728">
        <w:rPr>
          <w:rFonts w:eastAsia="Helvetica Neue"/>
        </w:rPr>
        <w:t xml:space="preserve"> </w:t>
      </w:r>
    </w:p>
    <w:p w14:paraId="079E7095" w14:textId="77777777" w:rsidR="00580728" w:rsidRPr="00580728" w:rsidRDefault="00202866" w:rsidP="006E6012">
      <w:pPr>
        <w:pStyle w:val="ListParagraph"/>
        <w:numPr>
          <w:ilvl w:val="0"/>
          <w:numId w:val="16"/>
        </w:numPr>
        <w:rPr>
          <w:rFonts w:eastAsia="Helvetica Neue"/>
        </w:rPr>
      </w:pPr>
      <w:r w:rsidRPr="00580728">
        <w:rPr>
          <w:rFonts w:eastAsia="Helvetica Neue"/>
        </w:rPr>
        <w:t>Make services available to women and young pe</w:t>
      </w:r>
      <w:r w:rsidR="00B2463C" w:rsidRPr="00580728">
        <w:rPr>
          <w:rFonts w:eastAsia="Helvetica Neue"/>
        </w:rPr>
        <w:t>rsons</w:t>
      </w:r>
      <w:r w:rsidRPr="00580728">
        <w:rPr>
          <w:rFonts w:eastAsia="Helvetica Neue"/>
        </w:rPr>
        <w:t xml:space="preserve"> with disabilities living in remote and rural areas.</w:t>
      </w:r>
      <w:r w:rsidRPr="00A64CBE">
        <w:rPr>
          <w:rFonts w:eastAsia="Helvetica Neue"/>
          <w:vertAlign w:val="superscript"/>
        </w:rPr>
        <w:endnoteReference w:id="115"/>
      </w:r>
      <w:r w:rsidRPr="00580728">
        <w:rPr>
          <w:rFonts w:eastAsia="Helvetica Neue"/>
          <w:b/>
        </w:rPr>
        <w:t xml:space="preserve"> </w:t>
      </w:r>
    </w:p>
    <w:p w14:paraId="484FDE4B" w14:textId="77777777" w:rsidR="00580728" w:rsidRDefault="00202866" w:rsidP="006E6012">
      <w:pPr>
        <w:pStyle w:val="ListParagraph"/>
        <w:numPr>
          <w:ilvl w:val="1"/>
          <w:numId w:val="16"/>
        </w:numPr>
        <w:rPr>
          <w:rFonts w:eastAsia="Helvetica Neue"/>
        </w:rPr>
      </w:pPr>
      <w:r w:rsidRPr="00580728">
        <w:rPr>
          <w:rFonts w:eastAsia="Helvetica Neue"/>
        </w:rPr>
        <w:t xml:space="preserve">Base services in the community wherever possible and ensure services are accessible. </w:t>
      </w:r>
    </w:p>
    <w:p w14:paraId="2B834F49" w14:textId="77777777" w:rsidR="00580728" w:rsidRDefault="00202866" w:rsidP="006E6012">
      <w:pPr>
        <w:pStyle w:val="ListParagraph"/>
        <w:numPr>
          <w:ilvl w:val="1"/>
          <w:numId w:val="16"/>
        </w:numPr>
        <w:rPr>
          <w:rFonts w:eastAsia="Helvetica Neue"/>
        </w:rPr>
      </w:pPr>
      <w:r w:rsidRPr="00580728">
        <w:rPr>
          <w:rFonts w:eastAsia="Helvetica Neue"/>
        </w:rPr>
        <w:t>Conduct mobile outreach services for isolated areas where women and young pe</w:t>
      </w:r>
      <w:r w:rsidR="00B2463C" w:rsidRPr="00580728">
        <w:rPr>
          <w:rFonts w:eastAsia="Helvetica Neue"/>
        </w:rPr>
        <w:t>rsons</w:t>
      </w:r>
      <w:r w:rsidRPr="00580728">
        <w:rPr>
          <w:rFonts w:eastAsia="Helvetica Neue"/>
        </w:rPr>
        <w:t xml:space="preserve"> with disabilities reside, including in institutions and in their homes. Mobile outreach </w:t>
      </w:r>
      <w:r w:rsidRPr="00580728">
        <w:rPr>
          <w:rFonts w:eastAsia="Helvetica Neue"/>
        </w:rPr>
        <w:lastRenderedPageBreak/>
        <w:t>services consist of a mobile team of trained service providers and support staff offering services in traditionally underserved areas.</w:t>
      </w:r>
      <w:r w:rsidRPr="00A64CBE">
        <w:rPr>
          <w:rFonts w:eastAsia="Helvetica Neue"/>
          <w:vertAlign w:val="superscript"/>
        </w:rPr>
        <w:endnoteReference w:id="116"/>
      </w:r>
      <w:r w:rsidRPr="00580728">
        <w:rPr>
          <w:rFonts w:eastAsia="Helvetica Neue"/>
        </w:rPr>
        <w:t xml:space="preserve"> Outreach providers and staff can provide information and various forms of contraceptives, along with referrals and follow-ups.</w:t>
      </w:r>
      <w:r w:rsidRPr="00A64CBE">
        <w:rPr>
          <w:rFonts w:eastAsia="Helvetica Neue"/>
          <w:vertAlign w:val="superscript"/>
        </w:rPr>
        <w:endnoteReference w:id="117"/>
      </w:r>
    </w:p>
    <w:p w14:paraId="7078131B" w14:textId="77777777" w:rsidR="00580728" w:rsidRDefault="00202866" w:rsidP="006E6012">
      <w:pPr>
        <w:pStyle w:val="ListParagraph"/>
        <w:numPr>
          <w:ilvl w:val="1"/>
          <w:numId w:val="16"/>
        </w:numPr>
        <w:rPr>
          <w:rFonts w:eastAsia="Helvetica Neue"/>
        </w:rPr>
      </w:pPr>
      <w:r w:rsidRPr="00580728">
        <w:rPr>
          <w:rFonts w:eastAsia="Helvetica Neue"/>
        </w:rPr>
        <w:t>Allow village service providers and support staff to make appointments for women and young pe</w:t>
      </w:r>
      <w:r w:rsidR="00B2463C" w:rsidRPr="00580728">
        <w:rPr>
          <w:rFonts w:eastAsia="Helvetica Neue"/>
        </w:rPr>
        <w:t>rsons</w:t>
      </w:r>
      <w:r w:rsidRPr="00580728">
        <w:rPr>
          <w:rFonts w:eastAsia="Helvetica Neue"/>
        </w:rPr>
        <w:t xml:space="preserve"> with disabilities. </w:t>
      </w:r>
    </w:p>
    <w:p w14:paraId="3D17B79E" w14:textId="77777777" w:rsidR="00580728" w:rsidRDefault="00202866" w:rsidP="006E6012">
      <w:pPr>
        <w:pStyle w:val="ListParagraph"/>
        <w:numPr>
          <w:ilvl w:val="1"/>
          <w:numId w:val="16"/>
        </w:numPr>
        <w:rPr>
          <w:rFonts w:eastAsia="Helvetica Neue"/>
        </w:rPr>
      </w:pPr>
      <w:r w:rsidRPr="00580728">
        <w:rPr>
          <w:rFonts w:eastAsia="Helvetica Neue"/>
        </w:rPr>
        <w:t>Where transportation is unavailable, develop creative strategies to assist women and young pe</w:t>
      </w:r>
      <w:r w:rsidR="00B2463C" w:rsidRPr="00580728">
        <w:rPr>
          <w:rFonts w:eastAsia="Helvetica Neue"/>
        </w:rPr>
        <w:t>rsons</w:t>
      </w:r>
      <w:r w:rsidRPr="00580728">
        <w:rPr>
          <w:rFonts w:eastAsia="Helvetica Neue"/>
        </w:rPr>
        <w:t xml:space="preserve"> with disabilities to access services, for example through technology or trained community members. </w:t>
      </w:r>
    </w:p>
    <w:p w14:paraId="03920660" w14:textId="77777777" w:rsidR="00580728" w:rsidRDefault="00202866" w:rsidP="006E6012">
      <w:pPr>
        <w:pStyle w:val="ListParagraph"/>
        <w:numPr>
          <w:ilvl w:val="1"/>
          <w:numId w:val="16"/>
        </w:numPr>
        <w:rPr>
          <w:rFonts w:eastAsia="Helvetica Neue"/>
        </w:rPr>
      </w:pPr>
      <w:r w:rsidRPr="00580728">
        <w:rPr>
          <w:rFonts w:eastAsia="Helvetica Neue"/>
        </w:rPr>
        <w:t>Where resources allow, offer free or subsidized transportation to women and young pe</w:t>
      </w:r>
      <w:r w:rsidR="00B2463C" w:rsidRPr="00580728">
        <w:rPr>
          <w:rFonts w:eastAsia="Helvetica Neue"/>
        </w:rPr>
        <w:t>rsons</w:t>
      </w:r>
      <w:r w:rsidRPr="00580728">
        <w:rPr>
          <w:rFonts w:eastAsia="Helvetica Neue"/>
        </w:rPr>
        <w:t xml:space="preserve"> with disabilities to access services</w:t>
      </w:r>
      <w:r w:rsidR="00971EB7" w:rsidRPr="00580728">
        <w:rPr>
          <w:rFonts w:eastAsia="Helvetica Neue"/>
        </w:rPr>
        <w:t xml:space="preserve"> and </w:t>
      </w:r>
      <w:r w:rsidRPr="00580728">
        <w:rPr>
          <w:rFonts w:eastAsia="Helvetica Neue"/>
        </w:rPr>
        <w:t>allowances for personal care attendants. Advocate for government subsidies.</w:t>
      </w:r>
    </w:p>
    <w:p w14:paraId="26DA3F27" w14:textId="36A5F14D" w:rsidR="00202866" w:rsidRPr="00580728" w:rsidRDefault="00202866" w:rsidP="006E6012">
      <w:pPr>
        <w:pStyle w:val="ListParagraph"/>
        <w:numPr>
          <w:ilvl w:val="1"/>
          <w:numId w:val="16"/>
        </w:numPr>
        <w:rPr>
          <w:rFonts w:eastAsia="Helvetica Neue"/>
        </w:rPr>
      </w:pPr>
      <w:r w:rsidRPr="00580728">
        <w:rPr>
          <w:rFonts w:eastAsia="Helvetica Neue"/>
        </w:rPr>
        <w:t xml:space="preserve">Invest in economic empowerment programmes for women and young </w:t>
      </w:r>
      <w:r w:rsidR="00743375">
        <w:rPr>
          <w:rFonts w:eastAsia="Helvetica Neue"/>
        </w:rPr>
        <w:t>persons</w:t>
      </w:r>
      <w:r w:rsidR="00743375" w:rsidRPr="00580728">
        <w:rPr>
          <w:rFonts w:eastAsia="Helvetica Neue"/>
        </w:rPr>
        <w:t xml:space="preserve"> </w:t>
      </w:r>
      <w:r w:rsidRPr="00580728">
        <w:rPr>
          <w:rFonts w:eastAsia="Helvetica Neue"/>
        </w:rPr>
        <w:t>with disabilities.</w:t>
      </w:r>
      <w:r w:rsidRPr="00A64CBE">
        <w:rPr>
          <w:rFonts w:eastAsia="Helvetica Neue"/>
          <w:vertAlign w:val="superscript"/>
        </w:rPr>
        <w:endnoteReference w:id="118"/>
      </w:r>
      <w:r w:rsidRPr="00580728">
        <w:rPr>
          <w:rFonts w:eastAsia="Helvetica Neue"/>
        </w:rPr>
        <w:t xml:space="preserve"> Help women and youn</w:t>
      </w:r>
      <w:r w:rsidR="003634E1" w:rsidRPr="00580728">
        <w:rPr>
          <w:rFonts w:eastAsia="Helvetica Neue"/>
        </w:rPr>
        <w:t xml:space="preserve">g </w:t>
      </w:r>
      <w:r w:rsidR="00743375">
        <w:rPr>
          <w:rFonts w:eastAsia="Helvetica Neue"/>
        </w:rPr>
        <w:t>persons</w:t>
      </w:r>
      <w:r w:rsidR="00743375" w:rsidRPr="00580728">
        <w:rPr>
          <w:rFonts w:eastAsia="Helvetica Neue"/>
        </w:rPr>
        <w:t xml:space="preserve"> </w:t>
      </w:r>
      <w:r w:rsidR="003634E1" w:rsidRPr="00580728">
        <w:rPr>
          <w:rFonts w:eastAsia="Helvetica Neue"/>
        </w:rPr>
        <w:t xml:space="preserve">with disabilities access </w:t>
      </w:r>
      <w:r w:rsidRPr="00580728">
        <w:rPr>
          <w:rFonts w:eastAsia="Helvetica Neue"/>
        </w:rPr>
        <w:t>vocational programmes and other ne</w:t>
      </w:r>
      <w:r w:rsidR="003634E1" w:rsidRPr="00580728">
        <w:rPr>
          <w:rFonts w:eastAsia="Helvetica Neue"/>
        </w:rPr>
        <w:t>cessary</w:t>
      </w:r>
      <w:r w:rsidRPr="00580728">
        <w:rPr>
          <w:rFonts w:eastAsia="Helvetica Neue"/>
        </w:rPr>
        <w:t xml:space="preserve"> livelihood training programmes. Where available, provide support and access to income-generating opportunities such as seed funding for business start-ups.</w:t>
      </w:r>
      <w:r w:rsidRPr="00A64CBE">
        <w:rPr>
          <w:rFonts w:eastAsia="Helvetica Neue"/>
          <w:vertAlign w:val="superscript"/>
        </w:rPr>
        <w:endnoteReference w:id="119"/>
      </w:r>
    </w:p>
    <w:p w14:paraId="5642F647" w14:textId="6340C98A" w:rsidR="00202866" w:rsidRPr="00417440" w:rsidRDefault="000670A4" w:rsidP="00687955">
      <w:pPr>
        <w:pStyle w:val="Heading4"/>
        <w:spacing w:before="520"/>
      </w:pPr>
      <w:r w:rsidRPr="003D62AE">
        <w:t>Guidelines for Action:</w:t>
      </w:r>
      <w:r w:rsidR="00417440">
        <w:t xml:space="preserve"> </w:t>
      </w:r>
      <w:r w:rsidR="00202866" w:rsidRPr="00417440">
        <w:rPr>
          <w:rFonts w:eastAsia="Helvetica Neue"/>
        </w:rPr>
        <w:t xml:space="preserve">Effective </w:t>
      </w:r>
      <w:r w:rsidR="00202866" w:rsidRPr="006419F3">
        <w:t>Identification</w:t>
      </w:r>
      <w:r w:rsidR="00202866" w:rsidRPr="00417440">
        <w:rPr>
          <w:rFonts w:eastAsia="Helvetica Neue"/>
        </w:rPr>
        <w:t xml:space="preserve"> of Needs and Referrals </w:t>
      </w:r>
    </w:p>
    <w:p w14:paraId="3540CD57" w14:textId="77777777" w:rsidR="006D6D8E" w:rsidRPr="006D6D8E" w:rsidRDefault="00202866" w:rsidP="006E6012">
      <w:pPr>
        <w:pStyle w:val="ListParagraph"/>
        <w:numPr>
          <w:ilvl w:val="0"/>
          <w:numId w:val="17"/>
        </w:numPr>
      </w:pPr>
      <w:r w:rsidRPr="00F00A75">
        <w:rPr>
          <w:rFonts w:eastAsia="Helvetica Neue"/>
        </w:rPr>
        <w:t>Develop effective and supportive inter-agency partnerships focused on improving the capacity and integration of services to avoid the dilution of funding and resources. Streamline inter-agency coordination and effective referrals between diverse sectors and agencies. Inter-agency coordination can take many forms, including referral pathways, engagement with local disabled people organizations, quality standard operating procedures, case coordinator programmes.</w:t>
      </w:r>
    </w:p>
    <w:p w14:paraId="49CECA99" w14:textId="1726E114" w:rsidR="006D6D8E" w:rsidRPr="006D6D8E" w:rsidRDefault="00202866" w:rsidP="006E6012">
      <w:pPr>
        <w:pStyle w:val="ListParagraph"/>
        <w:numPr>
          <w:ilvl w:val="1"/>
          <w:numId w:val="17"/>
        </w:numPr>
      </w:pPr>
      <w:r w:rsidRPr="006D6D8E">
        <w:rPr>
          <w:rFonts w:eastAsia="Helvetica Neue"/>
        </w:rPr>
        <w:t>Endeavour to coordinate with women- and young pe</w:t>
      </w:r>
      <w:r w:rsidR="000670A4" w:rsidRPr="006D6D8E">
        <w:rPr>
          <w:rFonts w:eastAsia="Helvetica Neue"/>
        </w:rPr>
        <w:t>rsons</w:t>
      </w:r>
      <w:r w:rsidRPr="006D6D8E">
        <w:rPr>
          <w:rFonts w:eastAsia="Helvetica Neue"/>
        </w:rPr>
        <w:t xml:space="preserve">-led disabled people organizations and agencies and organizations that prioritize and reflect gender equality. In humanitarian emergencies, develop relationships with local grassroots disabled people organizations and advocacy groups to create effective referral networks to engage migrants, refugees, and displaced </w:t>
      </w:r>
      <w:r w:rsidR="00743375">
        <w:rPr>
          <w:rFonts w:eastAsia="Helvetica Neue"/>
        </w:rPr>
        <w:t>persons</w:t>
      </w:r>
      <w:r w:rsidR="00743375" w:rsidRPr="006D6D8E">
        <w:rPr>
          <w:rFonts w:eastAsia="Helvetica Neue"/>
        </w:rPr>
        <w:t xml:space="preserve"> </w:t>
      </w:r>
      <w:r w:rsidRPr="006D6D8E">
        <w:rPr>
          <w:rFonts w:eastAsia="Helvetica Neue"/>
        </w:rPr>
        <w:t xml:space="preserve">with disabilities in local self-advocacy communities. These networks can also help to advocate to the host country government to improve integration. </w:t>
      </w:r>
    </w:p>
    <w:p w14:paraId="6881EAAA" w14:textId="77777777" w:rsidR="006D6D8E" w:rsidRPr="006D6D8E" w:rsidRDefault="00202866" w:rsidP="006E6012">
      <w:pPr>
        <w:pStyle w:val="ListParagraph"/>
        <w:numPr>
          <w:ilvl w:val="1"/>
          <w:numId w:val="17"/>
        </w:numPr>
      </w:pPr>
      <w:r w:rsidRPr="006D6D8E">
        <w:rPr>
          <w:rFonts w:eastAsia="Helvetica Neue"/>
        </w:rPr>
        <w:t xml:space="preserve">Establish clear protocols and agreements about referral processes with relevant social, health, and justice sectors. </w:t>
      </w:r>
    </w:p>
    <w:p w14:paraId="632D0A6D" w14:textId="77777777" w:rsidR="006D6D8E" w:rsidRPr="006D6D8E" w:rsidRDefault="00202866" w:rsidP="006E6012">
      <w:pPr>
        <w:pStyle w:val="ListParagraph"/>
        <w:numPr>
          <w:ilvl w:val="1"/>
          <w:numId w:val="17"/>
        </w:numPr>
      </w:pPr>
      <w:r w:rsidRPr="006D6D8E">
        <w:rPr>
          <w:rFonts w:eastAsia="Helvetica Neue"/>
        </w:rPr>
        <w:t xml:space="preserve">When developing referral networks, identify well-defined responsibilities for each agency and organization in the network. </w:t>
      </w:r>
    </w:p>
    <w:p w14:paraId="0F1A2A41" w14:textId="77777777" w:rsidR="00580728" w:rsidRPr="00580728" w:rsidRDefault="00202866" w:rsidP="006E6012">
      <w:pPr>
        <w:pStyle w:val="ListParagraph"/>
        <w:numPr>
          <w:ilvl w:val="1"/>
          <w:numId w:val="17"/>
        </w:numPr>
      </w:pPr>
      <w:r w:rsidRPr="006D6D8E">
        <w:rPr>
          <w:rFonts w:eastAsia="Helvetica Neue"/>
        </w:rPr>
        <w:t>Ensure that inter-agency coordination procedures are consistent, known by all service providers and support staff, and communicated clearly to women and young pe</w:t>
      </w:r>
      <w:r w:rsidR="000670A4" w:rsidRPr="006D6D8E">
        <w:rPr>
          <w:rFonts w:eastAsia="Helvetica Neue"/>
        </w:rPr>
        <w:t>rsons</w:t>
      </w:r>
      <w:r w:rsidRPr="006D6D8E">
        <w:rPr>
          <w:rFonts w:eastAsia="Helvetica Neue"/>
        </w:rPr>
        <w:t xml:space="preserve"> with disabilities. </w:t>
      </w:r>
    </w:p>
    <w:p w14:paraId="4F0089DA" w14:textId="77777777" w:rsidR="00580728" w:rsidRPr="00580728" w:rsidRDefault="00202866" w:rsidP="006E6012">
      <w:pPr>
        <w:pStyle w:val="ListParagraph"/>
        <w:numPr>
          <w:ilvl w:val="1"/>
          <w:numId w:val="17"/>
        </w:numPr>
      </w:pPr>
      <w:r w:rsidRPr="00580728">
        <w:rPr>
          <w:rFonts w:eastAsia="Helvetica Neue"/>
        </w:rPr>
        <w:lastRenderedPageBreak/>
        <w:t xml:space="preserve">Develop safeguards to hold service providers and support staff accountable for providing necessary referrals, where available and appropriate. For example, a checklist of required identification questions or supervisory oversight. </w:t>
      </w:r>
    </w:p>
    <w:p w14:paraId="0419D264" w14:textId="77777777" w:rsidR="00580728" w:rsidRPr="00580728" w:rsidRDefault="00202866" w:rsidP="006E6012">
      <w:pPr>
        <w:pStyle w:val="ListParagraph"/>
        <w:numPr>
          <w:ilvl w:val="1"/>
          <w:numId w:val="17"/>
        </w:numPr>
      </w:pPr>
      <w:r w:rsidRPr="00580728">
        <w:rPr>
          <w:rFonts w:eastAsia="Helvetica Neue"/>
        </w:rPr>
        <w:t xml:space="preserve">Create referral systems that require informed consent to be received before a referral can be made and include safeguards for a person’s privacy and confidentiality in making the referral. </w:t>
      </w:r>
    </w:p>
    <w:p w14:paraId="100D7DFB" w14:textId="76A3C718" w:rsidR="00202866" w:rsidRPr="006D6D8E" w:rsidRDefault="00202866" w:rsidP="006E6012">
      <w:pPr>
        <w:pStyle w:val="ListParagraph"/>
        <w:numPr>
          <w:ilvl w:val="1"/>
          <w:numId w:val="17"/>
        </w:numPr>
      </w:pPr>
      <w:r w:rsidRPr="00580728">
        <w:rPr>
          <w:rFonts w:eastAsia="Helvetica Neue"/>
        </w:rPr>
        <w:t>Utilize case coordinators trained to address the needs of women and young pe</w:t>
      </w:r>
      <w:r w:rsidR="00026C56" w:rsidRPr="00580728">
        <w:rPr>
          <w:rFonts w:eastAsia="Helvetica Neue"/>
        </w:rPr>
        <w:t>rsons</w:t>
      </w:r>
      <w:r w:rsidRPr="00580728">
        <w:rPr>
          <w:rFonts w:eastAsia="Helvetica Neue"/>
        </w:rPr>
        <w:t xml:space="preserve"> with disabilities to ensure a continuum of care across networks. </w:t>
      </w:r>
    </w:p>
    <w:p w14:paraId="33B798DA" w14:textId="77777777" w:rsidR="00580728" w:rsidRPr="00580728" w:rsidRDefault="00202866" w:rsidP="006E6012">
      <w:pPr>
        <w:pStyle w:val="ListParagraph"/>
        <w:numPr>
          <w:ilvl w:val="0"/>
          <w:numId w:val="17"/>
        </w:numPr>
      </w:pPr>
      <w:r w:rsidRPr="00F00A75">
        <w:rPr>
          <w:rFonts w:eastAsia="Helvetica Neue"/>
        </w:rPr>
        <w:t>Develop relationships with community-based rehabilitation service providers. Community-based rehabilitation service providers can be effective resources for sharing knowledge and resources, as well as linking women and young pe</w:t>
      </w:r>
      <w:r w:rsidR="003B31DC" w:rsidRPr="00F00A75">
        <w:rPr>
          <w:rFonts w:eastAsia="Helvetica Neue"/>
        </w:rPr>
        <w:t>rsons</w:t>
      </w:r>
      <w:r w:rsidRPr="00F00A75">
        <w:rPr>
          <w:rFonts w:eastAsia="Helvetica Neue"/>
        </w:rPr>
        <w:t xml:space="preserve"> with disabilities to services. Community-based rehabilitation service providers generally have a good understanding of the accessibility needs of pe</w:t>
      </w:r>
      <w:r w:rsidR="003B31DC" w:rsidRPr="00F00A75">
        <w:rPr>
          <w:rFonts w:eastAsia="Helvetica Neue"/>
        </w:rPr>
        <w:t>rsons</w:t>
      </w:r>
      <w:r w:rsidRPr="00F00A75">
        <w:rPr>
          <w:rFonts w:eastAsia="Helvetica Neue"/>
        </w:rPr>
        <w:t xml:space="preserve"> with disabilities in their communities and, in many cases, have built relationships with women and young pe</w:t>
      </w:r>
      <w:r w:rsidR="003B31DC" w:rsidRPr="00F00A75">
        <w:rPr>
          <w:rFonts w:eastAsia="Helvetica Neue"/>
        </w:rPr>
        <w:t>rsons</w:t>
      </w:r>
      <w:r w:rsidRPr="00F00A75">
        <w:rPr>
          <w:rFonts w:eastAsia="Helvetica Neue"/>
        </w:rPr>
        <w:t xml:space="preserve"> with disabilities in the community, which GBV and SRHR service providers can build upon.</w:t>
      </w:r>
    </w:p>
    <w:p w14:paraId="005DF4EA" w14:textId="77777777" w:rsidR="00580728" w:rsidRPr="00580728" w:rsidRDefault="00202866" w:rsidP="006E6012">
      <w:pPr>
        <w:pStyle w:val="ListParagraph"/>
        <w:numPr>
          <w:ilvl w:val="0"/>
          <w:numId w:val="33"/>
        </w:numPr>
        <w:ind w:left="720"/>
        <w:rPr>
          <w:rStyle w:val="EndnoteReference"/>
          <w:vertAlign w:val="baseline"/>
        </w:rPr>
      </w:pPr>
      <w:r w:rsidRPr="00580728">
        <w:rPr>
          <w:rFonts w:eastAsia="Helvetica Neue"/>
          <w:b/>
        </w:rPr>
        <w:t xml:space="preserve">Example: </w:t>
      </w:r>
      <w:r w:rsidRPr="00580728">
        <w:rPr>
          <w:rFonts w:eastAsia="Helvetica Neue"/>
        </w:rPr>
        <w:t xml:space="preserve">In Ethiopia, Community Based Rehabilitation Network Ethiopia and Light for the World partnered together on a local pilot project to tailor trainings and activities about </w:t>
      </w:r>
      <w:r w:rsidR="003B31DC" w:rsidRPr="00580728">
        <w:rPr>
          <w:rFonts w:eastAsia="Helvetica Neue"/>
        </w:rPr>
        <w:t>SRHR and rights</w:t>
      </w:r>
      <w:r w:rsidRPr="00580728">
        <w:rPr>
          <w:rFonts w:eastAsia="Helvetica Neue"/>
        </w:rPr>
        <w:t xml:space="preserve"> to the needs of young pe</w:t>
      </w:r>
      <w:r w:rsidR="003B31DC" w:rsidRPr="00580728">
        <w:rPr>
          <w:rFonts w:eastAsia="Helvetica Neue"/>
        </w:rPr>
        <w:t>rsons</w:t>
      </w:r>
      <w:r w:rsidRPr="00580728">
        <w:rPr>
          <w:rFonts w:eastAsia="Helvetica Neue"/>
        </w:rPr>
        <w:t xml:space="preserve"> with intellectual disabilities and their families.</w:t>
      </w:r>
      <w:r w:rsidRPr="00F00A75">
        <w:rPr>
          <w:rStyle w:val="EndnoteReference"/>
          <w:rFonts w:eastAsia="Helvetica Neue"/>
        </w:rPr>
        <w:endnoteReference w:id="120"/>
      </w:r>
      <w:r w:rsidRPr="00580728">
        <w:rPr>
          <w:rFonts w:eastAsia="Helvetica Neue"/>
          <w:iCs/>
        </w:rPr>
        <w:t xml:space="preserve"> </w:t>
      </w:r>
      <w:r w:rsidRPr="00580728">
        <w:rPr>
          <w:rFonts w:eastAsia="Helvetica Neue"/>
        </w:rPr>
        <w:t>Key lessons learned from the project included dismantl</w:t>
      </w:r>
      <w:r w:rsidR="000F7A65" w:rsidRPr="00580728">
        <w:rPr>
          <w:rFonts w:eastAsia="Helvetica Neue"/>
        </w:rPr>
        <w:t xml:space="preserve">e </w:t>
      </w:r>
      <w:r w:rsidRPr="00580728">
        <w:rPr>
          <w:rFonts w:eastAsia="Helvetica Neue"/>
        </w:rPr>
        <w:t>taboos regarding sexualit</w:t>
      </w:r>
      <w:r w:rsidR="000F7A65" w:rsidRPr="00580728">
        <w:rPr>
          <w:rFonts w:eastAsia="Helvetica Neue"/>
        </w:rPr>
        <w:t>y and persons with disabilities;</w:t>
      </w:r>
      <w:r w:rsidRPr="00580728">
        <w:rPr>
          <w:rFonts w:eastAsia="Helvetica Neue"/>
        </w:rPr>
        <w:t xml:space="preserve"> resolv</w:t>
      </w:r>
      <w:r w:rsidR="000F7A65" w:rsidRPr="00580728">
        <w:rPr>
          <w:rFonts w:eastAsia="Helvetica Neue"/>
        </w:rPr>
        <w:t>e</w:t>
      </w:r>
      <w:r w:rsidRPr="00580728">
        <w:rPr>
          <w:rFonts w:eastAsia="Helvetica Neue"/>
        </w:rPr>
        <w:t xml:space="preserve"> the service gap through</w:t>
      </w:r>
      <w:r w:rsidR="000F7A65" w:rsidRPr="00580728">
        <w:rPr>
          <w:rFonts w:eastAsia="Helvetica Neue"/>
        </w:rPr>
        <w:t xml:space="preserve"> training field workers;</w:t>
      </w:r>
      <w:r w:rsidR="00635D09" w:rsidRPr="00580728">
        <w:rPr>
          <w:rFonts w:eastAsia="Helvetica Neue"/>
        </w:rPr>
        <w:t xml:space="preserve"> provid</w:t>
      </w:r>
      <w:r w:rsidR="000F7A65" w:rsidRPr="00580728">
        <w:rPr>
          <w:rFonts w:eastAsia="Helvetica Neue"/>
        </w:rPr>
        <w:t>e</w:t>
      </w:r>
      <w:r w:rsidRPr="00580728">
        <w:rPr>
          <w:rFonts w:eastAsia="Helvetica Neue"/>
        </w:rPr>
        <w:t xml:space="preserve"> practical how-to </w:t>
      </w:r>
      <w:r w:rsidR="000F7A65" w:rsidRPr="00580728">
        <w:rPr>
          <w:rFonts w:eastAsia="Helvetica Neue"/>
        </w:rPr>
        <w:t>techniques; involve family members; and</w:t>
      </w:r>
      <w:r w:rsidRPr="00580728">
        <w:rPr>
          <w:rFonts w:eastAsia="Helvetica Neue"/>
        </w:rPr>
        <w:t xml:space="preserve"> provide trainings to both boys and girls.</w:t>
      </w:r>
      <w:r w:rsidRPr="00F00A75">
        <w:rPr>
          <w:rStyle w:val="EndnoteReference"/>
          <w:rFonts w:eastAsia="Helvetica Neue"/>
        </w:rPr>
        <w:endnoteReference w:id="121"/>
      </w:r>
      <w:r w:rsidRPr="00580728">
        <w:rPr>
          <w:rStyle w:val="EndnoteReference"/>
          <w:rFonts w:eastAsia="Helvetica Neue"/>
        </w:rPr>
        <w:t xml:space="preserve"> </w:t>
      </w:r>
    </w:p>
    <w:p w14:paraId="1CF2AF2B" w14:textId="77777777" w:rsidR="00580728" w:rsidRPr="00580728" w:rsidRDefault="00202866" w:rsidP="006E6012">
      <w:pPr>
        <w:pStyle w:val="ListParagraph"/>
        <w:numPr>
          <w:ilvl w:val="0"/>
          <w:numId w:val="17"/>
        </w:numPr>
      </w:pPr>
      <w:r w:rsidRPr="00580728">
        <w:rPr>
          <w:rFonts w:eastAsia="Helvetica Neue"/>
        </w:rPr>
        <w:t>Take measures to identify service recipients with disabilities who have or are experiencing GBV or SRHR violations. Service provision, particularly in sexual and reproductive health services, present a valuable point of contact for identifying victims/survivors of violence, assessing risks, and developing a plan to manage and mitigate risks.</w:t>
      </w:r>
      <w:r w:rsidRPr="00F00A75">
        <w:rPr>
          <w:rStyle w:val="EndnoteReference"/>
          <w:rFonts w:eastAsia="Helvetica Neue"/>
        </w:rPr>
        <w:endnoteReference w:id="122"/>
      </w:r>
    </w:p>
    <w:p w14:paraId="544C329E" w14:textId="77777777" w:rsidR="00580728" w:rsidRPr="00580728" w:rsidRDefault="00B11A2C" w:rsidP="006E6012">
      <w:pPr>
        <w:pStyle w:val="ListParagraph"/>
        <w:numPr>
          <w:ilvl w:val="1"/>
          <w:numId w:val="17"/>
        </w:numPr>
      </w:pPr>
      <w:r w:rsidRPr="00580728">
        <w:rPr>
          <w:rFonts w:eastAsia="Helvetica Neue"/>
        </w:rPr>
        <w:t>Providers and staff must be trained on how to provide first-line support.</w:t>
      </w:r>
      <w:r w:rsidRPr="00F00A75">
        <w:rPr>
          <w:rStyle w:val="EndnoteReference"/>
          <w:rFonts w:eastAsia="Helvetica Neue"/>
        </w:rPr>
        <w:endnoteReference w:id="123"/>
      </w:r>
      <w:r w:rsidRPr="00580728">
        <w:rPr>
          <w:rStyle w:val="EndnoteReference"/>
          <w:rFonts w:eastAsia="Helvetica Neue"/>
        </w:rPr>
        <w:t xml:space="preserve"> </w:t>
      </w:r>
      <w:r w:rsidR="00202866" w:rsidRPr="00580728">
        <w:rPr>
          <w:rFonts w:eastAsia="Helvetica Neue"/>
        </w:rPr>
        <w:t xml:space="preserve">It is essential that routine GBV or SRHR violation screenings only be conducted when service providers and support staff have robust training and effective referral networks in place or else providers and staff risk causing additional trauma to a victim/survivor. Appropriate and effective referrals must be in place to connect the victim/survivor with the services they need immediately. </w:t>
      </w:r>
    </w:p>
    <w:p w14:paraId="2E4C5B7D" w14:textId="77777777" w:rsidR="00580728" w:rsidRPr="00580728" w:rsidRDefault="00202866" w:rsidP="006E6012">
      <w:pPr>
        <w:pStyle w:val="ListParagraph"/>
        <w:numPr>
          <w:ilvl w:val="1"/>
          <w:numId w:val="17"/>
        </w:numPr>
        <w:rPr>
          <w:rStyle w:val="EndnoteReference"/>
          <w:vertAlign w:val="baseline"/>
        </w:rPr>
      </w:pPr>
      <w:r w:rsidRPr="00580728">
        <w:rPr>
          <w:rFonts w:eastAsia="Helvetica Neue"/>
        </w:rPr>
        <w:t>Develop specific identification guidelines for providers and staff to use when identifying someone facing a safety risk, including for situations where the survivor is dependent on the perpetrator.</w:t>
      </w:r>
      <w:r w:rsidRPr="00F00A75">
        <w:rPr>
          <w:rStyle w:val="EndnoteReference"/>
          <w:rFonts w:eastAsia="Helvetica Neue"/>
        </w:rPr>
        <w:endnoteReference w:id="124"/>
      </w:r>
      <w:r w:rsidRPr="00580728">
        <w:rPr>
          <w:rStyle w:val="EndnoteReference"/>
          <w:rFonts w:eastAsia="Helvetica Neue"/>
        </w:rPr>
        <w:t xml:space="preserve"> </w:t>
      </w:r>
      <w:r w:rsidRPr="00580728">
        <w:rPr>
          <w:rFonts w:eastAsia="Helvetica Neue"/>
        </w:rPr>
        <w:t>Providers and staff must also be trained in safety planning and mitigating any risk to the woman or young person that an identification may create.</w:t>
      </w:r>
      <w:r w:rsidRPr="00F00A75">
        <w:rPr>
          <w:rStyle w:val="EndnoteReference"/>
          <w:rFonts w:eastAsia="Helvetica Neue"/>
        </w:rPr>
        <w:endnoteReference w:id="125"/>
      </w:r>
      <w:r w:rsidRPr="00580728">
        <w:rPr>
          <w:rStyle w:val="EndnoteReference"/>
          <w:rFonts w:eastAsia="Helvetica Neue"/>
        </w:rPr>
        <w:t xml:space="preserve"> </w:t>
      </w:r>
    </w:p>
    <w:p w14:paraId="22398B5F" w14:textId="77777777" w:rsidR="00580728" w:rsidRPr="00580728" w:rsidRDefault="00202866" w:rsidP="006E6012">
      <w:pPr>
        <w:pStyle w:val="ListParagraph"/>
        <w:numPr>
          <w:ilvl w:val="1"/>
          <w:numId w:val="17"/>
        </w:numPr>
      </w:pPr>
      <w:r w:rsidRPr="00580728">
        <w:rPr>
          <w:rFonts w:eastAsia="Helvetica Neue"/>
        </w:rPr>
        <w:t>Establish consistent and coordinated identification procedures and inter-agency coordination.</w:t>
      </w:r>
    </w:p>
    <w:p w14:paraId="071E9C5C" w14:textId="16A3BA94" w:rsidR="00202866" w:rsidRPr="00580728" w:rsidRDefault="00202866" w:rsidP="006E6012">
      <w:pPr>
        <w:pStyle w:val="ListParagraph"/>
        <w:numPr>
          <w:ilvl w:val="1"/>
          <w:numId w:val="17"/>
        </w:numPr>
      </w:pPr>
      <w:r w:rsidRPr="00580728">
        <w:rPr>
          <w:rFonts w:eastAsia="Helvetica Neue"/>
        </w:rPr>
        <w:t>Promote the establishment of spaces where women and young pe</w:t>
      </w:r>
      <w:r w:rsidR="003B31DC" w:rsidRPr="00580728">
        <w:rPr>
          <w:rFonts w:eastAsia="Helvetica Neue"/>
        </w:rPr>
        <w:t>rsons</w:t>
      </w:r>
      <w:r w:rsidRPr="00580728">
        <w:rPr>
          <w:rFonts w:eastAsia="Helvetica Neue"/>
        </w:rPr>
        <w:t xml:space="preserve"> with disabilities can feel safe and supported. </w:t>
      </w:r>
    </w:p>
    <w:p w14:paraId="7722C8F2" w14:textId="6496958A" w:rsidR="00202866" w:rsidRPr="00F00A75" w:rsidRDefault="00202866" w:rsidP="006E6012">
      <w:pPr>
        <w:pStyle w:val="ListParagraph"/>
        <w:numPr>
          <w:ilvl w:val="1"/>
          <w:numId w:val="21"/>
        </w:numPr>
      </w:pPr>
      <w:r w:rsidRPr="00F00A75">
        <w:rPr>
          <w:rFonts w:eastAsia="Helvetica Neue"/>
        </w:rPr>
        <w:lastRenderedPageBreak/>
        <w:t>Respect the confidentiality and privacy rights of women and young pe</w:t>
      </w:r>
      <w:r w:rsidR="003B31DC" w:rsidRPr="00F00A75">
        <w:rPr>
          <w:rFonts w:eastAsia="Helvetica Neue"/>
        </w:rPr>
        <w:t>rsons</w:t>
      </w:r>
      <w:r w:rsidRPr="00F00A75">
        <w:rPr>
          <w:rFonts w:eastAsia="Helvetica Neue"/>
        </w:rPr>
        <w:t xml:space="preserve"> with disabilities. </w:t>
      </w:r>
    </w:p>
    <w:p w14:paraId="0C83F077" w14:textId="138D5CBB" w:rsidR="00202866" w:rsidRPr="00417440" w:rsidRDefault="003B31DC" w:rsidP="00687955">
      <w:pPr>
        <w:pStyle w:val="Heading4"/>
        <w:spacing w:before="520"/>
      </w:pPr>
      <w:r>
        <w:t>Guidelines for Action:</w:t>
      </w:r>
      <w:r w:rsidR="00417440">
        <w:t xml:space="preserve"> </w:t>
      </w:r>
      <w:r w:rsidR="00202866" w:rsidRPr="00417440">
        <w:rPr>
          <w:rFonts w:eastAsia="Helvetica Neue"/>
        </w:rPr>
        <w:t xml:space="preserve">Accessible Services / </w:t>
      </w:r>
      <w:r w:rsidR="00202866" w:rsidRPr="003C6133">
        <w:rPr>
          <w:rFonts w:eastAsia="Helvetica Neue"/>
        </w:rPr>
        <w:t>Accommodations</w:t>
      </w:r>
    </w:p>
    <w:p w14:paraId="2E471C72" w14:textId="77777777" w:rsidR="00580728" w:rsidRPr="00580728" w:rsidRDefault="00202866" w:rsidP="006E6012">
      <w:pPr>
        <w:pStyle w:val="ListParagraph"/>
        <w:numPr>
          <w:ilvl w:val="0"/>
          <w:numId w:val="18"/>
        </w:numPr>
      </w:pPr>
      <w:r w:rsidRPr="00F00A75">
        <w:rPr>
          <w:rFonts w:eastAsia="Helvetica Neue"/>
        </w:rPr>
        <w:t>Offer reasonable accommodations whenever needed. An accommodation, often referred to as a “reasonable accommodation” conveys “necessary and appropriate modification and adjustments not imposing a disproportionate or undue burden, where needed in a particular case, to ensure to persons with disabilities the enjoyment or exercise on an equal basis with others of all human rights and fundamental freedoms”.</w:t>
      </w:r>
      <w:r w:rsidRPr="00A64CBE">
        <w:rPr>
          <w:rFonts w:eastAsia="Helvetica Neue"/>
          <w:vertAlign w:val="superscript"/>
        </w:rPr>
        <w:endnoteReference w:id="126"/>
      </w:r>
      <w:r w:rsidRPr="00F00A75">
        <w:rPr>
          <w:rFonts w:eastAsia="Helvetica Neue"/>
        </w:rPr>
        <w:t xml:space="preserve"> Accommodations are fundamental to ensuring that pe</w:t>
      </w:r>
      <w:r w:rsidR="008632DB" w:rsidRPr="00F00A75">
        <w:rPr>
          <w:rFonts w:eastAsia="Helvetica Neue"/>
        </w:rPr>
        <w:t>rsons</w:t>
      </w:r>
      <w:r w:rsidRPr="00F00A75">
        <w:rPr>
          <w:rFonts w:eastAsia="Helvetica Neue"/>
        </w:rPr>
        <w:t xml:space="preserve"> with disabilities can access and use services on an equal basis as pe</w:t>
      </w:r>
      <w:r w:rsidR="008632DB" w:rsidRPr="00F00A75">
        <w:rPr>
          <w:rFonts w:eastAsia="Helvetica Neue"/>
        </w:rPr>
        <w:t>rsons</w:t>
      </w:r>
      <w:r w:rsidRPr="00F00A75">
        <w:rPr>
          <w:rFonts w:eastAsia="Helvetica Neue"/>
        </w:rPr>
        <w:t xml:space="preserve"> without disabilities. The form of accommodation a person requires or prefers should be directed by the person with the disability.</w:t>
      </w:r>
    </w:p>
    <w:p w14:paraId="6F58901A" w14:textId="77777777" w:rsidR="00580728" w:rsidRPr="00580728" w:rsidRDefault="00202866" w:rsidP="006E6012">
      <w:pPr>
        <w:pStyle w:val="ListParagraph"/>
        <w:numPr>
          <w:ilvl w:val="0"/>
          <w:numId w:val="18"/>
        </w:numPr>
      </w:pPr>
      <w:r w:rsidRPr="00580728">
        <w:rPr>
          <w:rFonts w:eastAsia="Helvetica Neue"/>
        </w:rPr>
        <w:t>As much as economic resources allow, offer assistive technology (AT). Assistive devices and technology</w:t>
      </w:r>
      <w:r w:rsidRPr="00580728">
        <w:rPr>
          <w:rFonts w:eastAsia="Helvetica Neue"/>
          <w:b/>
        </w:rPr>
        <w:t xml:space="preserve"> </w:t>
      </w:r>
      <w:r w:rsidRPr="00580728">
        <w:rPr>
          <w:rFonts w:eastAsia="Helvetica Neue"/>
        </w:rPr>
        <w:t>usage is a form of reasonable accommodation. The purpose of AT is to sustain or improve a person’s functioning level and independence to enable that person to better engage in their life and improve their health and well-being generally.</w:t>
      </w:r>
      <w:r w:rsidRPr="00A64CBE">
        <w:rPr>
          <w:rFonts w:eastAsia="Helvetica Neue"/>
          <w:vertAlign w:val="superscript"/>
        </w:rPr>
        <w:endnoteReference w:id="127"/>
      </w:r>
      <w:r w:rsidRPr="00580728">
        <w:rPr>
          <w:rFonts w:eastAsia="Helvetica Neue"/>
        </w:rPr>
        <w:t xml:space="preserve"> For example, communication access real-time translation (CART) technology, is an important type of AT for literate Deaf people. To better understand AT and how to prioritize investment in products, refer to the World Health Organization’s</w:t>
      </w:r>
      <w:r w:rsidRPr="00580728">
        <w:rPr>
          <w:rFonts w:eastAsia="Helvetica Neue"/>
          <w:b/>
        </w:rPr>
        <w:t xml:space="preserve"> </w:t>
      </w:r>
      <w:r w:rsidRPr="00580728">
        <w:rPr>
          <w:rFonts w:eastAsia="Helvetica Neue"/>
          <w:b/>
          <w:iCs/>
        </w:rPr>
        <w:t>‘Priority Assistive Products List’.</w:t>
      </w:r>
      <w:r w:rsidRPr="00F00A75">
        <w:rPr>
          <w:rFonts w:eastAsia="Helvetica Neue"/>
          <w:iCs/>
          <w:vertAlign w:val="superscript"/>
        </w:rPr>
        <w:endnoteReference w:id="128"/>
      </w:r>
    </w:p>
    <w:p w14:paraId="5350A6E1" w14:textId="498E3373" w:rsidR="00580728" w:rsidRPr="00580728" w:rsidRDefault="00202866" w:rsidP="006E6012">
      <w:pPr>
        <w:pStyle w:val="ListParagraph"/>
        <w:numPr>
          <w:ilvl w:val="0"/>
          <w:numId w:val="18"/>
        </w:numPr>
      </w:pPr>
      <w:r w:rsidRPr="00580728">
        <w:rPr>
          <w:rFonts w:eastAsia="Helvetica Neue"/>
        </w:rPr>
        <w:t xml:space="preserve">Develop identification policies and procedures to identify a woman’s or young person’s reasonable accommodation needs: </w:t>
      </w:r>
    </w:p>
    <w:p w14:paraId="6676747A" w14:textId="77777777" w:rsidR="00AF6963" w:rsidRPr="00AF6963" w:rsidRDefault="00202866" w:rsidP="006E6012">
      <w:pPr>
        <w:pStyle w:val="ListParagraph"/>
        <w:numPr>
          <w:ilvl w:val="1"/>
          <w:numId w:val="18"/>
        </w:numPr>
      </w:pPr>
      <w:r w:rsidRPr="00580728">
        <w:rPr>
          <w:rFonts w:eastAsia="Helvetica Neue"/>
        </w:rPr>
        <w:t xml:space="preserve">Create an accessible form or identification process to identify a person’s audio, visual, sensory, physical, or comprehension needs. Ensure that there are streamlined and swift procedures to accommodate a person’s needs once identified. </w:t>
      </w:r>
    </w:p>
    <w:p w14:paraId="7F066C1B" w14:textId="77777777" w:rsidR="00AF6963" w:rsidRPr="00AF6963" w:rsidRDefault="00202866" w:rsidP="006E6012">
      <w:pPr>
        <w:pStyle w:val="ListParagraph"/>
        <w:numPr>
          <w:ilvl w:val="1"/>
          <w:numId w:val="18"/>
        </w:numPr>
      </w:pPr>
      <w:r w:rsidRPr="00AF6963">
        <w:rPr>
          <w:rFonts w:eastAsia="Helvetica Neue"/>
        </w:rPr>
        <w:t xml:space="preserve">Conduct this identification in advance of the person’s first visit to avoid the person making a potentially difficult trip only to discover the accommodation they require is unavailable. </w:t>
      </w:r>
    </w:p>
    <w:p w14:paraId="56F97E5A" w14:textId="77777777" w:rsidR="00AF6963" w:rsidRPr="00AF6963" w:rsidRDefault="00202866" w:rsidP="006E6012">
      <w:pPr>
        <w:pStyle w:val="ListParagraph"/>
        <w:numPr>
          <w:ilvl w:val="1"/>
          <w:numId w:val="18"/>
        </w:numPr>
      </w:pPr>
      <w:r w:rsidRPr="00AF6963">
        <w:rPr>
          <w:rFonts w:eastAsia="Helvetica Neue"/>
        </w:rPr>
        <w:t>Adapt appointment schedules. For example, women and young pe</w:t>
      </w:r>
      <w:r w:rsidR="001930CB" w:rsidRPr="00AF6963">
        <w:rPr>
          <w:rFonts w:eastAsia="Helvetica Neue"/>
        </w:rPr>
        <w:t>rsons</w:t>
      </w:r>
      <w:r w:rsidRPr="00AF6963">
        <w:rPr>
          <w:rFonts w:eastAsia="Helvetica Neue"/>
        </w:rPr>
        <w:t xml:space="preserve"> with disabilities may require the following accommodations: </w:t>
      </w:r>
    </w:p>
    <w:p w14:paraId="0499686B" w14:textId="77777777" w:rsidR="00AF6963" w:rsidRPr="00AF6963" w:rsidRDefault="00202866" w:rsidP="006E6012">
      <w:pPr>
        <w:pStyle w:val="ListParagraph"/>
        <w:numPr>
          <w:ilvl w:val="2"/>
          <w:numId w:val="18"/>
        </w:numPr>
      </w:pPr>
      <w:r w:rsidRPr="00AF6963">
        <w:rPr>
          <w:rFonts w:eastAsia="Helvetica Neue"/>
        </w:rPr>
        <w:t>Longer appointment periods.</w:t>
      </w:r>
      <w:r w:rsidRPr="00A64CBE">
        <w:rPr>
          <w:rFonts w:eastAsia="Helvetica Neue"/>
          <w:vertAlign w:val="superscript"/>
        </w:rPr>
        <w:endnoteReference w:id="129"/>
      </w:r>
    </w:p>
    <w:p w14:paraId="1BEF26E8" w14:textId="77777777" w:rsidR="00AF6963" w:rsidRPr="00AF6963" w:rsidRDefault="00202866" w:rsidP="006E6012">
      <w:pPr>
        <w:pStyle w:val="ListParagraph"/>
        <w:numPr>
          <w:ilvl w:val="2"/>
          <w:numId w:val="18"/>
        </w:numPr>
      </w:pPr>
      <w:r w:rsidRPr="00AF6963">
        <w:rPr>
          <w:rFonts w:eastAsia="Helvetica Neue"/>
        </w:rPr>
        <w:t>After-hours appointments.</w:t>
      </w:r>
      <w:r w:rsidRPr="00A64CBE">
        <w:rPr>
          <w:rFonts w:eastAsia="Helvetica Neue"/>
          <w:vertAlign w:val="superscript"/>
        </w:rPr>
        <w:endnoteReference w:id="130"/>
      </w:r>
      <w:r w:rsidRPr="00AF6963">
        <w:rPr>
          <w:rFonts w:eastAsia="Helvetica Neue"/>
        </w:rPr>
        <w:t xml:space="preserve"> </w:t>
      </w:r>
    </w:p>
    <w:p w14:paraId="25836433" w14:textId="77777777" w:rsidR="00AF6963" w:rsidRPr="00AF6963" w:rsidRDefault="00202866" w:rsidP="006E6012">
      <w:pPr>
        <w:pStyle w:val="ListParagraph"/>
        <w:numPr>
          <w:ilvl w:val="2"/>
          <w:numId w:val="18"/>
        </w:numPr>
      </w:pPr>
      <w:r w:rsidRPr="00AF6963">
        <w:rPr>
          <w:rFonts w:eastAsia="Helvetica Neue"/>
        </w:rPr>
        <w:t>Special timing of appointments.</w:t>
      </w:r>
      <w:r w:rsidRPr="00A64CBE">
        <w:rPr>
          <w:rFonts w:eastAsia="Helvetica Neue"/>
          <w:vertAlign w:val="superscript"/>
        </w:rPr>
        <w:endnoteReference w:id="131"/>
      </w:r>
      <w:r w:rsidRPr="00AF6963">
        <w:rPr>
          <w:rFonts w:eastAsia="Helvetica Neue"/>
        </w:rPr>
        <w:t xml:space="preserve"> </w:t>
      </w:r>
    </w:p>
    <w:p w14:paraId="261FED99" w14:textId="77777777" w:rsidR="00AF6963" w:rsidRPr="00AF6963" w:rsidRDefault="00202866" w:rsidP="006E6012">
      <w:pPr>
        <w:pStyle w:val="ListParagraph"/>
        <w:numPr>
          <w:ilvl w:val="2"/>
          <w:numId w:val="18"/>
        </w:numPr>
      </w:pPr>
      <w:r w:rsidRPr="00AF6963">
        <w:rPr>
          <w:rFonts w:eastAsia="Helvetica Neue"/>
        </w:rPr>
        <w:t xml:space="preserve">Combined appointments. </w:t>
      </w:r>
    </w:p>
    <w:p w14:paraId="51BD59A9" w14:textId="0A52C9A5" w:rsidR="00202866" w:rsidRPr="004836FF" w:rsidRDefault="00202866" w:rsidP="00687955">
      <w:pPr>
        <w:pStyle w:val="ListParagraph"/>
        <w:numPr>
          <w:ilvl w:val="1"/>
          <w:numId w:val="18"/>
        </w:numPr>
        <w:spacing w:after="240"/>
      </w:pPr>
      <w:r w:rsidRPr="00AF6963">
        <w:rPr>
          <w:rFonts w:eastAsia="Helvetica Neue"/>
        </w:rPr>
        <w:t>Track service provider training levels and capabilities to ensure that providers with the requisite skills are available or assigned to the service recipient who requires that skill. For example, if a person requires sign language to communicate</w:t>
      </w:r>
      <w:r w:rsidR="000603B5">
        <w:rPr>
          <w:rFonts w:eastAsia="Helvetica Neue"/>
        </w:rPr>
        <w:t>,</w:t>
      </w:r>
      <w:r w:rsidRPr="00AF6963">
        <w:rPr>
          <w:rFonts w:eastAsia="Helvetica Neue"/>
        </w:rPr>
        <w:t xml:space="preserve"> they should be scheduled with the provider who knows sign language. </w:t>
      </w:r>
      <w:r w:rsidR="009D6503">
        <w:rPr>
          <w:rFonts w:eastAsia="Helvetica Neue"/>
        </w:rPr>
        <w:br/>
      </w:r>
    </w:p>
    <w:p w14:paraId="68257CC3" w14:textId="0FC90FBD" w:rsidR="00202866" w:rsidRPr="00417440" w:rsidRDefault="001930CB" w:rsidP="003C6133">
      <w:pPr>
        <w:pStyle w:val="Heading4"/>
        <w:spacing w:before="480"/>
      </w:pPr>
      <w:r>
        <w:lastRenderedPageBreak/>
        <w:t>Guidelines for Action:</w:t>
      </w:r>
      <w:r w:rsidR="00417440">
        <w:t xml:space="preserve"> </w:t>
      </w:r>
      <w:r w:rsidR="00202866" w:rsidRPr="00417440">
        <w:rPr>
          <w:rFonts w:eastAsia="Helvetica Neue"/>
        </w:rPr>
        <w:t xml:space="preserve">Acceptable </w:t>
      </w:r>
      <w:r w:rsidR="00202866" w:rsidRPr="003C6133">
        <w:rPr>
          <w:rFonts w:eastAsia="Helvetica Neue"/>
        </w:rPr>
        <w:t>Services</w:t>
      </w:r>
      <w:r w:rsidR="00202866" w:rsidRPr="00417440">
        <w:rPr>
          <w:rFonts w:eastAsia="Helvetica Neue"/>
        </w:rPr>
        <w:t xml:space="preserve"> </w:t>
      </w:r>
    </w:p>
    <w:p w14:paraId="311DE7F7" w14:textId="56000BA5" w:rsidR="00202866" w:rsidRPr="0060005C" w:rsidRDefault="00202866" w:rsidP="006E6012">
      <w:pPr>
        <w:pStyle w:val="ListParagraph"/>
        <w:numPr>
          <w:ilvl w:val="1"/>
          <w:numId w:val="19"/>
        </w:numPr>
        <w:ind w:left="360"/>
      </w:pPr>
      <w:r w:rsidRPr="004836FF">
        <w:rPr>
          <w:rFonts w:eastAsia="Helvetica Neue"/>
        </w:rPr>
        <w:t xml:space="preserve">Design services to respect a service recipient’s dignity and be responsive to the different ways in which individuals experience services on the basis of their age, disability, gender, socio-economic status, and cultural differences. </w:t>
      </w:r>
    </w:p>
    <w:p w14:paraId="4E0A3CFE" w14:textId="77777777" w:rsidR="00A731AC" w:rsidRPr="00A64CBE" w:rsidRDefault="00A731AC" w:rsidP="00A731AC">
      <w:pPr>
        <w:pStyle w:val="ListParagraph"/>
        <w:numPr>
          <w:ilvl w:val="0"/>
          <w:numId w:val="33"/>
        </w:numPr>
        <w:ind w:left="711" w:hanging="396"/>
      </w:pPr>
      <w:r w:rsidRPr="00573119">
        <w:rPr>
          <w:rFonts w:eastAsia="Helvetica Neue"/>
          <w:b/>
        </w:rPr>
        <w:t xml:space="preserve">Example: </w:t>
      </w:r>
      <w:r w:rsidRPr="00573119">
        <w:rPr>
          <w:rFonts w:eastAsia="Helvetica Neue"/>
        </w:rPr>
        <w:t>How service providers and support staff can design services to respect a service recipient’s dignity:</w:t>
      </w:r>
      <w:r w:rsidRPr="00573119">
        <w:rPr>
          <w:rFonts w:eastAsia="Helvetica Neue"/>
          <w:b/>
        </w:rPr>
        <w:t xml:space="preserve"> </w:t>
      </w:r>
      <w:r w:rsidRPr="00573119">
        <w:rPr>
          <w:rFonts w:eastAsia="Helvetica Neue"/>
          <w:b/>
        </w:rPr>
        <w:tab/>
      </w:r>
      <w:r w:rsidRPr="00573119">
        <w:rPr>
          <w:rFonts w:eastAsia="Helvetica Neue"/>
          <w:b/>
        </w:rPr>
        <w:tab/>
      </w:r>
    </w:p>
    <w:p w14:paraId="79D2BD3A" w14:textId="77777777" w:rsidR="00A731AC" w:rsidRPr="00A64CBE" w:rsidRDefault="00A731AC" w:rsidP="0060005C">
      <w:pPr>
        <w:pStyle w:val="ListParagraph"/>
        <w:numPr>
          <w:ilvl w:val="0"/>
          <w:numId w:val="158"/>
        </w:numPr>
        <w:ind w:left="1080"/>
      </w:pPr>
      <w:r w:rsidRPr="00015E32">
        <w:rPr>
          <w:rFonts w:eastAsia="Helvetica Neue"/>
        </w:rPr>
        <w:t xml:space="preserve">Structure service provision to recognize the women or young person with a disability as the expert on their adaptation needs and to empower them to direct their treatment and ask for assistance when necessary. </w:t>
      </w:r>
    </w:p>
    <w:p w14:paraId="24B25BEC" w14:textId="77777777" w:rsidR="00A731AC" w:rsidRPr="00A64CBE" w:rsidRDefault="00A731AC" w:rsidP="0060005C">
      <w:pPr>
        <w:pStyle w:val="ListParagraph"/>
        <w:numPr>
          <w:ilvl w:val="0"/>
          <w:numId w:val="158"/>
        </w:numPr>
        <w:ind w:left="1080"/>
      </w:pPr>
      <w:r w:rsidRPr="00015E32">
        <w:rPr>
          <w:rFonts w:eastAsia="Helvetica Neue"/>
        </w:rPr>
        <w:t>Train all providers and staff to respect the will and preference of women and young persons with disabilities. Ensure that mechanisms are in place for women and young persons with disabilities to be able to safely report disrespectful services (i.e., without fear of retaliation, victimisation, or harm).</w:t>
      </w:r>
    </w:p>
    <w:p w14:paraId="697D3E54" w14:textId="77777777" w:rsidR="00A731AC" w:rsidRPr="00A64CBE" w:rsidRDefault="00A731AC" w:rsidP="0060005C">
      <w:pPr>
        <w:pStyle w:val="ListParagraph"/>
        <w:numPr>
          <w:ilvl w:val="0"/>
          <w:numId w:val="158"/>
        </w:numPr>
        <w:ind w:left="1080"/>
      </w:pPr>
      <w:r w:rsidRPr="00015E32">
        <w:rPr>
          <w:rFonts w:eastAsia="Helvetica Neue"/>
        </w:rPr>
        <w:t>Service providers and support staff must speak directly to the woman or young person with a disability and not to the person’s accompanying family member or caregiver.</w:t>
      </w:r>
    </w:p>
    <w:p w14:paraId="04CD154E" w14:textId="77777777" w:rsidR="00A731AC" w:rsidRPr="00A64CBE" w:rsidRDefault="00A731AC" w:rsidP="0060005C">
      <w:pPr>
        <w:pStyle w:val="ListParagraph"/>
        <w:numPr>
          <w:ilvl w:val="0"/>
          <w:numId w:val="158"/>
        </w:numPr>
        <w:ind w:left="1080"/>
      </w:pPr>
      <w:r w:rsidRPr="00015E32">
        <w:rPr>
          <w:rFonts w:eastAsia="Helvetica Neue"/>
        </w:rPr>
        <w:t xml:space="preserve">When a person with a physical disability requires a physical exam, providers and staff must allow the person with the disability to direct the transfer to the examination bed and their body’s positioning during the exam. </w:t>
      </w:r>
    </w:p>
    <w:p w14:paraId="5ACB8DC2" w14:textId="70375972" w:rsidR="00A731AC" w:rsidRPr="00A64CBE" w:rsidRDefault="00A731AC" w:rsidP="0060005C">
      <w:pPr>
        <w:pStyle w:val="ListParagraph"/>
        <w:numPr>
          <w:ilvl w:val="0"/>
          <w:numId w:val="158"/>
        </w:numPr>
        <w:ind w:left="1080"/>
      </w:pPr>
      <w:r w:rsidRPr="00015E32">
        <w:rPr>
          <w:rFonts w:eastAsia="Helvetica Neue"/>
        </w:rPr>
        <w:t>If a pelvic exam needs to be conducted by the service provider, an assistant always should be present in the exam room during the exam.</w:t>
      </w:r>
    </w:p>
    <w:p w14:paraId="20BC3144" w14:textId="7753EC1E" w:rsidR="00044652" w:rsidRDefault="00044652" w:rsidP="0060005C">
      <w:pPr>
        <w:pStyle w:val="Heading4"/>
        <w:spacing w:line="360" w:lineRule="auto"/>
        <w:ind w:left="630" w:hanging="135"/>
        <w:rPr>
          <w:rFonts w:eastAsia="Helvetica Neue"/>
        </w:rPr>
      </w:pPr>
      <w:r w:rsidRPr="00A6697D">
        <w:rPr>
          <w:noProof/>
        </w:rPr>
        <mc:AlternateContent>
          <mc:Choice Requires="wps">
            <w:drawing>
              <wp:inline distT="0" distB="0" distL="0" distR="0" wp14:anchorId="1CCF8463" wp14:editId="60168CF3">
                <wp:extent cx="5163070" cy="0"/>
                <wp:effectExtent l="0" t="38100" r="31750" b="38100"/>
                <wp:docPr id="4" name="Straight Connector 4" descr="Text box follows"/>
                <wp:cNvGraphicFramePr/>
                <a:graphic xmlns:a="http://schemas.openxmlformats.org/drawingml/2006/main">
                  <a:graphicData uri="http://schemas.microsoft.com/office/word/2010/wordprocessingShape">
                    <wps:wsp>
                      <wps:cNvCnPr/>
                      <wps:spPr>
                        <a:xfrm>
                          <a:off x="0" y="0"/>
                          <a:ext cx="5163070" cy="0"/>
                        </a:xfrm>
                        <a:prstGeom prst="line">
                          <a:avLst/>
                        </a:prstGeom>
                        <a:ln w="76200">
                          <a:solidFill>
                            <a:schemeClr val="accent5">
                              <a:lumMod val="75000"/>
                            </a:schemeClr>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147D5650" id="Straight Connector 4" o:spid="_x0000_s1026" alt="Text box follows" style="visibility:visible;mso-wrap-style:square;mso-left-percent:-10001;mso-top-percent:-10001;mso-position-horizontal:absolute;mso-position-horizontal-relative:char;mso-position-vertical:absolute;mso-position-vertical-relative:line;mso-left-percent:-10001;mso-top-percent:-10001" from="0,0" to="406.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" strokecolor="#31849b [2408]" strokeweight="6pt">
                <w10:anchorlock/>
              </v:line>
            </w:pict>
          </mc:Fallback>
        </mc:AlternateContent>
      </w:r>
      <w:r>
        <w:rPr>
          <w:u w:val="single"/>
        </w:rPr>
        <w:br/>
      </w:r>
      <w:r w:rsidRPr="00573119">
        <w:rPr>
          <w:rFonts w:eastAsia="Helvetica Neue"/>
        </w:rPr>
        <w:t xml:space="preserve">What is dignity? </w:t>
      </w:r>
    </w:p>
    <w:p w14:paraId="2900F7EA" w14:textId="77777777" w:rsidR="00044652" w:rsidRDefault="00202866" w:rsidP="0060005C">
      <w:pPr>
        <w:ind w:left="720" w:right="900"/>
        <w:rPr>
          <w:noProof/>
        </w:rPr>
      </w:pPr>
      <w:r w:rsidRPr="00573119">
        <w:rPr>
          <w:rFonts w:eastAsia="Helvetica Neue"/>
        </w:rPr>
        <w:t>A person’s dignity is fundamentally linked with their human rights and fundamental freedoms. The International Conference on Population and Development Programme of Action says dignity “includes far more than the meeting of basic needs; it includes the right to education; to full participation in social, economic and political life; to freedom of information; to be free from discrimination and violence; to security of residence as well as freedom of human mobility; it requires that individuals be provided access to opportunities to build and renew their capabilities across the life course. Dignity includes the foundational human right to sexual and reproductive health and the freedoms to choose whom to love, whether and when to have children, and the guarantee that sex and reproduction are a source of human happiness and can be engaged in without fear of illness or a risk to health. These entitlements and freedoms are a precondition for a thriving, inclusive society, composed of resilient individuals who can innovate and adapt, and ensure a shared and vibrant future for all persons”.</w:t>
      </w:r>
      <w:r w:rsidRPr="00A64CBE">
        <w:rPr>
          <w:rFonts w:eastAsia="Helvetica Neue"/>
          <w:vertAlign w:val="superscript"/>
        </w:rPr>
        <w:endnoteReference w:id="132"/>
      </w:r>
      <w:r w:rsidR="00044652" w:rsidRPr="00044652">
        <w:rPr>
          <w:noProof/>
        </w:rPr>
        <w:t xml:space="preserve"> </w:t>
      </w:r>
    </w:p>
    <w:p w14:paraId="13EBAC3E" w14:textId="2D942FF8" w:rsidR="00044652" w:rsidRPr="0060005C" w:rsidRDefault="00044652" w:rsidP="0060005C">
      <w:pPr>
        <w:ind w:left="720" w:hanging="144"/>
        <w:rPr>
          <w:rFonts w:eastAsia="Helvetica Neue"/>
        </w:rPr>
      </w:pPr>
      <w:r w:rsidRPr="00A6697D">
        <w:rPr>
          <w:noProof/>
        </w:rPr>
        <mc:AlternateContent>
          <mc:Choice Requires="wps">
            <w:drawing>
              <wp:inline distT="0" distB="0" distL="0" distR="0" wp14:anchorId="08DBAC5D" wp14:editId="6E702268">
                <wp:extent cx="4956048" cy="0"/>
                <wp:effectExtent l="0" t="12700" r="35560" b="25400"/>
                <wp:docPr id="6" name="Straight Connector 6" descr="Text box ends"/>
                <wp:cNvGraphicFramePr/>
                <a:graphic xmlns:a="http://schemas.openxmlformats.org/drawingml/2006/main">
                  <a:graphicData uri="http://schemas.microsoft.com/office/word/2010/wordprocessingShape">
                    <wps:wsp>
                      <wps:cNvCnPr/>
                      <wps:spPr>
                        <a:xfrm>
                          <a:off x="0" y="0"/>
                          <a:ext cx="4956048" cy="0"/>
                        </a:xfrm>
                        <a:prstGeom prst="line">
                          <a:avLst/>
                        </a:prstGeom>
                        <a:ln w="38100">
                          <a:solidFill>
                            <a:schemeClr val="accent5">
                              <a:lumMod val="75000"/>
                            </a:schemeClr>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7376DB5E" id="Straight Connector 6" o:spid="_x0000_s1026" alt="Text box ends" style="visibility:visible;mso-wrap-style:square;mso-left-percent:-10001;mso-top-percent:-10001;mso-position-horizontal:absolute;mso-position-horizontal-relative:char;mso-position-vertical:absolute;mso-position-vertical-relative:line;mso-left-percent:-10001;mso-top-percent:-10001" from="0,0" to="39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" strokecolor="#31849b [2408]" strokeweight="3pt">
                <w10:anchorlock/>
              </v:line>
            </w:pict>
          </mc:Fallback>
        </mc:AlternateContent>
      </w:r>
    </w:p>
    <w:p w14:paraId="35137027" w14:textId="77777777" w:rsidR="00573119" w:rsidRPr="00573119" w:rsidRDefault="00202866" w:rsidP="006E6012">
      <w:pPr>
        <w:pStyle w:val="ListParagraph"/>
        <w:numPr>
          <w:ilvl w:val="0"/>
          <w:numId w:val="30"/>
        </w:numPr>
      </w:pPr>
      <w:r w:rsidRPr="00573119">
        <w:rPr>
          <w:rFonts w:eastAsia="Helvetica Neue"/>
        </w:rPr>
        <w:lastRenderedPageBreak/>
        <w:t>Prioritize safety, particularly for women and young pe</w:t>
      </w:r>
      <w:r w:rsidR="00AA0F77" w:rsidRPr="00573119">
        <w:rPr>
          <w:rFonts w:eastAsia="Helvetica Neue"/>
        </w:rPr>
        <w:t>rsons</w:t>
      </w:r>
      <w:r w:rsidRPr="00573119">
        <w:rPr>
          <w:rFonts w:eastAsia="Helvetica Neue"/>
        </w:rPr>
        <w:t xml:space="preserve"> receiving </w:t>
      </w:r>
      <w:r w:rsidR="00AA0F77" w:rsidRPr="00573119">
        <w:rPr>
          <w:rFonts w:eastAsia="Helvetica Neue"/>
        </w:rPr>
        <w:t xml:space="preserve">GBV </w:t>
      </w:r>
      <w:r w:rsidRPr="00573119">
        <w:rPr>
          <w:rFonts w:eastAsia="Helvetica Neue"/>
        </w:rPr>
        <w:t xml:space="preserve">services. For example, do not make the address of a shelter publicly available or send follow-up letters or calls to a person’s home address or phone unless given informed consent to do so. </w:t>
      </w:r>
    </w:p>
    <w:p w14:paraId="02F390DB" w14:textId="202135A3" w:rsidR="00202866" w:rsidRPr="00A64CBE" w:rsidRDefault="00202866" w:rsidP="006E6012">
      <w:pPr>
        <w:pStyle w:val="ListParagraph"/>
        <w:numPr>
          <w:ilvl w:val="0"/>
          <w:numId w:val="30"/>
        </w:numPr>
      </w:pPr>
      <w:r w:rsidRPr="00573119">
        <w:rPr>
          <w:rFonts w:eastAsia="Helvetica Neue"/>
        </w:rPr>
        <w:t>Allocate sufficient economic and human resources for all programmes to ensure services are available, accessible, acceptable, and of good quality for women and young pe</w:t>
      </w:r>
      <w:r w:rsidR="00AA0F77" w:rsidRPr="00573119">
        <w:rPr>
          <w:rFonts w:eastAsia="Helvetica Neue"/>
        </w:rPr>
        <w:t>rsons</w:t>
      </w:r>
      <w:r w:rsidRPr="00573119">
        <w:rPr>
          <w:rFonts w:eastAsia="Helvetica Neue"/>
        </w:rPr>
        <w:t xml:space="preserve"> with all forms of disability. This includes funding for ancillary costs such as transportation, accessible materials distributed in advance, and interpreters.</w:t>
      </w:r>
      <w:r w:rsidRPr="00A64CBE">
        <w:rPr>
          <w:rFonts w:eastAsia="Helvetica Neue"/>
          <w:vertAlign w:val="superscript"/>
        </w:rPr>
        <w:endnoteReference w:id="133"/>
      </w:r>
      <w:r w:rsidRPr="00573119">
        <w:rPr>
          <w:rFonts w:eastAsia="Helvetica Neue"/>
        </w:rPr>
        <w:t xml:space="preserve"> </w:t>
      </w:r>
    </w:p>
    <w:p w14:paraId="1AACB80C" w14:textId="318D35AA" w:rsidR="00202866" w:rsidRPr="00417440" w:rsidRDefault="00AA0F77" w:rsidP="003C6133">
      <w:pPr>
        <w:pStyle w:val="Heading4"/>
        <w:spacing w:before="480"/>
      </w:pPr>
      <w:r>
        <w:t>Guidelines for Action:</w:t>
      </w:r>
      <w:r w:rsidR="00417440">
        <w:t xml:space="preserve"> </w:t>
      </w:r>
      <w:r w:rsidR="00202866" w:rsidRPr="00417440">
        <w:rPr>
          <w:rFonts w:eastAsia="Helvetica Neue"/>
        </w:rPr>
        <w:t xml:space="preserve">Quality </w:t>
      </w:r>
      <w:r w:rsidR="00202866" w:rsidRPr="003C6133">
        <w:rPr>
          <w:rFonts w:eastAsia="Helvetica Neue"/>
        </w:rPr>
        <w:t>Services</w:t>
      </w:r>
    </w:p>
    <w:p w14:paraId="6CA764A7" w14:textId="77777777" w:rsidR="00573119" w:rsidRPr="00573119" w:rsidRDefault="00202866" w:rsidP="006E6012">
      <w:pPr>
        <w:pStyle w:val="ListParagraph"/>
        <w:numPr>
          <w:ilvl w:val="0"/>
          <w:numId w:val="20"/>
        </w:numPr>
      </w:pPr>
      <w:r w:rsidRPr="00EC2A9D">
        <w:rPr>
          <w:rFonts w:eastAsia="Helvetica Neue"/>
        </w:rPr>
        <w:t>Guarantee that services offered to women and young pe</w:t>
      </w:r>
      <w:r w:rsidR="00AA0F77" w:rsidRPr="00EC2A9D">
        <w:rPr>
          <w:rFonts w:eastAsia="Helvetica Neue"/>
        </w:rPr>
        <w:t>rsons</w:t>
      </w:r>
      <w:r w:rsidRPr="00EC2A9D">
        <w:rPr>
          <w:rFonts w:eastAsia="Helvetica Neue"/>
        </w:rPr>
        <w:t xml:space="preserve"> with disabilities are of good quality</w:t>
      </w:r>
      <w:r w:rsidRPr="00EC2A9D">
        <w:rPr>
          <w:rFonts w:eastAsia="Helvetica Neue"/>
          <w:b/>
        </w:rPr>
        <w:t xml:space="preserve"> </w:t>
      </w:r>
      <w:r w:rsidRPr="00EC2A9D">
        <w:rPr>
          <w:rFonts w:eastAsia="Helvetica Neue"/>
        </w:rPr>
        <w:t>and equal to those offered to pe</w:t>
      </w:r>
      <w:r w:rsidR="00AA0F77" w:rsidRPr="00EC2A9D">
        <w:rPr>
          <w:rFonts w:eastAsia="Helvetica Neue"/>
        </w:rPr>
        <w:t>rsons</w:t>
      </w:r>
      <w:r w:rsidRPr="00EC2A9D">
        <w:rPr>
          <w:rFonts w:eastAsia="Helvetica Neue"/>
        </w:rPr>
        <w:t xml:space="preserve"> without disabilities. Ensure that services are:</w:t>
      </w:r>
    </w:p>
    <w:p w14:paraId="10D24894" w14:textId="77777777" w:rsidR="00573119" w:rsidRPr="00573119" w:rsidRDefault="00202866" w:rsidP="006E6012">
      <w:pPr>
        <w:pStyle w:val="ListParagraph"/>
        <w:numPr>
          <w:ilvl w:val="1"/>
          <w:numId w:val="20"/>
        </w:numPr>
      </w:pPr>
      <w:r w:rsidRPr="00573119">
        <w:rPr>
          <w:rFonts w:eastAsia="Helvetica Neue"/>
        </w:rPr>
        <w:t>evidence-based;</w:t>
      </w:r>
      <w:r w:rsidRPr="00A64CBE">
        <w:rPr>
          <w:rFonts w:eastAsia="Helvetica Neue"/>
          <w:vertAlign w:val="superscript"/>
        </w:rPr>
        <w:endnoteReference w:id="134"/>
      </w:r>
      <w:r w:rsidRPr="00573119">
        <w:rPr>
          <w:rFonts w:eastAsia="Helvetica Neue"/>
        </w:rPr>
        <w:t xml:space="preserve"> </w:t>
      </w:r>
    </w:p>
    <w:p w14:paraId="48FB0D88" w14:textId="77777777" w:rsidR="00573119" w:rsidRPr="00573119" w:rsidRDefault="00202866" w:rsidP="006E6012">
      <w:pPr>
        <w:pStyle w:val="ListParagraph"/>
        <w:numPr>
          <w:ilvl w:val="1"/>
          <w:numId w:val="20"/>
        </w:numPr>
      </w:pPr>
      <w:r w:rsidRPr="00573119">
        <w:rPr>
          <w:rFonts w:eastAsia="Helvetica Neue"/>
        </w:rPr>
        <w:t>scientifically approved and appropriate;</w:t>
      </w:r>
      <w:r w:rsidRPr="00A64CBE">
        <w:rPr>
          <w:rFonts w:eastAsia="Helvetica Neue"/>
          <w:vertAlign w:val="superscript"/>
        </w:rPr>
        <w:endnoteReference w:id="135"/>
      </w:r>
      <w:r w:rsidRPr="00573119">
        <w:rPr>
          <w:rFonts w:eastAsia="Helvetica Neue"/>
        </w:rPr>
        <w:t xml:space="preserve"> </w:t>
      </w:r>
    </w:p>
    <w:p w14:paraId="21D475A0" w14:textId="77777777" w:rsidR="00573119" w:rsidRPr="00573119" w:rsidRDefault="00202866" w:rsidP="006E6012">
      <w:pPr>
        <w:pStyle w:val="ListParagraph"/>
        <w:numPr>
          <w:ilvl w:val="1"/>
          <w:numId w:val="20"/>
        </w:numPr>
      </w:pPr>
      <w:r w:rsidRPr="00573119">
        <w:rPr>
          <w:rFonts w:eastAsia="Helvetica Neue"/>
        </w:rPr>
        <w:t>medically appropriate;</w:t>
      </w:r>
      <w:r w:rsidRPr="00573119">
        <w:rPr>
          <w:rFonts w:eastAsia="Helvetica Neue"/>
          <w:vertAlign w:val="superscript"/>
        </w:rPr>
        <w:t xml:space="preserve"> </w:t>
      </w:r>
      <w:r w:rsidRPr="00A64CBE">
        <w:rPr>
          <w:rFonts w:eastAsia="Helvetica Neue"/>
          <w:vertAlign w:val="superscript"/>
        </w:rPr>
        <w:endnoteReference w:id="136"/>
      </w:r>
      <w:r w:rsidRPr="00573119">
        <w:rPr>
          <w:rFonts w:eastAsia="Helvetica Neue"/>
        </w:rPr>
        <w:t xml:space="preserve"> </w:t>
      </w:r>
    </w:p>
    <w:p w14:paraId="0CAE6E34" w14:textId="77777777" w:rsidR="00573119" w:rsidRPr="00573119" w:rsidRDefault="00202866" w:rsidP="006E6012">
      <w:pPr>
        <w:pStyle w:val="ListParagraph"/>
        <w:numPr>
          <w:ilvl w:val="1"/>
          <w:numId w:val="20"/>
        </w:numPr>
      </w:pPr>
      <w:r w:rsidRPr="00573119">
        <w:rPr>
          <w:rFonts w:eastAsia="Helvetica Neue"/>
        </w:rPr>
        <w:t>culturally appropriate;</w:t>
      </w:r>
      <w:r w:rsidRPr="00A64CBE">
        <w:rPr>
          <w:rFonts w:eastAsia="Helvetica Neue"/>
          <w:vertAlign w:val="superscript"/>
        </w:rPr>
        <w:endnoteReference w:id="137"/>
      </w:r>
      <w:r w:rsidRPr="00573119">
        <w:rPr>
          <w:rFonts w:eastAsia="Helvetica Neue"/>
        </w:rPr>
        <w:t xml:space="preserve"> </w:t>
      </w:r>
    </w:p>
    <w:p w14:paraId="688EF314" w14:textId="77777777" w:rsidR="00573119" w:rsidRPr="00573119" w:rsidRDefault="00202866" w:rsidP="006E6012">
      <w:pPr>
        <w:pStyle w:val="ListParagraph"/>
        <w:numPr>
          <w:ilvl w:val="1"/>
          <w:numId w:val="20"/>
        </w:numPr>
      </w:pPr>
      <w:r w:rsidRPr="00573119">
        <w:rPr>
          <w:rFonts w:eastAsia="Helvetica Neue"/>
        </w:rPr>
        <w:t>consistent with human rights;</w:t>
      </w:r>
      <w:r w:rsidRPr="00A64CBE">
        <w:rPr>
          <w:rFonts w:eastAsia="Helvetica Neue"/>
          <w:vertAlign w:val="superscript"/>
        </w:rPr>
        <w:endnoteReference w:id="138"/>
      </w:r>
    </w:p>
    <w:p w14:paraId="25366E12" w14:textId="77777777" w:rsidR="00573119" w:rsidRPr="00573119" w:rsidRDefault="00202866" w:rsidP="006E6012">
      <w:pPr>
        <w:pStyle w:val="ListParagraph"/>
        <w:numPr>
          <w:ilvl w:val="1"/>
          <w:numId w:val="20"/>
        </w:numPr>
      </w:pPr>
      <w:r w:rsidRPr="00573119">
        <w:rPr>
          <w:rFonts w:eastAsia="Helvetica Neue"/>
        </w:rPr>
        <w:t>comprehensive;</w:t>
      </w:r>
      <w:r w:rsidRPr="00573119">
        <w:rPr>
          <w:rFonts w:eastAsia="Helvetica Neue"/>
          <w:vertAlign w:val="superscript"/>
        </w:rPr>
        <w:t xml:space="preserve"> </w:t>
      </w:r>
      <w:r w:rsidRPr="00A64CBE">
        <w:rPr>
          <w:rFonts w:eastAsia="Helvetica Neue"/>
          <w:vertAlign w:val="superscript"/>
        </w:rPr>
        <w:endnoteReference w:id="139"/>
      </w:r>
      <w:r w:rsidRPr="00573119">
        <w:rPr>
          <w:rFonts w:eastAsia="Helvetica Neue"/>
        </w:rPr>
        <w:t xml:space="preserve"> </w:t>
      </w:r>
    </w:p>
    <w:p w14:paraId="4C7181E4" w14:textId="77777777" w:rsidR="00573119" w:rsidRPr="00573119" w:rsidRDefault="00202866" w:rsidP="006E6012">
      <w:pPr>
        <w:pStyle w:val="ListParagraph"/>
        <w:numPr>
          <w:ilvl w:val="1"/>
          <w:numId w:val="20"/>
        </w:numPr>
      </w:pPr>
      <w:r w:rsidRPr="00573119">
        <w:rPr>
          <w:rFonts w:eastAsia="Helvetica Neue"/>
        </w:rPr>
        <w:t>and include a full range of modern service options paired with accurate information about those options and the individual’s rights relating to those options.</w:t>
      </w:r>
      <w:r w:rsidRPr="00A64CBE">
        <w:rPr>
          <w:rFonts w:eastAsia="Helvetica Neue"/>
          <w:vertAlign w:val="superscript"/>
        </w:rPr>
        <w:endnoteReference w:id="140"/>
      </w:r>
      <w:r w:rsidRPr="00573119">
        <w:rPr>
          <w:rFonts w:eastAsia="Helvetica Neue"/>
        </w:rPr>
        <w:t xml:space="preserve"> </w:t>
      </w:r>
    </w:p>
    <w:p w14:paraId="45A39569" w14:textId="4E69D086" w:rsidR="00202866" w:rsidRPr="001935C6" w:rsidRDefault="00202866" w:rsidP="006E6012">
      <w:pPr>
        <w:pStyle w:val="ListParagraph"/>
        <w:numPr>
          <w:ilvl w:val="0"/>
          <w:numId w:val="20"/>
        </w:numPr>
      </w:pPr>
      <w:r w:rsidRPr="00573119">
        <w:rPr>
          <w:rFonts w:eastAsia="Helvetica Neue"/>
        </w:rPr>
        <w:t>Make sure that services, information and goods offered are consistent with modern medical ethics and sensitive to an individual’s disability, culture, gender, and age.</w:t>
      </w:r>
      <w:r w:rsidRPr="00A64CBE">
        <w:rPr>
          <w:rFonts w:eastAsia="Helvetica Neue"/>
          <w:vertAlign w:val="superscript"/>
        </w:rPr>
        <w:endnoteReference w:id="141"/>
      </w:r>
    </w:p>
    <w:p w14:paraId="2FA7CA17" w14:textId="371613B7" w:rsidR="00202866" w:rsidRPr="001935C6" w:rsidRDefault="00AA0F77" w:rsidP="003C6133">
      <w:pPr>
        <w:pStyle w:val="Heading4"/>
        <w:spacing w:before="480"/>
      </w:pPr>
      <w:r>
        <w:t>Guidelines for Action:</w:t>
      </w:r>
      <w:r w:rsidR="00417440">
        <w:t xml:space="preserve"> </w:t>
      </w:r>
      <w:r w:rsidR="00202866" w:rsidRPr="001935C6">
        <w:t xml:space="preserve">Rights-Based </w:t>
      </w:r>
      <w:r w:rsidR="00202866" w:rsidRPr="003C6133">
        <w:rPr>
          <w:rFonts w:eastAsia="Helvetica Neue"/>
        </w:rPr>
        <w:t>Services</w:t>
      </w:r>
      <w:r w:rsidR="00202866" w:rsidRPr="001935C6">
        <w:t xml:space="preserve"> </w:t>
      </w:r>
    </w:p>
    <w:p w14:paraId="05A9B655" w14:textId="77777777" w:rsidR="0063368C" w:rsidRPr="0063368C" w:rsidRDefault="00202866" w:rsidP="006E6012">
      <w:pPr>
        <w:pStyle w:val="ListParagraph"/>
        <w:numPr>
          <w:ilvl w:val="0"/>
          <w:numId w:val="58"/>
        </w:numPr>
      </w:pPr>
      <w:r w:rsidRPr="001935C6">
        <w:rPr>
          <w:rFonts w:eastAsia="Helvetica Neue"/>
        </w:rPr>
        <w:t>Implement programme and policy safeguards to ensure that all services are only provided on a voluntary basis with the free and informed consent</w:t>
      </w:r>
      <w:r w:rsidRPr="001935C6">
        <w:rPr>
          <w:rFonts w:eastAsia="Helvetica Neue"/>
          <w:b/>
        </w:rPr>
        <w:t xml:space="preserve"> </w:t>
      </w:r>
      <w:r w:rsidRPr="001935C6">
        <w:rPr>
          <w:rFonts w:eastAsia="Helvetica Neue"/>
        </w:rPr>
        <w:t xml:space="preserve">of the woman or young person with a disability, including for disclosure of information. </w:t>
      </w:r>
    </w:p>
    <w:p w14:paraId="331C57F5" w14:textId="77777777" w:rsidR="0063368C" w:rsidRPr="0063368C" w:rsidRDefault="00202866" w:rsidP="006E6012">
      <w:pPr>
        <w:pStyle w:val="ListParagraph"/>
        <w:numPr>
          <w:ilvl w:val="1"/>
          <w:numId w:val="58"/>
        </w:numPr>
      </w:pPr>
      <w:r w:rsidRPr="0063368C">
        <w:rPr>
          <w:rFonts w:eastAsia="Helvetica Neue"/>
        </w:rPr>
        <w:t>Establish a code of ethics, for acquiring informed consent and exchange of information.</w:t>
      </w:r>
    </w:p>
    <w:p w14:paraId="33AFA4A0" w14:textId="77777777" w:rsidR="0063368C" w:rsidRPr="0063368C" w:rsidRDefault="00202866" w:rsidP="006E6012">
      <w:pPr>
        <w:pStyle w:val="ListParagraph"/>
        <w:numPr>
          <w:ilvl w:val="1"/>
          <w:numId w:val="58"/>
        </w:numPr>
      </w:pPr>
      <w:r w:rsidRPr="0063368C">
        <w:rPr>
          <w:rFonts w:eastAsia="Helvetica Neue"/>
        </w:rPr>
        <w:t>Offer reasonable accommodations and supported decision-making for women and young pe</w:t>
      </w:r>
      <w:r w:rsidR="006A2415" w:rsidRPr="0063368C">
        <w:rPr>
          <w:rFonts w:eastAsia="Helvetica Neue"/>
        </w:rPr>
        <w:t>rsons</w:t>
      </w:r>
      <w:r w:rsidRPr="0063368C">
        <w:rPr>
          <w:rFonts w:eastAsia="Helvetica Neue"/>
        </w:rPr>
        <w:t xml:space="preserve"> with disabilities who require such assistance. This should be done rather than relying on guardians for substituted decision-making. Deliver supported decision-making services in a way that protects the woman or young person’s privacy. </w:t>
      </w:r>
    </w:p>
    <w:p w14:paraId="0231CC8B" w14:textId="77777777" w:rsidR="0063368C" w:rsidRPr="0063368C" w:rsidRDefault="00202866" w:rsidP="006E6012">
      <w:pPr>
        <w:pStyle w:val="ListParagraph"/>
        <w:numPr>
          <w:ilvl w:val="1"/>
          <w:numId w:val="58"/>
        </w:numPr>
      </w:pPr>
      <w:r w:rsidRPr="0063368C">
        <w:rPr>
          <w:rFonts w:eastAsia="Helvetica Neue"/>
        </w:rPr>
        <w:t xml:space="preserve">Allow extra time for appointments, where required. The process of obtaining informed consent may at times be difficult and time-consuming, particularly where a person’s disability requires alternative forms of communication or information to be relayed repeatedly, but such difficulties do not absolve service providers and support staff from meeting these criteria. </w:t>
      </w:r>
    </w:p>
    <w:p w14:paraId="462B86E6" w14:textId="77777777" w:rsidR="0063368C" w:rsidRPr="0063368C" w:rsidRDefault="00202866" w:rsidP="006E6012">
      <w:pPr>
        <w:pStyle w:val="ListParagraph"/>
        <w:numPr>
          <w:ilvl w:val="1"/>
          <w:numId w:val="58"/>
        </w:numPr>
      </w:pPr>
      <w:r w:rsidRPr="0063368C">
        <w:rPr>
          <w:rFonts w:eastAsia="Helvetica Neue"/>
        </w:rPr>
        <w:lastRenderedPageBreak/>
        <w:t>Establish procedures and policies that reflect and respect the underlying principles and rights associated with legal capacity, even in situations where the service recipient has been deprived of the right to legal capacity (such as in guardianship systems).</w:t>
      </w:r>
    </w:p>
    <w:p w14:paraId="66CCF9D8" w14:textId="77777777" w:rsidR="0063368C" w:rsidRPr="0063368C" w:rsidRDefault="00202866" w:rsidP="006E6012">
      <w:pPr>
        <w:pStyle w:val="ListParagraph"/>
        <w:numPr>
          <w:ilvl w:val="1"/>
          <w:numId w:val="58"/>
        </w:numPr>
      </w:pPr>
      <w:r w:rsidRPr="0063368C">
        <w:rPr>
          <w:rFonts w:eastAsia="Helvetica Neue"/>
          <w:color w:val="000000"/>
        </w:rPr>
        <w:t>For more information on acquiring informed cons</w:t>
      </w:r>
      <w:r w:rsidRPr="0063368C">
        <w:rPr>
          <w:rFonts w:eastAsia="Helvetica Neue"/>
        </w:rPr>
        <w:t>ent, see</w:t>
      </w:r>
      <w:r w:rsidR="003D62AE" w:rsidRPr="0063368C">
        <w:rPr>
          <w:rFonts w:eastAsia="Helvetica Neue"/>
        </w:rPr>
        <w:t xml:space="preserve"> </w:t>
      </w:r>
      <w:hyperlink w:anchor="Equal" w:history="1">
        <w:r w:rsidR="003D62AE" w:rsidRPr="0063368C">
          <w:rPr>
            <w:rStyle w:val="Hyperlink"/>
            <w:rFonts w:eastAsia="Helvetica Neue"/>
          </w:rPr>
          <w:t>Equal Recognition Before the Law (Section 1.2)</w:t>
        </w:r>
      </w:hyperlink>
      <w:r w:rsidR="003D62AE" w:rsidRPr="0063368C">
        <w:rPr>
          <w:rStyle w:val="Hyperlink"/>
          <w:rFonts w:eastAsia="Helvetica Neue"/>
        </w:rPr>
        <w:t>.</w:t>
      </w:r>
      <w:r w:rsidRPr="0063368C">
        <w:rPr>
          <w:rFonts w:eastAsia="Helvetica Neue"/>
        </w:rPr>
        <w:t xml:space="preserve"> </w:t>
      </w:r>
    </w:p>
    <w:p w14:paraId="0D935A58" w14:textId="77777777" w:rsidR="0063368C" w:rsidRPr="0063368C" w:rsidRDefault="00202866" w:rsidP="006E6012">
      <w:pPr>
        <w:pStyle w:val="ListParagraph"/>
        <w:numPr>
          <w:ilvl w:val="0"/>
          <w:numId w:val="58"/>
        </w:numPr>
      </w:pPr>
      <w:r w:rsidRPr="0063368C">
        <w:rPr>
          <w:rFonts w:eastAsia="Helvetica Neue"/>
        </w:rPr>
        <w:t>Train and support service providers and support staff at all levels (from programme directors to secretarial staff) to fully understand the</w:t>
      </w:r>
      <w:r w:rsidRPr="0063368C">
        <w:rPr>
          <w:rFonts w:eastAsia="Helvetica Neue"/>
          <w:b/>
        </w:rPr>
        <w:t xml:space="preserve"> </w:t>
      </w:r>
      <w:r w:rsidRPr="0063368C">
        <w:rPr>
          <w:rFonts w:eastAsia="Helvetica Neue"/>
        </w:rPr>
        <w:t>legal rights of women and young pe</w:t>
      </w:r>
      <w:r w:rsidR="006A2415" w:rsidRPr="0063368C">
        <w:rPr>
          <w:rFonts w:eastAsia="Helvetica Neue"/>
        </w:rPr>
        <w:t>rsons</w:t>
      </w:r>
      <w:r w:rsidRPr="0063368C">
        <w:rPr>
          <w:rFonts w:eastAsia="Helvetica Neue"/>
        </w:rPr>
        <w:t xml:space="preserve"> with disabilities</w:t>
      </w:r>
      <w:r w:rsidRPr="0063368C">
        <w:rPr>
          <w:rFonts w:eastAsia="Helvetica Neue"/>
          <w:b/>
        </w:rPr>
        <w:t xml:space="preserve"> </w:t>
      </w:r>
      <w:r w:rsidRPr="0063368C">
        <w:rPr>
          <w:rFonts w:eastAsia="Helvetica Neue"/>
        </w:rPr>
        <w:t xml:space="preserve">in their community, with emphasis on how legal capacity relates to informed consent, privacy, confidentiality, and guardianship. </w:t>
      </w:r>
    </w:p>
    <w:p w14:paraId="7E382F2E" w14:textId="68C94CC7" w:rsidR="00382DE4" w:rsidRPr="00382DE4" w:rsidRDefault="00202866" w:rsidP="006E6012">
      <w:pPr>
        <w:pStyle w:val="ListParagraph"/>
        <w:numPr>
          <w:ilvl w:val="1"/>
          <w:numId w:val="58"/>
        </w:numPr>
      </w:pPr>
      <w:r w:rsidRPr="0063368C">
        <w:rPr>
          <w:rFonts w:eastAsia="Helvetica Neue"/>
        </w:rPr>
        <w:t xml:space="preserve">Training must include how a determination that a person cannot provide informed consent is to be reached after all available reasonable accommodations and supported decision-making tools have been utilized without success. Explore resources that assist service providers and support staff to better understand the informed consent process for adults with disabilities: </w:t>
      </w:r>
    </w:p>
    <w:p w14:paraId="73558999" w14:textId="77777777" w:rsidR="00382DE4" w:rsidRPr="00382DE4" w:rsidRDefault="00202866" w:rsidP="006E6012">
      <w:pPr>
        <w:pStyle w:val="ListParagraph"/>
        <w:numPr>
          <w:ilvl w:val="3"/>
          <w:numId w:val="30"/>
        </w:numPr>
        <w:ind w:left="990" w:hanging="270"/>
      </w:pPr>
      <w:r w:rsidRPr="00382DE4">
        <w:rPr>
          <w:rFonts w:eastAsia="Helvetica Neue"/>
        </w:rPr>
        <w:t>The Surrey Place Centre and the Vanderbilt Kennedy Center for Excellence in Developmental Disabilities</w:t>
      </w:r>
      <w:r w:rsidRPr="00382DE4">
        <w:rPr>
          <w:rFonts w:eastAsia="Helvetica Neue"/>
          <w:b/>
        </w:rPr>
        <w:t xml:space="preserve"> </w:t>
      </w:r>
      <w:r w:rsidRPr="00382DE4">
        <w:rPr>
          <w:rFonts w:eastAsia="Helvetica Neue"/>
        </w:rPr>
        <w:t>have developed and made available key resources for service providers on how to provide quality healthcare for adults with intellectual and developmental disabilities. The web portal includes information to help service providers understand informed consent and a downloadable informed consent checklist.</w:t>
      </w:r>
      <w:r w:rsidRPr="00A64CBE">
        <w:rPr>
          <w:rFonts w:eastAsia="Helvetica Neue"/>
          <w:vertAlign w:val="superscript"/>
        </w:rPr>
        <w:endnoteReference w:id="142"/>
      </w:r>
    </w:p>
    <w:p w14:paraId="7DC8F9AC" w14:textId="6817C7B6" w:rsidR="00202866" w:rsidRPr="00A64CBE" w:rsidRDefault="00202866" w:rsidP="006E6012">
      <w:pPr>
        <w:pStyle w:val="ListParagraph"/>
        <w:numPr>
          <w:ilvl w:val="3"/>
          <w:numId w:val="30"/>
        </w:numPr>
        <w:ind w:left="990" w:hanging="270"/>
      </w:pPr>
      <w:r w:rsidRPr="00382DE4">
        <w:rPr>
          <w:rFonts w:eastAsia="Helvetica Neue"/>
        </w:rPr>
        <w:t>The Women’s Refugee Commission and International Rescue Committee developed guidance for GBV service providers on the informed consent process for adult victims/survivors with disabilities, which includes useful guidance for practitioners, including a flow chart to help providers work through obtaining informed consent. The tool was developed for humanitarian contexts but is useful in all contexts.</w:t>
      </w:r>
      <w:r w:rsidRPr="00A64CBE">
        <w:rPr>
          <w:rFonts w:eastAsia="Helvetica Neue"/>
          <w:vertAlign w:val="superscript"/>
        </w:rPr>
        <w:endnoteReference w:id="143"/>
      </w:r>
    </w:p>
    <w:p w14:paraId="221F3DC9" w14:textId="77777777" w:rsidR="00202866" w:rsidRPr="00A64CBE" w:rsidRDefault="00202866" w:rsidP="006E6012">
      <w:pPr>
        <w:pStyle w:val="ListParagraph"/>
        <w:numPr>
          <w:ilvl w:val="0"/>
          <w:numId w:val="58"/>
        </w:numPr>
      </w:pPr>
      <w:r w:rsidRPr="001935C6">
        <w:rPr>
          <w:rFonts w:eastAsia="Helvetica Neue"/>
        </w:rPr>
        <w:t xml:space="preserve">Create safeguards to maintain and guarantee service recipient’s confidentiality. </w:t>
      </w:r>
    </w:p>
    <w:p w14:paraId="23921D11" w14:textId="77777777" w:rsidR="00202866" w:rsidRPr="00A64CBE" w:rsidRDefault="00202866" w:rsidP="006E6012">
      <w:pPr>
        <w:pStyle w:val="ListParagraph"/>
        <w:numPr>
          <w:ilvl w:val="1"/>
          <w:numId w:val="58"/>
        </w:numPr>
      </w:pPr>
      <w:r w:rsidRPr="001935C6">
        <w:rPr>
          <w:rFonts w:eastAsia="Helvetica Neue"/>
        </w:rPr>
        <w:t>At the reception area, ensure that service recipients have an option to state the reason for their visit privately.</w:t>
      </w:r>
    </w:p>
    <w:p w14:paraId="241A159C" w14:textId="50368A23" w:rsidR="00202866" w:rsidRPr="00A64CBE" w:rsidRDefault="00202866" w:rsidP="006E6012">
      <w:pPr>
        <w:pStyle w:val="ListParagraph"/>
        <w:numPr>
          <w:ilvl w:val="1"/>
          <w:numId w:val="58"/>
        </w:numPr>
      </w:pPr>
      <w:r w:rsidRPr="001935C6">
        <w:rPr>
          <w:rFonts w:eastAsia="Helvetica Neue"/>
        </w:rPr>
        <w:t>If a person arrives with a companion, ask the person with the disability in a private setting whether they wish to waive their confidentiality by having their companion join them while they receive services (even if the person is less than 18 years old). Do not rely on companions to interpret for service recipients with disabilities. Ensure that this process is completed with sensitivity and is directed by the person with the disability. Being separated from a companion may cause the person anxiety.</w:t>
      </w:r>
    </w:p>
    <w:p w14:paraId="17BBB7EC" w14:textId="3A1EEECD" w:rsidR="00202866" w:rsidRPr="00A64CBE" w:rsidRDefault="00202866" w:rsidP="006E6012">
      <w:pPr>
        <w:pStyle w:val="ListParagraph"/>
        <w:numPr>
          <w:ilvl w:val="1"/>
          <w:numId w:val="58"/>
        </w:numPr>
      </w:pPr>
      <w:r w:rsidRPr="001935C6">
        <w:rPr>
          <w:rFonts w:eastAsia="Helvetica Neue"/>
        </w:rPr>
        <w:t xml:space="preserve">Ensure the ability of the service provider and/or support staff to understand and speak the language of the service recipient (e.g., sign language) to further safeguard the recipient's confidentiality. </w:t>
      </w:r>
    </w:p>
    <w:p w14:paraId="178B9FB2" w14:textId="77777777" w:rsidR="00202866" w:rsidRPr="00A64CBE" w:rsidRDefault="00202866" w:rsidP="006E6012">
      <w:pPr>
        <w:pStyle w:val="ListParagraph"/>
        <w:numPr>
          <w:ilvl w:val="1"/>
          <w:numId w:val="58"/>
        </w:numPr>
      </w:pPr>
      <w:r w:rsidRPr="001935C6">
        <w:rPr>
          <w:rFonts w:eastAsia="Helvetica Neue"/>
        </w:rPr>
        <w:t xml:space="preserve">Implement procedural safeguards to maintain information privacy. </w:t>
      </w:r>
    </w:p>
    <w:p w14:paraId="627A23AA" w14:textId="77777777" w:rsidR="00202866" w:rsidRPr="00A64CBE" w:rsidRDefault="00202866" w:rsidP="006E6012">
      <w:pPr>
        <w:pStyle w:val="ListParagraph"/>
        <w:numPr>
          <w:ilvl w:val="1"/>
          <w:numId w:val="58"/>
        </w:numPr>
      </w:pPr>
      <w:r w:rsidRPr="001935C6">
        <w:rPr>
          <w:rFonts w:eastAsia="Helvetica Neue"/>
        </w:rPr>
        <w:t xml:space="preserve">Offer private consultative spaces. In low-resource settings where no private room exists, consider designating a part of the facility or an outdoor patio as a private area or placing a stick or barrier in a location that separates the reception area from the service area. </w:t>
      </w:r>
    </w:p>
    <w:p w14:paraId="43749D60" w14:textId="78681D1A" w:rsidR="00202866" w:rsidRPr="00C03F69" w:rsidRDefault="00202866" w:rsidP="006E6012">
      <w:pPr>
        <w:pStyle w:val="ListParagraph"/>
        <w:numPr>
          <w:ilvl w:val="1"/>
          <w:numId w:val="58"/>
        </w:numPr>
      </w:pPr>
      <w:r w:rsidRPr="001935C6">
        <w:rPr>
          <w:rFonts w:eastAsia="Helvetica Neue"/>
        </w:rPr>
        <w:lastRenderedPageBreak/>
        <w:t xml:space="preserve">Obtain releases to share a person’s private information, including for referrals to other services. </w:t>
      </w:r>
    </w:p>
    <w:p w14:paraId="6BC63CB9" w14:textId="7AF8F8DC" w:rsidR="00202866" w:rsidRPr="00A64CBE" w:rsidRDefault="00703314" w:rsidP="003C6133">
      <w:pPr>
        <w:pStyle w:val="Heading4"/>
        <w:spacing w:before="480"/>
      </w:pPr>
      <w:r w:rsidRPr="00EB5B59">
        <w:t>Guidelines for Action:</w:t>
      </w:r>
      <w:r w:rsidR="00C03F69">
        <w:t xml:space="preserve"> </w:t>
      </w:r>
      <w:r w:rsidR="00202866" w:rsidRPr="00A64CBE">
        <w:t xml:space="preserve">Data Collection and </w:t>
      </w:r>
      <w:r w:rsidR="00202866" w:rsidRPr="003C6133">
        <w:rPr>
          <w:rFonts w:eastAsia="Helvetica Neue"/>
        </w:rPr>
        <w:t>Monitoring</w:t>
      </w:r>
      <w:r w:rsidR="00202866" w:rsidRPr="00A64CBE">
        <w:t xml:space="preserve"> </w:t>
      </w:r>
    </w:p>
    <w:p w14:paraId="3EF33A0D" w14:textId="7921CEFC" w:rsidR="00202866" w:rsidRPr="00A64CBE" w:rsidRDefault="00202866" w:rsidP="006E6012">
      <w:pPr>
        <w:pStyle w:val="ListParagraph"/>
        <w:numPr>
          <w:ilvl w:val="0"/>
          <w:numId w:val="26"/>
        </w:numPr>
      </w:pPr>
      <w:r w:rsidRPr="00EB47CD">
        <w:rPr>
          <w:rFonts w:eastAsia="Helvetica Neue"/>
        </w:rPr>
        <w:t>Collect disaggregated data on a broad range of barriers and experiences affecting service provision for women and young pe</w:t>
      </w:r>
      <w:r w:rsidR="00703314" w:rsidRPr="00EB47CD">
        <w:rPr>
          <w:rFonts w:eastAsia="Helvetica Neue"/>
        </w:rPr>
        <w:t>rsons</w:t>
      </w:r>
      <w:r w:rsidRPr="00EB47CD">
        <w:rPr>
          <w:rFonts w:eastAsia="Helvetica Neue"/>
        </w:rPr>
        <w:t xml:space="preserve"> with disabilities. Consistent and precise collection of data about the services provided to women and young pe</w:t>
      </w:r>
      <w:r w:rsidR="00703314" w:rsidRPr="00EB47CD">
        <w:rPr>
          <w:rFonts w:eastAsia="Helvetica Neue"/>
        </w:rPr>
        <w:t>rsons</w:t>
      </w:r>
      <w:r w:rsidRPr="00EB47CD">
        <w:rPr>
          <w:rFonts w:eastAsia="Helvetica Neue"/>
        </w:rPr>
        <w:t xml:space="preserve"> with disabilities is critical in supporting continuous improvement and access of services.</w:t>
      </w:r>
    </w:p>
    <w:p w14:paraId="1406D426" w14:textId="77777777" w:rsidR="00202866" w:rsidRPr="00A64CBE" w:rsidRDefault="00202866" w:rsidP="006E6012">
      <w:pPr>
        <w:pStyle w:val="ListParagraph"/>
        <w:numPr>
          <w:ilvl w:val="1"/>
          <w:numId w:val="58"/>
        </w:numPr>
      </w:pPr>
      <w:r w:rsidRPr="00EB47CD">
        <w:rPr>
          <w:rFonts w:eastAsia="Helvetica Neue"/>
        </w:rPr>
        <w:t xml:space="preserve">Adapt existing data collection mechanisms, if available and appropriate. </w:t>
      </w:r>
    </w:p>
    <w:p w14:paraId="65057DF5" w14:textId="210E8FDC" w:rsidR="00202866" w:rsidRPr="00EB47CD" w:rsidRDefault="00202866" w:rsidP="006E6012">
      <w:pPr>
        <w:pStyle w:val="ListParagraph"/>
        <w:numPr>
          <w:ilvl w:val="1"/>
          <w:numId w:val="58"/>
        </w:numPr>
        <w:rPr>
          <w:u w:val="single"/>
        </w:rPr>
      </w:pPr>
      <w:r w:rsidRPr="00EB47CD">
        <w:rPr>
          <w:rFonts w:eastAsia="Helvetica Neue"/>
        </w:rPr>
        <w:t>Develop mapping tools to better engage pe</w:t>
      </w:r>
      <w:r w:rsidR="002145FA" w:rsidRPr="00EB47CD">
        <w:rPr>
          <w:rFonts w:eastAsia="Helvetica Neue"/>
        </w:rPr>
        <w:t>rsons</w:t>
      </w:r>
      <w:r w:rsidRPr="00EB47CD">
        <w:rPr>
          <w:rFonts w:eastAsia="Helvetica Neue"/>
        </w:rPr>
        <w:t xml:space="preserve"> with disabilities by understanding their needs, age, disabilities, risks, and other important data points. </w:t>
      </w:r>
    </w:p>
    <w:p w14:paraId="1EBE1D23" w14:textId="79D1C491" w:rsidR="00202866" w:rsidRPr="00A64CBE" w:rsidRDefault="00202866" w:rsidP="006E6012">
      <w:pPr>
        <w:pStyle w:val="ListParagraph"/>
        <w:numPr>
          <w:ilvl w:val="1"/>
          <w:numId w:val="58"/>
        </w:numPr>
      </w:pPr>
      <w:r w:rsidRPr="00EB47CD">
        <w:rPr>
          <w:rFonts w:eastAsia="Helvetica Neue"/>
        </w:rPr>
        <w:t>Disaggregate data by a range of relevant factors, including types of disability, sex and gender, age, socio-economic status and other intersecting factors affecting accessing and use of services.</w:t>
      </w:r>
      <w:r w:rsidRPr="00B1674C">
        <w:rPr>
          <w:rStyle w:val="EndnoteReference"/>
          <w:rFonts w:eastAsia="Helvetica Neue"/>
        </w:rPr>
        <w:endnoteReference w:id="144"/>
      </w:r>
      <w:r w:rsidRPr="00EB47CD">
        <w:rPr>
          <w:rFonts w:eastAsia="Helvetica Neue"/>
        </w:rPr>
        <w:t xml:space="preserve"> </w:t>
      </w:r>
    </w:p>
    <w:p w14:paraId="7E70883A" w14:textId="61B3B494" w:rsidR="00202866" w:rsidRPr="00A64CBE" w:rsidRDefault="00202866" w:rsidP="006E6012">
      <w:pPr>
        <w:pStyle w:val="ListParagraph"/>
        <w:numPr>
          <w:ilvl w:val="1"/>
          <w:numId w:val="58"/>
        </w:numPr>
      </w:pPr>
      <w:r w:rsidRPr="00EB47CD">
        <w:rPr>
          <w:rFonts w:eastAsia="Helvetica Neue"/>
        </w:rPr>
        <w:t xml:space="preserve">Ensure that each programmatic target relating to women and young </w:t>
      </w:r>
      <w:r w:rsidR="00743375">
        <w:rPr>
          <w:rFonts w:eastAsia="Helvetica Neue"/>
        </w:rPr>
        <w:t>persons</w:t>
      </w:r>
      <w:r w:rsidR="00743375" w:rsidRPr="00EB47CD">
        <w:rPr>
          <w:rFonts w:eastAsia="Helvetica Neue"/>
        </w:rPr>
        <w:t xml:space="preserve"> </w:t>
      </w:r>
      <w:r w:rsidRPr="00EB47CD">
        <w:rPr>
          <w:rFonts w:eastAsia="Helvetica Neue"/>
        </w:rPr>
        <w:t xml:space="preserve">with disabilities has correlating data collection to measure success in meeting each target. </w:t>
      </w:r>
    </w:p>
    <w:p w14:paraId="3E2701F8" w14:textId="77777777" w:rsidR="00202866" w:rsidRPr="00A64CBE" w:rsidRDefault="00202866" w:rsidP="006E6012">
      <w:pPr>
        <w:pStyle w:val="ListParagraph"/>
        <w:numPr>
          <w:ilvl w:val="1"/>
          <w:numId w:val="58"/>
        </w:numPr>
      </w:pPr>
      <w:r w:rsidRPr="00EB47CD">
        <w:rPr>
          <w:rFonts w:eastAsia="Helvetica Neue"/>
        </w:rPr>
        <w:t>Obtain consent for collecting data and maintain confidentiality and privacy, especially for medical information and for people under guardianship.</w:t>
      </w:r>
    </w:p>
    <w:p w14:paraId="79836C52" w14:textId="77777777" w:rsidR="00202866" w:rsidRPr="00A64CBE" w:rsidRDefault="00202866" w:rsidP="006E6012">
      <w:pPr>
        <w:pStyle w:val="ListParagraph"/>
        <w:numPr>
          <w:ilvl w:val="1"/>
          <w:numId w:val="58"/>
        </w:numPr>
      </w:pPr>
      <w:r w:rsidRPr="00EB47CD">
        <w:rPr>
          <w:rFonts w:eastAsia="Helvetica Neue"/>
        </w:rPr>
        <w:t>Establish a secure system for data collection, recording, and storage.</w:t>
      </w:r>
    </w:p>
    <w:p w14:paraId="41DF6ED7" w14:textId="07C090A3" w:rsidR="00202866" w:rsidRPr="00A64CBE" w:rsidRDefault="00202866" w:rsidP="006E6012">
      <w:pPr>
        <w:pStyle w:val="ListParagraph"/>
        <w:numPr>
          <w:ilvl w:val="1"/>
          <w:numId w:val="58"/>
        </w:numPr>
      </w:pPr>
      <w:r w:rsidRPr="00EB47CD">
        <w:rPr>
          <w:rFonts w:eastAsia="Helvetica Neue"/>
        </w:rPr>
        <w:t>Implement a coordinated mechanism for regular data review and analysis.</w:t>
      </w:r>
    </w:p>
    <w:p w14:paraId="33ABFB0F" w14:textId="61B349F6" w:rsidR="00202866" w:rsidRPr="00A64CBE" w:rsidRDefault="00202866" w:rsidP="006E6012">
      <w:pPr>
        <w:pStyle w:val="ListParagraph"/>
        <w:numPr>
          <w:ilvl w:val="0"/>
          <w:numId w:val="26"/>
        </w:numPr>
      </w:pPr>
      <w:r w:rsidRPr="00EB47CD">
        <w:rPr>
          <w:rFonts w:eastAsia="Helvetica Neue"/>
        </w:rPr>
        <w:t>Implement an effective and accessible complaints mechanism to collect ongoing feedback about the programme and facility.</w:t>
      </w:r>
      <w:r w:rsidRPr="00A64CBE">
        <w:rPr>
          <w:rFonts w:eastAsia="Helvetica Neue"/>
          <w:vertAlign w:val="superscript"/>
        </w:rPr>
        <w:endnoteReference w:id="145"/>
      </w:r>
      <w:r w:rsidRPr="00EB47CD">
        <w:rPr>
          <w:rFonts w:eastAsia="Helvetica Neue"/>
        </w:rPr>
        <w:t xml:space="preserve"> Ensure that service recipients can safely report complaints in a variety of formats (e.g. writing, verbally, anonymously). </w:t>
      </w:r>
    </w:p>
    <w:p w14:paraId="67CB36D4" w14:textId="3AE8C4BF" w:rsidR="00202866" w:rsidRPr="00A64CBE" w:rsidRDefault="00202866" w:rsidP="006E6012">
      <w:pPr>
        <w:pStyle w:val="ListParagraph"/>
        <w:numPr>
          <w:ilvl w:val="0"/>
          <w:numId w:val="26"/>
        </w:numPr>
      </w:pPr>
      <w:r w:rsidRPr="00EB47CD">
        <w:rPr>
          <w:rFonts w:eastAsia="Helvetica Neue"/>
        </w:rPr>
        <w:t xml:space="preserve">Develop effective monitoring mechanisms, including mechanisms that can hold service providers and support staff to account. </w:t>
      </w:r>
    </w:p>
    <w:p w14:paraId="7A034EAF" w14:textId="46B1BD91" w:rsidR="00202866" w:rsidRPr="00A64CBE" w:rsidRDefault="00202866" w:rsidP="006E6012">
      <w:pPr>
        <w:pStyle w:val="ListParagraph"/>
        <w:numPr>
          <w:ilvl w:val="1"/>
          <w:numId w:val="58"/>
        </w:numPr>
      </w:pPr>
      <w:r w:rsidRPr="00EB47CD">
        <w:rPr>
          <w:rFonts w:eastAsia="Helvetica Neue"/>
        </w:rPr>
        <w:t>Create indicators that track women and young pe</w:t>
      </w:r>
      <w:r w:rsidR="0072699A" w:rsidRPr="00EB47CD">
        <w:rPr>
          <w:rFonts w:eastAsia="Helvetica Neue"/>
        </w:rPr>
        <w:t>rson</w:t>
      </w:r>
      <w:r w:rsidRPr="00EB47CD">
        <w:rPr>
          <w:rFonts w:eastAsia="Helvetica Neue"/>
        </w:rPr>
        <w:t>’s engagement with GBV and SRHR services.</w:t>
      </w:r>
    </w:p>
    <w:p w14:paraId="6BEE9073" w14:textId="77777777" w:rsidR="00202866" w:rsidRPr="00A64CBE" w:rsidRDefault="00202866" w:rsidP="006E6012">
      <w:pPr>
        <w:pStyle w:val="ListParagraph"/>
        <w:numPr>
          <w:ilvl w:val="1"/>
          <w:numId w:val="58"/>
        </w:numPr>
      </w:pPr>
      <w:r w:rsidRPr="00EB47CD">
        <w:rPr>
          <w:rFonts w:eastAsia="Helvetica Neue"/>
        </w:rPr>
        <w:t xml:space="preserve">Establish specific and manageable benchmarks to monitor and evaluate progress in service delivery. </w:t>
      </w:r>
    </w:p>
    <w:p w14:paraId="3A2875CD" w14:textId="2BC24AEE" w:rsidR="00202866" w:rsidRPr="00A64CBE" w:rsidRDefault="00202866" w:rsidP="006E6012">
      <w:pPr>
        <w:pStyle w:val="ListParagraph"/>
        <w:numPr>
          <w:ilvl w:val="1"/>
          <w:numId w:val="58"/>
        </w:numPr>
      </w:pPr>
      <w:r w:rsidRPr="00EB47CD">
        <w:rPr>
          <w:rFonts w:eastAsia="Helvetica Neue"/>
        </w:rPr>
        <w:t>Ensure that monitoring and accountability mechanisms are independent and accessible to women and young pe</w:t>
      </w:r>
      <w:r w:rsidR="0072699A" w:rsidRPr="00EB47CD">
        <w:rPr>
          <w:rFonts w:eastAsia="Helvetica Neue"/>
        </w:rPr>
        <w:t>rsons</w:t>
      </w:r>
      <w:r w:rsidRPr="00EB47CD">
        <w:rPr>
          <w:rFonts w:eastAsia="Helvetica Neue"/>
        </w:rPr>
        <w:t xml:space="preserve"> with disabilities.</w:t>
      </w:r>
    </w:p>
    <w:p w14:paraId="44E0342F" w14:textId="70EA6C33" w:rsidR="00202866" w:rsidRPr="00647406" w:rsidRDefault="00202866" w:rsidP="006E6012">
      <w:pPr>
        <w:pStyle w:val="ListParagraph"/>
        <w:numPr>
          <w:ilvl w:val="1"/>
          <w:numId w:val="58"/>
        </w:numPr>
      </w:pPr>
      <w:r w:rsidRPr="00EB47CD">
        <w:rPr>
          <w:rFonts w:eastAsia="Helvetica Neue"/>
        </w:rPr>
        <w:t>Systemically monitor the situation of pe</w:t>
      </w:r>
      <w:r w:rsidR="0072699A" w:rsidRPr="00EB47CD">
        <w:rPr>
          <w:rFonts w:eastAsia="Helvetica Neue"/>
        </w:rPr>
        <w:t>rsons</w:t>
      </w:r>
      <w:r w:rsidRPr="00EB47CD">
        <w:rPr>
          <w:rFonts w:eastAsia="Helvetica Neue"/>
        </w:rPr>
        <w:t xml:space="preserve"> with disabilities in humanitarian emergencies as well.</w:t>
      </w:r>
      <w:r w:rsidRPr="00A64CBE">
        <w:rPr>
          <w:rFonts w:eastAsia="Helvetica Neue"/>
          <w:vertAlign w:val="superscript"/>
        </w:rPr>
        <w:endnoteReference w:id="146"/>
      </w:r>
      <w:r w:rsidRPr="00EB47CD">
        <w:rPr>
          <w:rFonts w:eastAsia="Helvetica Neue"/>
        </w:rPr>
        <w:t xml:space="preserve"> Ensure that women and young pe</w:t>
      </w:r>
      <w:r w:rsidR="0072699A" w:rsidRPr="00EB47CD">
        <w:rPr>
          <w:rFonts w:eastAsia="Helvetica Neue"/>
        </w:rPr>
        <w:t>rsons</w:t>
      </w:r>
      <w:r w:rsidRPr="00EB47CD">
        <w:rPr>
          <w:rFonts w:eastAsia="Helvetica Neue"/>
        </w:rPr>
        <w:t xml:space="preserve"> with disabilities are included in standard needs assessments conducted post emergency, such as the post-disaster needs assessment. </w:t>
      </w:r>
    </w:p>
    <w:p w14:paraId="472083A7" w14:textId="77777777" w:rsidR="003A0C66" w:rsidRDefault="003A0C66">
      <w:pPr>
        <w:spacing w:before="0" w:after="0"/>
        <w:rPr>
          <w:rFonts w:eastAsia="Helvetica Neue"/>
          <w:b/>
          <w:color w:val="E36C0A" w:themeColor="accent6" w:themeShade="BF"/>
          <w:kern w:val="24"/>
          <w:sz w:val="32"/>
          <w:szCs w:val="32"/>
        </w:rPr>
      </w:pPr>
      <w:bookmarkStart w:id="9" w:name="FoundationalFacilities"/>
      <w:r>
        <w:br w:type="page"/>
      </w:r>
    </w:p>
    <w:p w14:paraId="683EBD5F" w14:textId="69218CB9" w:rsidR="00202866" w:rsidRPr="007F42CB" w:rsidRDefault="00202866" w:rsidP="00EC13D0">
      <w:pPr>
        <w:pStyle w:val="Heading2"/>
        <w:spacing w:before="480" w:after="120"/>
        <w:ind w:left="547" w:right="-720" w:hanging="547"/>
      </w:pPr>
      <w:r w:rsidRPr="007F42CB">
        <w:lastRenderedPageBreak/>
        <w:t xml:space="preserve">2.4 </w:t>
      </w:r>
      <w:bookmarkEnd w:id="9"/>
      <w:r w:rsidRPr="00647406">
        <w:t>Facilities</w:t>
      </w:r>
    </w:p>
    <w:p w14:paraId="0153B8F3" w14:textId="62078CF2" w:rsidR="00202866" w:rsidRPr="00647406" w:rsidRDefault="00202866" w:rsidP="00647406">
      <w:pPr>
        <w:rPr>
          <w:rFonts w:eastAsia="Helvetica Neue"/>
        </w:rPr>
      </w:pPr>
      <w:r w:rsidRPr="00A64CBE">
        <w:rPr>
          <w:rFonts w:eastAsia="Helvetica Neue"/>
        </w:rPr>
        <w:t>Ensuring that services are user-friendly for women and young pe</w:t>
      </w:r>
      <w:r w:rsidR="0072699A">
        <w:rPr>
          <w:rFonts w:eastAsia="Helvetica Neue"/>
        </w:rPr>
        <w:t>rsons</w:t>
      </w:r>
      <w:r w:rsidRPr="00A64CBE">
        <w:rPr>
          <w:rFonts w:eastAsia="Helvetica Neue"/>
        </w:rPr>
        <w:t xml:space="preserve"> with all forms of disabilities is fundamental to guaranteeing that a GBV or SRHR service is disability-inclusive both in theory and in practice. Physical, social, economic, and cultural accessibility are crucial components of meeting this need,</w:t>
      </w:r>
      <w:r w:rsidRPr="00A64CBE">
        <w:rPr>
          <w:rFonts w:eastAsia="Helvetica Neue"/>
          <w:vertAlign w:val="superscript"/>
        </w:rPr>
        <w:endnoteReference w:id="147"/>
      </w:r>
      <w:r w:rsidRPr="00A64CBE">
        <w:rPr>
          <w:rFonts w:eastAsia="Helvetica Neue"/>
        </w:rPr>
        <w:t xml:space="preserve"> and the following actions are critical to ensuring that services are accessible to women and young pe</w:t>
      </w:r>
      <w:r w:rsidR="00DF6D85">
        <w:rPr>
          <w:rFonts w:eastAsia="Helvetica Neue"/>
        </w:rPr>
        <w:t>rsons</w:t>
      </w:r>
      <w:r w:rsidRPr="00A64CBE">
        <w:rPr>
          <w:rFonts w:eastAsia="Helvetica Neue"/>
        </w:rPr>
        <w:t xml:space="preserve"> with disabilities: </w:t>
      </w:r>
    </w:p>
    <w:p w14:paraId="668F8E0B" w14:textId="04E2E547" w:rsidR="00202866" w:rsidRPr="00647406" w:rsidRDefault="00DF6D85" w:rsidP="003C6133">
      <w:pPr>
        <w:pStyle w:val="Heading4"/>
        <w:spacing w:before="480"/>
      </w:pPr>
      <w:r w:rsidRPr="00647406">
        <w:t>Guidelines for Action:</w:t>
      </w:r>
      <w:r w:rsidR="00647406" w:rsidRPr="00647406">
        <w:t xml:space="preserve"> </w:t>
      </w:r>
      <w:r w:rsidR="00202866" w:rsidRPr="00647406">
        <w:t xml:space="preserve">Identifying </w:t>
      </w:r>
      <w:r w:rsidR="00202866" w:rsidRPr="003C6133">
        <w:rPr>
          <w:rFonts w:eastAsia="Helvetica Neue"/>
        </w:rPr>
        <w:t>Barriers</w:t>
      </w:r>
    </w:p>
    <w:p w14:paraId="4AE3AF8D" w14:textId="77777777" w:rsidR="00647406" w:rsidRPr="00647406" w:rsidRDefault="00202866" w:rsidP="006E6012">
      <w:pPr>
        <w:pStyle w:val="ListParagraph"/>
        <w:numPr>
          <w:ilvl w:val="0"/>
          <w:numId w:val="27"/>
        </w:numPr>
      </w:pPr>
      <w:r w:rsidRPr="00647406">
        <w:rPr>
          <w:rFonts w:eastAsia="Helvetica Neue"/>
        </w:rPr>
        <w:t>Conduct an accessibility audit with women and young pe</w:t>
      </w:r>
      <w:r w:rsidR="00DF6D85" w:rsidRPr="00647406">
        <w:rPr>
          <w:rFonts w:eastAsia="Helvetica Neue"/>
        </w:rPr>
        <w:t>rsons</w:t>
      </w:r>
      <w:r w:rsidRPr="00647406">
        <w:rPr>
          <w:rFonts w:eastAsia="Helvetica Neue"/>
        </w:rPr>
        <w:t xml:space="preserve"> with different types of disabilities to identify the physical, sensory, information, and communication barriers and adaptations needed.</w:t>
      </w:r>
      <w:r w:rsidRPr="00A64CBE">
        <w:rPr>
          <w:rFonts w:eastAsia="Helvetica Neue"/>
          <w:vertAlign w:val="superscript"/>
        </w:rPr>
        <w:endnoteReference w:id="148"/>
      </w:r>
      <w:r w:rsidRPr="00647406">
        <w:rPr>
          <w:rFonts w:eastAsia="Helvetica Neue"/>
        </w:rPr>
        <w:t xml:space="preserve"> Solicit input from pe</w:t>
      </w:r>
      <w:r w:rsidR="00DF6D85" w:rsidRPr="00647406">
        <w:rPr>
          <w:rFonts w:eastAsia="Helvetica Neue"/>
        </w:rPr>
        <w:t>rsons</w:t>
      </w:r>
      <w:r w:rsidRPr="00647406">
        <w:rPr>
          <w:rFonts w:eastAsia="Helvetica Neue"/>
        </w:rPr>
        <w:t xml:space="preserve"> with disabilities prior to new construction or renovations.</w:t>
      </w:r>
      <w:r w:rsidRPr="00A64CBE">
        <w:rPr>
          <w:rFonts w:eastAsia="Helvetica Neue"/>
          <w:vertAlign w:val="superscript"/>
        </w:rPr>
        <w:endnoteReference w:id="149"/>
      </w:r>
    </w:p>
    <w:p w14:paraId="5842B130" w14:textId="77777777" w:rsidR="00647406" w:rsidRPr="00647406" w:rsidRDefault="00202866" w:rsidP="006E6012">
      <w:pPr>
        <w:pStyle w:val="ListParagraph"/>
        <w:numPr>
          <w:ilvl w:val="1"/>
          <w:numId w:val="27"/>
        </w:numPr>
      </w:pPr>
      <w:r w:rsidRPr="00647406">
        <w:rPr>
          <w:rFonts w:eastAsia="Helvetica Neue"/>
          <w:b/>
        </w:rPr>
        <w:t>Example:</w:t>
      </w:r>
      <w:r w:rsidRPr="00647406">
        <w:rPr>
          <w:rFonts w:eastAsia="Helvetica Neue"/>
        </w:rPr>
        <w:t xml:space="preserve"> In the United States of America, the Safety First Initiative developed an </w:t>
      </w:r>
      <w:r w:rsidRPr="00647406">
        <w:rPr>
          <w:rFonts w:eastAsia="Helvetica Neue"/>
          <w:b/>
        </w:rPr>
        <w:t>Accessibility and Responsiveness Review Tool</w:t>
      </w:r>
      <w:r w:rsidRPr="00647406">
        <w:rPr>
          <w:rFonts w:eastAsia="Helvetica Neue"/>
        </w:rPr>
        <w:t xml:space="preserve"> to provide GBV service providers and support staff with a framework to think about how to make their services inclusive, trauma-informed, and responsive, along with a </w:t>
      </w:r>
      <w:r w:rsidRPr="00647406">
        <w:rPr>
          <w:rFonts w:eastAsia="Helvetica Neue"/>
          <w:b/>
        </w:rPr>
        <w:t>Scoring Tool</w:t>
      </w:r>
      <w:r w:rsidRPr="00647406">
        <w:rPr>
          <w:rFonts w:eastAsia="Helvetica Neue"/>
        </w:rPr>
        <w:t xml:space="preserve"> to assess current and ongoing services.</w:t>
      </w:r>
      <w:r w:rsidRPr="00EB5B59">
        <w:rPr>
          <w:rFonts w:eastAsia="Helvetica Neue"/>
          <w:vertAlign w:val="superscript"/>
        </w:rPr>
        <w:endnoteReference w:id="150"/>
      </w:r>
      <w:r w:rsidRPr="00647406">
        <w:rPr>
          <w:rFonts w:eastAsia="Helvetica Neue"/>
        </w:rPr>
        <w:t xml:space="preserve"> </w:t>
      </w:r>
    </w:p>
    <w:p w14:paraId="2A9323D3" w14:textId="77777777" w:rsidR="00647406" w:rsidRPr="00647406" w:rsidRDefault="00202866" w:rsidP="006E6012">
      <w:pPr>
        <w:pStyle w:val="ListParagraph"/>
        <w:numPr>
          <w:ilvl w:val="1"/>
          <w:numId w:val="27"/>
        </w:numPr>
      </w:pPr>
      <w:r w:rsidRPr="00647406">
        <w:rPr>
          <w:rFonts w:eastAsia="Helvetica Neue"/>
          <w:b/>
        </w:rPr>
        <w:t>Example:</w:t>
      </w:r>
      <w:r w:rsidRPr="00647406">
        <w:rPr>
          <w:rFonts w:eastAsia="Helvetica Neue"/>
        </w:rPr>
        <w:t xml:space="preserve"> The International Organization for Standardization’s </w:t>
      </w:r>
      <w:r w:rsidRPr="00647406">
        <w:rPr>
          <w:rFonts w:eastAsia="Helvetica Neue"/>
          <w:b/>
        </w:rPr>
        <w:t>‘ISO 21542:2011 Building Construction—Accessibility and usability of the built environment’</w:t>
      </w:r>
      <w:r w:rsidRPr="00647406">
        <w:rPr>
          <w:rFonts w:eastAsia="Helvetica Neue"/>
        </w:rPr>
        <w:t xml:space="preserve"> standards are a useful tool for assessing the accessibility of a service provider location. This publication contains standard requirements and recommendations for constructing accessible buildings and can be used where there are no national or local standards for physical accessibility. There is a fee to access the document.</w:t>
      </w:r>
      <w:r w:rsidRPr="00EB5B59">
        <w:rPr>
          <w:rFonts w:eastAsia="Helvetica Neue"/>
          <w:vertAlign w:val="superscript"/>
        </w:rPr>
        <w:endnoteReference w:id="151"/>
      </w:r>
    </w:p>
    <w:p w14:paraId="1DE9EFE2" w14:textId="462386CE" w:rsidR="00647406" w:rsidRPr="00647406" w:rsidRDefault="00202866" w:rsidP="006E6012">
      <w:pPr>
        <w:pStyle w:val="ListParagraph"/>
        <w:numPr>
          <w:ilvl w:val="0"/>
          <w:numId w:val="27"/>
        </w:numPr>
      </w:pPr>
      <w:r w:rsidRPr="00647406">
        <w:rPr>
          <w:rFonts w:eastAsia="Helvetica Neue"/>
        </w:rPr>
        <w:t xml:space="preserve">Identify and eliminate obstacles and barriers to services that women and young </w:t>
      </w:r>
      <w:r w:rsidR="00743375">
        <w:rPr>
          <w:rFonts w:eastAsia="Helvetica Neue"/>
        </w:rPr>
        <w:t>persons</w:t>
      </w:r>
      <w:r w:rsidR="00743375" w:rsidRPr="00647406">
        <w:rPr>
          <w:rFonts w:eastAsia="Helvetica Neue"/>
        </w:rPr>
        <w:t xml:space="preserve"> </w:t>
      </w:r>
      <w:r w:rsidRPr="00647406">
        <w:rPr>
          <w:rFonts w:eastAsia="Helvetica Neue"/>
        </w:rPr>
        <w:t>face.</w:t>
      </w:r>
      <w:r w:rsidRPr="00A64CBE">
        <w:rPr>
          <w:rFonts w:eastAsia="Helvetica Neue"/>
          <w:vertAlign w:val="superscript"/>
        </w:rPr>
        <w:endnoteReference w:id="152"/>
      </w:r>
      <w:r w:rsidRPr="00647406">
        <w:rPr>
          <w:rFonts w:eastAsia="Helvetica Neue"/>
        </w:rPr>
        <w:t xml:space="preserve"> The preferred form of access should be directed and chosen by the woman or young person with the disability. </w:t>
      </w:r>
    </w:p>
    <w:p w14:paraId="65302D92" w14:textId="701C0010" w:rsidR="00202866" w:rsidRPr="00647406" w:rsidRDefault="00202866" w:rsidP="006E6012">
      <w:pPr>
        <w:pStyle w:val="ListParagraph"/>
        <w:numPr>
          <w:ilvl w:val="0"/>
          <w:numId w:val="27"/>
        </w:numPr>
      </w:pPr>
      <w:r w:rsidRPr="00647406">
        <w:rPr>
          <w:rFonts w:eastAsia="Helvetica Neue"/>
        </w:rPr>
        <w:t xml:space="preserve">Use and understand new technologies that can increase accessibility, for example digital communication boards. </w:t>
      </w:r>
    </w:p>
    <w:p w14:paraId="37295CC1" w14:textId="7D3B4AAA" w:rsidR="00202866" w:rsidRPr="00647406" w:rsidRDefault="00DF6D85" w:rsidP="003C6133">
      <w:pPr>
        <w:pStyle w:val="Heading4"/>
        <w:spacing w:before="480"/>
      </w:pPr>
      <w:r w:rsidRPr="00EB5B59">
        <w:t>Guidelines for Action:</w:t>
      </w:r>
      <w:r w:rsidR="00647406">
        <w:t xml:space="preserve"> </w:t>
      </w:r>
      <w:r w:rsidR="00202866" w:rsidRPr="00A64CBE">
        <w:t xml:space="preserve">Physical </w:t>
      </w:r>
      <w:r w:rsidR="00202866" w:rsidRPr="003C6133">
        <w:rPr>
          <w:rFonts w:eastAsia="Helvetica Neue"/>
        </w:rPr>
        <w:t>Accessibility</w:t>
      </w:r>
      <w:r w:rsidR="00202866" w:rsidRPr="00A64CBE">
        <w:t xml:space="preserve"> </w:t>
      </w:r>
    </w:p>
    <w:p w14:paraId="0C346FFC" w14:textId="77777777" w:rsidR="00647406" w:rsidRPr="006A328F" w:rsidRDefault="00202866" w:rsidP="006E6012">
      <w:pPr>
        <w:pStyle w:val="ListParagraph"/>
        <w:numPr>
          <w:ilvl w:val="0"/>
          <w:numId w:val="28"/>
        </w:numPr>
      </w:pPr>
      <w:r w:rsidRPr="006A328F">
        <w:rPr>
          <w:rFonts w:eastAsia="Helvetica Neue"/>
        </w:rPr>
        <w:t xml:space="preserve">Ensure that services are physically accessible. This means that all components essential to the delivery of services, including buildings, classrooms, courtrooms, health service facilities and medical equipment, can be used regardless of the form of a person’s disability or assistive equipment. Ensure that a location is physically accessible through the following steps: </w:t>
      </w:r>
    </w:p>
    <w:p w14:paraId="5B541603" w14:textId="77777777" w:rsidR="006A328F" w:rsidRPr="006A328F" w:rsidRDefault="00202866" w:rsidP="006E6012">
      <w:pPr>
        <w:pStyle w:val="ListParagraph"/>
        <w:numPr>
          <w:ilvl w:val="1"/>
          <w:numId w:val="28"/>
        </w:numPr>
      </w:pPr>
      <w:r w:rsidRPr="00647406">
        <w:rPr>
          <w:rFonts w:eastAsia="Helvetica Neue"/>
        </w:rPr>
        <w:t>Utilize universal designs as much as possible. Universal design means “the design of products, environments, programmes, and services to be usable by all people, to the greatest extent possible, without the need for adaptation or specialized design, and this should include bathroom facilities, shelters and other facilities”.</w:t>
      </w:r>
      <w:r w:rsidRPr="00647406">
        <w:rPr>
          <w:rFonts w:eastAsia="Helvetica Neue"/>
          <w:highlight w:val="white"/>
          <w:vertAlign w:val="superscript"/>
        </w:rPr>
        <w:endnoteReference w:id="153"/>
      </w:r>
    </w:p>
    <w:p w14:paraId="57DBA5EF" w14:textId="77777777" w:rsidR="006A328F" w:rsidRPr="006A328F" w:rsidRDefault="00202866" w:rsidP="006E6012">
      <w:pPr>
        <w:pStyle w:val="ListParagraph"/>
        <w:numPr>
          <w:ilvl w:val="1"/>
          <w:numId w:val="28"/>
        </w:numPr>
      </w:pPr>
      <w:r w:rsidRPr="006A328F">
        <w:rPr>
          <w:rFonts w:eastAsia="Helvetica Neue"/>
        </w:rPr>
        <w:lastRenderedPageBreak/>
        <w:t>Identify and remedy structural and architectural barriers both inside and outside of the service provider facility. Examples of important considerations include:</w:t>
      </w:r>
      <w:r w:rsidRPr="00647406">
        <w:rPr>
          <w:rFonts w:eastAsia="Helvetica Neue"/>
          <w:vertAlign w:val="superscript"/>
        </w:rPr>
        <w:endnoteReference w:id="154"/>
      </w:r>
    </w:p>
    <w:p w14:paraId="286AB5E1" w14:textId="77777777" w:rsidR="006A328F" w:rsidRPr="006A328F" w:rsidRDefault="00202866" w:rsidP="006E6012">
      <w:pPr>
        <w:pStyle w:val="ListParagraph"/>
        <w:numPr>
          <w:ilvl w:val="2"/>
          <w:numId w:val="29"/>
        </w:numPr>
      </w:pPr>
      <w:r w:rsidRPr="006A328F">
        <w:rPr>
          <w:rFonts w:eastAsia="Helvetica Neue"/>
        </w:rPr>
        <w:t xml:space="preserve">Are there barriers to entering the facility or to accessing different floors of the facility, such as uneven pathways, narrow entrances, or stairs? </w:t>
      </w:r>
    </w:p>
    <w:p w14:paraId="5DA83ED6" w14:textId="77777777" w:rsidR="006A328F" w:rsidRPr="006A328F" w:rsidRDefault="00202866" w:rsidP="006E6012">
      <w:pPr>
        <w:pStyle w:val="ListParagraph"/>
        <w:numPr>
          <w:ilvl w:val="2"/>
          <w:numId w:val="29"/>
        </w:numPr>
      </w:pPr>
      <w:r w:rsidRPr="006A328F">
        <w:rPr>
          <w:rFonts w:eastAsia="Helvetica Neue"/>
        </w:rPr>
        <w:t xml:space="preserve">Are the doors wide enough? Light enough to push? Do they use a lever door handle and not a knob? Are they automated? </w:t>
      </w:r>
    </w:p>
    <w:p w14:paraId="6A031B30" w14:textId="77777777" w:rsidR="006A328F" w:rsidRPr="006A328F" w:rsidRDefault="00202866" w:rsidP="006E6012">
      <w:pPr>
        <w:pStyle w:val="ListParagraph"/>
        <w:numPr>
          <w:ilvl w:val="2"/>
          <w:numId w:val="29"/>
        </w:numPr>
      </w:pPr>
      <w:r w:rsidRPr="006A328F">
        <w:rPr>
          <w:rFonts w:eastAsia="Helvetica Neue"/>
        </w:rPr>
        <w:t xml:space="preserve">Are counters low enough to accommodate someone in a wheelchair? </w:t>
      </w:r>
    </w:p>
    <w:p w14:paraId="0527D816" w14:textId="77777777" w:rsidR="006A328F" w:rsidRPr="006A328F" w:rsidRDefault="00202866" w:rsidP="006E6012">
      <w:pPr>
        <w:pStyle w:val="ListParagraph"/>
        <w:numPr>
          <w:ilvl w:val="2"/>
          <w:numId w:val="29"/>
        </w:numPr>
      </w:pPr>
      <w:r w:rsidRPr="006A328F">
        <w:rPr>
          <w:rFonts w:eastAsia="Helvetica Neue"/>
        </w:rPr>
        <w:t xml:space="preserve">Are there wheelchair-accessible bathrooms available and in working condition? </w:t>
      </w:r>
    </w:p>
    <w:p w14:paraId="4CB50E69" w14:textId="77777777" w:rsidR="006A328F" w:rsidRPr="006A328F" w:rsidRDefault="00202866" w:rsidP="006E6012">
      <w:pPr>
        <w:pStyle w:val="ListParagraph"/>
        <w:numPr>
          <w:ilvl w:val="2"/>
          <w:numId w:val="29"/>
        </w:numPr>
      </w:pPr>
      <w:r w:rsidRPr="006A328F">
        <w:rPr>
          <w:rFonts w:eastAsia="Helvetica Neue"/>
        </w:rPr>
        <w:t xml:space="preserve">Is there sufficient room in examination or labour and delivery rooms for a wheelchair to turn around? </w:t>
      </w:r>
    </w:p>
    <w:p w14:paraId="63CE10EC" w14:textId="77777777" w:rsidR="0063368C" w:rsidRPr="0063368C" w:rsidRDefault="00202866" w:rsidP="006E6012">
      <w:pPr>
        <w:pStyle w:val="ListParagraph"/>
        <w:numPr>
          <w:ilvl w:val="1"/>
          <w:numId w:val="28"/>
        </w:numPr>
      </w:pPr>
      <w:r w:rsidRPr="006A328F">
        <w:rPr>
          <w:rFonts w:eastAsia="Helvetica Neue"/>
        </w:rPr>
        <w:t xml:space="preserve">Ensure the accessibility of facility furniture and equipment, such as hospital beds and exam tables.  </w:t>
      </w:r>
    </w:p>
    <w:p w14:paraId="5827CDB3" w14:textId="3C3F4F32" w:rsidR="006A328F" w:rsidRPr="006A328F" w:rsidRDefault="00202866" w:rsidP="006E6012">
      <w:pPr>
        <w:pStyle w:val="ListParagraph"/>
        <w:numPr>
          <w:ilvl w:val="0"/>
          <w:numId w:val="33"/>
        </w:numPr>
        <w:ind w:left="729" w:hanging="405"/>
      </w:pPr>
      <w:r w:rsidRPr="0063368C">
        <w:rPr>
          <w:rFonts w:eastAsia="Helvetica Neue"/>
          <w:b/>
        </w:rPr>
        <w:t xml:space="preserve">Example: </w:t>
      </w:r>
      <w:r w:rsidRPr="0063368C">
        <w:rPr>
          <w:rFonts w:eastAsia="Helvetica Neue"/>
        </w:rPr>
        <w:t xml:space="preserve">The </w:t>
      </w:r>
      <w:r w:rsidRPr="0063368C">
        <w:rPr>
          <w:rFonts w:eastAsia="Helvetica Neue"/>
          <w:b/>
        </w:rPr>
        <w:t xml:space="preserve">Adaptive Design Association </w:t>
      </w:r>
      <w:r w:rsidRPr="0063368C">
        <w:rPr>
          <w:rFonts w:eastAsia="Helvetica Neue"/>
        </w:rPr>
        <w:t>is a useful resource for low-cost adaptive designs. The organization’s mission is to “ensure that people with disabilities receive the custom adaptations they need to live healthy lives and fulfil their developmental, academic, and vocational potential, and to promote education, inclusion, widespread replication, and social justice”.</w:t>
      </w:r>
      <w:r w:rsidRPr="00647406">
        <w:rPr>
          <w:rFonts w:eastAsia="Helvetica Neue"/>
          <w:vertAlign w:val="superscript"/>
        </w:rPr>
        <w:endnoteReference w:id="155"/>
      </w:r>
      <w:r w:rsidRPr="0063368C">
        <w:rPr>
          <w:rFonts w:eastAsia="Helvetica Neue"/>
        </w:rPr>
        <w:t xml:space="preserve"> One of the ways they do this is through a free online video library which has numerous instructional videos on how adaptive designs can be created out of low-cost materials, such as cardboard.</w:t>
      </w:r>
      <w:r w:rsidRPr="00647406">
        <w:rPr>
          <w:rFonts w:eastAsia="Helvetica Neue"/>
          <w:vertAlign w:val="superscript"/>
        </w:rPr>
        <w:endnoteReference w:id="156"/>
      </w:r>
      <w:r w:rsidRPr="0063368C">
        <w:rPr>
          <w:rFonts w:eastAsia="Helvetica Neue"/>
        </w:rPr>
        <w:t xml:space="preserve"> </w:t>
      </w:r>
    </w:p>
    <w:p w14:paraId="64B3E4D9" w14:textId="101386D2" w:rsidR="00202866" w:rsidRPr="00647406" w:rsidRDefault="00202866" w:rsidP="006E6012">
      <w:pPr>
        <w:pStyle w:val="ListParagraph"/>
        <w:numPr>
          <w:ilvl w:val="1"/>
          <w:numId w:val="28"/>
        </w:numPr>
      </w:pPr>
      <w:r w:rsidRPr="006A328F">
        <w:rPr>
          <w:rFonts w:eastAsia="Helvetica Neue"/>
        </w:rPr>
        <w:t xml:space="preserve">Design facilities to support a range of </w:t>
      </w:r>
      <w:r w:rsidR="003529E8" w:rsidRPr="006A328F">
        <w:rPr>
          <w:rFonts w:eastAsia="Helvetica Neue"/>
        </w:rPr>
        <w:t>accessibility needs</w:t>
      </w:r>
      <w:r w:rsidRPr="006A328F">
        <w:rPr>
          <w:rFonts w:eastAsia="Helvetica Neue"/>
        </w:rPr>
        <w:t>, including, e.g. allowing service animals to accompany service recipients; appropriate medicine storage; charging stations for electronic assistive devices; sufficient space in bedrooms, hallways, and bathrooms; handrails; and stable, height-adjustable beds and examination and delivery tables).</w:t>
      </w:r>
    </w:p>
    <w:p w14:paraId="63B1691C" w14:textId="77777777" w:rsidR="006A328F" w:rsidRPr="006A328F" w:rsidRDefault="00202866" w:rsidP="006E6012">
      <w:pPr>
        <w:pStyle w:val="ListParagraph"/>
        <w:numPr>
          <w:ilvl w:val="0"/>
          <w:numId w:val="28"/>
        </w:numPr>
      </w:pPr>
      <w:r w:rsidRPr="00647406">
        <w:rPr>
          <w:rFonts w:eastAsia="Helvetica Neue"/>
        </w:rPr>
        <w:t>Ensure, as much as possible, that services can be easily reached. Offer services in the community, through home visits, or near to reliable and accessible public transport or subsidized private transport.</w:t>
      </w:r>
      <w:r w:rsidRPr="00647406">
        <w:rPr>
          <w:rFonts w:eastAsia="Helvetica Neue"/>
          <w:vertAlign w:val="superscript"/>
        </w:rPr>
        <w:endnoteReference w:id="157"/>
      </w:r>
      <w:r w:rsidRPr="00647406">
        <w:rPr>
          <w:rFonts w:eastAsia="Helvetica Neue"/>
        </w:rPr>
        <w:t xml:space="preserve">  </w:t>
      </w:r>
    </w:p>
    <w:p w14:paraId="5C118C14" w14:textId="55B0336B" w:rsidR="00202866" w:rsidRPr="00647406" w:rsidRDefault="00202866" w:rsidP="006E6012">
      <w:pPr>
        <w:pStyle w:val="ListParagraph"/>
        <w:numPr>
          <w:ilvl w:val="0"/>
          <w:numId w:val="28"/>
        </w:numPr>
      </w:pPr>
      <w:r w:rsidRPr="006A328F">
        <w:rPr>
          <w:rFonts w:eastAsia="Helvetica Neue"/>
        </w:rPr>
        <w:t xml:space="preserve">Enhance telephone, email, and other remote access to services, as appropriate, to facilitate access to remote services for people who cannot reach facilities for in-person attention. </w:t>
      </w:r>
    </w:p>
    <w:p w14:paraId="0243F238" w14:textId="77777777" w:rsidR="006419F3" w:rsidRPr="006419F3" w:rsidRDefault="00202866" w:rsidP="006E6012">
      <w:pPr>
        <w:pStyle w:val="ListParagraph"/>
        <w:numPr>
          <w:ilvl w:val="1"/>
          <w:numId w:val="28"/>
        </w:numPr>
      </w:pPr>
      <w:r w:rsidRPr="00647406">
        <w:rPr>
          <w:rFonts w:eastAsia="Helvetica Neue"/>
        </w:rPr>
        <w:t>Ensure that alternative phone formats are available (e.g. teletypewriter (TTY), video).</w:t>
      </w:r>
    </w:p>
    <w:p w14:paraId="2B72C443" w14:textId="77777777" w:rsidR="006419F3" w:rsidRPr="006419F3" w:rsidRDefault="00202866" w:rsidP="006E6012">
      <w:pPr>
        <w:pStyle w:val="ListParagraph"/>
        <w:numPr>
          <w:ilvl w:val="1"/>
          <w:numId w:val="28"/>
        </w:numPr>
      </w:pPr>
      <w:r w:rsidRPr="006419F3">
        <w:rPr>
          <w:rFonts w:eastAsia="Helvetica Neue"/>
        </w:rPr>
        <w:t>Allow renewal of prescriptions over the telephone.</w:t>
      </w:r>
      <w:r w:rsidRPr="00647406">
        <w:rPr>
          <w:rFonts w:eastAsia="Helvetica Neue"/>
          <w:vertAlign w:val="superscript"/>
        </w:rPr>
        <w:endnoteReference w:id="158"/>
      </w:r>
      <w:r w:rsidRPr="006419F3">
        <w:rPr>
          <w:rFonts w:eastAsia="Helvetica Neue"/>
        </w:rPr>
        <w:t xml:space="preserve"> </w:t>
      </w:r>
    </w:p>
    <w:p w14:paraId="438FB3D2" w14:textId="1977FEB2" w:rsidR="00202866" w:rsidRPr="00A64CBE" w:rsidRDefault="00202866" w:rsidP="006E6012">
      <w:pPr>
        <w:pStyle w:val="ListParagraph"/>
        <w:numPr>
          <w:ilvl w:val="1"/>
          <w:numId w:val="28"/>
        </w:numPr>
      </w:pPr>
      <w:r w:rsidRPr="006419F3">
        <w:rPr>
          <w:rFonts w:eastAsia="Helvetica Neue"/>
        </w:rPr>
        <w:t>Offer information and services through email and online chats.</w:t>
      </w:r>
    </w:p>
    <w:p w14:paraId="2CD3E1C8" w14:textId="7452B95D" w:rsidR="00A6697D" w:rsidRPr="0060005C" w:rsidRDefault="00A6697D" w:rsidP="00CD00E1">
      <w:pPr>
        <w:pStyle w:val="Heading4"/>
        <w:spacing w:line="276" w:lineRule="auto"/>
        <w:ind w:hanging="90"/>
        <w:rPr>
          <w:color w:val="9B4868"/>
        </w:rPr>
      </w:pPr>
      <w:r w:rsidRPr="00A6697D">
        <w:rPr>
          <w:noProof/>
        </w:rPr>
        <mc:AlternateContent>
          <mc:Choice Requires="wps">
            <w:drawing>
              <wp:inline distT="0" distB="0" distL="0" distR="0" wp14:anchorId="4E9E02C8" wp14:editId="437EBDB9">
                <wp:extent cx="5943600" cy="0"/>
                <wp:effectExtent l="0" t="38100" r="25400" b="38100"/>
                <wp:docPr id="16" name="Straight Connector 16" descr="Text box follows"/>
                <wp:cNvGraphicFramePr/>
                <a:graphic xmlns:a="http://schemas.openxmlformats.org/drawingml/2006/main">
                  <a:graphicData uri="http://schemas.microsoft.com/office/word/2010/wordprocessingShape">
                    <wps:wsp>
                      <wps:cNvCnPr/>
                      <wps:spPr>
                        <a:xfrm>
                          <a:off x="0" y="0"/>
                          <a:ext cx="5943600" cy="0"/>
                        </a:xfrm>
                        <a:prstGeom prst="line">
                          <a:avLst/>
                        </a:prstGeom>
                        <a:ln w="76200">
                          <a:solidFill>
                            <a:srgbClr val="9B4868"/>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2489CC1C" id="Straight Connector 16" o:spid="_x0000_s1026" alt="Text box foll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" strokecolor="#9b4868" strokeweight="6pt">
                <w10:anchorlock/>
              </v:line>
            </w:pict>
          </mc:Fallback>
        </mc:AlternateContent>
      </w:r>
      <w:r w:rsidR="00202866" w:rsidRPr="0060005C">
        <w:rPr>
          <w:color w:val="9B4868"/>
          <w:sz w:val="32"/>
          <w:szCs w:val="32"/>
        </w:rPr>
        <w:t>Humanitarian Emergencies—Physical Accessibility</w:t>
      </w:r>
    </w:p>
    <w:p w14:paraId="3BE53498" w14:textId="7D2FC635" w:rsidR="00202866" w:rsidRPr="00A64CBE" w:rsidRDefault="00202866" w:rsidP="00227C57">
      <w:pPr>
        <w:ind w:right="180"/>
        <w:rPr>
          <w:rFonts w:eastAsia="Helvetica Neue"/>
        </w:rPr>
      </w:pPr>
      <w:r w:rsidRPr="00A64CBE">
        <w:rPr>
          <w:rFonts w:eastAsia="Helvetica Neue"/>
        </w:rPr>
        <w:t>During humanitarian emergencies, women and young pe</w:t>
      </w:r>
      <w:r w:rsidR="00C628F6">
        <w:rPr>
          <w:rFonts w:eastAsia="Helvetica Neue"/>
        </w:rPr>
        <w:t>rsons</w:t>
      </w:r>
      <w:r w:rsidRPr="00A64CBE">
        <w:rPr>
          <w:rFonts w:eastAsia="Helvetica Neue"/>
        </w:rPr>
        <w:t xml:space="preserve"> with disabilities have the same physical needs as they do during non-emergency periods. However, humanitarian emergencies can create new and unique considerations for physical accessibility: </w:t>
      </w:r>
    </w:p>
    <w:p w14:paraId="631F8C8C" w14:textId="250B9956" w:rsidR="00202866" w:rsidRPr="00A64CBE" w:rsidRDefault="00202866" w:rsidP="006E6012">
      <w:pPr>
        <w:pStyle w:val="ListParagraph"/>
        <w:numPr>
          <w:ilvl w:val="0"/>
          <w:numId w:val="34"/>
        </w:numPr>
        <w:ind w:right="180"/>
      </w:pPr>
      <w:r w:rsidRPr="00434807">
        <w:rPr>
          <w:rFonts w:eastAsia="Helvetica Neue"/>
        </w:rPr>
        <w:lastRenderedPageBreak/>
        <w:t>Ensure that humanitarian infrastructures</w:t>
      </w:r>
      <w:r w:rsidRPr="00434807">
        <w:rPr>
          <w:rFonts w:eastAsia="Helvetica Neue"/>
          <w:b/>
        </w:rPr>
        <w:t xml:space="preserve"> </w:t>
      </w:r>
      <w:r w:rsidRPr="00434807">
        <w:rPr>
          <w:rFonts w:eastAsia="Helvetica Neue"/>
        </w:rPr>
        <w:t>are developed taking the increased vulnerability of women and young pe</w:t>
      </w:r>
      <w:r w:rsidR="00C628F6" w:rsidRPr="00434807">
        <w:rPr>
          <w:rFonts w:eastAsia="Helvetica Neue"/>
        </w:rPr>
        <w:t>rsons</w:t>
      </w:r>
      <w:r w:rsidRPr="00434807">
        <w:rPr>
          <w:rFonts w:eastAsia="Helvetica Neue"/>
        </w:rPr>
        <w:t xml:space="preserve"> with disabilities during humanitarian emergencies into account. A person’s disability can increase a persons’ vulnerability to sexual and </w:t>
      </w:r>
      <w:r w:rsidR="00C628F6" w:rsidRPr="00434807">
        <w:rPr>
          <w:rFonts w:eastAsia="Helvetica Neue"/>
        </w:rPr>
        <w:t>GBV</w:t>
      </w:r>
      <w:r w:rsidRPr="00434807">
        <w:rPr>
          <w:rFonts w:eastAsia="Helvetica Neue"/>
        </w:rPr>
        <w:t xml:space="preserve"> when navigating an emergency services environment. For example, locations to receive supplies of food and water may be far from a woman’s shelter, or bathrooms in refugee camps may be located far away from a </w:t>
      </w:r>
      <w:r w:rsidR="00C77B70" w:rsidRPr="00434807">
        <w:rPr>
          <w:rFonts w:eastAsia="Helvetica Neue"/>
        </w:rPr>
        <w:t>person</w:t>
      </w:r>
      <w:r w:rsidRPr="00434807">
        <w:rPr>
          <w:rFonts w:eastAsia="Helvetica Neue"/>
        </w:rPr>
        <w:t xml:space="preserve">’s home. These increase </w:t>
      </w:r>
      <w:r w:rsidR="00C77B70" w:rsidRPr="00434807">
        <w:rPr>
          <w:rFonts w:eastAsia="Helvetica Neue"/>
        </w:rPr>
        <w:t>a person’s</w:t>
      </w:r>
      <w:r w:rsidRPr="00434807">
        <w:rPr>
          <w:rFonts w:eastAsia="Helvetica Neue"/>
        </w:rPr>
        <w:t xml:space="preserve"> vulnerability to sexual assault, especially at night, and if a </w:t>
      </w:r>
      <w:r w:rsidR="00C77B70" w:rsidRPr="00434807">
        <w:rPr>
          <w:rFonts w:eastAsia="Helvetica Neue"/>
        </w:rPr>
        <w:t>person</w:t>
      </w:r>
      <w:r w:rsidRPr="00434807">
        <w:rPr>
          <w:rFonts w:eastAsia="Helvetica Neue"/>
        </w:rPr>
        <w:t xml:space="preserve">’s disability impairs the speed at which </w:t>
      </w:r>
      <w:r w:rsidR="00C77B70" w:rsidRPr="00434807">
        <w:rPr>
          <w:rFonts w:eastAsia="Helvetica Neue"/>
        </w:rPr>
        <w:t>they</w:t>
      </w:r>
      <w:r w:rsidRPr="00434807">
        <w:rPr>
          <w:rFonts w:eastAsia="Helvetica Neue"/>
        </w:rPr>
        <w:t xml:space="preserve"> can move, this can further increase </w:t>
      </w:r>
      <w:r w:rsidR="00C77B70" w:rsidRPr="00434807">
        <w:rPr>
          <w:rFonts w:eastAsia="Helvetica Neue"/>
        </w:rPr>
        <w:t>their</w:t>
      </w:r>
      <w:r w:rsidRPr="00434807">
        <w:rPr>
          <w:rFonts w:eastAsia="Helvetica Neue"/>
        </w:rPr>
        <w:t xml:space="preserve"> vulnerability. Design services and service facilities to effectively prevent sexual and gender-based violence. Techniques for doing so include locks on bathroom doors and engaging women and young pe</w:t>
      </w:r>
      <w:r w:rsidR="00C628F6" w:rsidRPr="00434807">
        <w:rPr>
          <w:rFonts w:eastAsia="Helvetica Neue"/>
        </w:rPr>
        <w:t>rsons</w:t>
      </w:r>
      <w:r w:rsidRPr="00434807">
        <w:rPr>
          <w:rFonts w:eastAsia="Helvetica Neue"/>
        </w:rPr>
        <w:t xml:space="preserve"> with disabilities in camp leadership to offer input on services design.</w:t>
      </w:r>
      <w:r w:rsidRPr="00A64CBE">
        <w:rPr>
          <w:rFonts w:eastAsia="Helvetica Neue"/>
          <w:vertAlign w:val="superscript"/>
        </w:rPr>
        <w:endnoteReference w:id="159"/>
      </w:r>
      <w:r w:rsidRPr="00434807">
        <w:rPr>
          <w:rFonts w:eastAsia="Helvetica Neue"/>
        </w:rPr>
        <w:t xml:space="preserve"> </w:t>
      </w:r>
    </w:p>
    <w:p w14:paraId="4C5FD530" w14:textId="5BF75C09" w:rsidR="00202866" w:rsidRPr="00A64CBE" w:rsidRDefault="00202866" w:rsidP="006E6012">
      <w:pPr>
        <w:pStyle w:val="ListParagraph"/>
        <w:numPr>
          <w:ilvl w:val="0"/>
          <w:numId w:val="34"/>
        </w:numPr>
        <w:ind w:right="180"/>
      </w:pPr>
      <w:r w:rsidRPr="00434807">
        <w:rPr>
          <w:rFonts w:eastAsia="Helvetica Neue"/>
        </w:rPr>
        <w:t>Offer mobile services that can reach isolated women and young pe</w:t>
      </w:r>
      <w:r w:rsidR="00C628F6" w:rsidRPr="00434807">
        <w:rPr>
          <w:rFonts w:eastAsia="Helvetica Neue"/>
        </w:rPr>
        <w:t>rsons</w:t>
      </w:r>
      <w:r w:rsidRPr="00434807">
        <w:rPr>
          <w:rFonts w:eastAsia="Helvetica Neue"/>
        </w:rPr>
        <w:t xml:space="preserve"> with disabilities who are unable to travel to access services. Particularly during emergencies, pe</w:t>
      </w:r>
      <w:r w:rsidR="00C628F6" w:rsidRPr="00434807">
        <w:rPr>
          <w:rFonts w:eastAsia="Helvetica Neue"/>
        </w:rPr>
        <w:t>rsons</w:t>
      </w:r>
      <w:r w:rsidRPr="00434807">
        <w:rPr>
          <w:rFonts w:eastAsia="Helvetica Neue"/>
        </w:rPr>
        <w:t xml:space="preserve"> with all forms of disabilit</w:t>
      </w:r>
      <w:r w:rsidR="00087B0F" w:rsidRPr="00434807">
        <w:rPr>
          <w:rFonts w:eastAsia="Helvetica Neue"/>
        </w:rPr>
        <w:t>y</w:t>
      </w:r>
      <w:r w:rsidRPr="00434807">
        <w:rPr>
          <w:rFonts w:eastAsia="Helvetica Neue"/>
        </w:rPr>
        <w:t xml:space="preserve"> face greater barriers to travelling to services because transportation services are unavailable, caregivers have competing obligations or are no longer present, or the physical environment is no longer navigable due to environmental damage. For example, mobile courts can facilitate access to justice for displaced </w:t>
      </w:r>
      <w:r w:rsidR="00743375">
        <w:rPr>
          <w:rFonts w:eastAsia="Helvetica Neue"/>
        </w:rPr>
        <w:t>persons</w:t>
      </w:r>
      <w:r w:rsidRPr="00434807">
        <w:rPr>
          <w:rFonts w:eastAsia="Helvetica Neue"/>
        </w:rPr>
        <w:t>,</w:t>
      </w:r>
      <w:r w:rsidRPr="00A64CBE">
        <w:rPr>
          <w:rFonts w:eastAsia="Helvetica Neue"/>
          <w:vertAlign w:val="superscript"/>
        </w:rPr>
        <w:endnoteReference w:id="160"/>
      </w:r>
      <w:r w:rsidRPr="00434807">
        <w:rPr>
          <w:rFonts w:eastAsia="Helvetica Neue"/>
        </w:rPr>
        <w:t xml:space="preserve"> while mobile health clinics and/or outreach services can provide needed health services.</w:t>
      </w:r>
      <w:r w:rsidRPr="00B1674C">
        <w:rPr>
          <w:rStyle w:val="EndnoteReference"/>
          <w:rFonts w:eastAsia="Helvetica Neue"/>
        </w:rPr>
        <w:endnoteReference w:id="161"/>
      </w:r>
    </w:p>
    <w:p w14:paraId="190A4106" w14:textId="1413BED6" w:rsidR="00A6697D" w:rsidRPr="00434807" w:rsidRDefault="00202866" w:rsidP="006E6012">
      <w:pPr>
        <w:pStyle w:val="ListParagraph"/>
        <w:numPr>
          <w:ilvl w:val="0"/>
          <w:numId w:val="34"/>
        </w:numPr>
        <w:ind w:right="180"/>
      </w:pPr>
      <w:r w:rsidRPr="00434807">
        <w:rPr>
          <w:rFonts w:eastAsia="Helvetica Neue"/>
        </w:rPr>
        <w:t>Utilize universal design</w:t>
      </w:r>
      <w:r w:rsidRPr="00434807">
        <w:rPr>
          <w:rFonts w:eastAsia="Helvetica Neue"/>
          <w:b/>
        </w:rPr>
        <w:t xml:space="preserve"> </w:t>
      </w:r>
      <w:r w:rsidRPr="00434807">
        <w:rPr>
          <w:rFonts w:eastAsia="Helvetica Neue"/>
        </w:rPr>
        <w:t>when developing displaced person camp layouts and services. Resources such as the International Federation of Red Cross and Red Crescent Societies’</w:t>
      </w:r>
      <w:r w:rsidRPr="00434807">
        <w:rPr>
          <w:rFonts w:eastAsia="Helvetica Neue"/>
          <w:b/>
        </w:rPr>
        <w:t xml:space="preserve"> ‘All Under One Roof: Disability-inclusive shelter and settlements in emergencies’,</w:t>
      </w:r>
      <w:r w:rsidRPr="00434807">
        <w:rPr>
          <w:rFonts w:eastAsia="Helvetica Neue"/>
          <w:i/>
        </w:rPr>
        <w:t xml:space="preserve"> </w:t>
      </w:r>
      <w:r w:rsidR="00E97ECA" w:rsidRPr="00434807">
        <w:rPr>
          <w:rFonts w:eastAsia="Helvetica Neue"/>
        </w:rPr>
        <w:t>offer</w:t>
      </w:r>
      <w:r w:rsidRPr="00434807">
        <w:rPr>
          <w:rFonts w:eastAsia="Helvetica Neue"/>
        </w:rPr>
        <w:t xml:space="preserve"> important guidance for how service providers and support staff can address barriers which prevent pe</w:t>
      </w:r>
      <w:r w:rsidR="00C628F6" w:rsidRPr="00434807">
        <w:rPr>
          <w:rFonts w:eastAsia="Helvetica Neue"/>
        </w:rPr>
        <w:t>rsons</w:t>
      </w:r>
      <w:r w:rsidRPr="00434807">
        <w:rPr>
          <w:rFonts w:eastAsia="Helvetica Neue"/>
        </w:rPr>
        <w:t xml:space="preserve"> with disabilities from accessing services during emergencies.</w:t>
      </w:r>
      <w:r w:rsidRPr="00A64CBE">
        <w:rPr>
          <w:rFonts w:eastAsia="Helvetica Neue"/>
          <w:vertAlign w:val="superscript"/>
        </w:rPr>
        <w:endnoteReference w:id="162"/>
      </w:r>
    </w:p>
    <w:p w14:paraId="548CE4B1" w14:textId="7E5A7519" w:rsidR="00434807" w:rsidRPr="00A6697D" w:rsidRDefault="00434807" w:rsidP="00CD00E1">
      <w:pPr>
        <w:ind w:hanging="90"/>
      </w:pPr>
      <w:r w:rsidRPr="00A6697D">
        <w:rPr>
          <w:noProof/>
        </w:rPr>
        <mc:AlternateContent>
          <mc:Choice Requires="wps">
            <w:drawing>
              <wp:inline distT="0" distB="0" distL="0" distR="0" wp14:anchorId="6F4B34BE" wp14:editId="70413753">
                <wp:extent cx="5943600" cy="0"/>
                <wp:effectExtent l="0" t="12700" r="25400" b="25400"/>
                <wp:docPr id="21" name="Straight Connector 21" descr="text box ends"/>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rgbClr val="9B4868"/>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6BB8BC8F" id="Straight Connector 21" o:spid="_x0000_s1026" alt="text box end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" strokecolor="#9b4868" strokeweight="3pt">
                <w10:anchorlock/>
              </v:line>
            </w:pict>
          </mc:Fallback>
        </mc:AlternateContent>
      </w:r>
    </w:p>
    <w:p w14:paraId="4E654A89" w14:textId="2798DEDA" w:rsidR="00202866" w:rsidRPr="00A6697D" w:rsidRDefault="00A6697D" w:rsidP="003C6133">
      <w:pPr>
        <w:pStyle w:val="Heading4"/>
        <w:spacing w:before="480"/>
      </w:pPr>
      <w:r>
        <w:t>Guidelines for Action:</w:t>
      </w:r>
      <w:r w:rsidRPr="00A6697D">
        <w:t xml:space="preserve"> </w:t>
      </w:r>
      <w:r w:rsidR="00202866" w:rsidRPr="00A6697D">
        <w:t xml:space="preserve">Sensory </w:t>
      </w:r>
      <w:r w:rsidR="00202866" w:rsidRPr="003C6133">
        <w:rPr>
          <w:rFonts w:eastAsia="Helvetica Neue"/>
        </w:rPr>
        <w:t>Accessibility</w:t>
      </w:r>
      <w:r w:rsidR="00202866" w:rsidRPr="00A6697D">
        <w:t xml:space="preserve"> </w:t>
      </w:r>
    </w:p>
    <w:p w14:paraId="0B508FB3" w14:textId="679ACC1B" w:rsidR="00724E97" w:rsidRPr="00434807" w:rsidRDefault="00202866" w:rsidP="0060005C">
      <w:pPr>
        <w:pStyle w:val="ListParagraph"/>
        <w:numPr>
          <w:ilvl w:val="0"/>
          <w:numId w:val="156"/>
        </w:numPr>
      </w:pPr>
      <w:r w:rsidRPr="00455C0D">
        <w:rPr>
          <w:rFonts w:eastAsia="Helvetica Neue"/>
        </w:rPr>
        <w:t>Ensure accessibility for people with sensory disabilities. Sensory disabilities affect a person’s sight, hearing, smell, touch, taste, communication, or spatial awareness. A woman or a young person may have one or more of these disabilities and at various levels. What accommodation and the extent of the accommodation a person requires depends on the person. To ensure that a facility is ac</w:t>
      </w:r>
      <w:r w:rsidRPr="00743375">
        <w:rPr>
          <w:rFonts w:eastAsia="Helvetica Neue"/>
        </w:rPr>
        <w:t xml:space="preserve">cessible to a person with a sensory disability, the following are some examples of recommended actions: </w:t>
      </w:r>
    </w:p>
    <w:p w14:paraId="74A2DEA3" w14:textId="77777777" w:rsidR="00202866" w:rsidRPr="00A64CBE" w:rsidRDefault="00202866" w:rsidP="0060005C">
      <w:pPr>
        <w:pStyle w:val="ListParagraph"/>
        <w:numPr>
          <w:ilvl w:val="0"/>
          <w:numId w:val="31"/>
        </w:numPr>
        <w:spacing w:before="60" w:after="60"/>
        <w:ind w:left="720"/>
      </w:pPr>
      <w:r w:rsidRPr="00434807">
        <w:rPr>
          <w:rFonts w:eastAsia="Helvetica Neue"/>
        </w:rPr>
        <w:t>Make the environment scent-free, as much as possible.</w:t>
      </w:r>
      <w:r w:rsidRPr="00A64CBE">
        <w:rPr>
          <w:rFonts w:eastAsia="Helvetica Neue"/>
          <w:vertAlign w:val="superscript"/>
        </w:rPr>
        <w:endnoteReference w:id="163"/>
      </w:r>
      <w:r w:rsidRPr="00434807">
        <w:rPr>
          <w:rFonts w:eastAsia="Helvetica Neue"/>
        </w:rPr>
        <w:t xml:space="preserve"> </w:t>
      </w:r>
    </w:p>
    <w:p w14:paraId="2744149E" w14:textId="77777777" w:rsidR="00202866" w:rsidRPr="00A64CBE" w:rsidRDefault="00202866" w:rsidP="0060005C">
      <w:pPr>
        <w:pStyle w:val="ListParagraph"/>
        <w:numPr>
          <w:ilvl w:val="0"/>
          <w:numId w:val="31"/>
        </w:numPr>
        <w:spacing w:before="60" w:after="60"/>
        <w:ind w:left="720"/>
      </w:pPr>
      <w:r w:rsidRPr="00434807">
        <w:rPr>
          <w:rFonts w:eastAsia="Helvetica Neue"/>
        </w:rPr>
        <w:t>Use non-fluorescent lighting.</w:t>
      </w:r>
      <w:r w:rsidRPr="00A64CBE">
        <w:rPr>
          <w:rFonts w:eastAsia="Helvetica Neue"/>
          <w:vertAlign w:val="superscript"/>
        </w:rPr>
        <w:endnoteReference w:id="164"/>
      </w:r>
      <w:r w:rsidRPr="00434807">
        <w:rPr>
          <w:rFonts w:eastAsia="Helvetica Neue"/>
        </w:rPr>
        <w:t xml:space="preserve"> </w:t>
      </w:r>
    </w:p>
    <w:p w14:paraId="79D7BF8C" w14:textId="73BB1C75" w:rsidR="00202866" w:rsidRPr="00A64CBE" w:rsidRDefault="00202866" w:rsidP="0060005C">
      <w:pPr>
        <w:pStyle w:val="ListParagraph"/>
        <w:numPr>
          <w:ilvl w:val="0"/>
          <w:numId w:val="31"/>
        </w:numPr>
        <w:spacing w:before="60" w:after="60"/>
        <w:ind w:left="720"/>
      </w:pPr>
      <w:r w:rsidRPr="00434807">
        <w:rPr>
          <w:rFonts w:eastAsia="Helvetica Neue"/>
        </w:rPr>
        <w:t>Offer a variety of seating options (e.g. padded, arm rests).</w:t>
      </w:r>
      <w:r w:rsidRPr="00A64CBE">
        <w:rPr>
          <w:rFonts w:eastAsia="Helvetica Neue"/>
          <w:vertAlign w:val="superscript"/>
        </w:rPr>
        <w:endnoteReference w:id="165"/>
      </w:r>
      <w:r w:rsidRPr="00434807">
        <w:rPr>
          <w:rFonts w:eastAsia="Helvetica Neue"/>
        </w:rPr>
        <w:t xml:space="preserve"> </w:t>
      </w:r>
    </w:p>
    <w:p w14:paraId="64DC4901" w14:textId="6C3FBB13" w:rsidR="00202866" w:rsidRPr="00A64CBE" w:rsidRDefault="00202866" w:rsidP="0060005C">
      <w:pPr>
        <w:pStyle w:val="ListParagraph"/>
        <w:numPr>
          <w:ilvl w:val="0"/>
          <w:numId w:val="31"/>
        </w:numPr>
        <w:spacing w:before="60" w:after="60"/>
        <w:ind w:left="720"/>
      </w:pPr>
      <w:r w:rsidRPr="00434807">
        <w:rPr>
          <w:rFonts w:eastAsia="Helvetica Neue"/>
        </w:rPr>
        <w:t>Have fidget and stress relief toys available (e.g. stress balls, games, stuffed animals, fidget spinners).</w:t>
      </w:r>
      <w:r w:rsidRPr="00A64CBE">
        <w:rPr>
          <w:rFonts w:eastAsia="Helvetica Neue"/>
          <w:vertAlign w:val="superscript"/>
        </w:rPr>
        <w:endnoteReference w:id="166"/>
      </w:r>
      <w:r w:rsidRPr="00434807">
        <w:rPr>
          <w:rFonts w:eastAsia="Helvetica Neue"/>
        </w:rPr>
        <w:t xml:space="preserve"> </w:t>
      </w:r>
    </w:p>
    <w:p w14:paraId="71E9A1F9" w14:textId="77777777" w:rsidR="00202866" w:rsidRPr="00A64CBE" w:rsidRDefault="00202866" w:rsidP="0060005C">
      <w:pPr>
        <w:pStyle w:val="ListParagraph"/>
        <w:numPr>
          <w:ilvl w:val="0"/>
          <w:numId w:val="31"/>
        </w:numPr>
        <w:spacing w:before="60" w:after="60"/>
        <w:ind w:left="720"/>
      </w:pPr>
      <w:r w:rsidRPr="00434807">
        <w:rPr>
          <w:rFonts w:eastAsia="Helvetica Neue"/>
        </w:rPr>
        <w:t>Reduce noise in the environment, particularly loud acoustics or excessive background noise.</w:t>
      </w:r>
      <w:r w:rsidRPr="00A64CBE">
        <w:rPr>
          <w:rFonts w:eastAsia="Helvetica Neue"/>
          <w:vertAlign w:val="superscript"/>
        </w:rPr>
        <w:endnoteReference w:id="167"/>
      </w:r>
      <w:r w:rsidRPr="00434807">
        <w:rPr>
          <w:rFonts w:eastAsia="Helvetica Neue"/>
        </w:rPr>
        <w:t xml:space="preserve"> </w:t>
      </w:r>
    </w:p>
    <w:p w14:paraId="2AF7BBE7" w14:textId="77777777" w:rsidR="00202866" w:rsidRPr="00A64CBE" w:rsidRDefault="00202866" w:rsidP="0060005C">
      <w:pPr>
        <w:pStyle w:val="ListParagraph"/>
        <w:numPr>
          <w:ilvl w:val="0"/>
          <w:numId w:val="31"/>
        </w:numPr>
        <w:spacing w:before="60" w:after="60"/>
        <w:ind w:left="720"/>
      </w:pPr>
      <w:r w:rsidRPr="00434807">
        <w:rPr>
          <w:rFonts w:eastAsia="Helvetica Neue"/>
        </w:rPr>
        <w:t>Offer a decompression and relaxation room for people requiring a sensory break.</w:t>
      </w:r>
      <w:r w:rsidRPr="00434807">
        <w:rPr>
          <w:rFonts w:eastAsia="Helvetica Neue"/>
          <w:vertAlign w:val="superscript"/>
        </w:rPr>
        <w:t xml:space="preserve"> </w:t>
      </w:r>
      <w:r w:rsidRPr="00A64CBE">
        <w:rPr>
          <w:rFonts w:eastAsia="Helvetica Neue"/>
          <w:vertAlign w:val="superscript"/>
        </w:rPr>
        <w:endnoteReference w:id="168"/>
      </w:r>
      <w:r w:rsidRPr="00434807">
        <w:rPr>
          <w:rFonts w:eastAsia="Helvetica Neue"/>
        </w:rPr>
        <w:t xml:space="preserve"> </w:t>
      </w:r>
    </w:p>
    <w:p w14:paraId="7CF05CDD" w14:textId="77777777" w:rsidR="00202866" w:rsidRPr="00A64CBE" w:rsidRDefault="00202866" w:rsidP="0060005C">
      <w:pPr>
        <w:pStyle w:val="ListParagraph"/>
        <w:numPr>
          <w:ilvl w:val="0"/>
          <w:numId w:val="31"/>
        </w:numPr>
        <w:spacing w:before="60" w:after="60"/>
        <w:ind w:left="720"/>
      </w:pPr>
      <w:r w:rsidRPr="00434807">
        <w:rPr>
          <w:rFonts w:eastAsia="Helvetica Neue"/>
        </w:rPr>
        <w:t xml:space="preserve">Have food and water available. </w:t>
      </w:r>
    </w:p>
    <w:p w14:paraId="2C278339" w14:textId="77777777" w:rsidR="00202866" w:rsidRPr="00A64CBE" w:rsidRDefault="00202866" w:rsidP="0060005C">
      <w:pPr>
        <w:pStyle w:val="ListParagraph"/>
        <w:numPr>
          <w:ilvl w:val="0"/>
          <w:numId w:val="31"/>
        </w:numPr>
        <w:spacing w:before="60" w:after="60"/>
        <w:ind w:left="720"/>
      </w:pPr>
      <w:r w:rsidRPr="00434807">
        <w:rPr>
          <w:rFonts w:eastAsia="Helvetica Neue"/>
        </w:rPr>
        <w:lastRenderedPageBreak/>
        <w:t>Reduce long wait times.</w:t>
      </w:r>
      <w:r w:rsidRPr="00A64CBE">
        <w:rPr>
          <w:rFonts w:eastAsia="Helvetica Neue"/>
          <w:vertAlign w:val="superscript"/>
        </w:rPr>
        <w:endnoteReference w:id="169"/>
      </w:r>
      <w:r w:rsidRPr="00434807">
        <w:rPr>
          <w:rFonts w:eastAsia="Helvetica Neue"/>
        </w:rPr>
        <w:t xml:space="preserve"> </w:t>
      </w:r>
    </w:p>
    <w:p w14:paraId="2DB9325E" w14:textId="3A7CA6DE" w:rsidR="00202866" w:rsidRPr="00434807" w:rsidRDefault="00202866" w:rsidP="0060005C">
      <w:pPr>
        <w:pStyle w:val="ListParagraph"/>
        <w:numPr>
          <w:ilvl w:val="0"/>
          <w:numId w:val="31"/>
        </w:numPr>
        <w:spacing w:before="60" w:after="60"/>
        <w:ind w:left="720"/>
      </w:pPr>
      <w:r w:rsidRPr="00434807">
        <w:rPr>
          <w:rFonts w:eastAsia="Helvetica Neue"/>
        </w:rPr>
        <w:t xml:space="preserve">Offer breaks during long exams or appointments. </w:t>
      </w:r>
    </w:p>
    <w:p w14:paraId="5F1BC65D" w14:textId="315E7AE9" w:rsidR="00202866" w:rsidRPr="00BD5896" w:rsidRDefault="00434807" w:rsidP="003C6133">
      <w:pPr>
        <w:pStyle w:val="Heading4"/>
        <w:spacing w:before="480"/>
        <w:rPr>
          <w:lang w:val="en-US"/>
        </w:rPr>
      </w:pPr>
      <w:r w:rsidRPr="00BD5896">
        <w:t xml:space="preserve">Guidelines for Action: </w:t>
      </w:r>
      <w:r w:rsidRPr="003C6133">
        <w:rPr>
          <w:rFonts w:eastAsia="Helvetica Neue"/>
        </w:rPr>
        <w:t>Information</w:t>
      </w:r>
      <w:r w:rsidRPr="00BD5896">
        <w:rPr>
          <w:lang w:val="en-US"/>
        </w:rPr>
        <w:t xml:space="preserve"> and Communication Accessibility</w:t>
      </w:r>
    </w:p>
    <w:p w14:paraId="21D299A3" w14:textId="77777777" w:rsidR="00434807" w:rsidRPr="00434807" w:rsidRDefault="00202866" w:rsidP="006E6012">
      <w:pPr>
        <w:pStyle w:val="ListParagraph"/>
        <w:numPr>
          <w:ilvl w:val="0"/>
          <w:numId w:val="32"/>
        </w:numPr>
      </w:pPr>
      <w:r w:rsidRPr="00434807">
        <w:rPr>
          <w:rFonts w:eastAsia="Helvetica Neue"/>
        </w:rPr>
        <w:t>Ensure information and communication accessibility. This means that a person with a disability must be able to seek, receive, and impart information in a manner suited to their communication needs.</w:t>
      </w:r>
    </w:p>
    <w:p w14:paraId="31C236E2" w14:textId="77777777" w:rsidR="00434807" w:rsidRPr="00434807" w:rsidRDefault="00202866" w:rsidP="006E6012">
      <w:pPr>
        <w:pStyle w:val="ListParagraph"/>
        <w:numPr>
          <w:ilvl w:val="1"/>
          <w:numId w:val="32"/>
        </w:numPr>
      </w:pPr>
      <w:r w:rsidRPr="00434807">
        <w:rPr>
          <w:rFonts w:eastAsia="Helvetica Neue"/>
        </w:rPr>
        <w:t>Guarantee that information and communication is available in the following accessible formats, where needed:</w:t>
      </w:r>
    </w:p>
    <w:p w14:paraId="00E7C326" w14:textId="77777777" w:rsidR="00434807" w:rsidRPr="00434807" w:rsidRDefault="00202866" w:rsidP="006E6012">
      <w:pPr>
        <w:pStyle w:val="ListParagraph"/>
        <w:numPr>
          <w:ilvl w:val="2"/>
          <w:numId w:val="32"/>
        </w:numPr>
        <w:spacing w:before="60" w:after="0"/>
      </w:pPr>
      <w:r w:rsidRPr="00434807">
        <w:rPr>
          <w:rFonts w:eastAsia="Helvetica Neue"/>
        </w:rPr>
        <w:t>Braille;</w:t>
      </w:r>
    </w:p>
    <w:p w14:paraId="141A5D4F" w14:textId="77777777" w:rsidR="00434807" w:rsidRPr="00434807" w:rsidRDefault="00202866" w:rsidP="006E6012">
      <w:pPr>
        <w:pStyle w:val="ListParagraph"/>
        <w:numPr>
          <w:ilvl w:val="2"/>
          <w:numId w:val="32"/>
        </w:numPr>
        <w:spacing w:before="60" w:after="0"/>
      </w:pPr>
      <w:r w:rsidRPr="00434807">
        <w:rPr>
          <w:rFonts w:eastAsia="Helvetica Neue"/>
        </w:rPr>
        <w:t>Large print;</w:t>
      </w:r>
    </w:p>
    <w:p w14:paraId="38279B4F" w14:textId="77777777" w:rsidR="00434807" w:rsidRPr="00434807" w:rsidRDefault="00202866" w:rsidP="006E6012">
      <w:pPr>
        <w:pStyle w:val="ListParagraph"/>
        <w:numPr>
          <w:ilvl w:val="2"/>
          <w:numId w:val="32"/>
        </w:numPr>
        <w:spacing w:before="60" w:after="0"/>
      </w:pPr>
      <w:r w:rsidRPr="00434807">
        <w:rPr>
          <w:rFonts w:eastAsia="Helvetica Neue"/>
        </w:rPr>
        <w:t>Audio;</w:t>
      </w:r>
    </w:p>
    <w:p w14:paraId="73A2E776" w14:textId="77777777" w:rsidR="00434807" w:rsidRPr="00434807" w:rsidRDefault="00202866" w:rsidP="006E6012">
      <w:pPr>
        <w:pStyle w:val="ListParagraph"/>
        <w:numPr>
          <w:ilvl w:val="2"/>
          <w:numId w:val="32"/>
        </w:numPr>
        <w:spacing w:before="60" w:after="0"/>
      </w:pPr>
      <w:r w:rsidRPr="00434807">
        <w:rPr>
          <w:rFonts w:eastAsia="Helvetica Neue"/>
        </w:rPr>
        <w:t>Digital formats, compatible with screen readers;</w:t>
      </w:r>
    </w:p>
    <w:p w14:paraId="37CA4534" w14:textId="1731FC25" w:rsidR="00434807" w:rsidRPr="00434807" w:rsidRDefault="00202866" w:rsidP="006E6012">
      <w:pPr>
        <w:pStyle w:val="ListParagraph"/>
        <w:numPr>
          <w:ilvl w:val="2"/>
          <w:numId w:val="32"/>
        </w:numPr>
        <w:spacing w:before="60" w:after="0"/>
        <w:rPr>
          <w:rFonts w:eastAsia="Helvetica Neue"/>
        </w:rPr>
      </w:pPr>
      <w:r w:rsidRPr="00434807">
        <w:rPr>
          <w:rFonts w:eastAsia="Helvetica Neue"/>
        </w:rPr>
        <w:t>Sign language with an interpreter of a preferred gender (e.g. International sign language, American sign language);</w:t>
      </w:r>
    </w:p>
    <w:p w14:paraId="27DDB800" w14:textId="00F0FA98" w:rsidR="00202866" w:rsidRPr="00434807" w:rsidRDefault="00202866" w:rsidP="006E6012">
      <w:pPr>
        <w:pStyle w:val="ListParagraph"/>
        <w:numPr>
          <w:ilvl w:val="2"/>
          <w:numId w:val="32"/>
        </w:numPr>
        <w:spacing w:before="60" w:after="0"/>
        <w:rPr>
          <w:rFonts w:eastAsia="Helvetica Neue"/>
        </w:rPr>
      </w:pPr>
      <w:r w:rsidRPr="00434807">
        <w:rPr>
          <w:rFonts w:eastAsia="Helvetica Neue"/>
        </w:rPr>
        <w:t>Captioning;</w:t>
      </w:r>
    </w:p>
    <w:p w14:paraId="7FE89117" w14:textId="1996E209" w:rsidR="00202866" w:rsidRPr="00434807" w:rsidRDefault="00202866" w:rsidP="006E6012">
      <w:pPr>
        <w:pStyle w:val="ListParagraph"/>
        <w:numPr>
          <w:ilvl w:val="2"/>
          <w:numId w:val="32"/>
        </w:numPr>
        <w:spacing w:before="60" w:after="0"/>
        <w:rPr>
          <w:rFonts w:eastAsia="Helvetica Neue"/>
        </w:rPr>
      </w:pPr>
      <w:r w:rsidRPr="00A64CBE">
        <w:rPr>
          <w:rFonts w:eastAsia="Helvetica Neue"/>
        </w:rPr>
        <w:t>Simplified formats (e.g. plain language, easy read);</w:t>
      </w:r>
    </w:p>
    <w:p w14:paraId="18132F4C" w14:textId="798DAF62" w:rsidR="00202866" w:rsidRPr="00434807" w:rsidRDefault="00202866" w:rsidP="006E6012">
      <w:pPr>
        <w:pStyle w:val="ListParagraph"/>
        <w:numPr>
          <w:ilvl w:val="2"/>
          <w:numId w:val="32"/>
        </w:numPr>
        <w:spacing w:before="60" w:after="0"/>
        <w:rPr>
          <w:rFonts w:eastAsia="Helvetica Neue"/>
        </w:rPr>
      </w:pPr>
      <w:r w:rsidRPr="00A64CBE">
        <w:rPr>
          <w:rFonts w:eastAsia="Helvetica Neue"/>
        </w:rPr>
        <w:t>Pictorial guides;</w:t>
      </w:r>
    </w:p>
    <w:p w14:paraId="32B8B194" w14:textId="77777777" w:rsidR="00434807" w:rsidRDefault="00202866" w:rsidP="006E6012">
      <w:pPr>
        <w:pStyle w:val="ListParagraph"/>
        <w:numPr>
          <w:ilvl w:val="2"/>
          <w:numId w:val="32"/>
        </w:numPr>
        <w:spacing w:before="60" w:after="0"/>
        <w:rPr>
          <w:rFonts w:eastAsia="Helvetica Neue"/>
        </w:rPr>
      </w:pPr>
      <w:r w:rsidRPr="00A64CBE">
        <w:rPr>
          <w:rFonts w:eastAsia="Helvetica Neue"/>
        </w:rPr>
        <w:t>Local language interpretation.</w:t>
      </w:r>
    </w:p>
    <w:p w14:paraId="55A3F21F" w14:textId="77777777" w:rsidR="00434807" w:rsidRDefault="00202866" w:rsidP="006E6012">
      <w:pPr>
        <w:pStyle w:val="ListParagraph"/>
        <w:numPr>
          <w:ilvl w:val="1"/>
          <w:numId w:val="32"/>
        </w:numPr>
        <w:rPr>
          <w:rFonts w:eastAsia="Helvetica Neue"/>
        </w:rPr>
      </w:pPr>
      <w:r w:rsidRPr="00434807">
        <w:rPr>
          <w:rFonts w:eastAsia="Helvetica Neue"/>
        </w:rPr>
        <w:t>Offer a menu of hardware options or devices that users may have access to during their visit. The devices available will affect the provision of different accessible formats. Devices may include, for example, simple mobile phones, smartphones, tablets, computers, DAISY players, or Victor Readers.</w:t>
      </w:r>
    </w:p>
    <w:p w14:paraId="79A55274" w14:textId="77777777" w:rsidR="00434807" w:rsidRDefault="00202866" w:rsidP="006E6012">
      <w:pPr>
        <w:pStyle w:val="ListParagraph"/>
        <w:numPr>
          <w:ilvl w:val="1"/>
          <w:numId w:val="32"/>
        </w:numPr>
        <w:rPr>
          <w:rFonts w:eastAsia="Helvetica Neue"/>
        </w:rPr>
      </w:pPr>
      <w:r w:rsidRPr="00434807">
        <w:rPr>
          <w:rFonts w:eastAsia="Helvetica Neue"/>
        </w:rPr>
        <w:t xml:space="preserve">Make available in accessible formats information about: </w:t>
      </w:r>
    </w:p>
    <w:p w14:paraId="32C432AD" w14:textId="77777777" w:rsidR="00434807" w:rsidRDefault="00202866" w:rsidP="006E6012">
      <w:pPr>
        <w:pStyle w:val="ListParagraph"/>
        <w:numPr>
          <w:ilvl w:val="2"/>
          <w:numId w:val="32"/>
        </w:numPr>
        <w:spacing w:before="60" w:after="0"/>
        <w:rPr>
          <w:rFonts w:eastAsia="Helvetica Neue"/>
        </w:rPr>
      </w:pPr>
      <w:r w:rsidRPr="00434807">
        <w:rPr>
          <w:rFonts w:eastAsia="Helvetica Neue"/>
        </w:rPr>
        <w:t>Fundamental rights;</w:t>
      </w:r>
    </w:p>
    <w:p w14:paraId="0AF3EC2B" w14:textId="77777777" w:rsidR="00434807" w:rsidRDefault="00434807" w:rsidP="006E6012">
      <w:pPr>
        <w:pStyle w:val="ListParagraph"/>
        <w:numPr>
          <w:ilvl w:val="2"/>
          <w:numId w:val="32"/>
        </w:numPr>
        <w:spacing w:before="60" w:after="0"/>
        <w:rPr>
          <w:rFonts w:eastAsia="Helvetica Neue"/>
        </w:rPr>
      </w:pPr>
      <w:r w:rsidRPr="00434807">
        <w:rPr>
          <w:rFonts w:eastAsia="Helvetica Neue"/>
        </w:rPr>
        <w:t>A</w:t>
      </w:r>
      <w:r w:rsidR="00202866" w:rsidRPr="00434807">
        <w:rPr>
          <w:rFonts w:eastAsia="Helvetica Neue"/>
        </w:rPr>
        <w:t>vailable services;</w:t>
      </w:r>
    </w:p>
    <w:p w14:paraId="25FDD0DE" w14:textId="77777777" w:rsidR="00434807" w:rsidRDefault="00202866" w:rsidP="006E6012">
      <w:pPr>
        <w:pStyle w:val="ListParagraph"/>
        <w:numPr>
          <w:ilvl w:val="2"/>
          <w:numId w:val="32"/>
        </w:numPr>
        <w:spacing w:before="60" w:after="0"/>
        <w:rPr>
          <w:rFonts w:eastAsia="Helvetica Neue"/>
        </w:rPr>
      </w:pPr>
      <w:r w:rsidRPr="00434807">
        <w:rPr>
          <w:rFonts w:eastAsia="Helvetica Neue"/>
        </w:rPr>
        <w:t>Instructions for services;</w:t>
      </w:r>
    </w:p>
    <w:p w14:paraId="363DC76C" w14:textId="77777777" w:rsidR="00434807" w:rsidRDefault="00202866" w:rsidP="006E6012">
      <w:pPr>
        <w:pStyle w:val="ListParagraph"/>
        <w:numPr>
          <w:ilvl w:val="2"/>
          <w:numId w:val="32"/>
        </w:numPr>
        <w:spacing w:before="60" w:after="0"/>
        <w:rPr>
          <w:rFonts w:eastAsia="Helvetica Neue"/>
        </w:rPr>
      </w:pPr>
      <w:r w:rsidRPr="00434807">
        <w:rPr>
          <w:rFonts w:eastAsia="Helvetica Neue"/>
        </w:rPr>
        <w:t>Confidentiality and privacy rights;</w:t>
      </w:r>
    </w:p>
    <w:p w14:paraId="79CFD4C8" w14:textId="77777777" w:rsidR="00434807" w:rsidRDefault="00202866" w:rsidP="006E6012">
      <w:pPr>
        <w:pStyle w:val="ListParagraph"/>
        <w:numPr>
          <w:ilvl w:val="2"/>
          <w:numId w:val="32"/>
        </w:numPr>
        <w:spacing w:before="60" w:after="0"/>
        <w:rPr>
          <w:rFonts w:eastAsia="Helvetica Neue"/>
        </w:rPr>
      </w:pPr>
      <w:r w:rsidRPr="00434807">
        <w:rPr>
          <w:rFonts w:eastAsia="Helvetica Neue"/>
        </w:rPr>
        <w:t>Informed consent;</w:t>
      </w:r>
    </w:p>
    <w:p w14:paraId="21C2A134" w14:textId="77777777" w:rsidR="00434807" w:rsidRDefault="00202866" w:rsidP="006E6012">
      <w:pPr>
        <w:pStyle w:val="ListParagraph"/>
        <w:numPr>
          <w:ilvl w:val="2"/>
          <w:numId w:val="32"/>
        </w:numPr>
        <w:spacing w:before="60" w:after="0"/>
        <w:rPr>
          <w:rFonts w:eastAsia="Helvetica Neue"/>
        </w:rPr>
      </w:pPr>
      <w:r w:rsidRPr="00434807">
        <w:rPr>
          <w:rFonts w:eastAsia="Helvetica Neue"/>
        </w:rPr>
        <w:t>Complaint and feedback procedures;</w:t>
      </w:r>
    </w:p>
    <w:p w14:paraId="3E214A6F" w14:textId="77777777" w:rsidR="00434807" w:rsidRDefault="00202866" w:rsidP="006E6012">
      <w:pPr>
        <w:pStyle w:val="ListParagraph"/>
        <w:numPr>
          <w:ilvl w:val="2"/>
          <w:numId w:val="32"/>
        </w:numPr>
        <w:spacing w:before="60" w:after="0"/>
        <w:rPr>
          <w:rFonts w:eastAsia="Helvetica Neue"/>
        </w:rPr>
      </w:pPr>
      <w:r w:rsidRPr="00434807">
        <w:rPr>
          <w:rFonts w:eastAsia="Helvetica Neue"/>
        </w:rPr>
        <w:t>Accountability mechanisms and processes;</w:t>
      </w:r>
    </w:p>
    <w:p w14:paraId="5D9341C4" w14:textId="77777777" w:rsidR="00434807" w:rsidRDefault="00202866" w:rsidP="006E6012">
      <w:pPr>
        <w:pStyle w:val="ListParagraph"/>
        <w:numPr>
          <w:ilvl w:val="2"/>
          <w:numId w:val="32"/>
        </w:numPr>
        <w:spacing w:before="60" w:after="0"/>
        <w:rPr>
          <w:rFonts w:eastAsia="Helvetica Neue"/>
        </w:rPr>
      </w:pPr>
      <w:r w:rsidRPr="00434807">
        <w:rPr>
          <w:rFonts w:eastAsia="Helvetica Neue"/>
        </w:rPr>
        <w:t>Public information and awareness campaigns.</w:t>
      </w:r>
    </w:p>
    <w:p w14:paraId="0127022E" w14:textId="77777777" w:rsidR="00434807" w:rsidRDefault="00202866" w:rsidP="006E6012">
      <w:pPr>
        <w:pStyle w:val="ListParagraph"/>
        <w:numPr>
          <w:ilvl w:val="1"/>
          <w:numId w:val="32"/>
        </w:numPr>
        <w:rPr>
          <w:rFonts w:eastAsia="Helvetica Neue"/>
        </w:rPr>
      </w:pPr>
      <w:r w:rsidRPr="00434807">
        <w:rPr>
          <w:rFonts w:eastAsia="Helvetica Neue"/>
        </w:rPr>
        <w:t xml:space="preserve">Distribute digital information materials ahead of appointments or information sessions. </w:t>
      </w:r>
    </w:p>
    <w:p w14:paraId="1D415A7F" w14:textId="77777777" w:rsidR="00434807" w:rsidRDefault="00202866" w:rsidP="006E6012">
      <w:pPr>
        <w:pStyle w:val="ListParagraph"/>
        <w:numPr>
          <w:ilvl w:val="1"/>
          <w:numId w:val="32"/>
        </w:numPr>
        <w:rPr>
          <w:rFonts w:eastAsia="Helvetica Neue"/>
        </w:rPr>
      </w:pPr>
      <w:r w:rsidRPr="00434807">
        <w:rPr>
          <w:rFonts w:eastAsia="Helvetica Neue"/>
        </w:rPr>
        <w:t>Hire an onsite dedicated support person to assist pe</w:t>
      </w:r>
      <w:r w:rsidR="00724E97" w:rsidRPr="00434807">
        <w:rPr>
          <w:rFonts w:eastAsia="Helvetica Neue"/>
        </w:rPr>
        <w:t>rsons</w:t>
      </w:r>
      <w:r w:rsidRPr="00434807">
        <w:rPr>
          <w:rFonts w:eastAsia="Helvetica Neue"/>
        </w:rPr>
        <w:t xml:space="preserve"> with disabilities when they come to their appointments from entry and up until the time they leave. </w:t>
      </w:r>
    </w:p>
    <w:p w14:paraId="396F8E1D" w14:textId="77777777" w:rsidR="00434807" w:rsidRDefault="00202866" w:rsidP="006E6012">
      <w:pPr>
        <w:pStyle w:val="ListParagraph"/>
        <w:numPr>
          <w:ilvl w:val="1"/>
          <w:numId w:val="32"/>
        </w:numPr>
        <w:rPr>
          <w:rFonts w:eastAsia="Helvetica Neue"/>
        </w:rPr>
      </w:pPr>
      <w:r w:rsidRPr="00434807">
        <w:rPr>
          <w:rFonts w:eastAsia="Helvetica Neue"/>
        </w:rPr>
        <w:t xml:space="preserve">Never use a family member or caregiver as a translator for a person with a disability, unless clear free and informed consent is given by the person with the disability in private in advance. </w:t>
      </w:r>
    </w:p>
    <w:p w14:paraId="34ACAB9D" w14:textId="2BD30D5C" w:rsidR="00202866" w:rsidRPr="00434807" w:rsidRDefault="00202866" w:rsidP="006E6012">
      <w:pPr>
        <w:pStyle w:val="ListParagraph"/>
        <w:numPr>
          <w:ilvl w:val="1"/>
          <w:numId w:val="32"/>
        </w:numPr>
        <w:rPr>
          <w:rFonts w:eastAsia="Helvetica Neue"/>
        </w:rPr>
      </w:pPr>
      <w:r w:rsidRPr="00434807">
        <w:rPr>
          <w:rFonts w:eastAsia="Helvetica Neue"/>
        </w:rPr>
        <w:lastRenderedPageBreak/>
        <w:t>Establish appropriate safeguards to address circumstances where consent and confidentiality are at risk for women and young pe</w:t>
      </w:r>
      <w:r w:rsidR="00573C31" w:rsidRPr="00434807">
        <w:rPr>
          <w:rFonts w:eastAsia="Helvetica Neue"/>
        </w:rPr>
        <w:t>rsons</w:t>
      </w:r>
      <w:r w:rsidR="00434807">
        <w:rPr>
          <w:rFonts w:eastAsia="Helvetica Neue"/>
        </w:rPr>
        <w:t xml:space="preserve"> </w:t>
      </w:r>
      <w:r w:rsidRPr="00434807">
        <w:rPr>
          <w:rFonts w:eastAsia="Helvetica Neue"/>
        </w:rPr>
        <w:t xml:space="preserve">with disabilities, such as during translation or sign language interpretation. </w:t>
      </w:r>
    </w:p>
    <w:p w14:paraId="55AA96D0" w14:textId="0D6628A4" w:rsidR="004A6940" w:rsidRPr="001A2518" w:rsidRDefault="00B92BF0" w:rsidP="00CD00E1">
      <w:pPr>
        <w:pStyle w:val="Heading4"/>
        <w:spacing w:line="360" w:lineRule="auto"/>
        <w:ind w:hanging="90"/>
        <w:rPr>
          <w:noProof/>
          <w:color w:val="948A54" w:themeColor="background2" w:themeShade="80"/>
          <w:sz w:val="32"/>
          <w:szCs w:val="32"/>
        </w:rPr>
      </w:pPr>
      <w:r w:rsidRPr="00A6697D">
        <w:rPr>
          <w:noProof/>
        </w:rPr>
        <mc:AlternateContent>
          <mc:Choice Requires="wps">
            <w:drawing>
              <wp:inline distT="0" distB="0" distL="0" distR="0" wp14:anchorId="6E78458A" wp14:editId="5C4B65D0">
                <wp:extent cx="5943600" cy="0"/>
                <wp:effectExtent l="0" t="38100" r="25400" b="38100"/>
                <wp:docPr id="10" name="Straight Connector 10" descr="Text box follows"/>
                <wp:cNvGraphicFramePr/>
                <a:graphic xmlns:a="http://schemas.openxmlformats.org/drawingml/2006/main">
                  <a:graphicData uri="http://schemas.microsoft.com/office/word/2010/wordprocessingShape">
                    <wps:wsp>
                      <wps:cNvCnPr/>
                      <wps:spPr>
                        <a:xfrm>
                          <a:off x="0" y="0"/>
                          <a:ext cx="5943600" cy="0"/>
                        </a:xfrm>
                        <a:prstGeom prst="line">
                          <a:avLst/>
                        </a:prstGeom>
                        <a:ln w="76200">
                          <a:solidFill>
                            <a:schemeClr val="bg2">
                              <a:lumMod val="50000"/>
                            </a:schemeClr>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1A2259A7" id="Straight Connector 10" o:spid="_x0000_s1026" alt="Text box foll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" strokecolor="#938953 [1614]" strokeweight="6pt">
                <w10:anchorlock/>
              </v:line>
            </w:pict>
          </mc:Fallback>
        </mc:AlternateContent>
      </w:r>
      <w:r>
        <w:rPr>
          <w:noProof/>
          <w:color w:val="948A54" w:themeColor="background2" w:themeShade="80"/>
          <w:sz w:val="32"/>
          <w:szCs w:val="32"/>
        </w:rPr>
        <w:br/>
      </w:r>
      <w:r w:rsidR="00202866" w:rsidRPr="001A2518">
        <w:rPr>
          <w:noProof/>
          <w:color w:val="948A54" w:themeColor="background2" w:themeShade="80"/>
          <w:sz w:val="32"/>
          <w:szCs w:val="32"/>
        </w:rPr>
        <w:t>Accessible Information, Education and Communication</w:t>
      </w:r>
    </w:p>
    <w:p w14:paraId="49343D83" w14:textId="19A7CE85" w:rsidR="00202866" w:rsidRPr="00A64CBE" w:rsidRDefault="00202866" w:rsidP="00CD00E1">
      <w:pPr>
        <w:rPr>
          <w:rFonts w:eastAsia="Helvetica Neue"/>
          <w:b/>
          <w:highlight w:val="yellow"/>
        </w:rPr>
      </w:pPr>
      <w:r w:rsidRPr="00A64CBE">
        <w:rPr>
          <w:rFonts w:eastAsia="Helvetica Neue"/>
        </w:rPr>
        <w:t>Pe</w:t>
      </w:r>
      <w:r w:rsidR="00573C31">
        <w:rPr>
          <w:rFonts w:eastAsia="Helvetica Neue"/>
        </w:rPr>
        <w:t xml:space="preserve">rsons </w:t>
      </w:r>
      <w:r w:rsidRPr="00A64CBE">
        <w:rPr>
          <w:rFonts w:eastAsia="Helvetica Neue"/>
        </w:rPr>
        <w:t>with disabilities have a right to access all information relating to GBV and SRHR programmes on an equal basis with others. GBV and SRHR messages should be communicated in multiple formats and incorporate different dissemination methods. The Women’s Refugee Commission and International Rescue Committee’s</w:t>
      </w:r>
      <w:r w:rsidRPr="00A64CBE">
        <w:rPr>
          <w:rFonts w:eastAsia="Helvetica Neue"/>
          <w:b/>
        </w:rPr>
        <w:t xml:space="preserve"> </w:t>
      </w:r>
      <w:r w:rsidRPr="00BD5896">
        <w:rPr>
          <w:rFonts w:eastAsia="Helvetica Neue"/>
          <w:b/>
          <w:iCs/>
        </w:rPr>
        <w:t>‘Tool on Accessible Information, Education and Communication Materials’</w:t>
      </w:r>
      <w:r w:rsidRPr="00BD5896">
        <w:rPr>
          <w:rFonts w:eastAsia="Helvetica Neue"/>
          <w:iCs/>
        </w:rPr>
        <w:t xml:space="preserve"> </w:t>
      </w:r>
      <w:r w:rsidRPr="00A64CBE">
        <w:rPr>
          <w:rFonts w:eastAsia="Helvetica Neue"/>
        </w:rPr>
        <w:t xml:space="preserve">suggests using the following simple questions to identify appropriate adaptations or targeted approaches to ensure your information reaches people with different types of disabilities. This guidance was developed for the humanitarian emergency context but is applicable in all contexts. </w:t>
      </w:r>
    </w:p>
    <w:p w14:paraId="55A3685B" w14:textId="77777777" w:rsidR="00202866" w:rsidRPr="00BD5896" w:rsidRDefault="00202866" w:rsidP="00CD00E1">
      <w:pPr>
        <w:pStyle w:val="ListParagraph"/>
        <w:numPr>
          <w:ilvl w:val="0"/>
          <w:numId w:val="35"/>
        </w:numPr>
        <w:ind w:right="630" w:hanging="351"/>
        <w:rPr>
          <w:rFonts w:eastAsia="Helvetica Neue"/>
        </w:rPr>
      </w:pPr>
      <w:r w:rsidRPr="00BD5896">
        <w:rPr>
          <w:rFonts w:eastAsia="Helvetica Neue"/>
        </w:rPr>
        <w:t>Who will be able to understand this information in its current form?</w:t>
      </w:r>
    </w:p>
    <w:p w14:paraId="78E75B13" w14:textId="77777777" w:rsidR="00202866" w:rsidRPr="00BD5896" w:rsidRDefault="00202866" w:rsidP="00CD00E1">
      <w:pPr>
        <w:pStyle w:val="ListParagraph"/>
        <w:numPr>
          <w:ilvl w:val="0"/>
          <w:numId w:val="35"/>
        </w:numPr>
        <w:ind w:right="630" w:hanging="351"/>
        <w:rPr>
          <w:rFonts w:eastAsia="Helvetica Neue"/>
        </w:rPr>
      </w:pPr>
      <w:r w:rsidRPr="00BD5896">
        <w:rPr>
          <w:rFonts w:eastAsia="Helvetica Neue"/>
        </w:rPr>
        <w:t>Who won’t be able to understand this information in its current form?</w:t>
      </w:r>
    </w:p>
    <w:p w14:paraId="5E9DD6F2" w14:textId="1026F9E8" w:rsidR="00202866" w:rsidRPr="00BD5896" w:rsidRDefault="00202866" w:rsidP="00CD00E1">
      <w:pPr>
        <w:pStyle w:val="ListParagraph"/>
        <w:numPr>
          <w:ilvl w:val="0"/>
          <w:numId w:val="35"/>
        </w:numPr>
        <w:ind w:hanging="351"/>
        <w:rPr>
          <w:rFonts w:eastAsia="Helvetica Neue"/>
        </w:rPr>
      </w:pPr>
      <w:r w:rsidRPr="00BD5896">
        <w:rPr>
          <w:rFonts w:eastAsia="Helvetica Neue"/>
        </w:rPr>
        <w:t>How does the information reflect the needs of different people in the community? Will pe</w:t>
      </w:r>
      <w:r w:rsidR="00C11C89" w:rsidRPr="00BD5896">
        <w:rPr>
          <w:rFonts w:eastAsia="Helvetica Neue"/>
        </w:rPr>
        <w:t>rsons</w:t>
      </w:r>
      <w:r w:rsidRPr="00BD5896">
        <w:rPr>
          <w:rFonts w:eastAsia="Helvetica Neue"/>
        </w:rPr>
        <w:t xml:space="preserve"> with disabilities and their caregivers see themselves and their experiences reflected in the images?</w:t>
      </w:r>
    </w:p>
    <w:p w14:paraId="684BE33E" w14:textId="42F95AB8" w:rsidR="00202866" w:rsidRPr="00BD5896" w:rsidRDefault="00202866" w:rsidP="00CD00E1">
      <w:pPr>
        <w:pStyle w:val="ListParagraph"/>
        <w:numPr>
          <w:ilvl w:val="0"/>
          <w:numId w:val="35"/>
        </w:numPr>
        <w:ind w:hanging="351"/>
        <w:rPr>
          <w:rFonts w:eastAsia="Helvetica Neue"/>
        </w:rPr>
      </w:pPr>
      <w:r w:rsidRPr="00BD5896">
        <w:rPr>
          <w:rFonts w:eastAsia="Helvetica Neue"/>
        </w:rPr>
        <w:t>What do pe</w:t>
      </w:r>
      <w:r w:rsidR="00C11C89" w:rsidRPr="00BD5896">
        <w:rPr>
          <w:rFonts w:eastAsia="Helvetica Neue"/>
        </w:rPr>
        <w:t>rsons</w:t>
      </w:r>
      <w:r w:rsidRPr="00BD5896">
        <w:rPr>
          <w:rFonts w:eastAsia="Helvetica Neue"/>
        </w:rPr>
        <w:t xml:space="preserve"> with disabilities think about the information, education and communication materials? Do they have any advice or feedback? While it is helpful to have their advice and guidance before you start, it is also important to take the finished materials back to pe</w:t>
      </w:r>
      <w:r w:rsidR="00C11C89" w:rsidRPr="00BD5896">
        <w:rPr>
          <w:rFonts w:eastAsia="Helvetica Neue"/>
        </w:rPr>
        <w:t>rsons</w:t>
      </w:r>
      <w:r w:rsidRPr="00BD5896">
        <w:rPr>
          <w:rFonts w:eastAsia="Helvetica Neue"/>
        </w:rPr>
        <w:t xml:space="preserve"> with disabilities and their caregivers and ask them to review, critique and comment, then make adjustments accordingly.</w:t>
      </w:r>
    </w:p>
    <w:p w14:paraId="0821F17B" w14:textId="77777777" w:rsidR="00202866" w:rsidRPr="009157EB" w:rsidRDefault="00202866" w:rsidP="00CD00E1">
      <w:pPr>
        <w:rPr>
          <w:rFonts w:eastAsia="Helvetica Neue"/>
          <w:iCs/>
        </w:rPr>
      </w:pPr>
      <w:r w:rsidRPr="00A64CBE">
        <w:rPr>
          <w:rFonts w:eastAsia="Helvetica Neue"/>
        </w:rPr>
        <w:t xml:space="preserve">For more information, including guidance on dissemination plans, please see: </w:t>
      </w:r>
      <w:r w:rsidRPr="009157EB">
        <w:rPr>
          <w:rFonts w:eastAsia="Helvetica Neue"/>
          <w:b/>
          <w:iCs/>
        </w:rPr>
        <w:t>Tool 7: Accessible information, education and communication (IEC) materials</w:t>
      </w:r>
      <w:r w:rsidRPr="009157EB">
        <w:rPr>
          <w:rFonts w:eastAsia="Helvetica Neue"/>
          <w:iCs/>
        </w:rPr>
        <w:t>.</w:t>
      </w:r>
      <w:r w:rsidRPr="009157EB">
        <w:rPr>
          <w:rFonts w:eastAsia="Helvetica Neue"/>
          <w:iCs/>
          <w:vertAlign w:val="superscript"/>
        </w:rPr>
        <w:endnoteReference w:id="170"/>
      </w:r>
    </w:p>
    <w:p w14:paraId="53217F2A" w14:textId="5DE0BD40" w:rsidR="00202866" w:rsidRDefault="00B92BF0" w:rsidP="00CD00E1">
      <w:pPr>
        <w:ind w:hanging="90"/>
        <w:rPr>
          <w:rFonts w:ascii="Arial" w:eastAsia="Helvetica Neue" w:hAnsi="Arial" w:cs="Arial"/>
          <w:color w:val="000000"/>
        </w:rPr>
      </w:pPr>
      <w:r w:rsidRPr="00A6697D">
        <w:rPr>
          <w:noProof/>
        </w:rPr>
        <mc:AlternateContent>
          <mc:Choice Requires="wps">
            <w:drawing>
              <wp:inline distT="0" distB="0" distL="0" distR="0" wp14:anchorId="11C9342B" wp14:editId="5F4D111E">
                <wp:extent cx="5943600" cy="0"/>
                <wp:effectExtent l="0" t="12700" r="25400" b="25400"/>
                <wp:docPr id="11" name="Straight Connector 11" descr="Text box ends&#10;="/>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chemeClr val="bg2">
                              <a:lumMod val="50000"/>
                            </a:schemeClr>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2F294460" id="Straight Connector 11" o:spid="_x0000_s1026" alt="Text box ends&#10;="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" strokecolor="#938953 [1614]" strokeweight="3pt">
                <w10:anchorlock/>
              </v:line>
            </w:pict>
          </mc:Fallback>
        </mc:AlternateContent>
      </w:r>
    </w:p>
    <w:p w14:paraId="47184553" w14:textId="5F23B081" w:rsidR="00202866" w:rsidRPr="00E22F0B" w:rsidRDefault="00C11C89" w:rsidP="003C6133">
      <w:pPr>
        <w:pStyle w:val="Heading4"/>
        <w:spacing w:before="480"/>
      </w:pPr>
      <w:r w:rsidRPr="00E22F0B">
        <w:t>Guidelines for Action:</w:t>
      </w:r>
      <w:r w:rsidR="00E22F0B" w:rsidRPr="00E22F0B">
        <w:t xml:space="preserve"> </w:t>
      </w:r>
      <w:r w:rsidR="00202866" w:rsidRPr="00E22F0B">
        <w:t xml:space="preserve">Economic </w:t>
      </w:r>
      <w:r w:rsidR="00202866" w:rsidRPr="003C6133">
        <w:rPr>
          <w:rFonts w:eastAsia="Helvetica Neue"/>
        </w:rPr>
        <w:t>Accessibility</w:t>
      </w:r>
    </w:p>
    <w:p w14:paraId="14BC2E6B" w14:textId="77777777" w:rsidR="00385596" w:rsidRPr="00385596" w:rsidRDefault="00202866" w:rsidP="006E6012">
      <w:pPr>
        <w:pStyle w:val="ListParagraph"/>
        <w:numPr>
          <w:ilvl w:val="0"/>
          <w:numId w:val="46"/>
        </w:numPr>
      </w:pPr>
      <w:r w:rsidRPr="00385596">
        <w:rPr>
          <w:rFonts w:eastAsia="Helvetica Neue"/>
        </w:rPr>
        <w:t xml:space="preserve">Ensure that services are economically accessible. This means that information, goods, and services must be affordable. </w:t>
      </w:r>
    </w:p>
    <w:p w14:paraId="646CDFAF" w14:textId="77777777" w:rsidR="00385596" w:rsidRPr="00385596" w:rsidRDefault="00202866" w:rsidP="006E6012">
      <w:pPr>
        <w:pStyle w:val="ListParagraph"/>
        <w:numPr>
          <w:ilvl w:val="1"/>
          <w:numId w:val="46"/>
        </w:numPr>
      </w:pPr>
      <w:r w:rsidRPr="00385596">
        <w:rPr>
          <w:rFonts w:eastAsia="Helvetica Neue"/>
        </w:rPr>
        <w:t>Schedule after-hours appointments to prevent people having to miss work to receive services.</w:t>
      </w:r>
      <w:r w:rsidRPr="00A64CBE">
        <w:rPr>
          <w:rFonts w:eastAsia="Helvetica Neue"/>
          <w:vertAlign w:val="superscript"/>
        </w:rPr>
        <w:endnoteReference w:id="171"/>
      </w:r>
      <w:r w:rsidRPr="00385596">
        <w:rPr>
          <w:rFonts w:eastAsia="Helvetica Neue"/>
        </w:rPr>
        <w:t xml:space="preserve"> </w:t>
      </w:r>
    </w:p>
    <w:p w14:paraId="57515A5C" w14:textId="77777777" w:rsidR="00385596" w:rsidRPr="00385596" w:rsidRDefault="00202866" w:rsidP="006E6012">
      <w:pPr>
        <w:pStyle w:val="ListParagraph"/>
        <w:numPr>
          <w:ilvl w:val="1"/>
          <w:numId w:val="46"/>
        </w:numPr>
      </w:pPr>
      <w:r w:rsidRPr="00385596">
        <w:rPr>
          <w:rFonts w:eastAsia="Helvetica Neue"/>
        </w:rPr>
        <w:t>Assist women and young pe</w:t>
      </w:r>
      <w:r w:rsidR="00C11C89" w:rsidRPr="00385596">
        <w:rPr>
          <w:rFonts w:eastAsia="Helvetica Neue"/>
        </w:rPr>
        <w:t>rsons</w:t>
      </w:r>
      <w:r w:rsidRPr="00385596">
        <w:rPr>
          <w:rFonts w:eastAsia="Helvetica Neue"/>
        </w:rPr>
        <w:t xml:space="preserve"> with disabilities with accessing income assistance and other social protection programmes.</w:t>
      </w:r>
      <w:r w:rsidRPr="00A64CBE">
        <w:rPr>
          <w:rFonts w:eastAsia="Helvetica Neue"/>
          <w:vertAlign w:val="superscript"/>
        </w:rPr>
        <w:endnoteReference w:id="172"/>
      </w:r>
    </w:p>
    <w:p w14:paraId="7C9208A1" w14:textId="77777777" w:rsidR="00385596" w:rsidRPr="00385596" w:rsidRDefault="00202866" w:rsidP="006E6012">
      <w:pPr>
        <w:pStyle w:val="ListParagraph"/>
        <w:numPr>
          <w:ilvl w:val="1"/>
          <w:numId w:val="46"/>
        </w:numPr>
      </w:pPr>
      <w:r w:rsidRPr="00385596">
        <w:rPr>
          <w:rFonts w:eastAsia="Helvetica Neue"/>
        </w:rPr>
        <w:t>Where possible, offer free, subsidized, or sliding-scale fees for services and medicines or equipment. If a person receives a reduced fee, ensure that this information remains private.</w:t>
      </w:r>
      <w:r w:rsidRPr="00A64CBE">
        <w:rPr>
          <w:rFonts w:eastAsia="Helvetica Neue"/>
          <w:vertAlign w:val="superscript"/>
        </w:rPr>
        <w:endnoteReference w:id="173"/>
      </w:r>
      <w:r w:rsidRPr="00385596">
        <w:rPr>
          <w:rFonts w:eastAsia="Helvetica Neue"/>
        </w:rPr>
        <w:t xml:space="preserve"> </w:t>
      </w:r>
    </w:p>
    <w:p w14:paraId="4D1202F3" w14:textId="77777777" w:rsidR="00385596" w:rsidRPr="00385596" w:rsidRDefault="00202866" w:rsidP="006E6012">
      <w:pPr>
        <w:pStyle w:val="ListParagraph"/>
        <w:numPr>
          <w:ilvl w:val="1"/>
          <w:numId w:val="46"/>
        </w:numPr>
      </w:pPr>
      <w:r w:rsidRPr="00385596">
        <w:rPr>
          <w:rFonts w:eastAsia="Helvetica Neue"/>
        </w:rPr>
        <w:lastRenderedPageBreak/>
        <w:t>Do not assume people have access to transportation, internet, a computer, etc.</w:t>
      </w:r>
      <w:r w:rsidRPr="00385596">
        <w:rPr>
          <w:rFonts w:eastAsia="Helvetica Neue"/>
          <w:vertAlign w:val="superscript"/>
        </w:rPr>
        <w:t xml:space="preserve"> </w:t>
      </w:r>
      <w:r w:rsidRPr="00A64CBE">
        <w:rPr>
          <w:rFonts w:eastAsia="Helvetica Neue"/>
          <w:vertAlign w:val="superscript"/>
        </w:rPr>
        <w:endnoteReference w:id="174"/>
      </w:r>
      <w:r w:rsidRPr="00385596">
        <w:rPr>
          <w:rFonts w:eastAsia="Helvetica Neue"/>
        </w:rPr>
        <w:t xml:space="preserve"> </w:t>
      </w:r>
    </w:p>
    <w:p w14:paraId="6F707E89" w14:textId="3796BD81" w:rsidR="00E22F0B" w:rsidRPr="0063368C" w:rsidRDefault="00202866" w:rsidP="006E6012">
      <w:pPr>
        <w:pStyle w:val="ListParagraph"/>
        <w:numPr>
          <w:ilvl w:val="1"/>
          <w:numId w:val="46"/>
        </w:numPr>
        <w:spacing w:before="0" w:after="0"/>
        <w:rPr>
          <w:rFonts w:eastAsia="Helvetica Neue"/>
        </w:rPr>
      </w:pPr>
      <w:r w:rsidRPr="0063368C">
        <w:rPr>
          <w:rFonts w:eastAsia="Helvetica Neue"/>
        </w:rPr>
        <w:t xml:space="preserve">During </w:t>
      </w:r>
      <w:r w:rsidRPr="0063368C">
        <w:rPr>
          <w:rFonts w:eastAsia="Helvetica Neue"/>
          <w:b/>
        </w:rPr>
        <w:t>humanitarian emergencies</w:t>
      </w:r>
      <w:r w:rsidRPr="0063368C">
        <w:rPr>
          <w:rFonts w:eastAsia="Helvetica Neue"/>
        </w:rPr>
        <w:t>, the need for economic accessibility becomes even more acute for everyone, but especially for women and young pe</w:t>
      </w:r>
      <w:r w:rsidR="00C11C89" w:rsidRPr="0063368C">
        <w:rPr>
          <w:rFonts w:eastAsia="Helvetica Neue"/>
        </w:rPr>
        <w:t>rsons</w:t>
      </w:r>
      <w:r w:rsidRPr="0063368C">
        <w:rPr>
          <w:rFonts w:eastAsia="Helvetica Neue"/>
        </w:rPr>
        <w:t xml:space="preserve"> with disabilities. Women and young pe</w:t>
      </w:r>
      <w:r w:rsidR="00C11C89" w:rsidRPr="0063368C">
        <w:rPr>
          <w:rFonts w:eastAsia="Helvetica Neue"/>
        </w:rPr>
        <w:t>rsons</w:t>
      </w:r>
      <w:r w:rsidRPr="0063368C">
        <w:rPr>
          <w:rFonts w:eastAsia="Helvetica Neue"/>
        </w:rPr>
        <w:t xml:space="preserve"> are often cut off from public assistance or caregivers upon which they are economically reliant, increasing their vulnerability. With the substantial economic demands on governments and service providers during and after an emergency, funding for accommodations for services, interpreters, and other accommodations for women and young pe</w:t>
      </w:r>
      <w:r w:rsidR="00C11C89" w:rsidRPr="0063368C">
        <w:rPr>
          <w:rFonts w:eastAsia="Helvetica Neue"/>
        </w:rPr>
        <w:t>rsons</w:t>
      </w:r>
      <w:r w:rsidRPr="0063368C">
        <w:rPr>
          <w:rFonts w:eastAsia="Helvetica Neue"/>
        </w:rPr>
        <w:t xml:space="preserve"> with disabilities can be scarce and not prioritized. P</w:t>
      </w:r>
      <w:r w:rsidRPr="0063368C">
        <w:rPr>
          <w:rFonts w:eastAsia="Helvetica Neue"/>
          <w:highlight w:val="white"/>
        </w:rPr>
        <w:t>olicymakers as well as local and national politicians</w:t>
      </w:r>
      <w:r w:rsidRPr="0063368C">
        <w:rPr>
          <w:rFonts w:eastAsia="Helvetica Neue"/>
        </w:rPr>
        <w:t xml:space="preserve"> must ensure that sufficient funding is allotted in national emergency plans to disability-related services and accessibility and that funding is prioritized and utilized effectively throughout an emergency or in extremely low-resource settings.</w:t>
      </w:r>
    </w:p>
    <w:p w14:paraId="10897B05" w14:textId="2A96A7AE" w:rsidR="00202866" w:rsidRPr="00E22F0B" w:rsidRDefault="00B92BF0" w:rsidP="00CD00E1">
      <w:pPr>
        <w:pStyle w:val="Heading3"/>
        <w:ind w:hanging="90"/>
        <w:rPr>
          <w:noProof/>
        </w:rPr>
      </w:pPr>
      <w:r w:rsidRPr="00B92BF0">
        <w:rPr>
          <w:noProof/>
          <w:color w:val="943634" w:themeColor="accent2" w:themeShade="BF"/>
        </w:rPr>
        <mc:AlternateContent>
          <mc:Choice Requires="wps">
            <w:drawing>
              <wp:inline distT="0" distB="0" distL="0" distR="0" wp14:anchorId="1991AA69" wp14:editId="129308AE">
                <wp:extent cx="5943600" cy="0"/>
                <wp:effectExtent l="0" t="38100" r="25400" b="38100"/>
                <wp:docPr id="12" name="Straight Connector 12" descr="Text box follows"/>
                <wp:cNvGraphicFramePr/>
                <a:graphic xmlns:a="http://schemas.openxmlformats.org/drawingml/2006/main">
                  <a:graphicData uri="http://schemas.microsoft.com/office/word/2010/wordprocessingShape">
                    <wps:wsp>
                      <wps:cNvCnPr/>
                      <wps:spPr>
                        <a:xfrm>
                          <a:off x="0" y="0"/>
                          <a:ext cx="5943600" cy="0"/>
                        </a:xfrm>
                        <a:prstGeom prst="line">
                          <a:avLst/>
                        </a:prstGeom>
                        <a:ln w="76200">
                          <a:solidFill>
                            <a:schemeClr val="accent2">
                              <a:lumMod val="75000"/>
                            </a:schemeClr>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26AE6141" id="Straight Connector 12" o:spid="_x0000_s1026" alt="Text box foll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" strokecolor="#943634 [2405]" strokeweight="6pt">
                <w10:anchorlock/>
              </v:line>
            </w:pict>
          </mc:Fallback>
        </mc:AlternateContent>
      </w:r>
      <w:r>
        <w:rPr>
          <w:noProof/>
          <w:color w:val="943634" w:themeColor="accent2" w:themeShade="BF"/>
        </w:rPr>
        <w:br/>
      </w:r>
      <w:r w:rsidRPr="00B92BF0">
        <w:rPr>
          <w:noProof/>
          <w:color w:val="943634" w:themeColor="accent2" w:themeShade="BF"/>
          <w:sz w:val="16"/>
          <w:szCs w:val="16"/>
        </w:rPr>
        <w:br/>
      </w:r>
      <w:r w:rsidR="00202866" w:rsidRPr="009D6503">
        <w:rPr>
          <w:noProof/>
          <w:color w:val="943634" w:themeColor="accent2" w:themeShade="BF"/>
          <w:sz w:val="32"/>
          <w:szCs w:val="32"/>
        </w:rPr>
        <w:t>Starting Point—Guidelines for Service Providers and Support Staff</w:t>
      </w:r>
      <w:r w:rsidR="00202866" w:rsidRPr="009D6503" w:rsidDel="00B61E22">
        <w:rPr>
          <w:noProof/>
          <w:color w:val="943634" w:themeColor="accent2" w:themeShade="BF"/>
          <w:sz w:val="32"/>
          <w:szCs w:val="32"/>
        </w:rPr>
        <w:t xml:space="preserve"> </w:t>
      </w:r>
      <w:r w:rsidR="00E85D5B" w:rsidRPr="009D6503">
        <w:rPr>
          <w:noProof/>
          <w:color w:val="943634" w:themeColor="accent2" w:themeShade="BF"/>
          <w:sz w:val="32"/>
          <w:szCs w:val="32"/>
        </w:rPr>
        <w:t>Wo</w:t>
      </w:r>
      <w:r w:rsidR="00202866" w:rsidRPr="009D6503">
        <w:rPr>
          <w:noProof/>
          <w:color w:val="943634" w:themeColor="accent2" w:themeShade="BF"/>
          <w:sz w:val="32"/>
          <w:szCs w:val="32"/>
        </w:rPr>
        <w:t>rking with Women and Young Pe</w:t>
      </w:r>
      <w:r w:rsidR="00C11C89" w:rsidRPr="009D6503">
        <w:rPr>
          <w:noProof/>
          <w:color w:val="943634" w:themeColor="accent2" w:themeShade="BF"/>
          <w:sz w:val="32"/>
          <w:szCs w:val="32"/>
        </w:rPr>
        <w:t>rsons</w:t>
      </w:r>
      <w:r w:rsidR="00202866" w:rsidRPr="009D6503">
        <w:rPr>
          <w:noProof/>
          <w:color w:val="943634" w:themeColor="accent2" w:themeShade="BF"/>
          <w:sz w:val="32"/>
          <w:szCs w:val="32"/>
        </w:rPr>
        <w:t xml:space="preserve"> with Various Disabilities</w:t>
      </w:r>
      <w:r w:rsidR="00202866" w:rsidRPr="00E22F0B">
        <w:rPr>
          <w:noProof/>
          <w:color w:val="943634" w:themeColor="accent2" w:themeShade="BF"/>
        </w:rPr>
        <w:t xml:space="preserve"> </w:t>
      </w:r>
    </w:p>
    <w:p w14:paraId="7194957B" w14:textId="208F767F" w:rsidR="00202866" w:rsidRPr="00E22F0B" w:rsidRDefault="00202866" w:rsidP="0094756C">
      <w:pPr>
        <w:spacing w:before="240" w:after="60"/>
        <w:rPr>
          <w:rFonts w:eastAsia="Helvetica Neue"/>
          <w:b/>
          <w:bCs/>
        </w:rPr>
      </w:pPr>
      <w:r w:rsidRPr="00E22F0B">
        <w:rPr>
          <w:rFonts w:eastAsia="Helvetica Neue"/>
          <w:b/>
          <w:bCs/>
        </w:rPr>
        <w:t>Women and Young Pe</w:t>
      </w:r>
      <w:r w:rsidR="00C11C89" w:rsidRPr="00E22F0B">
        <w:rPr>
          <w:rFonts w:eastAsia="Helvetica Neue"/>
          <w:b/>
          <w:bCs/>
        </w:rPr>
        <w:t>rsons</w:t>
      </w:r>
      <w:r w:rsidRPr="00E22F0B">
        <w:rPr>
          <w:rFonts w:eastAsia="Helvetica Neue"/>
          <w:b/>
          <w:bCs/>
        </w:rPr>
        <w:t xml:space="preserve"> with Physical Disabilities:</w:t>
      </w:r>
    </w:p>
    <w:p w14:paraId="6C378698" w14:textId="77777777" w:rsidR="00202866" w:rsidRPr="00A64CBE" w:rsidRDefault="00202866" w:rsidP="007B7686">
      <w:pPr>
        <w:pStyle w:val="ListParagraph"/>
        <w:numPr>
          <w:ilvl w:val="0"/>
          <w:numId w:val="36"/>
        </w:numPr>
        <w:spacing w:before="60" w:after="60"/>
        <w:ind w:left="720"/>
      </w:pPr>
      <w:r w:rsidRPr="00E22F0B">
        <w:rPr>
          <w:rFonts w:eastAsia="Helvetica Neue"/>
        </w:rPr>
        <w:t>Do not assume because of the person’s physical disability that the service recipient also has a mental disability.</w:t>
      </w:r>
      <w:r w:rsidRPr="00A64CBE">
        <w:rPr>
          <w:rFonts w:eastAsia="Helvetica Neue"/>
          <w:vertAlign w:val="superscript"/>
        </w:rPr>
        <w:endnoteReference w:id="175"/>
      </w:r>
      <w:r w:rsidRPr="00E22F0B">
        <w:rPr>
          <w:rFonts w:eastAsia="Helvetica Neue"/>
        </w:rPr>
        <w:t xml:space="preserve"> </w:t>
      </w:r>
    </w:p>
    <w:p w14:paraId="29335940" w14:textId="77777777" w:rsidR="00202866" w:rsidRPr="00A64CBE" w:rsidRDefault="00202866" w:rsidP="007B7686">
      <w:pPr>
        <w:pStyle w:val="ListParagraph"/>
        <w:numPr>
          <w:ilvl w:val="0"/>
          <w:numId w:val="36"/>
        </w:numPr>
        <w:spacing w:before="60" w:after="60"/>
        <w:ind w:left="720"/>
      </w:pPr>
      <w:r w:rsidRPr="00E22F0B">
        <w:rPr>
          <w:rFonts w:eastAsia="Helvetica Neue"/>
        </w:rPr>
        <w:t>Sit at eye level with service recipient when possible.</w:t>
      </w:r>
      <w:r w:rsidRPr="00A64CBE">
        <w:rPr>
          <w:rFonts w:eastAsia="Helvetica Neue"/>
          <w:vertAlign w:val="superscript"/>
        </w:rPr>
        <w:endnoteReference w:id="176"/>
      </w:r>
      <w:r w:rsidRPr="00E22F0B">
        <w:rPr>
          <w:rFonts w:eastAsia="Helvetica Neue"/>
        </w:rPr>
        <w:t xml:space="preserve"> </w:t>
      </w:r>
    </w:p>
    <w:p w14:paraId="31F3B29C" w14:textId="77777777" w:rsidR="00202866" w:rsidRPr="00A64CBE" w:rsidRDefault="00202866" w:rsidP="007B7686">
      <w:pPr>
        <w:pStyle w:val="ListParagraph"/>
        <w:numPr>
          <w:ilvl w:val="0"/>
          <w:numId w:val="36"/>
        </w:numPr>
        <w:spacing w:before="60" w:after="60"/>
        <w:ind w:left="720"/>
      </w:pPr>
      <w:r w:rsidRPr="00E22F0B">
        <w:rPr>
          <w:rFonts w:eastAsia="Helvetica Neue"/>
        </w:rPr>
        <w:t>Do not move any crutches, sticks, walkers, or wheelchairs without the person’s permission or without arranging for their return.</w:t>
      </w:r>
      <w:r w:rsidRPr="00A64CBE">
        <w:rPr>
          <w:rFonts w:eastAsia="Helvetica Neue"/>
          <w:vertAlign w:val="superscript"/>
        </w:rPr>
        <w:endnoteReference w:id="177"/>
      </w:r>
      <w:r w:rsidRPr="00E22F0B">
        <w:rPr>
          <w:rFonts w:eastAsia="Helvetica Neue"/>
        </w:rPr>
        <w:t xml:space="preserve"> </w:t>
      </w:r>
    </w:p>
    <w:p w14:paraId="6D17D3A6" w14:textId="77777777" w:rsidR="00202866" w:rsidRPr="00A64CBE" w:rsidRDefault="00202866" w:rsidP="007B7686">
      <w:pPr>
        <w:pStyle w:val="ListParagraph"/>
        <w:numPr>
          <w:ilvl w:val="0"/>
          <w:numId w:val="36"/>
        </w:numPr>
        <w:spacing w:before="60" w:after="60"/>
        <w:ind w:left="720"/>
      </w:pPr>
      <w:r w:rsidRPr="00E22F0B">
        <w:rPr>
          <w:rFonts w:eastAsia="Helvetica Neue"/>
        </w:rPr>
        <w:t>Do not lean on or touch a wheelchair without permission from the person who uses the wheelchair.</w:t>
      </w:r>
      <w:r w:rsidRPr="00A64CBE">
        <w:rPr>
          <w:rFonts w:eastAsia="Helvetica Neue"/>
          <w:vertAlign w:val="superscript"/>
        </w:rPr>
        <w:endnoteReference w:id="178"/>
      </w:r>
    </w:p>
    <w:p w14:paraId="42259D68" w14:textId="7F4ABEF3" w:rsidR="00202866" w:rsidRPr="00E22F0B" w:rsidRDefault="00202866" w:rsidP="007B7686">
      <w:pPr>
        <w:pStyle w:val="ListParagraph"/>
        <w:numPr>
          <w:ilvl w:val="0"/>
          <w:numId w:val="36"/>
        </w:numPr>
        <w:spacing w:before="60" w:after="60"/>
        <w:ind w:left="720"/>
      </w:pPr>
      <w:r w:rsidRPr="00E22F0B">
        <w:rPr>
          <w:rFonts w:eastAsia="Helvetica Neue"/>
        </w:rPr>
        <w:t>Take directions from the person with the disability on how to conduct a transfer to an examination bed or machine.</w:t>
      </w:r>
      <w:r w:rsidRPr="00A64CBE">
        <w:rPr>
          <w:rFonts w:eastAsia="Helvetica Neue"/>
          <w:vertAlign w:val="superscript"/>
        </w:rPr>
        <w:endnoteReference w:id="179"/>
      </w:r>
    </w:p>
    <w:p w14:paraId="38146C68" w14:textId="3AC1BCAE" w:rsidR="00202866" w:rsidRPr="00E22F0B" w:rsidRDefault="00202866" w:rsidP="0094756C">
      <w:pPr>
        <w:spacing w:before="240" w:after="60"/>
        <w:rPr>
          <w:rFonts w:eastAsia="Helvetica Neue"/>
          <w:b/>
          <w:bCs/>
        </w:rPr>
      </w:pPr>
      <w:r w:rsidRPr="00E22F0B">
        <w:rPr>
          <w:rFonts w:eastAsia="Helvetica Neue"/>
          <w:b/>
          <w:bCs/>
        </w:rPr>
        <w:t>Women and Young Pe</w:t>
      </w:r>
      <w:r w:rsidR="00C11C89" w:rsidRPr="00E22F0B">
        <w:rPr>
          <w:rFonts w:eastAsia="Helvetica Neue"/>
          <w:b/>
          <w:bCs/>
        </w:rPr>
        <w:t>rsons</w:t>
      </w:r>
      <w:r w:rsidRPr="00E22F0B">
        <w:rPr>
          <w:rFonts w:eastAsia="Helvetica Neue"/>
          <w:b/>
          <w:bCs/>
        </w:rPr>
        <w:t xml:space="preserve"> with Sensory Disabilities:</w:t>
      </w:r>
    </w:p>
    <w:p w14:paraId="028FB285" w14:textId="3CA295FF" w:rsidR="00202866" w:rsidRPr="00A64CBE" w:rsidRDefault="00202866" w:rsidP="007B7686">
      <w:pPr>
        <w:pStyle w:val="ListParagraph"/>
        <w:numPr>
          <w:ilvl w:val="0"/>
          <w:numId w:val="37"/>
        </w:numPr>
        <w:spacing w:before="60" w:after="60"/>
        <w:ind w:left="720"/>
      </w:pPr>
      <w:r w:rsidRPr="00E22F0B">
        <w:rPr>
          <w:rFonts w:eastAsia="Helvetica Neue"/>
        </w:rPr>
        <w:t xml:space="preserve">For a woman or young person who is Deaf or </w:t>
      </w:r>
      <w:r w:rsidR="00411EB3" w:rsidRPr="00E22F0B">
        <w:rPr>
          <w:rFonts w:eastAsia="Helvetica Neue"/>
        </w:rPr>
        <w:t>hard of hearing</w:t>
      </w:r>
      <w:r w:rsidRPr="00E22F0B">
        <w:rPr>
          <w:rFonts w:eastAsia="Helvetica Neue"/>
        </w:rPr>
        <w:t>:</w:t>
      </w:r>
      <w:r w:rsidRPr="00A64CBE">
        <w:rPr>
          <w:rFonts w:eastAsia="Helvetica Neue"/>
          <w:vertAlign w:val="superscript"/>
        </w:rPr>
        <w:endnoteReference w:id="180"/>
      </w:r>
      <w:r w:rsidRPr="00E22F0B">
        <w:rPr>
          <w:rFonts w:eastAsia="Helvetica Neue"/>
        </w:rPr>
        <w:t xml:space="preserve"> </w:t>
      </w:r>
    </w:p>
    <w:p w14:paraId="5DC03889" w14:textId="77777777" w:rsidR="00202866" w:rsidRPr="00A64CBE" w:rsidRDefault="00202866" w:rsidP="007B7686">
      <w:pPr>
        <w:pStyle w:val="ListParagraph"/>
        <w:numPr>
          <w:ilvl w:val="0"/>
          <w:numId w:val="37"/>
        </w:numPr>
        <w:spacing w:before="60" w:after="60"/>
        <w:ind w:left="720"/>
      </w:pPr>
      <w:r w:rsidRPr="00E22F0B">
        <w:rPr>
          <w:rFonts w:eastAsia="Helvetica Neue"/>
        </w:rPr>
        <w:t>Make sure you have the person’s attention before speaking.</w:t>
      </w:r>
      <w:r w:rsidRPr="00A64CBE">
        <w:rPr>
          <w:rFonts w:eastAsia="Helvetica Neue"/>
          <w:vertAlign w:val="superscript"/>
        </w:rPr>
        <w:endnoteReference w:id="181"/>
      </w:r>
      <w:r w:rsidRPr="00E22F0B">
        <w:rPr>
          <w:rFonts w:eastAsia="Helvetica Neue"/>
        </w:rPr>
        <w:t xml:space="preserve"> </w:t>
      </w:r>
    </w:p>
    <w:p w14:paraId="3245BDA8" w14:textId="77777777" w:rsidR="00202866" w:rsidRPr="00A64CBE" w:rsidRDefault="00202866" w:rsidP="007B7686">
      <w:pPr>
        <w:pStyle w:val="ListParagraph"/>
        <w:numPr>
          <w:ilvl w:val="0"/>
          <w:numId w:val="37"/>
        </w:numPr>
        <w:spacing w:before="60" w:after="60"/>
        <w:ind w:left="720"/>
      </w:pPr>
      <w:r w:rsidRPr="00E22F0B">
        <w:rPr>
          <w:rFonts w:eastAsia="Helvetica Neue"/>
        </w:rPr>
        <w:t>If the service recipient is not facing you, touch the person gently on the shoulder.</w:t>
      </w:r>
      <w:r w:rsidRPr="00A64CBE">
        <w:rPr>
          <w:rFonts w:eastAsia="Helvetica Neue"/>
          <w:vertAlign w:val="superscript"/>
        </w:rPr>
        <w:endnoteReference w:id="182"/>
      </w:r>
      <w:r w:rsidRPr="00E22F0B">
        <w:rPr>
          <w:rFonts w:eastAsia="Helvetica Neue"/>
        </w:rPr>
        <w:t xml:space="preserve"> </w:t>
      </w:r>
    </w:p>
    <w:p w14:paraId="3889B75D" w14:textId="77777777" w:rsidR="00202866" w:rsidRPr="00A64CBE" w:rsidRDefault="00202866" w:rsidP="007B7686">
      <w:pPr>
        <w:pStyle w:val="ListParagraph"/>
        <w:numPr>
          <w:ilvl w:val="0"/>
          <w:numId w:val="37"/>
        </w:numPr>
        <w:spacing w:before="60" w:after="60"/>
        <w:ind w:left="720"/>
      </w:pPr>
      <w:r w:rsidRPr="00E22F0B">
        <w:rPr>
          <w:rFonts w:eastAsia="Helvetica Neue"/>
        </w:rPr>
        <w:t>Do not shout or exaggerate your speech.</w:t>
      </w:r>
      <w:r w:rsidRPr="00A64CBE">
        <w:rPr>
          <w:rFonts w:eastAsia="Helvetica Neue"/>
          <w:vertAlign w:val="superscript"/>
        </w:rPr>
        <w:endnoteReference w:id="183"/>
      </w:r>
      <w:r w:rsidRPr="00E22F0B">
        <w:rPr>
          <w:rFonts w:eastAsia="Helvetica Neue"/>
        </w:rPr>
        <w:t xml:space="preserve"> </w:t>
      </w:r>
    </w:p>
    <w:p w14:paraId="164C42C1" w14:textId="77777777" w:rsidR="00202866" w:rsidRPr="00A64CBE" w:rsidRDefault="00202866" w:rsidP="007B7686">
      <w:pPr>
        <w:pStyle w:val="ListParagraph"/>
        <w:numPr>
          <w:ilvl w:val="0"/>
          <w:numId w:val="37"/>
        </w:numPr>
        <w:spacing w:before="60" w:after="60"/>
        <w:ind w:left="720"/>
      </w:pPr>
      <w:r w:rsidRPr="00E22F0B">
        <w:rPr>
          <w:rFonts w:eastAsia="Helvetica Neue"/>
        </w:rPr>
        <w:t>Look directly at the service recipient, and do not cover your mouth.</w:t>
      </w:r>
      <w:r w:rsidRPr="00A64CBE">
        <w:rPr>
          <w:rFonts w:eastAsia="Helvetica Neue"/>
          <w:vertAlign w:val="superscript"/>
        </w:rPr>
        <w:endnoteReference w:id="184"/>
      </w:r>
    </w:p>
    <w:p w14:paraId="06A9A309" w14:textId="77777777" w:rsidR="00202866" w:rsidRPr="00A64CBE" w:rsidRDefault="00202866" w:rsidP="007B7686">
      <w:pPr>
        <w:pStyle w:val="ListParagraph"/>
        <w:numPr>
          <w:ilvl w:val="0"/>
          <w:numId w:val="37"/>
        </w:numPr>
        <w:spacing w:before="60" w:after="60"/>
        <w:ind w:left="720"/>
      </w:pPr>
      <w:r w:rsidRPr="00E22F0B">
        <w:rPr>
          <w:rFonts w:eastAsia="Helvetica Neue"/>
        </w:rPr>
        <w:t>Ascertain and document as soon as possible the person’s preferred method of communication.</w:t>
      </w:r>
      <w:r w:rsidRPr="00A64CBE">
        <w:rPr>
          <w:rFonts w:eastAsia="Helvetica Neue"/>
          <w:vertAlign w:val="superscript"/>
        </w:rPr>
        <w:endnoteReference w:id="185"/>
      </w:r>
      <w:r w:rsidRPr="00E22F0B">
        <w:rPr>
          <w:rFonts w:eastAsia="Helvetica Neue"/>
        </w:rPr>
        <w:t xml:space="preserve"> </w:t>
      </w:r>
    </w:p>
    <w:p w14:paraId="34E0373C" w14:textId="77777777" w:rsidR="00202866" w:rsidRPr="00A64CBE" w:rsidRDefault="00202866" w:rsidP="007B7686">
      <w:pPr>
        <w:pStyle w:val="ListParagraph"/>
        <w:numPr>
          <w:ilvl w:val="0"/>
          <w:numId w:val="37"/>
        </w:numPr>
        <w:spacing w:before="60" w:after="60"/>
        <w:ind w:left="720"/>
      </w:pPr>
      <w:r w:rsidRPr="00E22F0B">
        <w:rPr>
          <w:rFonts w:eastAsia="Helvetica Neue"/>
        </w:rPr>
        <w:t>Use slow and clear speech to aid lip-reading for those who require it.</w:t>
      </w:r>
      <w:r w:rsidRPr="00A64CBE">
        <w:rPr>
          <w:rFonts w:eastAsia="Helvetica Neue"/>
          <w:vertAlign w:val="superscript"/>
        </w:rPr>
        <w:endnoteReference w:id="186"/>
      </w:r>
      <w:r w:rsidRPr="00E22F0B">
        <w:rPr>
          <w:rFonts w:eastAsia="Helvetica Neue"/>
        </w:rPr>
        <w:t xml:space="preserve"> </w:t>
      </w:r>
    </w:p>
    <w:p w14:paraId="427FAD19" w14:textId="10B66AA0" w:rsidR="00202866" w:rsidRPr="00E22F0B" w:rsidRDefault="00202866" w:rsidP="007B7686">
      <w:pPr>
        <w:pStyle w:val="ListParagraph"/>
        <w:numPr>
          <w:ilvl w:val="0"/>
          <w:numId w:val="37"/>
        </w:numPr>
        <w:spacing w:before="60" w:after="60"/>
        <w:ind w:left="720"/>
      </w:pPr>
      <w:r w:rsidRPr="00E22F0B">
        <w:rPr>
          <w:rFonts w:eastAsia="Helvetica Neue"/>
        </w:rPr>
        <w:t xml:space="preserve">Have an on-call or pre-arranged </w:t>
      </w:r>
      <w:r w:rsidR="009709D0" w:rsidRPr="00E22F0B">
        <w:rPr>
          <w:rFonts w:eastAsia="Helvetica Neue"/>
        </w:rPr>
        <w:t xml:space="preserve">CART translator or </w:t>
      </w:r>
      <w:r w:rsidRPr="00E22F0B">
        <w:rPr>
          <w:rFonts w:eastAsia="Helvetica Neue"/>
        </w:rPr>
        <w:t>sign language interpreter.</w:t>
      </w:r>
      <w:r w:rsidRPr="00E22F0B">
        <w:rPr>
          <w:rFonts w:eastAsia="Helvetica Neue"/>
          <w:vertAlign w:val="superscript"/>
        </w:rPr>
        <w:t xml:space="preserve"> </w:t>
      </w:r>
      <w:r w:rsidRPr="00A64CBE">
        <w:rPr>
          <w:rFonts w:eastAsia="Helvetica Neue"/>
          <w:vertAlign w:val="superscript"/>
        </w:rPr>
        <w:endnoteReference w:id="187"/>
      </w:r>
      <w:r w:rsidRPr="00E22F0B">
        <w:rPr>
          <w:rFonts w:eastAsia="Helvetica Neue"/>
        </w:rPr>
        <w:t xml:space="preserve"> </w:t>
      </w:r>
    </w:p>
    <w:p w14:paraId="37207478" w14:textId="77777777" w:rsidR="00202866" w:rsidRPr="00E22F0B" w:rsidRDefault="00202866" w:rsidP="0094756C">
      <w:pPr>
        <w:spacing w:before="240" w:after="60"/>
        <w:rPr>
          <w:b/>
          <w:bCs/>
        </w:rPr>
      </w:pPr>
      <w:r w:rsidRPr="00E22F0B">
        <w:rPr>
          <w:rFonts w:eastAsia="Helvetica Neue"/>
          <w:b/>
          <w:bCs/>
        </w:rPr>
        <w:t>For a woman or young person who is blind or has difficulty seeing:</w:t>
      </w:r>
      <w:r w:rsidRPr="00E22F0B">
        <w:rPr>
          <w:rFonts w:eastAsia="Helvetica Neue"/>
          <w:b/>
          <w:bCs/>
          <w:vertAlign w:val="superscript"/>
        </w:rPr>
        <w:endnoteReference w:id="188"/>
      </w:r>
      <w:r w:rsidRPr="00E22F0B">
        <w:rPr>
          <w:rFonts w:eastAsia="Helvetica Neue"/>
          <w:b/>
          <w:bCs/>
        </w:rPr>
        <w:t xml:space="preserve"> </w:t>
      </w:r>
    </w:p>
    <w:p w14:paraId="7320F802" w14:textId="77777777" w:rsidR="00202866" w:rsidRPr="00A64CBE" w:rsidRDefault="00202866" w:rsidP="007B7686">
      <w:pPr>
        <w:pStyle w:val="ListParagraph"/>
        <w:numPr>
          <w:ilvl w:val="0"/>
          <w:numId w:val="38"/>
        </w:numPr>
        <w:spacing w:before="60" w:after="60"/>
        <w:ind w:left="720"/>
      </w:pPr>
      <w:r w:rsidRPr="00E22F0B">
        <w:rPr>
          <w:rFonts w:eastAsia="Helvetica Neue"/>
        </w:rPr>
        <w:t xml:space="preserve">Do not touch the person before announcing yourself. </w:t>
      </w:r>
    </w:p>
    <w:p w14:paraId="52D74B74" w14:textId="77777777" w:rsidR="00202866" w:rsidRPr="00A64CBE" w:rsidRDefault="00202866" w:rsidP="007B7686">
      <w:pPr>
        <w:pStyle w:val="ListParagraph"/>
        <w:numPr>
          <w:ilvl w:val="0"/>
          <w:numId w:val="38"/>
        </w:numPr>
        <w:spacing w:before="60" w:after="60"/>
        <w:ind w:left="720"/>
      </w:pPr>
      <w:r w:rsidRPr="00E22F0B">
        <w:rPr>
          <w:rFonts w:eastAsia="Helvetica Neue"/>
        </w:rPr>
        <w:lastRenderedPageBreak/>
        <w:t>Do not think the service recipient cannot see you at all.</w:t>
      </w:r>
      <w:r w:rsidRPr="00A64CBE">
        <w:rPr>
          <w:rFonts w:eastAsia="Helvetica Neue"/>
          <w:vertAlign w:val="superscript"/>
        </w:rPr>
        <w:endnoteReference w:id="189"/>
      </w:r>
    </w:p>
    <w:p w14:paraId="28767C2E" w14:textId="77777777" w:rsidR="00202866" w:rsidRPr="00A64CBE" w:rsidRDefault="00202866" w:rsidP="007B7686">
      <w:pPr>
        <w:pStyle w:val="ListParagraph"/>
        <w:numPr>
          <w:ilvl w:val="0"/>
          <w:numId w:val="38"/>
        </w:numPr>
        <w:spacing w:before="60" w:after="60"/>
        <w:ind w:left="720"/>
      </w:pPr>
      <w:r w:rsidRPr="00E22F0B">
        <w:rPr>
          <w:rFonts w:eastAsia="Helvetica Neue"/>
        </w:rPr>
        <w:t>Speak in your normal voice.</w:t>
      </w:r>
      <w:r w:rsidRPr="00A64CBE">
        <w:rPr>
          <w:rFonts w:eastAsia="Helvetica Neue"/>
          <w:vertAlign w:val="superscript"/>
        </w:rPr>
        <w:endnoteReference w:id="190"/>
      </w:r>
      <w:r w:rsidRPr="00E22F0B">
        <w:rPr>
          <w:rFonts w:eastAsia="Helvetica Neue"/>
        </w:rPr>
        <w:t xml:space="preserve"> </w:t>
      </w:r>
    </w:p>
    <w:p w14:paraId="6486BEC9" w14:textId="77777777" w:rsidR="00202866" w:rsidRPr="00A64CBE" w:rsidRDefault="00202866" w:rsidP="007B7686">
      <w:pPr>
        <w:pStyle w:val="ListParagraph"/>
        <w:numPr>
          <w:ilvl w:val="0"/>
          <w:numId w:val="38"/>
        </w:numPr>
        <w:spacing w:before="60" w:after="60"/>
        <w:ind w:left="720"/>
      </w:pPr>
      <w:r w:rsidRPr="00E22F0B">
        <w:rPr>
          <w:rFonts w:eastAsia="Helvetica Neue"/>
        </w:rPr>
        <w:t xml:space="preserve">Allow the person’s service animal to accompany them at all times. </w:t>
      </w:r>
    </w:p>
    <w:p w14:paraId="20520933" w14:textId="77777777" w:rsidR="00202866" w:rsidRPr="00A64CBE" w:rsidRDefault="00202866" w:rsidP="007B7686">
      <w:pPr>
        <w:pStyle w:val="ListParagraph"/>
        <w:numPr>
          <w:ilvl w:val="0"/>
          <w:numId w:val="38"/>
        </w:numPr>
        <w:spacing w:before="60" w:after="60"/>
        <w:ind w:left="720"/>
      </w:pPr>
      <w:r w:rsidRPr="00E22F0B">
        <w:rPr>
          <w:rFonts w:eastAsia="Helvetica Neue"/>
        </w:rPr>
        <w:t>Do not take away a cane or other mobility tool from the service recipient at any time.</w:t>
      </w:r>
      <w:r w:rsidRPr="00A64CBE">
        <w:rPr>
          <w:rFonts w:eastAsia="Helvetica Neue"/>
          <w:vertAlign w:val="superscript"/>
        </w:rPr>
        <w:endnoteReference w:id="191"/>
      </w:r>
      <w:r w:rsidRPr="00E22F0B">
        <w:rPr>
          <w:rFonts w:eastAsia="Helvetica Neue"/>
        </w:rPr>
        <w:t xml:space="preserve"> </w:t>
      </w:r>
    </w:p>
    <w:p w14:paraId="0637BDC0" w14:textId="77777777" w:rsidR="00202866" w:rsidRPr="00A64CBE" w:rsidRDefault="00202866" w:rsidP="007B7686">
      <w:pPr>
        <w:pStyle w:val="ListParagraph"/>
        <w:numPr>
          <w:ilvl w:val="0"/>
          <w:numId w:val="38"/>
        </w:numPr>
        <w:spacing w:before="60" w:after="60"/>
        <w:ind w:left="720"/>
      </w:pPr>
      <w:r w:rsidRPr="00E22F0B">
        <w:rPr>
          <w:rFonts w:eastAsia="Helvetica Neue"/>
        </w:rPr>
        <w:t>Say goodbye before walking away or leaving.</w:t>
      </w:r>
      <w:r w:rsidRPr="00A64CBE">
        <w:rPr>
          <w:rFonts w:eastAsia="Helvetica Neue"/>
          <w:vertAlign w:val="superscript"/>
        </w:rPr>
        <w:endnoteReference w:id="192"/>
      </w:r>
    </w:p>
    <w:p w14:paraId="23772886" w14:textId="0045FB8F" w:rsidR="00202866" w:rsidRPr="009709D0" w:rsidRDefault="00202866" w:rsidP="007B7686">
      <w:pPr>
        <w:pStyle w:val="ListParagraph"/>
        <w:numPr>
          <w:ilvl w:val="0"/>
          <w:numId w:val="38"/>
        </w:numPr>
        <w:spacing w:before="60" w:after="60"/>
        <w:ind w:left="720"/>
      </w:pPr>
      <w:r w:rsidRPr="00E22F0B">
        <w:rPr>
          <w:rFonts w:eastAsia="Helvetica Neue"/>
        </w:rPr>
        <w:t>Have large print, audio, or Braille-formatted information for those who require it.</w:t>
      </w:r>
      <w:r w:rsidRPr="00E22F0B">
        <w:rPr>
          <w:rFonts w:eastAsia="Helvetica Neue"/>
          <w:vertAlign w:val="superscript"/>
        </w:rPr>
        <w:t xml:space="preserve"> </w:t>
      </w:r>
      <w:r w:rsidRPr="00A64CBE">
        <w:rPr>
          <w:rFonts w:eastAsia="Helvetica Neue"/>
          <w:vertAlign w:val="superscript"/>
        </w:rPr>
        <w:endnoteReference w:id="193"/>
      </w:r>
      <w:r w:rsidRPr="00E22F0B">
        <w:rPr>
          <w:rFonts w:eastAsia="Helvetica Neue"/>
        </w:rPr>
        <w:t xml:space="preserve"> </w:t>
      </w:r>
    </w:p>
    <w:p w14:paraId="17D03B26" w14:textId="62535D08" w:rsidR="009709D0" w:rsidRPr="00A64CBE" w:rsidRDefault="009709D0" w:rsidP="007B7686">
      <w:pPr>
        <w:pStyle w:val="ListParagraph"/>
        <w:numPr>
          <w:ilvl w:val="0"/>
          <w:numId w:val="38"/>
        </w:numPr>
        <w:spacing w:before="60" w:after="60"/>
        <w:ind w:left="720"/>
      </w:pPr>
      <w:r w:rsidRPr="00E22F0B">
        <w:rPr>
          <w:rFonts w:eastAsia="Helvetica Neue"/>
        </w:rPr>
        <w:t xml:space="preserve">Provide information in digital formats in advance for a person to read with a screen-reader before their appointment. </w:t>
      </w:r>
    </w:p>
    <w:p w14:paraId="7D03FD3A" w14:textId="044D1DAB" w:rsidR="00202866" w:rsidRPr="00E22F0B" w:rsidRDefault="00202866" w:rsidP="007B7686">
      <w:pPr>
        <w:pStyle w:val="ListParagraph"/>
        <w:numPr>
          <w:ilvl w:val="0"/>
          <w:numId w:val="38"/>
        </w:numPr>
        <w:spacing w:before="60" w:after="60"/>
        <w:ind w:left="720"/>
      </w:pPr>
      <w:r w:rsidRPr="00E22F0B">
        <w:rPr>
          <w:rFonts w:eastAsia="Helvetica Neue"/>
        </w:rPr>
        <w:t>Use visual and technical aids for those who require them.</w:t>
      </w:r>
      <w:r w:rsidRPr="00E22F0B">
        <w:rPr>
          <w:rFonts w:eastAsia="Helvetica Neue"/>
          <w:vertAlign w:val="superscript"/>
        </w:rPr>
        <w:t xml:space="preserve"> </w:t>
      </w:r>
      <w:r w:rsidRPr="00A64CBE">
        <w:rPr>
          <w:rFonts w:eastAsia="Helvetica Neue"/>
          <w:vertAlign w:val="superscript"/>
        </w:rPr>
        <w:endnoteReference w:id="194"/>
      </w:r>
      <w:r w:rsidRPr="00E22F0B">
        <w:rPr>
          <w:rFonts w:eastAsia="Helvetica Neue"/>
        </w:rPr>
        <w:t xml:space="preserve"> </w:t>
      </w:r>
    </w:p>
    <w:p w14:paraId="1D1687C5" w14:textId="77777777" w:rsidR="00202866" w:rsidRPr="00E22F0B" w:rsidRDefault="00202866" w:rsidP="0094756C">
      <w:pPr>
        <w:spacing w:before="240" w:after="60"/>
        <w:rPr>
          <w:b/>
          <w:bCs/>
        </w:rPr>
      </w:pPr>
      <w:r w:rsidRPr="00E22F0B">
        <w:rPr>
          <w:rFonts w:eastAsia="Helvetica Neue"/>
          <w:b/>
          <w:bCs/>
        </w:rPr>
        <w:t>For a person who does not speak clearly:</w:t>
      </w:r>
      <w:r w:rsidRPr="00E22F0B">
        <w:rPr>
          <w:rFonts w:eastAsia="Helvetica Neue"/>
          <w:b/>
          <w:bCs/>
          <w:vertAlign w:val="superscript"/>
        </w:rPr>
        <w:t xml:space="preserve"> </w:t>
      </w:r>
      <w:r w:rsidRPr="00E22F0B">
        <w:rPr>
          <w:rFonts w:eastAsia="Helvetica Neue"/>
          <w:b/>
          <w:bCs/>
          <w:vertAlign w:val="superscript"/>
        </w:rPr>
        <w:endnoteReference w:id="195"/>
      </w:r>
    </w:p>
    <w:p w14:paraId="0463410D" w14:textId="77777777" w:rsidR="00202866" w:rsidRPr="00A64CBE" w:rsidRDefault="00202866" w:rsidP="007B7686">
      <w:pPr>
        <w:pStyle w:val="ListParagraph"/>
        <w:numPr>
          <w:ilvl w:val="0"/>
          <w:numId w:val="39"/>
        </w:numPr>
        <w:spacing w:before="60" w:after="60"/>
        <w:ind w:left="720"/>
      </w:pPr>
      <w:r w:rsidRPr="00E22F0B">
        <w:rPr>
          <w:rFonts w:eastAsia="Helvetica Neue"/>
        </w:rPr>
        <w:t>Do not assume because a service recipient’s speech is slow or difficult to understand that the person has any difficulties learning or understanding.</w:t>
      </w:r>
      <w:r w:rsidRPr="00A64CBE">
        <w:rPr>
          <w:rFonts w:eastAsia="Helvetica Neue"/>
          <w:vertAlign w:val="superscript"/>
        </w:rPr>
        <w:endnoteReference w:id="196"/>
      </w:r>
    </w:p>
    <w:p w14:paraId="6EC330D7" w14:textId="77777777" w:rsidR="00202866" w:rsidRPr="00A64CBE" w:rsidRDefault="00202866" w:rsidP="007B7686">
      <w:pPr>
        <w:pStyle w:val="ListParagraph"/>
        <w:numPr>
          <w:ilvl w:val="0"/>
          <w:numId w:val="39"/>
        </w:numPr>
        <w:spacing w:before="60" w:after="60"/>
        <w:ind w:left="720"/>
      </w:pPr>
      <w:r w:rsidRPr="00E22F0B">
        <w:rPr>
          <w:rFonts w:eastAsia="Helvetica Neue"/>
        </w:rPr>
        <w:t>Ask the person to repeat anything you do not understand.</w:t>
      </w:r>
      <w:r w:rsidRPr="00A64CBE">
        <w:rPr>
          <w:rFonts w:eastAsia="Helvetica Neue"/>
          <w:vertAlign w:val="superscript"/>
        </w:rPr>
        <w:endnoteReference w:id="197"/>
      </w:r>
      <w:r w:rsidRPr="00E22F0B">
        <w:rPr>
          <w:rFonts w:eastAsia="Helvetica Neue"/>
        </w:rPr>
        <w:t xml:space="preserve"> </w:t>
      </w:r>
    </w:p>
    <w:p w14:paraId="51358CE2" w14:textId="77777777" w:rsidR="00202866" w:rsidRPr="00A64CBE" w:rsidRDefault="00202866" w:rsidP="007B7686">
      <w:pPr>
        <w:pStyle w:val="ListParagraph"/>
        <w:numPr>
          <w:ilvl w:val="0"/>
          <w:numId w:val="39"/>
        </w:numPr>
        <w:spacing w:before="60" w:after="60"/>
        <w:ind w:left="720"/>
      </w:pPr>
      <w:r w:rsidRPr="00E22F0B">
        <w:rPr>
          <w:rFonts w:eastAsia="Helvetica Neue"/>
        </w:rPr>
        <w:t>Ask questions the person can answer by “yes” or “no”.</w:t>
      </w:r>
      <w:r w:rsidRPr="00E22F0B">
        <w:rPr>
          <w:rFonts w:eastAsia="Helvetica Neue"/>
          <w:vertAlign w:val="superscript"/>
        </w:rPr>
        <w:t xml:space="preserve"> </w:t>
      </w:r>
      <w:r w:rsidRPr="00A64CBE">
        <w:rPr>
          <w:rFonts w:eastAsia="Helvetica Neue"/>
          <w:vertAlign w:val="superscript"/>
        </w:rPr>
        <w:endnoteReference w:id="198"/>
      </w:r>
      <w:r w:rsidRPr="00E22F0B">
        <w:rPr>
          <w:rFonts w:eastAsia="Helvetica Neue"/>
        </w:rPr>
        <w:t xml:space="preserve"> </w:t>
      </w:r>
    </w:p>
    <w:p w14:paraId="0E6A9FC8" w14:textId="77777777" w:rsidR="00202866" w:rsidRPr="00A64CBE" w:rsidRDefault="00202866" w:rsidP="007B7686">
      <w:pPr>
        <w:pStyle w:val="ListParagraph"/>
        <w:numPr>
          <w:ilvl w:val="0"/>
          <w:numId w:val="39"/>
        </w:numPr>
        <w:spacing w:before="60" w:after="60"/>
        <w:ind w:left="720"/>
      </w:pPr>
      <w:r w:rsidRPr="00E22F0B">
        <w:rPr>
          <w:rFonts w:eastAsia="Helvetica Neue"/>
        </w:rPr>
        <w:t>Let the person take as much time as needed to explain their problem.</w:t>
      </w:r>
      <w:r w:rsidRPr="00A64CBE">
        <w:rPr>
          <w:rFonts w:eastAsia="Helvetica Neue"/>
          <w:vertAlign w:val="superscript"/>
        </w:rPr>
        <w:endnoteReference w:id="199"/>
      </w:r>
      <w:r w:rsidRPr="00E22F0B">
        <w:rPr>
          <w:rFonts w:eastAsia="Helvetica Neue"/>
        </w:rPr>
        <w:t xml:space="preserve"> </w:t>
      </w:r>
    </w:p>
    <w:p w14:paraId="7BFFFCD1" w14:textId="7A832AB7" w:rsidR="00202866" w:rsidRPr="00E22F0B" w:rsidRDefault="00202866" w:rsidP="007B7686">
      <w:pPr>
        <w:pStyle w:val="ListParagraph"/>
        <w:numPr>
          <w:ilvl w:val="0"/>
          <w:numId w:val="39"/>
        </w:numPr>
        <w:spacing w:before="60" w:after="60"/>
        <w:ind w:left="720"/>
      </w:pPr>
      <w:r w:rsidRPr="00E22F0B">
        <w:rPr>
          <w:rFonts w:eastAsia="Helvetica Neue"/>
        </w:rPr>
        <w:t>Be patient.</w:t>
      </w:r>
      <w:r w:rsidRPr="00A64CBE">
        <w:rPr>
          <w:rFonts w:eastAsia="Helvetica Neue"/>
          <w:vertAlign w:val="superscript"/>
        </w:rPr>
        <w:endnoteReference w:id="200"/>
      </w:r>
    </w:p>
    <w:p w14:paraId="2692E759" w14:textId="3570312F" w:rsidR="00202866" w:rsidRPr="00E22F0B" w:rsidRDefault="00202866" w:rsidP="0094756C">
      <w:pPr>
        <w:spacing w:before="240" w:after="60"/>
        <w:rPr>
          <w:rFonts w:eastAsia="Helvetica Neue"/>
          <w:b/>
          <w:bCs/>
        </w:rPr>
      </w:pPr>
      <w:r w:rsidRPr="00E22F0B">
        <w:rPr>
          <w:rFonts w:eastAsia="Helvetica Neue"/>
          <w:b/>
          <w:bCs/>
        </w:rPr>
        <w:t>Women and Young Pe</w:t>
      </w:r>
      <w:r w:rsidR="00C32D53" w:rsidRPr="00E22F0B">
        <w:rPr>
          <w:rFonts w:eastAsia="Helvetica Neue"/>
          <w:b/>
          <w:bCs/>
        </w:rPr>
        <w:t>rsons</w:t>
      </w:r>
      <w:r w:rsidRPr="00E22F0B">
        <w:rPr>
          <w:rFonts w:eastAsia="Helvetica Neue"/>
          <w:b/>
          <w:bCs/>
        </w:rPr>
        <w:t xml:space="preserve"> with Intellectual Disabilities:</w:t>
      </w:r>
    </w:p>
    <w:p w14:paraId="6CC1F9E7" w14:textId="77777777" w:rsidR="00202866" w:rsidRPr="00A64CBE" w:rsidRDefault="00202866" w:rsidP="007B7686">
      <w:pPr>
        <w:pStyle w:val="ListParagraph"/>
        <w:numPr>
          <w:ilvl w:val="0"/>
          <w:numId w:val="40"/>
        </w:numPr>
        <w:spacing w:before="60" w:after="60"/>
        <w:ind w:left="720"/>
      </w:pPr>
      <w:r w:rsidRPr="00E22F0B">
        <w:rPr>
          <w:rFonts w:eastAsia="Helvetica Neue"/>
        </w:rPr>
        <w:t>Use simple words and short sentences.</w:t>
      </w:r>
      <w:r w:rsidRPr="00A64CBE">
        <w:rPr>
          <w:rFonts w:eastAsia="Helvetica Neue"/>
          <w:vertAlign w:val="superscript"/>
        </w:rPr>
        <w:endnoteReference w:id="201"/>
      </w:r>
      <w:r w:rsidRPr="00E22F0B">
        <w:rPr>
          <w:rFonts w:eastAsia="Helvetica Neue"/>
        </w:rPr>
        <w:t xml:space="preserve">  </w:t>
      </w:r>
    </w:p>
    <w:p w14:paraId="689CF213" w14:textId="5756F049" w:rsidR="00202866" w:rsidRPr="00A64CBE" w:rsidRDefault="00202866" w:rsidP="007B7686">
      <w:pPr>
        <w:pStyle w:val="ListParagraph"/>
        <w:numPr>
          <w:ilvl w:val="0"/>
          <w:numId w:val="40"/>
        </w:numPr>
        <w:spacing w:before="60" w:after="60"/>
        <w:ind w:left="720"/>
      </w:pPr>
      <w:r w:rsidRPr="00E22F0B">
        <w:rPr>
          <w:rFonts w:eastAsia="Helvetica Neue"/>
        </w:rPr>
        <w:t xml:space="preserve">Repeat instructions and important information in various ways, utilizing different learning tools to help the service recipient understand (e.g. anatomically correct models or dolls, role-play scenarios). </w:t>
      </w:r>
    </w:p>
    <w:p w14:paraId="67FFB71D" w14:textId="3D4D1209" w:rsidR="00202866" w:rsidRPr="00A64CBE" w:rsidRDefault="00202866" w:rsidP="007B7686">
      <w:pPr>
        <w:pStyle w:val="ListParagraph"/>
        <w:numPr>
          <w:ilvl w:val="0"/>
          <w:numId w:val="40"/>
        </w:numPr>
        <w:spacing w:before="60" w:after="60"/>
        <w:ind w:left="720"/>
      </w:pPr>
      <w:r w:rsidRPr="00E22F0B">
        <w:rPr>
          <w:rFonts w:eastAsia="Helvetica Neue"/>
        </w:rPr>
        <w:t xml:space="preserve">Offer the person simple instructions and information guides to take home with them for reference (e.g. plain language, easy read, pictorial guides, video instructions). </w:t>
      </w:r>
    </w:p>
    <w:p w14:paraId="5820C92C" w14:textId="77777777" w:rsidR="00202866" w:rsidRPr="00A64CBE" w:rsidRDefault="00202866" w:rsidP="007B7686">
      <w:pPr>
        <w:pStyle w:val="ListParagraph"/>
        <w:numPr>
          <w:ilvl w:val="0"/>
          <w:numId w:val="40"/>
        </w:numPr>
        <w:spacing w:before="60" w:after="60"/>
        <w:ind w:left="720"/>
      </w:pPr>
      <w:r w:rsidRPr="00E22F0B">
        <w:rPr>
          <w:rFonts w:eastAsia="Helvetica Neue"/>
        </w:rPr>
        <w:t>Be patient.</w:t>
      </w:r>
      <w:r w:rsidRPr="00A64CBE">
        <w:rPr>
          <w:rFonts w:eastAsia="Helvetica Neue"/>
          <w:vertAlign w:val="superscript"/>
        </w:rPr>
        <w:endnoteReference w:id="202"/>
      </w:r>
      <w:r w:rsidRPr="00E22F0B">
        <w:rPr>
          <w:rFonts w:eastAsia="Helvetica Neue"/>
        </w:rPr>
        <w:t xml:space="preserve"> </w:t>
      </w:r>
    </w:p>
    <w:p w14:paraId="7CD27D90" w14:textId="77777777" w:rsidR="00202866" w:rsidRPr="00A64CBE" w:rsidRDefault="00202866" w:rsidP="007B7686">
      <w:pPr>
        <w:pStyle w:val="ListParagraph"/>
        <w:numPr>
          <w:ilvl w:val="0"/>
          <w:numId w:val="40"/>
        </w:numPr>
        <w:spacing w:before="60" w:after="60"/>
        <w:ind w:left="720"/>
      </w:pPr>
      <w:r w:rsidRPr="00E22F0B">
        <w:rPr>
          <w:rFonts w:eastAsia="Helvetica Neue"/>
        </w:rPr>
        <w:t>Do not treat the person like a child.</w:t>
      </w:r>
      <w:r w:rsidRPr="00E22F0B">
        <w:rPr>
          <w:rFonts w:eastAsia="Helvetica Neue"/>
          <w:vertAlign w:val="superscript"/>
        </w:rPr>
        <w:t xml:space="preserve"> </w:t>
      </w:r>
      <w:r w:rsidRPr="00A64CBE">
        <w:rPr>
          <w:rFonts w:eastAsia="Helvetica Neue"/>
          <w:vertAlign w:val="superscript"/>
        </w:rPr>
        <w:endnoteReference w:id="203"/>
      </w:r>
      <w:r w:rsidRPr="00E22F0B">
        <w:rPr>
          <w:rFonts w:eastAsia="Helvetica Neue"/>
        </w:rPr>
        <w:t xml:space="preserve"> </w:t>
      </w:r>
    </w:p>
    <w:p w14:paraId="43828C91" w14:textId="05F1C9BA" w:rsidR="00202866" w:rsidRPr="00E22F0B" w:rsidRDefault="00202866" w:rsidP="007B7686">
      <w:pPr>
        <w:pStyle w:val="ListParagraph"/>
        <w:numPr>
          <w:ilvl w:val="0"/>
          <w:numId w:val="40"/>
        </w:numPr>
        <w:spacing w:before="60" w:after="60"/>
        <w:ind w:left="720"/>
      </w:pPr>
      <w:r w:rsidRPr="00E22F0B">
        <w:rPr>
          <w:rFonts w:eastAsia="Helvetica Neue"/>
        </w:rPr>
        <w:t xml:space="preserve">Provide the service recipient with a phone number or way to contact the provider again with follow-up questions. </w:t>
      </w:r>
    </w:p>
    <w:p w14:paraId="13679897" w14:textId="3EAA0974" w:rsidR="00202866" w:rsidRPr="00E22F0B" w:rsidRDefault="00202866" w:rsidP="0094756C">
      <w:pPr>
        <w:spacing w:before="240" w:after="60"/>
        <w:rPr>
          <w:rFonts w:eastAsia="Helvetica Neue"/>
          <w:b/>
          <w:bCs/>
        </w:rPr>
      </w:pPr>
      <w:r w:rsidRPr="00E22F0B">
        <w:rPr>
          <w:rFonts w:eastAsia="Helvetica Neue"/>
          <w:b/>
          <w:bCs/>
        </w:rPr>
        <w:t xml:space="preserve">Women and Young </w:t>
      </w:r>
      <w:r w:rsidR="00743375">
        <w:rPr>
          <w:rFonts w:eastAsia="Helvetica Neue"/>
          <w:b/>
          <w:bCs/>
        </w:rPr>
        <w:t>Persons</w:t>
      </w:r>
      <w:r w:rsidR="00743375" w:rsidRPr="00E22F0B">
        <w:rPr>
          <w:rFonts w:eastAsia="Helvetica Neue"/>
          <w:b/>
          <w:bCs/>
        </w:rPr>
        <w:t xml:space="preserve"> </w:t>
      </w:r>
      <w:r w:rsidRPr="00E22F0B">
        <w:rPr>
          <w:rFonts w:eastAsia="Helvetica Neue"/>
          <w:b/>
          <w:bCs/>
        </w:rPr>
        <w:t>with Psychosocial Disabilities:</w:t>
      </w:r>
    </w:p>
    <w:p w14:paraId="085593FA" w14:textId="77777777" w:rsidR="00202866" w:rsidRPr="00A64CBE" w:rsidRDefault="00202866" w:rsidP="007B7686">
      <w:pPr>
        <w:pStyle w:val="ListParagraph"/>
        <w:numPr>
          <w:ilvl w:val="0"/>
          <w:numId w:val="41"/>
        </w:numPr>
        <w:spacing w:before="60" w:after="60"/>
        <w:ind w:left="720"/>
      </w:pPr>
      <w:r w:rsidRPr="00E22F0B">
        <w:rPr>
          <w:rFonts w:eastAsia="Helvetica Neue"/>
        </w:rPr>
        <w:t>Emphasize and take steps to foster and develop trust between yourself and the service recipient.</w:t>
      </w:r>
      <w:r w:rsidRPr="00E22F0B">
        <w:rPr>
          <w:rFonts w:eastAsia="Helvetica Neue"/>
          <w:vertAlign w:val="superscript"/>
        </w:rPr>
        <w:t xml:space="preserve"> </w:t>
      </w:r>
      <w:r w:rsidRPr="00A64CBE">
        <w:rPr>
          <w:rFonts w:eastAsia="Helvetica Neue"/>
          <w:vertAlign w:val="superscript"/>
        </w:rPr>
        <w:endnoteReference w:id="204"/>
      </w:r>
      <w:r w:rsidRPr="00E22F0B">
        <w:rPr>
          <w:rFonts w:eastAsia="Helvetica Neue"/>
        </w:rPr>
        <w:t xml:space="preserve"> </w:t>
      </w:r>
    </w:p>
    <w:p w14:paraId="561A9D5C" w14:textId="77777777" w:rsidR="00202866" w:rsidRPr="00A64CBE" w:rsidRDefault="00202866" w:rsidP="007B7686">
      <w:pPr>
        <w:pStyle w:val="ListParagraph"/>
        <w:numPr>
          <w:ilvl w:val="0"/>
          <w:numId w:val="41"/>
        </w:numPr>
        <w:spacing w:before="60" w:after="60"/>
        <w:ind w:left="720"/>
      </w:pPr>
      <w:r w:rsidRPr="00E22F0B">
        <w:rPr>
          <w:rFonts w:eastAsia="Helvetica Neue"/>
        </w:rPr>
        <w:t>Offer training for all providers, staff, and family members to increase acceptance, change attitudes, and foster trust.</w:t>
      </w:r>
      <w:r w:rsidRPr="00E22F0B">
        <w:rPr>
          <w:rFonts w:eastAsia="Helvetica Neue"/>
          <w:vertAlign w:val="superscript"/>
        </w:rPr>
        <w:t xml:space="preserve"> </w:t>
      </w:r>
      <w:r w:rsidRPr="00A64CBE">
        <w:rPr>
          <w:rFonts w:eastAsia="Helvetica Neue"/>
          <w:vertAlign w:val="superscript"/>
        </w:rPr>
        <w:endnoteReference w:id="205"/>
      </w:r>
      <w:r w:rsidRPr="00E22F0B">
        <w:rPr>
          <w:rFonts w:eastAsia="Helvetica Neue"/>
        </w:rPr>
        <w:t xml:space="preserve"> </w:t>
      </w:r>
    </w:p>
    <w:p w14:paraId="5613AD75" w14:textId="77777777" w:rsidR="00202866" w:rsidRPr="00A64CBE" w:rsidRDefault="00202866" w:rsidP="007B7686">
      <w:pPr>
        <w:pStyle w:val="ListParagraph"/>
        <w:numPr>
          <w:ilvl w:val="0"/>
          <w:numId w:val="41"/>
        </w:numPr>
        <w:spacing w:before="60" w:after="60"/>
        <w:ind w:left="720"/>
      </w:pPr>
      <w:r w:rsidRPr="00E22F0B">
        <w:rPr>
          <w:rFonts w:eastAsia="Helvetica Neue"/>
        </w:rPr>
        <w:t>Improve communication between GBV and SRHR service providers and mental healthcare service providers.</w:t>
      </w:r>
      <w:r w:rsidRPr="00A64CBE">
        <w:rPr>
          <w:rFonts w:eastAsia="Helvetica Neue"/>
          <w:vertAlign w:val="superscript"/>
        </w:rPr>
        <w:endnoteReference w:id="206"/>
      </w:r>
      <w:r w:rsidRPr="00E22F0B">
        <w:rPr>
          <w:rFonts w:eastAsia="Helvetica Neue"/>
        </w:rPr>
        <w:t xml:space="preserve"> </w:t>
      </w:r>
    </w:p>
    <w:p w14:paraId="4BF255F1" w14:textId="77777777" w:rsidR="00202866" w:rsidRPr="00A64CBE" w:rsidRDefault="00202866" w:rsidP="007B7686">
      <w:pPr>
        <w:pStyle w:val="ListParagraph"/>
        <w:numPr>
          <w:ilvl w:val="0"/>
          <w:numId w:val="41"/>
        </w:numPr>
        <w:spacing w:before="60" w:after="60"/>
        <w:ind w:left="720"/>
      </w:pPr>
      <w:r w:rsidRPr="00E22F0B">
        <w:rPr>
          <w:rFonts w:eastAsia="Helvetica Neue"/>
        </w:rPr>
        <w:t>Offer support groups.</w:t>
      </w:r>
      <w:r w:rsidRPr="00E22F0B">
        <w:rPr>
          <w:rFonts w:eastAsia="Helvetica Neue"/>
          <w:vertAlign w:val="superscript"/>
        </w:rPr>
        <w:t xml:space="preserve"> </w:t>
      </w:r>
      <w:r w:rsidRPr="00A64CBE">
        <w:rPr>
          <w:rFonts w:eastAsia="Helvetica Neue"/>
          <w:vertAlign w:val="superscript"/>
        </w:rPr>
        <w:endnoteReference w:id="207"/>
      </w:r>
      <w:r w:rsidRPr="00E22F0B">
        <w:rPr>
          <w:rFonts w:eastAsia="Helvetica Neue"/>
        </w:rPr>
        <w:t xml:space="preserve"> </w:t>
      </w:r>
    </w:p>
    <w:p w14:paraId="2AD7E2BB" w14:textId="77777777" w:rsidR="00202866" w:rsidRPr="00A64CBE" w:rsidRDefault="00202866" w:rsidP="007B7686">
      <w:pPr>
        <w:pStyle w:val="ListParagraph"/>
        <w:numPr>
          <w:ilvl w:val="0"/>
          <w:numId w:val="41"/>
        </w:numPr>
        <w:spacing w:before="60" w:after="60"/>
        <w:ind w:left="720"/>
      </w:pPr>
      <w:r w:rsidRPr="00E22F0B">
        <w:rPr>
          <w:rFonts w:eastAsia="Helvetica Neue"/>
        </w:rPr>
        <w:t>Ensure that you and all support staff always treat service recipients with respect and acknowledge their strengths.</w:t>
      </w:r>
      <w:r w:rsidRPr="00E22F0B">
        <w:rPr>
          <w:rFonts w:eastAsia="Helvetica Neue"/>
          <w:vertAlign w:val="superscript"/>
        </w:rPr>
        <w:t xml:space="preserve"> </w:t>
      </w:r>
      <w:r w:rsidRPr="00A64CBE">
        <w:rPr>
          <w:rFonts w:eastAsia="Helvetica Neue"/>
          <w:vertAlign w:val="superscript"/>
        </w:rPr>
        <w:endnoteReference w:id="208"/>
      </w:r>
      <w:r w:rsidRPr="00E22F0B">
        <w:rPr>
          <w:rFonts w:eastAsia="Helvetica Neue"/>
        </w:rPr>
        <w:t xml:space="preserve"> </w:t>
      </w:r>
    </w:p>
    <w:p w14:paraId="7044E0F5" w14:textId="3AB6D1BC" w:rsidR="00202866" w:rsidRPr="00264396" w:rsidRDefault="00202866" w:rsidP="007B7686">
      <w:pPr>
        <w:pStyle w:val="ListParagraph"/>
        <w:numPr>
          <w:ilvl w:val="0"/>
          <w:numId w:val="41"/>
        </w:numPr>
        <w:spacing w:before="60" w:after="60"/>
        <w:ind w:left="720"/>
      </w:pPr>
      <w:r w:rsidRPr="00E22F0B">
        <w:rPr>
          <w:rFonts w:eastAsia="Helvetica Neue"/>
        </w:rPr>
        <w:lastRenderedPageBreak/>
        <w:t>Offer information</w:t>
      </w:r>
      <w:r w:rsidR="009709D0" w:rsidRPr="00E22F0B">
        <w:rPr>
          <w:rFonts w:eastAsia="Helvetica Neue"/>
        </w:rPr>
        <w:t xml:space="preserve"> and referrals</w:t>
      </w:r>
      <w:r w:rsidRPr="00E22F0B">
        <w:rPr>
          <w:rFonts w:eastAsia="Helvetica Neue"/>
        </w:rPr>
        <w:t xml:space="preserve"> about </w:t>
      </w:r>
      <w:r w:rsidR="009709D0" w:rsidRPr="00E22F0B">
        <w:rPr>
          <w:rFonts w:eastAsia="Helvetica Neue"/>
        </w:rPr>
        <w:t xml:space="preserve">supported decision-making mechanisms and a healthcare proxy, if available. </w:t>
      </w:r>
      <w:r w:rsidRPr="00E22F0B">
        <w:rPr>
          <w:rFonts w:eastAsia="Helvetica Neue"/>
        </w:rPr>
        <w:t xml:space="preserve"> A person designates a healthcare proxy to make healthcare decisions for them when they are unable to make decisions for themselves; it is a mechanism to ensure that a person’s wishes are followed. </w:t>
      </w:r>
    </w:p>
    <w:p w14:paraId="1298E9D9" w14:textId="179C36D9" w:rsidR="00264396" w:rsidRPr="00A64CBE" w:rsidRDefault="00B92BF0" w:rsidP="00CD00E1">
      <w:pPr>
        <w:ind w:hanging="90"/>
      </w:pPr>
      <w:r w:rsidRPr="00A6697D">
        <w:rPr>
          <w:noProof/>
        </w:rPr>
        <mc:AlternateContent>
          <mc:Choice Requires="wps">
            <w:drawing>
              <wp:inline distT="0" distB="0" distL="0" distR="0" wp14:anchorId="5EF0D88E" wp14:editId="025C77BE">
                <wp:extent cx="5943600" cy="0"/>
                <wp:effectExtent l="0" t="12700" r="25400" b="25400"/>
                <wp:docPr id="13" name="Straight Connector 13" descr="Text box ends"/>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chemeClr val="accent2">
                              <a:lumMod val="75000"/>
                            </a:schemeClr>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0B1A5405" id="Straight Connector 13" o:spid="_x0000_s1026" alt="Text box end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" strokecolor="#943634 [2405]" strokeweight="3pt">
                <w10:anchorlock/>
              </v:line>
            </w:pict>
          </mc:Fallback>
        </mc:AlternateContent>
      </w:r>
    </w:p>
    <w:p w14:paraId="43FBD9B4" w14:textId="77777777" w:rsidR="00202866" w:rsidRPr="00A64CBE" w:rsidRDefault="00202866" w:rsidP="00950F17">
      <w:pPr>
        <w:widowControl w:val="0"/>
        <w:pBdr>
          <w:top w:val="nil"/>
          <w:left w:val="nil"/>
          <w:bottom w:val="nil"/>
          <w:right w:val="nil"/>
          <w:between w:val="nil"/>
        </w:pBdr>
        <w:ind w:left="720" w:right="720"/>
        <w:rPr>
          <w:rFonts w:ascii="Arial" w:eastAsia="Helvetica Neue" w:hAnsi="Arial" w:cs="Arial"/>
          <w:color w:val="000000"/>
        </w:rPr>
      </w:pPr>
    </w:p>
    <w:p w14:paraId="78E8F068" w14:textId="1C398195" w:rsidR="00952028" w:rsidRPr="005828E2" w:rsidRDefault="00202866" w:rsidP="005828E2">
      <w:pPr>
        <w:pStyle w:val="Heading1"/>
      </w:pPr>
      <w:r w:rsidRPr="00A64CBE">
        <w:br w:type="page"/>
      </w:r>
      <w:bookmarkStart w:id="10" w:name="GBV"/>
      <w:r w:rsidR="005828E2">
        <w:lastRenderedPageBreak/>
        <w:t>Chapter</w:t>
      </w:r>
      <w:r w:rsidR="00952028" w:rsidRPr="007F42CB">
        <w:t xml:space="preserve"> 3: </w:t>
      </w:r>
      <w:bookmarkEnd w:id="10"/>
      <w:r w:rsidR="005828E2" w:rsidRPr="007F42CB">
        <w:t xml:space="preserve">Gender-Based Violence Services </w:t>
      </w:r>
      <w:r w:rsidR="005828E2">
        <w:t>f</w:t>
      </w:r>
      <w:r w:rsidR="005828E2" w:rsidRPr="007F42CB">
        <w:t xml:space="preserve">or Women </w:t>
      </w:r>
      <w:r w:rsidR="005828E2">
        <w:t>a</w:t>
      </w:r>
      <w:r w:rsidR="005828E2" w:rsidRPr="007F42CB">
        <w:t xml:space="preserve">nd Young </w:t>
      </w:r>
      <w:r w:rsidR="00743375">
        <w:t>Persons</w:t>
      </w:r>
      <w:r w:rsidR="00743375" w:rsidRPr="007F42CB">
        <w:t xml:space="preserve"> </w:t>
      </w:r>
      <w:r w:rsidR="005828E2">
        <w:t>w</w:t>
      </w:r>
      <w:r w:rsidR="005828E2" w:rsidRPr="007F42CB">
        <w:t>ith Disabilities</w:t>
      </w:r>
    </w:p>
    <w:p w14:paraId="276BACE4" w14:textId="3E5D30CA" w:rsidR="00952028" w:rsidRPr="007F42CB" w:rsidRDefault="00952028" w:rsidP="00EC13D0">
      <w:pPr>
        <w:pStyle w:val="Heading2"/>
        <w:spacing w:before="480" w:after="120"/>
        <w:ind w:left="547" w:right="-720" w:hanging="547"/>
      </w:pPr>
      <w:bookmarkStart w:id="11" w:name="GBVBack"/>
      <w:r w:rsidRPr="007F42CB">
        <w:t>3.1</w:t>
      </w:r>
      <w:bookmarkEnd w:id="11"/>
      <w:r w:rsidR="00E85D5B">
        <w:t xml:space="preserve"> </w:t>
      </w:r>
      <w:r w:rsidRPr="005828E2">
        <w:t>Background</w:t>
      </w:r>
      <w:r w:rsidRPr="007F42CB">
        <w:t xml:space="preserve"> </w:t>
      </w:r>
    </w:p>
    <w:p w14:paraId="36374CE5" w14:textId="77777777" w:rsidR="00952028" w:rsidRPr="00A64CBE" w:rsidRDefault="00952028" w:rsidP="005828E2">
      <w:pPr>
        <w:rPr>
          <w:rFonts w:eastAsia="Helvetica Neue"/>
        </w:rPr>
      </w:pPr>
      <w:r w:rsidRPr="00A64CBE">
        <w:rPr>
          <w:rFonts w:eastAsia="Helvetica Neue"/>
        </w:rPr>
        <w:t xml:space="preserve">Gender-based violence (GBV) takes several forms—physical, emotional, psychological, sexual, economic. </w:t>
      </w:r>
      <w:r w:rsidRPr="00253416">
        <w:rPr>
          <w:rFonts w:eastAsia="Helvetica Neue"/>
        </w:rPr>
        <w:t>GBV is an umbrella term referring to acts of violence “perpetrated against a person’s will and that is based on socially ascribed (i.e. gender) differences between males and females. The term ‘gender-based violence’ is primarily used to underscore the fact that structural, gender-based power differentials between males and females around the world place females at risk for multiple forms of violence. As agreed in the Declaration on the Elimination of Violence against Women (1993), this includes acts that inflict physical, mental or sexual harm or suffering, threats of such acts, coercion and other deprivations of liberty, whether occurring in public or in private life. The term is also used by some actors to describe some forms of sexual violence against males and/or targeted violence against LGBTI populations, in these cases when referencing violence related to gender-inequitable norms of masculinity and/or norms of gender identity”.</w:t>
      </w:r>
      <w:r w:rsidRPr="00253416">
        <w:rPr>
          <w:rFonts w:eastAsia="Helvetica Neue"/>
          <w:vertAlign w:val="superscript"/>
        </w:rPr>
        <w:endnoteReference w:id="209"/>
      </w:r>
      <w:r w:rsidRPr="00A64CBE">
        <w:rPr>
          <w:rFonts w:eastAsia="Helvetica Neue"/>
        </w:rPr>
        <w:t xml:space="preserve"> Indeed, despite commonly held perceptions to the contrary, men and boys can also be victims/survivors of GBV.</w:t>
      </w:r>
      <w:r w:rsidRPr="00A64CBE">
        <w:rPr>
          <w:rFonts w:eastAsia="Helvetica Neue"/>
          <w:vertAlign w:val="superscript"/>
        </w:rPr>
        <w:endnoteReference w:id="210"/>
      </w:r>
    </w:p>
    <w:p w14:paraId="148F2A47" w14:textId="7D545A1F" w:rsidR="00952028" w:rsidRPr="00A64CBE" w:rsidRDefault="00952028" w:rsidP="005828E2">
      <w:pPr>
        <w:rPr>
          <w:rFonts w:eastAsia="Helvetica Neue"/>
        </w:rPr>
      </w:pPr>
      <w:r w:rsidRPr="00A64CBE">
        <w:rPr>
          <w:rFonts w:eastAsia="Helvetica Neue"/>
        </w:rPr>
        <w:t xml:space="preserve">Women and young </w:t>
      </w:r>
      <w:r w:rsidR="000C4D76">
        <w:rPr>
          <w:rFonts w:eastAsia="Helvetica Neue"/>
        </w:rPr>
        <w:t>persons</w:t>
      </w:r>
      <w:r w:rsidR="000C4D76" w:rsidRPr="00A64CBE">
        <w:rPr>
          <w:rFonts w:eastAsia="Helvetica Neue"/>
        </w:rPr>
        <w:t xml:space="preserve"> </w:t>
      </w:r>
      <w:r w:rsidRPr="00A64CBE">
        <w:rPr>
          <w:rFonts w:eastAsia="Helvetica Neue"/>
        </w:rPr>
        <w:t xml:space="preserve">with disabilities experience the same forms of </w:t>
      </w:r>
      <w:r>
        <w:rPr>
          <w:rFonts w:eastAsia="Helvetica Neue"/>
        </w:rPr>
        <w:t>GBV</w:t>
      </w:r>
      <w:r w:rsidRPr="00A64CBE">
        <w:rPr>
          <w:rFonts w:eastAsia="Helvetica Neue"/>
        </w:rPr>
        <w:t xml:space="preserve"> as individuals without disabilities. Women and young </w:t>
      </w:r>
      <w:r w:rsidR="000C4D76">
        <w:rPr>
          <w:rFonts w:eastAsia="Helvetica Neue"/>
        </w:rPr>
        <w:t>persons</w:t>
      </w:r>
      <w:r w:rsidR="000C4D76" w:rsidRPr="00A64CBE">
        <w:rPr>
          <w:rFonts w:eastAsia="Helvetica Neue"/>
        </w:rPr>
        <w:t xml:space="preserve"> </w:t>
      </w:r>
      <w:r w:rsidRPr="00A64CBE">
        <w:rPr>
          <w:rFonts w:eastAsia="Helvetica Neue"/>
        </w:rPr>
        <w:t xml:space="preserve">with disabilities also experience unique forms of </w:t>
      </w:r>
      <w:r>
        <w:rPr>
          <w:rFonts w:eastAsia="Helvetica Neue"/>
        </w:rPr>
        <w:t>GBV</w:t>
      </w:r>
      <w:r w:rsidRPr="00A64CBE">
        <w:rPr>
          <w:rFonts w:eastAsia="Helvetica Neue"/>
        </w:rPr>
        <w:t xml:space="preserve"> as a result of their disability, such as sexual abuse by a caregiver; withholding of medication or an assistive device; purposefully substandard care; denial of necessities like food, toileting, or grooming; control of sensory devices; financial control; restriction of communication devices;</w:t>
      </w:r>
      <w:r w:rsidRPr="00A64CBE">
        <w:rPr>
          <w:rFonts w:eastAsia="Helvetica Neue"/>
          <w:b/>
        </w:rPr>
        <w:t xml:space="preserve"> ‘</w:t>
      </w:r>
      <w:r w:rsidRPr="00A64CBE">
        <w:rPr>
          <w:rFonts w:eastAsia="Helvetica Neue"/>
        </w:rPr>
        <w:t>virgin rape’; early or forced marriage; forced or coerced medical procedures, such as forced sterilization, contraception, or abortion; and enforced isolation.</w:t>
      </w:r>
      <w:r w:rsidRPr="00A64CBE">
        <w:rPr>
          <w:rFonts w:eastAsia="Helvetica Neue"/>
          <w:vertAlign w:val="superscript"/>
        </w:rPr>
        <w:endnoteReference w:id="211"/>
      </w:r>
      <w:r w:rsidRPr="00A64CBE">
        <w:rPr>
          <w:rFonts w:eastAsia="Helvetica Neue"/>
        </w:rPr>
        <w:t xml:space="preserve"> Service providers and support staff</w:t>
      </w:r>
      <w:r w:rsidRPr="00A64CBE" w:rsidDel="006E5C53">
        <w:rPr>
          <w:rFonts w:eastAsia="Helvetica Neue"/>
        </w:rPr>
        <w:t xml:space="preserve"> </w:t>
      </w:r>
      <w:r w:rsidRPr="00A64CBE">
        <w:rPr>
          <w:rFonts w:eastAsia="Helvetica Neue"/>
        </w:rPr>
        <w:t xml:space="preserve">must commit to understanding the unique ways that women and young </w:t>
      </w:r>
      <w:r w:rsidR="000C4D76">
        <w:rPr>
          <w:rFonts w:eastAsia="Helvetica Neue"/>
        </w:rPr>
        <w:t>persons</w:t>
      </w:r>
      <w:r w:rsidR="000C4D76" w:rsidRPr="00A64CBE">
        <w:rPr>
          <w:rFonts w:eastAsia="Helvetica Neue"/>
        </w:rPr>
        <w:t xml:space="preserve"> </w:t>
      </w:r>
      <w:r w:rsidRPr="00A64CBE">
        <w:rPr>
          <w:rFonts w:eastAsia="Helvetica Neue"/>
        </w:rPr>
        <w:t xml:space="preserve">with different disabilities experience </w:t>
      </w:r>
      <w:r>
        <w:rPr>
          <w:rFonts w:eastAsia="Helvetica Neue"/>
        </w:rPr>
        <w:t>GBV</w:t>
      </w:r>
      <w:r w:rsidRPr="00A64CBE">
        <w:rPr>
          <w:rFonts w:eastAsia="Helvetica Neue"/>
        </w:rPr>
        <w:t xml:space="preserve">. This understanding is a critical first step to being able to adapt and develop programmes that effectively serve women and young </w:t>
      </w:r>
      <w:r>
        <w:rPr>
          <w:rFonts w:eastAsia="Helvetica Neue"/>
        </w:rPr>
        <w:t>persons</w:t>
      </w:r>
      <w:r w:rsidRPr="00A64CBE">
        <w:rPr>
          <w:rFonts w:eastAsia="Helvetica Neue"/>
        </w:rPr>
        <w:t xml:space="preserve"> with disabilities. </w:t>
      </w:r>
    </w:p>
    <w:p w14:paraId="19414E13" w14:textId="77777777" w:rsidR="00952028" w:rsidRPr="00A64CBE" w:rsidRDefault="00952028" w:rsidP="003C6133">
      <w:pPr>
        <w:pStyle w:val="Heading4"/>
        <w:spacing w:before="480"/>
      </w:pPr>
      <w:r w:rsidRPr="003C6133">
        <w:rPr>
          <w:rFonts w:eastAsia="Helvetica Neue"/>
        </w:rPr>
        <w:t>Increased</w:t>
      </w:r>
      <w:r w:rsidRPr="00A64CBE">
        <w:t xml:space="preserve"> Risk </w:t>
      </w:r>
    </w:p>
    <w:p w14:paraId="7F08CB01" w14:textId="28125392" w:rsidR="00952028" w:rsidRPr="00A64CBE" w:rsidRDefault="00952028" w:rsidP="005828E2">
      <w:pPr>
        <w:rPr>
          <w:rFonts w:eastAsia="Helvetica Neue"/>
        </w:rPr>
      </w:pPr>
      <w:r w:rsidRPr="00A64CBE">
        <w:rPr>
          <w:rFonts w:eastAsia="Helvetica Neue"/>
        </w:rPr>
        <w:t xml:space="preserve">Studies show that three per cent of </w:t>
      </w:r>
      <w:r>
        <w:rPr>
          <w:rFonts w:eastAsia="Helvetica Neue"/>
        </w:rPr>
        <w:t>persons</w:t>
      </w:r>
      <w:r w:rsidRPr="00A64CBE">
        <w:rPr>
          <w:rFonts w:eastAsia="Helvetica Neue"/>
        </w:rPr>
        <w:t xml:space="preserve"> with disabilities report having experienced violence within the past year, this percentage increases substantially for </w:t>
      </w:r>
      <w:r w:rsidR="000C4D76">
        <w:rPr>
          <w:rFonts w:eastAsia="Helvetica Neue"/>
        </w:rPr>
        <w:t>persons</w:t>
      </w:r>
      <w:r w:rsidR="000C4D76" w:rsidRPr="00A64CBE">
        <w:rPr>
          <w:rFonts w:eastAsia="Helvetica Neue"/>
        </w:rPr>
        <w:t xml:space="preserve"> </w:t>
      </w:r>
      <w:r w:rsidRPr="00A64CBE">
        <w:rPr>
          <w:rFonts w:eastAsia="Helvetica Neue"/>
        </w:rPr>
        <w:t>with mental disabilities.</w:t>
      </w:r>
      <w:r w:rsidRPr="00A64CBE">
        <w:rPr>
          <w:rFonts w:eastAsia="Helvetica Neue"/>
          <w:vertAlign w:val="superscript"/>
        </w:rPr>
        <w:endnoteReference w:id="212"/>
      </w:r>
      <w:r w:rsidRPr="00A64CBE">
        <w:rPr>
          <w:rFonts w:eastAsia="Helvetica Neue"/>
        </w:rPr>
        <w:t xml:space="preserve"> </w:t>
      </w:r>
      <w:r w:rsidRPr="00253416">
        <w:rPr>
          <w:rFonts w:eastAsia="Helvetica Neue"/>
        </w:rPr>
        <w:t xml:space="preserve">Persons with disabilities are three times more likely to experience physical violence, sexual violence, and emotional violence than </w:t>
      </w:r>
      <w:r>
        <w:rPr>
          <w:rFonts w:eastAsia="Helvetica Neue"/>
        </w:rPr>
        <w:t>persons</w:t>
      </w:r>
      <w:r w:rsidRPr="00253416">
        <w:rPr>
          <w:rFonts w:eastAsia="Helvetica Neue"/>
        </w:rPr>
        <w:t xml:space="preserve"> without disabilities.</w:t>
      </w:r>
      <w:r w:rsidRPr="00A64CBE">
        <w:rPr>
          <w:rFonts w:eastAsia="Helvetica Neue"/>
          <w:vertAlign w:val="superscript"/>
        </w:rPr>
        <w:endnoteReference w:id="213"/>
      </w:r>
      <w:r w:rsidRPr="00A64CBE">
        <w:rPr>
          <w:rFonts w:eastAsia="Helvetica Neue"/>
        </w:rPr>
        <w:t xml:space="preserve"> Women with disabilities in particular are up to </w:t>
      </w:r>
      <w:r w:rsidRPr="00253416">
        <w:rPr>
          <w:rFonts w:eastAsia="Helvetica Neue"/>
        </w:rPr>
        <w:t>10 times more likely to experience sexual violence.</w:t>
      </w:r>
      <w:r w:rsidRPr="00A64CBE">
        <w:rPr>
          <w:rFonts w:eastAsia="Helvetica Neue"/>
          <w:vertAlign w:val="superscript"/>
        </w:rPr>
        <w:endnoteReference w:id="214"/>
      </w:r>
      <w:r w:rsidRPr="00A64CBE">
        <w:rPr>
          <w:rFonts w:eastAsia="Helvetica Neue"/>
        </w:rPr>
        <w:t xml:space="preserve"> Boys and men with disabilities </w:t>
      </w:r>
      <w:r w:rsidRPr="00253416">
        <w:rPr>
          <w:rFonts w:eastAsia="Helvetica Neue"/>
        </w:rPr>
        <w:t>are twice as likely as boys and men without disabilities to be sexually abused in their lifetime</w:t>
      </w:r>
      <w:r w:rsidRPr="00253416">
        <w:rPr>
          <w:rFonts w:eastAsia="Helvetica Neue"/>
          <w:b/>
        </w:rPr>
        <w:t>.</w:t>
      </w:r>
      <w:r w:rsidRPr="00253416">
        <w:rPr>
          <w:rFonts w:eastAsia="Helvetica Neue"/>
          <w:vertAlign w:val="superscript"/>
        </w:rPr>
        <w:endnoteReference w:id="215"/>
      </w:r>
      <w:r w:rsidRPr="00A64CBE">
        <w:rPr>
          <w:rFonts w:eastAsia="Helvetica Neue"/>
        </w:rPr>
        <w:t xml:space="preserve"> In fact, estimates suggest that 40 per cent to 68 per cent of young women with disabilities will experience sexual violence before the age of 18,</w:t>
      </w:r>
      <w:r w:rsidRPr="00A64CBE">
        <w:rPr>
          <w:rFonts w:eastAsia="Helvetica Neue"/>
          <w:vertAlign w:val="superscript"/>
        </w:rPr>
        <w:endnoteReference w:id="216"/>
      </w:r>
      <w:r w:rsidRPr="00A64CBE">
        <w:rPr>
          <w:rFonts w:eastAsia="Helvetica Neue"/>
        </w:rPr>
        <w:t xml:space="preserve"> while 16 per cent to 30 per cent of young men with disabilities will experience sexual violence before the age of 18.</w:t>
      </w:r>
      <w:r w:rsidRPr="00A64CBE">
        <w:rPr>
          <w:rFonts w:eastAsia="Helvetica Neue"/>
          <w:vertAlign w:val="superscript"/>
        </w:rPr>
        <w:endnoteReference w:id="217"/>
      </w:r>
      <w:r w:rsidRPr="00A64CBE">
        <w:rPr>
          <w:rFonts w:eastAsia="Helvetica Neue"/>
        </w:rPr>
        <w:t xml:space="preserve"> Similarly, UNICEF has found that children with disabilities are 1.7 times more at risk of violence than their peers without disabilities.</w:t>
      </w:r>
      <w:r w:rsidRPr="00A64CBE">
        <w:rPr>
          <w:rFonts w:eastAsia="Helvetica Neue"/>
          <w:vertAlign w:val="superscript"/>
        </w:rPr>
        <w:endnoteReference w:id="218"/>
      </w:r>
      <w:r w:rsidRPr="00A64CBE">
        <w:rPr>
          <w:rFonts w:eastAsia="Helvetica Neue"/>
        </w:rPr>
        <w:t xml:space="preserve"> Where a disability affects the individual’s </w:t>
      </w:r>
      <w:r w:rsidRPr="00A64CBE">
        <w:rPr>
          <w:rFonts w:eastAsia="Helvetica Neue"/>
        </w:rPr>
        <w:lastRenderedPageBreak/>
        <w:t>ability to communicate, the risk of violence may be even higher, as abusers can take advantage of the person’s inability to disclose the abuse.</w:t>
      </w:r>
      <w:r w:rsidRPr="00A64CBE">
        <w:rPr>
          <w:rFonts w:eastAsia="Helvetica Neue"/>
          <w:vertAlign w:val="superscript"/>
        </w:rPr>
        <w:endnoteReference w:id="219"/>
      </w:r>
      <w:r w:rsidRPr="00A64CBE">
        <w:rPr>
          <w:rFonts w:eastAsia="Helvetica Neue"/>
        </w:rPr>
        <w:t xml:space="preserve"> Children with intellectual disabilities, for example, are almost five times more likely to be subjected to sexual violence than non-disabled children.</w:t>
      </w:r>
      <w:r w:rsidRPr="00A64CBE">
        <w:rPr>
          <w:rFonts w:eastAsia="Helvetica Neue"/>
          <w:vertAlign w:val="superscript"/>
        </w:rPr>
        <w:endnoteReference w:id="220"/>
      </w:r>
      <w:r w:rsidRPr="00A64CBE">
        <w:rPr>
          <w:rFonts w:eastAsia="Helvetica Neue"/>
        </w:rPr>
        <w:t xml:space="preserve"> Reasons for these higher rates of violence include stigma, discrimination, negative traditional beliefs, lack of support (including respite care) for caregivers, lack of knowledge about disability, increased vulnerability due to care needs, dependence, and impunity.</w:t>
      </w:r>
      <w:r w:rsidRPr="00A64CBE">
        <w:rPr>
          <w:rFonts w:eastAsia="Helvetica Neue"/>
          <w:vertAlign w:val="superscript"/>
        </w:rPr>
        <w:endnoteReference w:id="221"/>
      </w:r>
      <w:r w:rsidRPr="00A64CBE">
        <w:rPr>
          <w:rFonts w:eastAsia="Helvetica Neue"/>
        </w:rPr>
        <w:t xml:space="preserve"> </w:t>
      </w:r>
    </w:p>
    <w:p w14:paraId="1467B103" w14:textId="621CC8B3" w:rsidR="00952028" w:rsidRPr="00A64CBE" w:rsidRDefault="00952028" w:rsidP="005828E2">
      <w:pPr>
        <w:rPr>
          <w:rFonts w:eastAsia="Helvetica Neue"/>
        </w:rPr>
      </w:pPr>
      <w:r w:rsidRPr="00A64CBE">
        <w:rPr>
          <w:rFonts w:eastAsia="Helvetica Neue"/>
        </w:rPr>
        <w:t xml:space="preserve">Women with disabilities are also more likely to experience poverty and isolation than men with disabilities or </w:t>
      </w:r>
      <w:r w:rsidR="000C4D76">
        <w:rPr>
          <w:rFonts w:eastAsia="Helvetica Neue"/>
        </w:rPr>
        <w:t>persons</w:t>
      </w:r>
      <w:r w:rsidR="000C4D76" w:rsidRPr="00A64CBE">
        <w:rPr>
          <w:rFonts w:eastAsia="Helvetica Neue"/>
        </w:rPr>
        <w:t xml:space="preserve"> </w:t>
      </w:r>
      <w:r w:rsidRPr="00A64CBE">
        <w:rPr>
          <w:rFonts w:eastAsia="Helvetica Neue"/>
        </w:rPr>
        <w:t>without disabilities, even in countries with a higher standard of living.</w:t>
      </w:r>
      <w:r w:rsidRPr="00A64CBE">
        <w:rPr>
          <w:rFonts w:eastAsia="Helvetica Neue"/>
          <w:vertAlign w:val="superscript"/>
        </w:rPr>
        <w:endnoteReference w:id="222"/>
      </w:r>
      <w:r w:rsidRPr="00A64CBE">
        <w:rPr>
          <w:rFonts w:eastAsia="Helvetica Neue"/>
        </w:rPr>
        <w:t xml:space="preserve"> This can increase their vulnerability to economic violence and exacerbate financial barriers to leaving violent situations and accessing services.</w:t>
      </w:r>
    </w:p>
    <w:p w14:paraId="03D27CCB" w14:textId="054C71DE" w:rsidR="00952028" w:rsidRPr="00A64CBE" w:rsidRDefault="00952028" w:rsidP="005828E2">
      <w:pPr>
        <w:rPr>
          <w:rFonts w:eastAsia="Helvetica Neue"/>
        </w:rPr>
      </w:pPr>
      <w:r w:rsidRPr="00A64CBE">
        <w:rPr>
          <w:rFonts w:eastAsia="Helvetica Neue"/>
        </w:rPr>
        <w:t>GBV-related risks increase during humanitarian emergencies,</w:t>
      </w:r>
      <w:r w:rsidRPr="00A64CBE">
        <w:rPr>
          <w:rFonts w:eastAsia="Helvetica Neue"/>
          <w:vertAlign w:val="superscript"/>
        </w:rPr>
        <w:endnoteReference w:id="223"/>
      </w:r>
      <w:r w:rsidRPr="00A64CBE">
        <w:rPr>
          <w:rFonts w:eastAsia="Helvetica Neue"/>
        </w:rPr>
        <w:t xml:space="preserve"> especially for women and young </w:t>
      </w:r>
      <w:r w:rsidR="000C4D76">
        <w:rPr>
          <w:rFonts w:eastAsia="Helvetica Neue"/>
        </w:rPr>
        <w:t>persons</w:t>
      </w:r>
      <w:r w:rsidR="000C4D76" w:rsidRPr="00A64CBE">
        <w:rPr>
          <w:rFonts w:eastAsia="Helvetica Neue"/>
        </w:rPr>
        <w:t xml:space="preserve"> </w:t>
      </w:r>
      <w:r w:rsidRPr="00A64CBE">
        <w:rPr>
          <w:rFonts w:eastAsia="Helvetica Neue"/>
        </w:rPr>
        <w:t>with disabilities,</w:t>
      </w:r>
      <w:r w:rsidRPr="00A64CBE">
        <w:rPr>
          <w:rFonts w:eastAsia="Helvetica Neue"/>
          <w:vertAlign w:val="superscript"/>
        </w:rPr>
        <w:endnoteReference w:id="224"/>
      </w:r>
      <w:r w:rsidRPr="00A64CBE">
        <w:rPr>
          <w:rFonts w:eastAsia="Helvetica Neue"/>
        </w:rPr>
        <w:t xml:space="preserve"> due to changes to gender roles, family stress, misperceptions about the capacity of </w:t>
      </w:r>
      <w:r>
        <w:rPr>
          <w:rFonts w:eastAsia="Helvetica Neue"/>
        </w:rPr>
        <w:t>persons</w:t>
      </w:r>
      <w:r w:rsidRPr="00A64CBE">
        <w:rPr>
          <w:rFonts w:eastAsia="Helvetica Neue"/>
        </w:rPr>
        <w:t xml:space="preserve"> with disabilities, loss of community support networks and protection mechanisms, increased social isolation, poverty and lack of income, and environmental barriers.</w:t>
      </w:r>
      <w:r w:rsidRPr="00A64CBE">
        <w:rPr>
          <w:rFonts w:eastAsia="Helvetica Neue"/>
          <w:vertAlign w:val="superscript"/>
        </w:rPr>
        <w:endnoteReference w:id="225"/>
      </w:r>
    </w:p>
    <w:p w14:paraId="492EE6A1" w14:textId="77777777" w:rsidR="00952028" w:rsidRPr="00A64CBE" w:rsidRDefault="00952028" w:rsidP="003C6133">
      <w:pPr>
        <w:pStyle w:val="Heading4"/>
        <w:spacing w:before="480"/>
      </w:pPr>
      <w:r w:rsidRPr="00A64CBE">
        <w:t xml:space="preserve">Service </w:t>
      </w:r>
      <w:r w:rsidRPr="003C6133">
        <w:rPr>
          <w:rFonts w:eastAsia="Helvetica Neue"/>
        </w:rPr>
        <w:t>Provision</w:t>
      </w:r>
      <w:r w:rsidRPr="00A64CBE">
        <w:t xml:space="preserve"> </w:t>
      </w:r>
    </w:p>
    <w:p w14:paraId="26305A13" w14:textId="60B90845" w:rsidR="00952028" w:rsidRPr="00A64CBE" w:rsidRDefault="00952028" w:rsidP="005828E2">
      <w:pPr>
        <w:rPr>
          <w:rFonts w:eastAsia="Helvetica Neue"/>
        </w:rPr>
      </w:pPr>
      <w:r w:rsidRPr="00A64CBE">
        <w:rPr>
          <w:rFonts w:eastAsia="Helvetica Neue"/>
        </w:rPr>
        <w:t xml:space="preserve">Despite the prevalence of </w:t>
      </w:r>
      <w:r>
        <w:rPr>
          <w:rFonts w:eastAsia="Helvetica Neue"/>
        </w:rPr>
        <w:t>GBV</w:t>
      </w:r>
      <w:r w:rsidRPr="00A64CBE">
        <w:rPr>
          <w:rFonts w:eastAsia="Helvetica Neue"/>
        </w:rPr>
        <w:t xml:space="preserve"> experienced by women and young </w:t>
      </w:r>
      <w:r>
        <w:rPr>
          <w:rFonts w:eastAsia="Helvetica Neue"/>
        </w:rPr>
        <w:t>persons</w:t>
      </w:r>
      <w:r w:rsidRPr="00A64CBE">
        <w:rPr>
          <w:rFonts w:eastAsia="Helvetica Neue"/>
        </w:rPr>
        <w:t xml:space="preserve"> with disabilities, GBV laws and policies seldom reflect the unique forms of violence experienced by women and young </w:t>
      </w:r>
      <w:r>
        <w:rPr>
          <w:rFonts w:eastAsia="Helvetica Neue"/>
        </w:rPr>
        <w:t>persons</w:t>
      </w:r>
      <w:r w:rsidRPr="00A64CBE">
        <w:rPr>
          <w:rFonts w:eastAsia="Helvetica Neue"/>
        </w:rPr>
        <w:t xml:space="preserve"> with disabilities within the legal definition of </w:t>
      </w:r>
      <w:r>
        <w:rPr>
          <w:rFonts w:eastAsia="Helvetica Neue"/>
        </w:rPr>
        <w:t>GBV</w:t>
      </w:r>
      <w:r w:rsidRPr="00A64CBE">
        <w:rPr>
          <w:rFonts w:eastAsia="Helvetica Neue"/>
        </w:rPr>
        <w:t xml:space="preserve">.  For example, violence committed by caregivers or against adolescent boys and young men with disabilities. As a result, eligibility criteria for </w:t>
      </w:r>
      <w:r>
        <w:rPr>
          <w:rFonts w:eastAsia="Helvetica Neue"/>
        </w:rPr>
        <w:t>GBV</w:t>
      </w:r>
      <w:r w:rsidRPr="00A64CBE">
        <w:rPr>
          <w:rFonts w:eastAsia="Helvetica Neue"/>
        </w:rPr>
        <w:t xml:space="preserve"> services may exclude women and young </w:t>
      </w:r>
      <w:r>
        <w:rPr>
          <w:rFonts w:eastAsia="Helvetica Neue"/>
        </w:rPr>
        <w:t>persons</w:t>
      </w:r>
      <w:r w:rsidRPr="00A64CBE">
        <w:rPr>
          <w:rFonts w:eastAsia="Helvetica Neue"/>
        </w:rPr>
        <w:t xml:space="preserve"> with disabilities, perpetrators of these types of violence may not be held accountable, and prevention services targeting </w:t>
      </w:r>
      <w:r w:rsidR="000C4D76">
        <w:rPr>
          <w:rFonts w:eastAsia="Helvetica Neue"/>
        </w:rPr>
        <w:t>persons</w:t>
      </w:r>
      <w:r w:rsidR="000C4D76" w:rsidRPr="00A64CBE">
        <w:rPr>
          <w:rFonts w:eastAsia="Helvetica Neue"/>
        </w:rPr>
        <w:t xml:space="preserve"> </w:t>
      </w:r>
      <w:r w:rsidRPr="00A64CBE">
        <w:rPr>
          <w:rFonts w:eastAsia="Helvetica Neue"/>
        </w:rPr>
        <w:t>with disabilities may be underfunded.</w:t>
      </w:r>
    </w:p>
    <w:p w14:paraId="717F435F" w14:textId="6A4F9268" w:rsidR="00952028" w:rsidRPr="00385596" w:rsidRDefault="00952028" w:rsidP="00385596">
      <w:pPr>
        <w:rPr>
          <w:rFonts w:eastAsia="Helvetica Neue"/>
        </w:rPr>
      </w:pPr>
      <w:r w:rsidRPr="00A64CBE">
        <w:rPr>
          <w:rFonts w:eastAsia="Helvetica Neue"/>
        </w:rPr>
        <w:t xml:space="preserve">The guidelines in this section are organized according to the distinct but inter-connected stages of intervention and services required by a woman or young person with a disability who is at risk of or is experiencing </w:t>
      </w:r>
      <w:r>
        <w:rPr>
          <w:rFonts w:eastAsia="Helvetica Neue"/>
        </w:rPr>
        <w:t>GBV</w:t>
      </w:r>
      <w:r w:rsidRPr="00A64CBE">
        <w:rPr>
          <w:rFonts w:eastAsia="Helvetica Neue"/>
        </w:rPr>
        <w:t>. Services must meet the immediate emotional and psychological health needs, immediate physical health needs, ongoing safety needs, and ongoing support and mental-health needs of GBV victims/survivors.</w:t>
      </w:r>
      <w:r w:rsidRPr="00A64CBE">
        <w:rPr>
          <w:rFonts w:eastAsia="Helvetica Neue"/>
          <w:vertAlign w:val="superscript"/>
        </w:rPr>
        <w:endnoteReference w:id="226"/>
      </w:r>
      <w:r w:rsidRPr="00A64CBE">
        <w:rPr>
          <w:rFonts w:eastAsia="Helvetica Neue"/>
          <w:b/>
        </w:rPr>
        <w:t xml:space="preserve"> </w:t>
      </w:r>
      <w:r w:rsidRPr="00A64CBE">
        <w:rPr>
          <w:rFonts w:eastAsia="Helvetica Neue"/>
        </w:rPr>
        <w:t xml:space="preserve">To ensure a continuum of care for women and young </w:t>
      </w:r>
      <w:r w:rsidR="000C4D76">
        <w:rPr>
          <w:rFonts w:eastAsia="Helvetica Neue"/>
        </w:rPr>
        <w:t>persons</w:t>
      </w:r>
      <w:r w:rsidR="000C4D76" w:rsidRPr="00A64CBE">
        <w:rPr>
          <w:rFonts w:eastAsia="Helvetica Neue"/>
        </w:rPr>
        <w:t xml:space="preserve"> </w:t>
      </w:r>
      <w:r w:rsidRPr="00A64CBE">
        <w:rPr>
          <w:rFonts w:eastAsia="Helvetica Neue"/>
        </w:rPr>
        <w:t xml:space="preserve">with disabilities across all GBV service areas, each of these service-area subsections should be read in conjunction with the other subsections. </w:t>
      </w:r>
    </w:p>
    <w:p w14:paraId="42C18AA5" w14:textId="2B968A82" w:rsidR="00385596" w:rsidRPr="00B92BF0" w:rsidRDefault="00B92BF0" w:rsidP="00CD00E1">
      <w:pPr>
        <w:pStyle w:val="Heading4"/>
        <w:spacing w:before="480" w:line="360" w:lineRule="auto"/>
        <w:ind w:hanging="90"/>
        <w:rPr>
          <w:rFonts w:eastAsia="Helvetica Neue"/>
          <w:color w:val="948A54" w:themeColor="background2" w:themeShade="80"/>
        </w:rPr>
      </w:pPr>
      <w:r w:rsidRPr="00A6697D">
        <w:rPr>
          <w:noProof/>
        </w:rPr>
        <mc:AlternateContent>
          <mc:Choice Requires="wps">
            <w:drawing>
              <wp:inline distT="0" distB="0" distL="0" distR="0" wp14:anchorId="494C6FA6" wp14:editId="06AD04B5">
                <wp:extent cx="5943600" cy="0"/>
                <wp:effectExtent l="0" t="38100" r="25400" b="38100"/>
                <wp:docPr id="14" name="Straight Connector 14" descr="Text box follows"/>
                <wp:cNvGraphicFramePr/>
                <a:graphic xmlns:a="http://schemas.openxmlformats.org/drawingml/2006/main">
                  <a:graphicData uri="http://schemas.microsoft.com/office/word/2010/wordprocessingShape">
                    <wps:wsp>
                      <wps:cNvCnPr/>
                      <wps:spPr>
                        <a:xfrm>
                          <a:off x="0" y="0"/>
                          <a:ext cx="5943600" cy="0"/>
                        </a:xfrm>
                        <a:prstGeom prst="line">
                          <a:avLst/>
                        </a:prstGeom>
                        <a:ln w="76200">
                          <a:solidFill>
                            <a:schemeClr val="bg2">
                              <a:lumMod val="50000"/>
                            </a:schemeClr>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2481A57D" id="Straight Connector 14" o:spid="_x0000_s1026" alt="Text box foll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" strokecolor="#938953 [1614]" strokeweight="6pt">
                <w10:anchorlock/>
              </v:line>
            </w:pict>
          </mc:Fallback>
        </mc:AlternateContent>
      </w:r>
      <w:r w:rsidR="00952028" w:rsidRPr="00B92BF0">
        <w:rPr>
          <w:color w:val="948A54" w:themeColor="background2" w:themeShade="80"/>
          <w:sz w:val="32"/>
          <w:szCs w:val="32"/>
        </w:rPr>
        <w:t xml:space="preserve">Victim/Survivor </w:t>
      </w:r>
      <w:r w:rsidR="00952028" w:rsidRPr="00B92BF0">
        <w:rPr>
          <w:rFonts w:eastAsia="Helvetica Neue"/>
          <w:color w:val="948A54" w:themeColor="background2" w:themeShade="80"/>
          <w:sz w:val="32"/>
          <w:szCs w:val="32"/>
        </w:rPr>
        <w:t>Terminology</w:t>
      </w:r>
    </w:p>
    <w:p w14:paraId="60EE3813" w14:textId="77777777" w:rsidR="00A12EF9" w:rsidRDefault="00952028" w:rsidP="00CD00E1">
      <w:pPr>
        <w:spacing w:before="0"/>
        <w:ind w:right="180"/>
        <w:rPr>
          <w:rFonts w:eastAsia="Helvetica Neue"/>
        </w:rPr>
      </w:pPr>
      <w:r w:rsidRPr="00A64CBE">
        <w:rPr>
          <w:rFonts w:eastAsia="Helvetica Neue"/>
        </w:rPr>
        <w:t>The term victim/survivor</w:t>
      </w:r>
      <w:r w:rsidRPr="00A64CBE">
        <w:rPr>
          <w:rFonts w:eastAsia="Helvetica Neue"/>
          <w:b/>
        </w:rPr>
        <w:t xml:space="preserve"> </w:t>
      </w:r>
      <w:r w:rsidRPr="00A64CBE">
        <w:rPr>
          <w:rFonts w:eastAsia="Helvetica Neue"/>
        </w:rPr>
        <w:t xml:space="preserve">is used to indicate a person who has experienced or is currently experiencing </w:t>
      </w:r>
      <w:r>
        <w:rPr>
          <w:rFonts w:eastAsia="Helvetica Neue"/>
        </w:rPr>
        <w:t>GBV</w:t>
      </w:r>
      <w:r w:rsidRPr="00A64CBE">
        <w:rPr>
          <w:rFonts w:eastAsia="Helvetica Neue"/>
        </w:rPr>
        <w:t xml:space="preserve">. There has been debate about the use of the terms victim and survivor. The UN Secretary-General’s ‘In-Depth Study on Violence Against Women’ explains that for some, “the term ‘victim’ should be avoided because it implies passivity, weakness and inherent vulnerability and fails to recognize the reality of women’s resilience and agency. For others, the term ‘survivor’ is problematic because it denies the sense of victimization experienced by </w:t>
      </w:r>
      <w:r w:rsidRPr="00A64CBE">
        <w:rPr>
          <w:rFonts w:eastAsia="Helvetica Neue"/>
        </w:rPr>
        <w:lastRenderedPageBreak/>
        <w:t>women who have b</w:t>
      </w:r>
      <w:r>
        <w:rPr>
          <w:rFonts w:eastAsia="Helvetica Neue"/>
        </w:rPr>
        <w:t>een the target of violent crime</w:t>
      </w:r>
      <w:r w:rsidRPr="00A64CBE">
        <w:rPr>
          <w:rFonts w:eastAsia="Helvetica Neue"/>
        </w:rPr>
        <w:t>”</w:t>
      </w:r>
      <w:r>
        <w:rPr>
          <w:rFonts w:eastAsia="Helvetica Neue"/>
        </w:rPr>
        <w:t>.</w:t>
      </w:r>
      <w:r w:rsidRPr="00A64CBE">
        <w:rPr>
          <w:rFonts w:eastAsia="Helvetica Neue"/>
          <w:vertAlign w:val="superscript"/>
        </w:rPr>
        <w:endnoteReference w:id="227"/>
      </w:r>
      <w:r w:rsidRPr="00A64CBE">
        <w:rPr>
          <w:rFonts w:eastAsia="Helvetica Neue"/>
          <w:vertAlign w:val="superscript"/>
        </w:rPr>
        <w:t xml:space="preserve"> </w:t>
      </w:r>
      <w:r w:rsidRPr="00A64CBE">
        <w:rPr>
          <w:rFonts w:eastAsia="Helvetica Neue"/>
        </w:rPr>
        <w:t xml:space="preserve">Out of respect for an individual’s preferred terminology, both terms are used throughout these Guidelines. </w:t>
      </w:r>
    </w:p>
    <w:bookmarkStart w:id="12" w:name="GBVHRFrame"/>
    <w:p w14:paraId="6C0C48FB" w14:textId="77777777" w:rsidR="00B92BF0" w:rsidRDefault="00B92BF0" w:rsidP="00CD00E1">
      <w:pPr>
        <w:ind w:hanging="90"/>
      </w:pPr>
      <w:r w:rsidRPr="00A6697D">
        <w:rPr>
          <w:noProof/>
        </w:rPr>
        <mc:AlternateContent>
          <mc:Choice Requires="wps">
            <w:drawing>
              <wp:inline distT="0" distB="0" distL="0" distR="0" wp14:anchorId="5FCBB3F8" wp14:editId="7DC962E5">
                <wp:extent cx="5943600" cy="0"/>
                <wp:effectExtent l="0" t="12700" r="25400" b="25400"/>
                <wp:docPr id="15" name="Straight Connector 15" descr="Text box ends"/>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chemeClr val="bg2">
                              <a:lumMod val="50000"/>
                            </a:schemeClr>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48C7FFE2" id="Straight Connector 15" o:spid="_x0000_s1026" alt="Text box end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" strokecolor="#938953 [1614]" strokeweight="3pt">
                <w10:anchorlock/>
              </v:line>
            </w:pict>
          </mc:Fallback>
        </mc:AlternateContent>
      </w:r>
    </w:p>
    <w:p w14:paraId="2816AB31" w14:textId="73C1C76B" w:rsidR="00952028" w:rsidRPr="00A64CBE" w:rsidRDefault="00952028" w:rsidP="00EC13D0">
      <w:pPr>
        <w:pStyle w:val="Heading2"/>
        <w:spacing w:before="480" w:after="120"/>
        <w:ind w:left="547" w:right="-720" w:hanging="547"/>
      </w:pPr>
      <w:r w:rsidRPr="00A64CBE">
        <w:t xml:space="preserve">3.2 </w:t>
      </w:r>
      <w:r w:rsidRPr="00A64CBE">
        <w:tab/>
      </w:r>
      <w:bookmarkEnd w:id="12"/>
      <w:r w:rsidRPr="00A64CBE">
        <w:t xml:space="preserve">GBV Human Rights </w:t>
      </w:r>
      <w:r w:rsidRPr="005A2720">
        <w:t>Framework</w:t>
      </w:r>
    </w:p>
    <w:p w14:paraId="38CFD7A7" w14:textId="77777777" w:rsidR="00952028" w:rsidRPr="00A64CBE" w:rsidRDefault="00952028" w:rsidP="003473CF">
      <w:pPr>
        <w:rPr>
          <w:rFonts w:eastAsia="Helvetica Neue"/>
        </w:rPr>
      </w:pPr>
      <w:r w:rsidRPr="00A64CBE">
        <w:rPr>
          <w:rFonts w:eastAsia="Helvetica Neue"/>
        </w:rPr>
        <w:t xml:space="preserve">It is well established that </w:t>
      </w:r>
      <w:r>
        <w:rPr>
          <w:rFonts w:eastAsia="Helvetica Neue"/>
        </w:rPr>
        <w:t>GBV</w:t>
      </w:r>
      <w:r w:rsidRPr="00A64CBE">
        <w:rPr>
          <w:rFonts w:eastAsia="Helvetica Neue"/>
        </w:rPr>
        <w:t xml:space="preserve"> is a form of gender-based discrimination that violates fundamental rights, including:</w:t>
      </w:r>
      <w:r w:rsidRPr="00A64CBE">
        <w:rPr>
          <w:rFonts w:eastAsia="Helvetica Neue"/>
          <w:vertAlign w:val="superscript"/>
        </w:rPr>
        <w:endnoteReference w:id="228"/>
      </w:r>
      <w:r w:rsidRPr="00A64CBE">
        <w:rPr>
          <w:rFonts w:eastAsia="Helvetica Neue"/>
        </w:rPr>
        <w:t xml:space="preserve"> </w:t>
      </w:r>
    </w:p>
    <w:p w14:paraId="0A8998DF" w14:textId="77777777" w:rsidR="00952028" w:rsidRPr="00A64CBE" w:rsidRDefault="00952028" w:rsidP="002D42BF">
      <w:pPr>
        <w:pStyle w:val="ListBullet"/>
      </w:pPr>
      <w:r w:rsidRPr="003473CF">
        <w:t>The right to be free from</w:t>
      </w:r>
      <w:r w:rsidRPr="003473CF">
        <w:rPr>
          <w:b/>
        </w:rPr>
        <w:t xml:space="preserve"> </w:t>
      </w:r>
      <w:r w:rsidRPr="003473CF">
        <w:t>GBV, protected in the Convention on the Rights of Persons with Disabilities (CRPD),</w:t>
      </w:r>
      <w:r w:rsidRPr="00A64CBE">
        <w:rPr>
          <w:vertAlign w:val="superscript"/>
        </w:rPr>
        <w:endnoteReference w:id="229"/>
      </w:r>
      <w:r w:rsidRPr="003473CF">
        <w:t xml:space="preserve"> Convention on the Elimination of All Forms of Discrimination against Women (CEDAW),</w:t>
      </w:r>
      <w:r w:rsidRPr="00A64CBE">
        <w:rPr>
          <w:vertAlign w:val="superscript"/>
        </w:rPr>
        <w:endnoteReference w:id="230"/>
      </w:r>
      <w:r w:rsidRPr="003473CF">
        <w:t xml:space="preserve"> and Convention on the Rights of the Child (CRC).</w:t>
      </w:r>
      <w:r w:rsidRPr="00A64CBE">
        <w:rPr>
          <w:vertAlign w:val="superscript"/>
        </w:rPr>
        <w:endnoteReference w:id="231"/>
      </w:r>
    </w:p>
    <w:p w14:paraId="5BBA586F" w14:textId="77777777" w:rsidR="00952028" w:rsidRPr="00A64CBE" w:rsidRDefault="00952028" w:rsidP="002D42BF">
      <w:pPr>
        <w:pStyle w:val="ListBullet"/>
      </w:pPr>
      <w:r w:rsidRPr="003473CF">
        <w:t>The right to physical and psychological recovery, rehabilitation, and social reintegration of victims of violence, abuse, or exploitation, protected in the CRPD</w:t>
      </w:r>
      <w:r w:rsidRPr="00A64CBE">
        <w:rPr>
          <w:vertAlign w:val="superscript"/>
        </w:rPr>
        <w:endnoteReference w:id="232"/>
      </w:r>
      <w:r w:rsidRPr="003473CF">
        <w:t xml:space="preserve"> and the CRC.</w:t>
      </w:r>
      <w:r w:rsidRPr="00A64CBE">
        <w:rPr>
          <w:vertAlign w:val="superscript"/>
        </w:rPr>
        <w:endnoteReference w:id="233"/>
      </w:r>
    </w:p>
    <w:p w14:paraId="16DF87B9" w14:textId="77777777" w:rsidR="00952028" w:rsidRPr="00A64CBE" w:rsidRDefault="00952028" w:rsidP="002D42BF">
      <w:pPr>
        <w:pStyle w:val="ListBullet"/>
      </w:pPr>
      <w:r w:rsidRPr="003473CF">
        <w:t>The right to equality and non-discrimination, protected in the International Covenant on Civil and Political Rights (ICCPR),</w:t>
      </w:r>
      <w:r w:rsidRPr="00A64CBE">
        <w:rPr>
          <w:vertAlign w:val="superscript"/>
        </w:rPr>
        <w:endnoteReference w:id="234"/>
      </w:r>
      <w:r w:rsidRPr="003473CF">
        <w:t xml:space="preserve"> the International Covenant on Economic, Social, and Cultural Rights (ICESCR),</w:t>
      </w:r>
      <w:r w:rsidRPr="00A64CBE">
        <w:rPr>
          <w:vertAlign w:val="superscript"/>
        </w:rPr>
        <w:endnoteReference w:id="235"/>
      </w:r>
      <w:r w:rsidRPr="003473CF">
        <w:t xml:space="preserve"> CRPD,</w:t>
      </w:r>
      <w:r w:rsidRPr="00A64CBE">
        <w:rPr>
          <w:vertAlign w:val="superscript"/>
        </w:rPr>
        <w:endnoteReference w:id="236"/>
      </w:r>
      <w:r w:rsidRPr="003473CF">
        <w:t xml:space="preserve"> and CEDAW.</w:t>
      </w:r>
      <w:r w:rsidRPr="00A64CBE">
        <w:rPr>
          <w:vertAlign w:val="superscript"/>
        </w:rPr>
        <w:endnoteReference w:id="237"/>
      </w:r>
      <w:r w:rsidRPr="003473CF">
        <w:t xml:space="preserve"> </w:t>
      </w:r>
    </w:p>
    <w:p w14:paraId="18667F2E" w14:textId="77777777" w:rsidR="00952028" w:rsidRPr="00A64CBE" w:rsidRDefault="00952028" w:rsidP="002D42BF">
      <w:pPr>
        <w:pStyle w:val="ListBullet"/>
      </w:pPr>
      <w:r w:rsidRPr="003473CF">
        <w:t>The right to life</w:t>
      </w:r>
      <w:r w:rsidRPr="003473CF">
        <w:rPr>
          <w:b/>
        </w:rPr>
        <w:t>,</w:t>
      </w:r>
      <w:r w:rsidRPr="003473CF">
        <w:t xml:space="preserve"> protected in the ICCPR,</w:t>
      </w:r>
      <w:r w:rsidRPr="00A64CBE">
        <w:rPr>
          <w:vertAlign w:val="superscript"/>
        </w:rPr>
        <w:endnoteReference w:id="238"/>
      </w:r>
      <w:r w:rsidRPr="003473CF">
        <w:t xml:space="preserve"> CRPD,</w:t>
      </w:r>
      <w:r w:rsidRPr="00A64CBE">
        <w:rPr>
          <w:vertAlign w:val="superscript"/>
        </w:rPr>
        <w:endnoteReference w:id="239"/>
      </w:r>
      <w:r w:rsidRPr="003473CF">
        <w:t xml:space="preserve"> and the CRC.</w:t>
      </w:r>
      <w:r w:rsidRPr="00A64CBE">
        <w:rPr>
          <w:vertAlign w:val="superscript"/>
        </w:rPr>
        <w:endnoteReference w:id="240"/>
      </w:r>
    </w:p>
    <w:p w14:paraId="2F29B951" w14:textId="77777777" w:rsidR="00952028" w:rsidRPr="00A64CBE" w:rsidRDefault="00952028" w:rsidP="002D42BF">
      <w:pPr>
        <w:pStyle w:val="ListBullet"/>
      </w:pPr>
      <w:r w:rsidRPr="003473CF">
        <w:t>The right to be free from torture and other cruel, inhuman or degrading treatment or punishment, protected in the ICCPR,</w:t>
      </w:r>
      <w:r w:rsidRPr="00A64CBE">
        <w:rPr>
          <w:vertAlign w:val="superscript"/>
        </w:rPr>
        <w:endnoteReference w:id="241"/>
      </w:r>
      <w:r w:rsidRPr="003473CF">
        <w:t xml:space="preserve"> the Convention against Torture and other Cruel, Inhuman, and Degrading Treatment or Punishment (CAT),</w:t>
      </w:r>
      <w:r w:rsidRPr="00A64CBE">
        <w:rPr>
          <w:vertAlign w:val="superscript"/>
        </w:rPr>
        <w:endnoteReference w:id="242"/>
      </w:r>
      <w:r w:rsidRPr="003473CF">
        <w:t xml:space="preserve"> the CRPD,</w:t>
      </w:r>
      <w:r w:rsidRPr="00A64CBE">
        <w:rPr>
          <w:vertAlign w:val="superscript"/>
        </w:rPr>
        <w:endnoteReference w:id="243"/>
      </w:r>
      <w:r w:rsidRPr="003473CF">
        <w:t xml:space="preserve"> and the CRC.</w:t>
      </w:r>
      <w:r w:rsidRPr="00A64CBE">
        <w:rPr>
          <w:vertAlign w:val="superscript"/>
        </w:rPr>
        <w:endnoteReference w:id="244"/>
      </w:r>
    </w:p>
    <w:p w14:paraId="6EB71557" w14:textId="77777777" w:rsidR="00952028" w:rsidRPr="00A64CBE" w:rsidRDefault="00952028" w:rsidP="002D42BF">
      <w:pPr>
        <w:pStyle w:val="ListBullet"/>
      </w:pPr>
      <w:r w:rsidRPr="003473CF">
        <w:t>The right to liberty and security of the person, protected in the ICCPR</w:t>
      </w:r>
      <w:r w:rsidRPr="00A64CBE">
        <w:rPr>
          <w:vertAlign w:val="superscript"/>
        </w:rPr>
        <w:endnoteReference w:id="245"/>
      </w:r>
      <w:r w:rsidRPr="003473CF">
        <w:t xml:space="preserve"> and the CRPD.</w:t>
      </w:r>
      <w:r w:rsidRPr="00A64CBE">
        <w:rPr>
          <w:vertAlign w:val="superscript"/>
        </w:rPr>
        <w:endnoteReference w:id="246"/>
      </w:r>
      <w:r w:rsidRPr="003473CF">
        <w:t xml:space="preserve"> </w:t>
      </w:r>
    </w:p>
    <w:p w14:paraId="00BA9E4D" w14:textId="77777777" w:rsidR="00952028" w:rsidRPr="00A64CBE" w:rsidRDefault="00952028" w:rsidP="002D42BF">
      <w:pPr>
        <w:pStyle w:val="ListBullet"/>
      </w:pPr>
      <w:r w:rsidRPr="003473CF">
        <w:t>The right to consent to marriage and to equal rights within marriage, protected in the ICCPR,</w:t>
      </w:r>
      <w:r w:rsidRPr="00A64CBE">
        <w:rPr>
          <w:vertAlign w:val="superscript"/>
        </w:rPr>
        <w:endnoteReference w:id="247"/>
      </w:r>
      <w:r w:rsidRPr="003473CF">
        <w:t xml:space="preserve"> the ICESCR,</w:t>
      </w:r>
      <w:r w:rsidRPr="00A64CBE">
        <w:rPr>
          <w:vertAlign w:val="superscript"/>
        </w:rPr>
        <w:endnoteReference w:id="248"/>
      </w:r>
      <w:r w:rsidRPr="003473CF">
        <w:t xml:space="preserve"> CEDAW,</w:t>
      </w:r>
      <w:r w:rsidRPr="00A64CBE">
        <w:rPr>
          <w:vertAlign w:val="superscript"/>
        </w:rPr>
        <w:endnoteReference w:id="249"/>
      </w:r>
      <w:r w:rsidRPr="003473CF">
        <w:t xml:space="preserve"> and the CRPD.</w:t>
      </w:r>
      <w:r w:rsidRPr="00A64CBE">
        <w:rPr>
          <w:vertAlign w:val="superscript"/>
        </w:rPr>
        <w:endnoteReference w:id="250"/>
      </w:r>
    </w:p>
    <w:p w14:paraId="12578E79" w14:textId="77777777" w:rsidR="00952028" w:rsidRPr="00A64CBE" w:rsidRDefault="00952028" w:rsidP="002D42BF">
      <w:pPr>
        <w:pStyle w:val="ListBullet"/>
      </w:pPr>
      <w:r w:rsidRPr="003473CF">
        <w:t>The right to be free from practices that harm women and young persons with disabilities, protected in CRPD,</w:t>
      </w:r>
      <w:r w:rsidRPr="00A64CBE">
        <w:rPr>
          <w:vertAlign w:val="superscript"/>
        </w:rPr>
        <w:endnoteReference w:id="251"/>
      </w:r>
      <w:r w:rsidRPr="003473CF">
        <w:t xml:space="preserve"> CEDAW,</w:t>
      </w:r>
      <w:r w:rsidRPr="00A64CBE">
        <w:rPr>
          <w:vertAlign w:val="superscript"/>
        </w:rPr>
        <w:endnoteReference w:id="252"/>
      </w:r>
      <w:r w:rsidRPr="003473CF">
        <w:t xml:space="preserve"> and CRC.</w:t>
      </w:r>
      <w:r w:rsidRPr="00A64CBE">
        <w:rPr>
          <w:vertAlign w:val="superscript"/>
        </w:rPr>
        <w:endnoteReference w:id="253"/>
      </w:r>
      <w:r w:rsidRPr="003473CF">
        <w:t xml:space="preserve"> </w:t>
      </w:r>
    </w:p>
    <w:p w14:paraId="440168A9" w14:textId="77777777" w:rsidR="00952028" w:rsidRPr="00A64CBE" w:rsidRDefault="00952028" w:rsidP="002D42BF">
      <w:pPr>
        <w:pStyle w:val="ListBullet"/>
      </w:pPr>
      <w:r w:rsidRPr="003473CF">
        <w:t>The right to equality before the law and access to justice, protected in the ICCPR</w:t>
      </w:r>
      <w:r w:rsidRPr="00A64CBE">
        <w:rPr>
          <w:vertAlign w:val="superscript"/>
        </w:rPr>
        <w:endnoteReference w:id="254"/>
      </w:r>
      <w:r w:rsidRPr="003473CF">
        <w:t xml:space="preserve"> and CRPD.</w:t>
      </w:r>
      <w:r w:rsidRPr="00A64CBE">
        <w:rPr>
          <w:vertAlign w:val="superscript"/>
        </w:rPr>
        <w:endnoteReference w:id="255"/>
      </w:r>
    </w:p>
    <w:p w14:paraId="05190349" w14:textId="77777777" w:rsidR="00952028" w:rsidRPr="00A64CBE" w:rsidRDefault="00952028" w:rsidP="002D42BF">
      <w:pPr>
        <w:pStyle w:val="ListBullet"/>
      </w:pPr>
      <w:r w:rsidRPr="003473CF">
        <w:t>The right to an adequate standard of living and social protection, protected in the ICESCR</w:t>
      </w:r>
      <w:r w:rsidRPr="00A64CBE">
        <w:rPr>
          <w:vertAlign w:val="superscript"/>
        </w:rPr>
        <w:endnoteReference w:id="256"/>
      </w:r>
      <w:r w:rsidRPr="003473CF">
        <w:t xml:space="preserve"> and CRPD.</w:t>
      </w:r>
      <w:r w:rsidRPr="00A64CBE">
        <w:rPr>
          <w:vertAlign w:val="superscript"/>
        </w:rPr>
        <w:endnoteReference w:id="257"/>
      </w:r>
    </w:p>
    <w:p w14:paraId="77C4328F" w14:textId="77777777" w:rsidR="0063368C" w:rsidRPr="0063368C" w:rsidRDefault="00952028" w:rsidP="002D42BF">
      <w:pPr>
        <w:pStyle w:val="ListBullet"/>
        <w:rPr>
          <w:rFonts w:eastAsia="Times New Roman"/>
        </w:rPr>
      </w:pPr>
      <w:r w:rsidRPr="003473CF">
        <w:t>The right to protection and safety for persons with disabilities in situations of risk, including humanitarian emergencies, protected in the CRPD.</w:t>
      </w:r>
      <w:r w:rsidRPr="00A64CBE">
        <w:rPr>
          <w:vertAlign w:val="superscript"/>
        </w:rPr>
        <w:endnoteReference w:id="258"/>
      </w:r>
    </w:p>
    <w:p w14:paraId="61D786E9" w14:textId="77777777" w:rsidR="0063368C" w:rsidRDefault="00952028" w:rsidP="0063368C">
      <w:r w:rsidRPr="0063368C">
        <w:rPr>
          <w:rFonts w:eastAsia="Helvetica Neue"/>
        </w:rPr>
        <w:t>States have specific obligations under international human rights law to prevent, protect against, investigate, punish, and redress GBV—obligations that are collectively referred to as a State’s due diligence obligations.</w:t>
      </w:r>
      <w:r w:rsidRPr="00A64CBE">
        <w:rPr>
          <w:rFonts w:eastAsia="Helvetica Neue"/>
          <w:vertAlign w:val="superscript"/>
        </w:rPr>
        <w:endnoteReference w:id="259"/>
      </w:r>
      <w:r w:rsidRPr="0063368C">
        <w:rPr>
          <w:rFonts w:eastAsia="Helvetica Neue"/>
        </w:rPr>
        <w:t xml:space="preserve"> An essential component of this obligation is to establish comprehensive laws and policies to prevent and punish GBV.</w:t>
      </w:r>
      <w:r w:rsidRPr="00A64CBE">
        <w:rPr>
          <w:rFonts w:eastAsia="Helvetica Neue"/>
          <w:vertAlign w:val="superscript"/>
        </w:rPr>
        <w:endnoteReference w:id="260"/>
      </w:r>
    </w:p>
    <w:p w14:paraId="5E8D7A31" w14:textId="057E8596" w:rsidR="00952028" w:rsidRPr="0063368C" w:rsidRDefault="00952028" w:rsidP="0063368C">
      <w:r w:rsidRPr="00A64CBE">
        <w:rPr>
          <w:rFonts w:eastAsia="Helvetica Neue"/>
        </w:rPr>
        <w:t xml:space="preserve">The Committee on the Elimination of Discrimination Against Women urges States to take a number of steps to address </w:t>
      </w:r>
      <w:r>
        <w:rPr>
          <w:rFonts w:eastAsia="Helvetica Neue"/>
        </w:rPr>
        <w:t>GBV</w:t>
      </w:r>
      <w:r w:rsidRPr="00A64CBE">
        <w:rPr>
          <w:rFonts w:eastAsia="Helvetica Neue"/>
        </w:rPr>
        <w:t xml:space="preserve">, including: </w:t>
      </w:r>
    </w:p>
    <w:p w14:paraId="74959984" w14:textId="77777777" w:rsidR="00952028" w:rsidRPr="00A64CBE" w:rsidRDefault="00952028" w:rsidP="006E6012">
      <w:pPr>
        <w:pStyle w:val="ListParagraph"/>
        <w:numPr>
          <w:ilvl w:val="0"/>
          <w:numId w:val="42"/>
        </w:numPr>
        <w:ind w:left="360"/>
      </w:pPr>
      <w:r w:rsidRPr="003473CF">
        <w:rPr>
          <w:rFonts w:eastAsia="Helvetica Neue"/>
        </w:rPr>
        <w:lastRenderedPageBreak/>
        <w:t>Criminalizing all forms of GBV in all spheres (public and private) and ensuring that laws addressing sexual assault encompass marital rape, acquaintance and date rape, and other scenarios where consent is not freely given.</w:t>
      </w:r>
      <w:r w:rsidRPr="00A64CBE">
        <w:rPr>
          <w:rFonts w:eastAsia="Helvetica Neue"/>
          <w:vertAlign w:val="superscript"/>
        </w:rPr>
        <w:endnoteReference w:id="261"/>
      </w:r>
    </w:p>
    <w:p w14:paraId="2A2F567D" w14:textId="77777777" w:rsidR="00952028" w:rsidRPr="00A64CBE" w:rsidRDefault="00952028" w:rsidP="006E6012">
      <w:pPr>
        <w:pStyle w:val="ListParagraph"/>
        <w:numPr>
          <w:ilvl w:val="0"/>
          <w:numId w:val="42"/>
        </w:numPr>
        <w:ind w:left="360"/>
      </w:pPr>
      <w:r w:rsidRPr="003473CF">
        <w:rPr>
          <w:rFonts w:eastAsia="Helvetica Neue"/>
        </w:rPr>
        <w:t>Repealing “laws that prevent or deter women from reporting GBV, such as guardianship laws that deprive women of legal capacity or restrict the ability of women with disabilities to testify in court”.</w:t>
      </w:r>
      <w:r w:rsidRPr="00A64CBE">
        <w:rPr>
          <w:rFonts w:eastAsia="Helvetica Neue"/>
          <w:vertAlign w:val="superscript"/>
        </w:rPr>
        <w:endnoteReference w:id="262"/>
      </w:r>
    </w:p>
    <w:p w14:paraId="7515C4DC" w14:textId="77777777" w:rsidR="00952028" w:rsidRPr="00A64CBE" w:rsidRDefault="00952028" w:rsidP="006E6012">
      <w:pPr>
        <w:pStyle w:val="ListParagraph"/>
        <w:numPr>
          <w:ilvl w:val="0"/>
          <w:numId w:val="42"/>
        </w:numPr>
        <w:ind w:left="360"/>
      </w:pPr>
      <w:r w:rsidRPr="003473CF">
        <w:rPr>
          <w:rFonts w:eastAsia="Helvetica Neue"/>
        </w:rPr>
        <w:t>Taking measures to prevent GBV, including, for example, by addressing the root causes of such violence (such as patriarchal stereotypes) and conducting awareness-raising campaigns.</w:t>
      </w:r>
      <w:r w:rsidRPr="00A64CBE">
        <w:rPr>
          <w:rFonts w:eastAsia="Helvetica Neue"/>
          <w:vertAlign w:val="superscript"/>
        </w:rPr>
        <w:endnoteReference w:id="263"/>
      </w:r>
      <w:r w:rsidRPr="003473CF">
        <w:rPr>
          <w:rFonts w:eastAsia="Helvetica Neue"/>
        </w:rPr>
        <w:t xml:space="preserve"> </w:t>
      </w:r>
    </w:p>
    <w:p w14:paraId="5F2E28C0" w14:textId="77777777" w:rsidR="00952028" w:rsidRPr="00A64CBE" w:rsidRDefault="00952028" w:rsidP="006E6012">
      <w:pPr>
        <w:pStyle w:val="ListParagraph"/>
        <w:numPr>
          <w:ilvl w:val="0"/>
          <w:numId w:val="42"/>
        </w:numPr>
        <w:ind w:left="360"/>
      </w:pPr>
      <w:r w:rsidRPr="003473CF">
        <w:rPr>
          <w:rFonts w:eastAsia="Helvetica Neue"/>
        </w:rPr>
        <w:t>Providing appropriate protection and support services to victims/survivors.</w:t>
      </w:r>
      <w:r w:rsidRPr="00A64CBE">
        <w:rPr>
          <w:rFonts w:eastAsia="Helvetica Neue"/>
          <w:vertAlign w:val="superscript"/>
        </w:rPr>
        <w:endnoteReference w:id="264"/>
      </w:r>
      <w:r w:rsidRPr="003473CF">
        <w:rPr>
          <w:rFonts w:eastAsia="Helvetica Neue"/>
        </w:rPr>
        <w:t xml:space="preserve"> </w:t>
      </w:r>
    </w:p>
    <w:p w14:paraId="08DE3F45" w14:textId="77777777" w:rsidR="00952028" w:rsidRPr="00A64CBE" w:rsidRDefault="00952028" w:rsidP="006E6012">
      <w:pPr>
        <w:pStyle w:val="ListParagraph"/>
        <w:numPr>
          <w:ilvl w:val="0"/>
          <w:numId w:val="42"/>
        </w:numPr>
        <w:ind w:left="360"/>
      </w:pPr>
      <w:r w:rsidRPr="003473CF">
        <w:rPr>
          <w:rFonts w:eastAsia="Helvetica Neue"/>
        </w:rPr>
        <w:t>Taking all legal and other measures to provide effective protection against GBV, including legal, preventive, and protective measures.</w:t>
      </w:r>
      <w:r w:rsidRPr="00A64CBE">
        <w:rPr>
          <w:rFonts w:eastAsia="Helvetica Neue"/>
          <w:vertAlign w:val="superscript"/>
        </w:rPr>
        <w:endnoteReference w:id="265"/>
      </w:r>
      <w:r w:rsidRPr="003473CF">
        <w:rPr>
          <w:rFonts w:eastAsia="Helvetica Neue"/>
        </w:rPr>
        <w:t xml:space="preserve"> </w:t>
      </w:r>
    </w:p>
    <w:p w14:paraId="6B0FD2E1" w14:textId="77777777" w:rsidR="00952028" w:rsidRPr="00A64CBE" w:rsidRDefault="00952028" w:rsidP="003473CF">
      <w:pPr>
        <w:rPr>
          <w:rFonts w:eastAsia="Helvetica Neue"/>
        </w:rPr>
      </w:pPr>
      <w:r w:rsidRPr="00A64CBE">
        <w:rPr>
          <w:rFonts w:eastAsia="Helvetica Neue"/>
        </w:rPr>
        <w:t>The Committee on the Rights of Persons with Disabilities has reiterated the obligation of States to exercise due diligence with respect to the rights of women with disabilities to be free from exploitation, violence, and abuse, especially given their heightened risk of such violations.</w:t>
      </w:r>
      <w:r w:rsidRPr="00A64CBE">
        <w:rPr>
          <w:rFonts w:eastAsia="Helvetica Neue"/>
          <w:vertAlign w:val="superscript"/>
        </w:rPr>
        <w:endnoteReference w:id="266"/>
      </w:r>
      <w:r w:rsidRPr="00A64CBE">
        <w:rPr>
          <w:rFonts w:eastAsia="Helvetica Neue"/>
        </w:rPr>
        <w:t xml:space="preserve"> The Committee on the Rights of the Child has explained that as part of the obligation to protect children from all forms of violence, States must “create more opportunities for scaling up institutional programmes on prevention and rehabilitation, and the social reintegration of adolescent victims”</w:t>
      </w:r>
      <w:r w:rsidRPr="00A64CBE">
        <w:rPr>
          <w:rFonts w:eastAsia="Helvetica Neue"/>
          <w:vertAlign w:val="superscript"/>
        </w:rPr>
        <w:endnoteReference w:id="267"/>
      </w:r>
      <w:r w:rsidRPr="00A64CBE">
        <w:rPr>
          <w:rFonts w:eastAsia="Helvetica Neue"/>
        </w:rPr>
        <w:t xml:space="preserve"> and calls for participation of adolescents in the development of these programmes and strategies.</w:t>
      </w:r>
      <w:r w:rsidRPr="00A64CBE">
        <w:rPr>
          <w:rFonts w:eastAsia="Helvetica Neue"/>
          <w:vertAlign w:val="superscript"/>
        </w:rPr>
        <w:endnoteReference w:id="268"/>
      </w:r>
    </w:p>
    <w:p w14:paraId="78A680BD" w14:textId="38B7EF9E" w:rsidR="003473CF" w:rsidRPr="007B7686" w:rsidRDefault="00B3695D" w:rsidP="00CD00E1">
      <w:pPr>
        <w:pStyle w:val="Heading3"/>
        <w:spacing w:line="360" w:lineRule="auto"/>
        <w:ind w:hanging="90"/>
        <w:rPr>
          <w:color w:val="9B4868"/>
          <w:sz w:val="32"/>
          <w:szCs w:val="32"/>
        </w:rPr>
      </w:pPr>
      <w:r w:rsidRPr="00B92BF0">
        <w:rPr>
          <w:noProof/>
          <w:sz w:val="32"/>
          <w:szCs w:val="32"/>
        </w:rPr>
        <mc:AlternateContent>
          <mc:Choice Requires="wps">
            <w:drawing>
              <wp:inline distT="0" distB="0" distL="0" distR="0" wp14:anchorId="03705B71" wp14:editId="1B88A961">
                <wp:extent cx="5943600" cy="0"/>
                <wp:effectExtent l="0" t="38100" r="25400" b="38100"/>
                <wp:docPr id="18" name="Straight Connector 18" descr="Text box follows"/>
                <wp:cNvGraphicFramePr/>
                <a:graphic xmlns:a="http://schemas.openxmlformats.org/drawingml/2006/main">
                  <a:graphicData uri="http://schemas.microsoft.com/office/word/2010/wordprocessingShape">
                    <wps:wsp>
                      <wps:cNvCnPr/>
                      <wps:spPr>
                        <a:xfrm>
                          <a:off x="0" y="0"/>
                          <a:ext cx="5943600" cy="0"/>
                        </a:xfrm>
                        <a:prstGeom prst="line">
                          <a:avLst/>
                        </a:prstGeom>
                        <a:ln w="76200">
                          <a:solidFill>
                            <a:srgbClr val="9B4868"/>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033DB820" id="Straight Connector 18" o:spid="_x0000_s1026" alt="Text box foll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" strokecolor="#9b4868" strokeweight="6pt">
                <w10:anchorlock/>
              </v:line>
            </w:pict>
          </mc:Fallback>
        </mc:AlternateContent>
      </w:r>
      <w:r w:rsidR="00952028" w:rsidRPr="007B7686">
        <w:rPr>
          <w:color w:val="9B4868"/>
          <w:sz w:val="32"/>
          <w:szCs w:val="32"/>
        </w:rPr>
        <w:t>Humanitarian Emergencies—Key Concept: GBV Standards</w:t>
      </w:r>
    </w:p>
    <w:p w14:paraId="55F6163B" w14:textId="09B07DBF" w:rsidR="00952028" w:rsidRPr="003473CF" w:rsidRDefault="00952028" w:rsidP="003473CF">
      <w:pPr>
        <w:rPr>
          <w:rFonts w:eastAsia="Helvetica Neue"/>
        </w:rPr>
      </w:pPr>
      <w:r w:rsidRPr="00A64CBE">
        <w:rPr>
          <w:rFonts w:eastAsia="Helvetica Neue"/>
        </w:rPr>
        <w:t xml:space="preserve">Ensure that minimum standards are followed for all services offered and provided to women and young </w:t>
      </w:r>
      <w:r>
        <w:rPr>
          <w:rFonts w:eastAsia="Helvetica Neue"/>
        </w:rPr>
        <w:t>persons</w:t>
      </w:r>
      <w:r w:rsidRPr="00A64CBE">
        <w:rPr>
          <w:rFonts w:eastAsia="Helvetica Neue"/>
        </w:rPr>
        <w:t xml:space="preserve"> with disabilities. International agencies have developed comprehensive gender equality</w:t>
      </w:r>
      <w:r w:rsidRPr="00385596">
        <w:rPr>
          <w:rStyle w:val="EndnoteReference"/>
          <w:rFonts w:eastAsia="Helvetica Neue"/>
        </w:rPr>
        <w:endnoteReference w:id="269"/>
      </w:r>
      <w:r w:rsidRPr="00385596">
        <w:rPr>
          <w:rStyle w:val="EndnoteReference"/>
          <w:rFonts w:eastAsia="Helvetica Neue"/>
        </w:rPr>
        <w:t xml:space="preserve"> </w:t>
      </w:r>
      <w:r w:rsidRPr="00A64CBE">
        <w:rPr>
          <w:rFonts w:eastAsia="Helvetica Neue"/>
        </w:rPr>
        <w:t xml:space="preserve">and minimum standards for </w:t>
      </w:r>
      <w:r>
        <w:rPr>
          <w:rFonts w:eastAsia="Helvetica Neue"/>
        </w:rPr>
        <w:t>GBV</w:t>
      </w:r>
      <w:r w:rsidRPr="00A64CBE">
        <w:rPr>
          <w:rFonts w:eastAsia="Helvetica Neue"/>
        </w:rPr>
        <w:t xml:space="preserve"> services during emergencies,</w:t>
      </w:r>
      <w:r w:rsidRPr="00385596">
        <w:rPr>
          <w:rStyle w:val="EndnoteReference"/>
          <w:rFonts w:eastAsia="Helvetica Neue"/>
        </w:rPr>
        <w:endnoteReference w:id="270"/>
      </w:r>
      <w:r w:rsidRPr="00A64CBE">
        <w:rPr>
          <w:rFonts w:eastAsia="Helvetica Neue"/>
        </w:rPr>
        <w:t xml:space="preserve"> but these guidelines are not tailored for </w:t>
      </w:r>
      <w:r>
        <w:rPr>
          <w:rFonts w:eastAsia="Helvetica Neue"/>
        </w:rPr>
        <w:t>persons</w:t>
      </w:r>
      <w:r w:rsidRPr="00A64CBE">
        <w:rPr>
          <w:rFonts w:eastAsia="Helvetica Neue"/>
        </w:rPr>
        <w:t xml:space="preserve"> with disabilities. Service providers and support staff</w:t>
      </w:r>
      <w:r w:rsidRPr="00A64CBE" w:rsidDel="00565DD1">
        <w:rPr>
          <w:rFonts w:eastAsia="Helvetica Neue"/>
        </w:rPr>
        <w:t xml:space="preserve"> </w:t>
      </w:r>
      <w:r w:rsidRPr="00A64CBE">
        <w:rPr>
          <w:rFonts w:eastAsia="Helvetica Neue"/>
        </w:rPr>
        <w:t xml:space="preserve">should work with women and young </w:t>
      </w:r>
      <w:r>
        <w:rPr>
          <w:rFonts w:eastAsia="Helvetica Neue"/>
        </w:rPr>
        <w:t>persons</w:t>
      </w:r>
      <w:r w:rsidRPr="00A64CBE">
        <w:rPr>
          <w:rFonts w:eastAsia="Helvetica Neue"/>
        </w:rPr>
        <w:t xml:space="preserve"> with disabilities to understand how to implement these standards with the adaptations and accommodations required by women and young </w:t>
      </w:r>
      <w:r w:rsidR="000C4D76">
        <w:rPr>
          <w:rFonts w:eastAsia="Helvetica Neue"/>
        </w:rPr>
        <w:t>persons</w:t>
      </w:r>
      <w:r w:rsidR="000C4D76" w:rsidRPr="00A64CBE">
        <w:rPr>
          <w:rFonts w:eastAsia="Helvetica Neue"/>
        </w:rPr>
        <w:t xml:space="preserve"> </w:t>
      </w:r>
      <w:r w:rsidRPr="00A64CBE">
        <w:rPr>
          <w:rFonts w:eastAsia="Helvetica Neue"/>
        </w:rPr>
        <w:t xml:space="preserve">with disabilities. </w:t>
      </w:r>
    </w:p>
    <w:p w14:paraId="5CBFC6CC" w14:textId="4B8F5CE4" w:rsidR="00952028" w:rsidRPr="00B92BF0" w:rsidRDefault="00952028" w:rsidP="00B92BF0">
      <w:pPr>
        <w:rPr>
          <w:rFonts w:eastAsia="Helvetica Neue"/>
          <w:b/>
          <w:bCs/>
          <w:sz w:val="28"/>
          <w:szCs w:val="28"/>
        </w:rPr>
      </w:pPr>
      <w:r w:rsidRPr="00B92BF0">
        <w:rPr>
          <w:rFonts w:eastAsia="Helvetica Neue"/>
          <w:b/>
          <w:bCs/>
          <w:sz w:val="28"/>
          <w:szCs w:val="28"/>
        </w:rPr>
        <w:t>Minimum Standards for Prevention and Response to Gender-</w:t>
      </w:r>
      <w:r w:rsidR="00385596" w:rsidRPr="00B92BF0">
        <w:rPr>
          <w:rFonts w:eastAsia="Helvetica Neue"/>
          <w:b/>
          <w:bCs/>
          <w:sz w:val="28"/>
          <w:szCs w:val="28"/>
        </w:rPr>
        <w:t>B</w:t>
      </w:r>
      <w:r w:rsidRPr="00B92BF0">
        <w:rPr>
          <w:rFonts w:eastAsia="Helvetica Neue"/>
          <w:b/>
          <w:bCs/>
          <w:sz w:val="28"/>
          <w:szCs w:val="28"/>
        </w:rPr>
        <w:t>ased Violence in Emergencies</w:t>
      </w:r>
      <w:r w:rsidRPr="00B92BF0">
        <w:rPr>
          <w:rStyle w:val="EndnoteReference"/>
          <w:rFonts w:eastAsia="Helvetica Neue"/>
          <w:b/>
          <w:bCs/>
          <w:sz w:val="28"/>
          <w:szCs w:val="28"/>
        </w:rPr>
        <w:endnoteReference w:id="271"/>
      </w:r>
      <w:r w:rsidRPr="00B92BF0">
        <w:rPr>
          <w:rStyle w:val="EndnoteReference"/>
          <w:rFonts w:eastAsia="Helvetica Neue"/>
          <w:b/>
          <w:bCs/>
          <w:sz w:val="28"/>
          <w:szCs w:val="28"/>
        </w:rPr>
        <w:t xml:space="preserve"> </w:t>
      </w:r>
    </w:p>
    <w:p w14:paraId="3126B7A3" w14:textId="72EAF50F" w:rsidR="00952028" w:rsidRPr="003473CF" w:rsidRDefault="00952028" w:rsidP="003473CF">
      <w:pPr>
        <w:rPr>
          <w:rFonts w:eastAsia="Helvetica Neue"/>
        </w:rPr>
      </w:pPr>
      <w:r>
        <w:rPr>
          <w:rFonts w:eastAsia="Helvetica Neue"/>
        </w:rPr>
        <w:t>The following are</w:t>
      </w:r>
      <w:r w:rsidRPr="00A64CBE">
        <w:rPr>
          <w:rFonts w:eastAsia="Helvetica Neue"/>
        </w:rPr>
        <w:t xml:space="preserve"> minimum standards developed by UNFPA to address the heightened risk of </w:t>
      </w:r>
      <w:r>
        <w:rPr>
          <w:rFonts w:eastAsia="Helvetica Neue"/>
        </w:rPr>
        <w:t>GBV</w:t>
      </w:r>
      <w:r w:rsidRPr="00A64CBE">
        <w:rPr>
          <w:rFonts w:eastAsia="Helvetica Neue"/>
        </w:rPr>
        <w:t xml:space="preserve"> during emergency situations, such as natural disasters, or conflict situations, especially for women and girls: </w:t>
      </w:r>
    </w:p>
    <w:p w14:paraId="355FBAB6" w14:textId="77777777" w:rsidR="00952028" w:rsidRPr="003473CF" w:rsidRDefault="00952028" w:rsidP="006E6012">
      <w:pPr>
        <w:pStyle w:val="ListParagraph"/>
        <w:numPr>
          <w:ilvl w:val="0"/>
          <w:numId w:val="44"/>
        </w:numPr>
        <w:rPr>
          <w:rFonts w:eastAsia="Helvetica Neue"/>
        </w:rPr>
      </w:pPr>
      <w:r w:rsidRPr="003473CF">
        <w:rPr>
          <w:rFonts w:eastAsia="Helvetica Neue"/>
        </w:rPr>
        <w:t>Participation: Communities, including women and [young persons with disabilities], are engaged as active partners to end GBV and promote survivors’ access to services.</w:t>
      </w:r>
    </w:p>
    <w:p w14:paraId="348AB16F" w14:textId="77777777" w:rsidR="00952028" w:rsidRPr="003473CF" w:rsidRDefault="00952028" w:rsidP="006E6012">
      <w:pPr>
        <w:pStyle w:val="ListParagraph"/>
        <w:numPr>
          <w:ilvl w:val="0"/>
          <w:numId w:val="44"/>
        </w:numPr>
        <w:rPr>
          <w:rFonts w:eastAsia="Helvetica Neue"/>
        </w:rPr>
      </w:pPr>
      <w:r w:rsidRPr="003473CF">
        <w:rPr>
          <w:rFonts w:eastAsia="Helvetica Neue"/>
        </w:rPr>
        <w:t>National Systems: Actions to prevent, mitigate and respond to GBV in emergencies strengthen national systems and build local capacities.</w:t>
      </w:r>
    </w:p>
    <w:p w14:paraId="47C5B695" w14:textId="77777777" w:rsidR="00952028" w:rsidRPr="003473CF" w:rsidRDefault="00952028" w:rsidP="006E6012">
      <w:pPr>
        <w:pStyle w:val="ListParagraph"/>
        <w:numPr>
          <w:ilvl w:val="0"/>
          <w:numId w:val="44"/>
        </w:numPr>
        <w:rPr>
          <w:rFonts w:eastAsia="Helvetica Neue"/>
        </w:rPr>
      </w:pPr>
      <w:r w:rsidRPr="003473CF">
        <w:rPr>
          <w:rFonts w:eastAsia="Helvetica Neue"/>
        </w:rPr>
        <w:lastRenderedPageBreak/>
        <w:t>Positive Gender &amp; Social Norms: Emergency preparedness, prevention and response programming promotes positive social and gender norms to address GBV.</w:t>
      </w:r>
    </w:p>
    <w:p w14:paraId="06FA4202" w14:textId="77777777" w:rsidR="00952028" w:rsidRPr="003473CF" w:rsidRDefault="00952028" w:rsidP="006E6012">
      <w:pPr>
        <w:pStyle w:val="ListParagraph"/>
        <w:numPr>
          <w:ilvl w:val="0"/>
          <w:numId w:val="44"/>
        </w:numPr>
        <w:rPr>
          <w:rFonts w:eastAsia="Helvetica Neue"/>
        </w:rPr>
      </w:pPr>
      <w:r w:rsidRPr="003473CF">
        <w:rPr>
          <w:rFonts w:eastAsia="Helvetica Neue"/>
        </w:rPr>
        <w:t>Collecting &amp; Using Data: Quality, disaggregated, gender-sensitive data on the nature and scope of GBV and on the availability and accessibility of services informs programming, policy, and advocacy.</w:t>
      </w:r>
    </w:p>
    <w:p w14:paraId="49C2EBF7" w14:textId="77777777" w:rsidR="00952028" w:rsidRPr="003473CF" w:rsidRDefault="00952028" w:rsidP="006E6012">
      <w:pPr>
        <w:pStyle w:val="ListParagraph"/>
        <w:numPr>
          <w:ilvl w:val="0"/>
          <w:numId w:val="44"/>
        </w:numPr>
        <w:rPr>
          <w:rFonts w:eastAsia="Helvetica Neue"/>
        </w:rPr>
      </w:pPr>
      <w:r w:rsidRPr="003473CF">
        <w:rPr>
          <w:rFonts w:eastAsia="Helvetica Neue"/>
        </w:rPr>
        <w:t>Healthcare: GBV survivors, including women [and young persons with disabilities] access quality, life-saving healthcare services, with an emphasis on clinical management of rape and [sexual violence].</w:t>
      </w:r>
    </w:p>
    <w:p w14:paraId="55E34722" w14:textId="77777777" w:rsidR="00952028" w:rsidRPr="003473CF" w:rsidRDefault="00952028" w:rsidP="006E6012">
      <w:pPr>
        <w:pStyle w:val="ListParagraph"/>
        <w:numPr>
          <w:ilvl w:val="0"/>
          <w:numId w:val="44"/>
        </w:numPr>
        <w:rPr>
          <w:rFonts w:eastAsia="Helvetica Neue"/>
        </w:rPr>
      </w:pPr>
      <w:r w:rsidRPr="003473CF">
        <w:rPr>
          <w:rFonts w:eastAsia="Helvetica Neue"/>
        </w:rPr>
        <w:t>Mental Health &amp; Psychosocial Support: GBV survivors access quality mental health and psychosocial support focused on healing, empowerment, and recovery.</w:t>
      </w:r>
    </w:p>
    <w:p w14:paraId="0B2CCC7B" w14:textId="77777777" w:rsidR="00952028" w:rsidRPr="003473CF" w:rsidRDefault="00952028" w:rsidP="006E6012">
      <w:pPr>
        <w:pStyle w:val="ListParagraph"/>
        <w:numPr>
          <w:ilvl w:val="0"/>
          <w:numId w:val="44"/>
        </w:numPr>
        <w:rPr>
          <w:rFonts w:eastAsia="Helvetica Neue"/>
        </w:rPr>
      </w:pPr>
      <w:r w:rsidRPr="003473CF">
        <w:rPr>
          <w:rFonts w:eastAsia="Helvetica Neue"/>
        </w:rPr>
        <w:t>Safety &amp; Security: Safety and security measures are in place to prevent and mitigate GBV and protect survivors.</w:t>
      </w:r>
    </w:p>
    <w:p w14:paraId="50AD3817" w14:textId="77777777" w:rsidR="00952028" w:rsidRPr="003473CF" w:rsidRDefault="00952028" w:rsidP="006E6012">
      <w:pPr>
        <w:pStyle w:val="ListParagraph"/>
        <w:numPr>
          <w:ilvl w:val="0"/>
          <w:numId w:val="44"/>
        </w:numPr>
        <w:rPr>
          <w:rFonts w:eastAsia="Helvetica Neue"/>
        </w:rPr>
      </w:pPr>
      <w:r w:rsidRPr="003473CF">
        <w:rPr>
          <w:rFonts w:eastAsia="Helvetica Neue"/>
        </w:rPr>
        <w:t>Justice &amp; Legal Aid: The legal and justice sectors protect survivors’ rights and support their access to justice, consistent with international standards.</w:t>
      </w:r>
    </w:p>
    <w:p w14:paraId="204DA70B" w14:textId="77777777" w:rsidR="00952028" w:rsidRPr="003473CF" w:rsidRDefault="00952028" w:rsidP="006E6012">
      <w:pPr>
        <w:pStyle w:val="ListParagraph"/>
        <w:numPr>
          <w:ilvl w:val="0"/>
          <w:numId w:val="44"/>
        </w:numPr>
        <w:rPr>
          <w:rFonts w:eastAsia="Helvetica Neue"/>
        </w:rPr>
      </w:pPr>
      <w:r w:rsidRPr="003473CF">
        <w:rPr>
          <w:rFonts w:eastAsia="Helvetica Neue"/>
        </w:rPr>
        <w:t xml:space="preserve">Dignity Kits: Culturally relevant dignity kits are distributed to affected populations to reduce vulnerability and connect women and [young persons with disabilities] to information and support services. </w:t>
      </w:r>
    </w:p>
    <w:p w14:paraId="5E0E1EEC" w14:textId="77777777" w:rsidR="00952028" w:rsidRPr="003473CF" w:rsidRDefault="00952028" w:rsidP="006E6012">
      <w:pPr>
        <w:pStyle w:val="ListParagraph"/>
        <w:numPr>
          <w:ilvl w:val="0"/>
          <w:numId w:val="44"/>
        </w:numPr>
        <w:rPr>
          <w:rFonts w:eastAsia="Helvetica Neue"/>
        </w:rPr>
      </w:pPr>
      <w:r w:rsidRPr="003473CF">
        <w:rPr>
          <w:rFonts w:eastAsia="Helvetica Neue"/>
        </w:rPr>
        <w:t>Socio-Economic Empowerment: Women and [young persons with disabilities] access livelihood support to mitigate the risk of GBV, and survivors access socio-economic support as part of a multisector response.</w:t>
      </w:r>
    </w:p>
    <w:p w14:paraId="5EC519FA" w14:textId="77777777" w:rsidR="00952028" w:rsidRPr="003473CF" w:rsidRDefault="00952028" w:rsidP="006E6012">
      <w:pPr>
        <w:pStyle w:val="ListParagraph"/>
        <w:numPr>
          <w:ilvl w:val="0"/>
          <w:numId w:val="44"/>
        </w:numPr>
        <w:rPr>
          <w:rFonts w:eastAsia="Helvetica Neue"/>
        </w:rPr>
      </w:pPr>
      <w:r w:rsidRPr="003473CF">
        <w:rPr>
          <w:rFonts w:eastAsia="Helvetica Neue"/>
        </w:rPr>
        <w:t>Referral Systems: Referral systems are established to connect women [and young persons with disabilities] to appropriate multisector GBV prevention and response services in a timely and safe manner.</w:t>
      </w:r>
    </w:p>
    <w:p w14:paraId="4A826848" w14:textId="77777777" w:rsidR="00952028" w:rsidRPr="003473CF" w:rsidRDefault="00952028" w:rsidP="006E6012">
      <w:pPr>
        <w:pStyle w:val="ListParagraph"/>
        <w:numPr>
          <w:ilvl w:val="0"/>
          <w:numId w:val="44"/>
        </w:numPr>
        <w:rPr>
          <w:rFonts w:eastAsia="Helvetica Neue"/>
        </w:rPr>
      </w:pPr>
      <w:r w:rsidRPr="003473CF">
        <w:rPr>
          <w:rFonts w:eastAsia="Helvetica Neue"/>
        </w:rPr>
        <w:t>Mainstreaming: GBV risk mitigation and survivor support are integrated across humanitarian sectors at every stage of the programme cycle.</w:t>
      </w:r>
    </w:p>
    <w:p w14:paraId="07E7718B" w14:textId="77777777" w:rsidR="00952028" w:rsidRPr="003473CF" w:rsidRDefault="00952028" w:rsidP="006E6012">
      <w:pPr>
        <w:pStyle w:val="ListParagraph"/>
        <w:numPr>
          <w:ilvl w:val="0"/>
          <w:numId w:val="44"/>
        </w:numPr>
        <w:rPr>
          <w:rFonts w:eastAsia="Helvetica Neue"/>
        </w:rPr>
      </w:pPr>
      <w:r w:rsidRPr="003473CF">
        <w:rPr>
          <w:rFonts w:eastAsia="Helvetica Neue"/>
        </w:rPr>
        <w:t>Preparedness &amp; Assessment: Potential GBV risks and vulnerable groups are identified through quality gender- [and disability-] sensitive assessments, and risk-mitigation measures are put in place before the onset of an emergency.</w:t>
      </w:r>
    </w:p>
    <w:p w14:paraId="54FB9DBD" w14:textId="77777777" w:rsidR="00952028" w:rsidRPr="003473CF" w:rsidRDefault="00952028" w:rsidP="006E6012">
      <w:pPr>
        <w:pStyle w:val="ListParagraph"/>
        <w:numPr>
          <w:ilvl w:val="0"/>
          <w:numId w:val="44"/>
        </w:numPr>
        <w:rPr>
          <w:rFonts w:eastAsia="Helvetica Neue"/>
        </w:rPr>
      </w:pPr>
      <w:r w:rsidRPr="003473CF">
        <w:rPr>
          <w:rFonts w:eastAsia="Helvetica Neue"/>
        </w:rPr>
        <w:t>Coordination: Coordination results in effective action to mitigate and prevent GBV and promote survivors’ access to multisector services.</w:t>
      </w:r>
    </w:p>
    <w:p w14:paraId="53DF36FF" w14:textId="52D4B352" w:rsidR="00952028" w:rsidRPr="003473CF" w:rsidRDefault="00952028" w:rsidP="006E6012">
      <w:pPr>
        <w:pStyle w:val="ListParagraph"/>
        <w:numPr>
          <w:ilvl w:val="0"/>
          <w:numId w:val="44"/>
        </w:numPr>
        <w:rPr>
          <w:rFonts w:eastAsia="Helvetica Neue"/>
        </w:rPr>
      </w:pPr>
      <w:r w:rsidRPr="003473CF">
        <w:rPr>
          <w:rFonts w:eastAsia="Helvetica Neue"/>
        </w:rPr>
        <w:t xml:space="preserve">Advocacy &amp; Communication: Coordinated advocacy and communication lead to increased funding and changes in policies and practices that mitigate the risk of GBV, promote resilience of women and [young </w:t>
      </w:r>
      <w:r w:rsidR="000C4D76">
        <w:rPr>
          <w:rFonts w:eastAsia="Helvetica Neue"/>
        </w:rPr>
        <w:t>persons</w:t>
      </w:r>
      <w:r w:rsidR="000C4D76" w:rsidRPr="003473CF">
        <w:rPr>
          <w:rFonts w:eastAsia="Helvetica Neue"/>
        </w:rPr>
        <w:t xml:space="preserve"> </w:t>
      </w:r>
      <w:r w:rsidRPr="003473CF">
        <w:rPr>
          <w:rFonts w:eastAsia="Helvetica Neue"/>
        </w:rPr>
        <w:t>with disabilities] and encourage a protective environment for all.</w:t>
      </w:r>
    </w:p>
    <w:p w14:paraId="354DBE96" w14:textId="77777777" w:rsidR="00952028" w:rsidRPr="003473CF" w:rsidRDefault="00952028" w:rsidP="006E6012">
      <w:pPr>
        <w:pStyle w:val="ListParagraph"/>
        <w:numPr>
          <w:ilvl w:val="0"/>
          <w:numId w:val="44"/>
        </w:numPr>
        <w:rPr>
          <w:rFonts w:eastAsia="Helvetica Neue"/>
        </w:rPr>
      </w:pPr>
      <w:r w:rsidRPr="003473CF">
        <w:rPr>
          <w:rFonts w:eastAsia="Helvetica Neue"/>
        </w:rPr>
        <w:t>Monitoring &amp; Evaluation: Objective information, collected ethically and safely, is used to improve the quality and accountability of GBV programmes.</w:t>
      </w:r>
    </w:p>
    <w:p w14:paraId="02955431" w14:textId="77777777" w:rsidR="00952028" w:rsidRPr="003473CF" w:rsidRDefault="00952028" w:rsidP="006E6012">
      <w:pPr>
        <w:pStyle w:val="ListParagraph"/>
        <w:numPr>
          <w:ilvl w:val="0"/>
          <w:numId w:val="44"/>
        </w:numPr>
        <w:rPr>
          <w:rFonts w:eastAsia="Helvetica Neue"/>
        </w:rPr>
      </w:pPr>
      <w:r w:rsidRPr="003473CF">
        <w:rPr>
          <w:rFonts w:eastAsia="Helvetica Neue"/>
        </w:rPr>
        <w:t>Human Resources: Qualified, competent, skilled staff are rapidly recruited and deployed to design, coordinate and/or implement programmes to prevent and respond to GBV in emergencies, [and such recruitment efforts should include reaching out to applicants with disabilities].</w:t>
      </w:r>
    </w:p>
    <w:p w14:paraId="5CA64F94" w14:textId="52FF51A9" w:rsidR="00952028" w:rsidRPr="003473CF" w:rsidRDefault="00952028" w:rsidP="006E6012">
      <w:pPr>
        <w:pStyle w:val="ListParagraph"/>
        <w:numPr>
          <w:ilvl w:val="0"/>
          <w:numId w:val="44"/>
        </w:numPr>
        <w:rPr>
          <w:rFonts w:eastAsia="Helvetica Neue"/>
        </w:rPr>
      </w:pPr>
      <w:r w:rsidRPr="003473CF">
        <w:rPr>
          <w:rFonts w:eastAsia="Helvetica Neue"/>
        </w:rPr>
        <w:lastRenderedPageBreak/>
        <w:t>Resource Mobilization: Dedicated financial resources are mobilized in a timely manner to prevent, mitigate and respond to GBV in emergencies.</w:t>
      </w:r>
      <w:r w:rsidRPr="00A64CBE">
        <w:rPr>
          <w:rFonts w:eastAsia="Helvetica Neue"/>
          <w:vertAlign w:val="superscript"/>
        </w:rPr>
        <w:endnoteReference w:id="272"/>
      </w:r>
    </w:p>
    <w:p w14:paraId="7347CDA2" w14:textId="77777777" w:rsidR="00952028" w:rsidRPr="00B92BF0" w:rsidRDefault="00952028" w:rsidP="00B92BF0">
      <w:pPr>
        <w:rPr>
          <w:rFonts w:eastAsia="Helvetica Neue"/>
          <w:b/>
          <w:bCs/>
          <w:sz w:val="28"/>
          <w:szCs w:val="28"/>
        </w:rPr>
      </w:pPr>
      <w:r w:rsidRPr="00B92BF0">
        <w:rPr>
          <w:rFonts w:eastAsia="Helvetica Neue"/>
          <w:b/>
          <w:bCs/>
          <w:sz w:val="28"/>
          <w:szCs w:val="28"/>
        </w:rPr>
        <w:t>Inter-Agency Standing Committee’s ‘Guidelines for Integrating Gender-Based Violence Interventions in Humanitarian Action’: Protection.</w:t>
      </w:r>
      <w:r w:rsidRPr="00B92BF0">
        <w:rPr>
          <w:rStyle w:val="EndnoteReference"/>
          <w:rFonts w:eastAsia="Helvetica Neue"/>
          <w:b/>
          <w:bCs/>
          <w:sz w:val="28"/>
          <w:szCs w:val="28"/>
        </w:rPr>
        <w:endnoteReference w:id="273"/>
      </w:r>
      <w:r w:rsidRPr="00B92BF0">
        <w:rPr>
          <w:rStyle w:val="EndnoteReference"/>
          <w:rFonts w:eastAsia="Helvetica Neue"/>
          <w:b/>
          <w:bCs/>
          <w:sz w:val="28"/>
          <w:szCs w:val="28"/>
        </w:rPr>
        <w:t xml:space="preserve"> </w:t>
      </w:r>
    </w:p>
    <w:p w14:paraId="786C8FCC" w14:textId="77777777" w:rsidR="00952028" w:rsidRPr="00A64CBE" w:rsidRDefault="00952028" w:rsidP="00385596">
      <w:pPr>
        <w:rPr>
          <w:rFonts w:eastAsia="Helvetica Neue"/>
        </w:rPr>
      </w:pPr>
      <w:r w:rsidRPr="00A64CBE">
        <w:rPr>
          <w:rFonts w:eastAsia="Helvetica Neue"/>
        </w:rPr>
        <w:t xml:space="preserve">The following is a sample of some of the </w:t>
      </w:r>
      <w:r w:rsidRPr="003D749F">
        <w:rPr>
          <w:rFonts w:eastAsia="Helvetica Neue"/>
        </w:rPr>
        <w:t>Inter-Agency Standing Committee’s (IASC)</w:t>
      </w:r>
      <w:r>
        <w:rPr>
          <w:rFonts w:eastAsia="Helvetica Neue"/>
        </w:rPr>
        <w:t xml:space="preserve"> </w:t>
      </w:r>
      <w:r w:rsidRPr="00A64CBE">
        <w:rPr>
          <w:rFonts w:eastAsia="Helvetica Neue"/>
        </w:rPr>
        <w:t xml:space="preserve">essential actions for GBV protection. Readers should refer to the Protection chapter of the IASC guidelines for further important details. </w:t>
      </w:r>
    </w:p>
    <w:p w14:paraId="566DB41D" w14:textId="78722D09" w:rsidR="00952028" w:rsidRPr="00A64CBE" w:rsidRDefault="00952028" w:rsidP="00385596">
      <w:pPr>
        <w:rPr>
          <w:rFonts w:eastAsia="Helvetica Neue"/>
        </w:rPr>
      </w:pPr>
      <w:r w:rsidRPr="00A64CBE">
        <w:rPr>
          <w:rFonts w:eastAsia="Helvetica Neue"/>
        </w:rPr>
        <w:t>“Integrate GBV prevention and mitigation into protection-monitoring activities,</w:t>
      </w:r>
      <w:r w:rsidR="00385596">
        <w:rPr>
          <w:rFonts w:eastAsia="Helvetica Neue"/>
        </w:rPr>
        <w:t xml:space="preserve"> </w:t>
      </w:r>
      <w:r w:rsidRPr="00A64CBE">
        <w:rPr>
          <w:rFonts w:eastAsia="Helvetica Neue"/>
        </w:rPr>
        <w:t xml:space="preserve">and support the development of community-based production strategies. </w:t>
      </w:r>
    </w:p>
    <w:p w14:paraId="49A3AC8D" w14:textId="77777777" w:rsidR="00952028" w:rsidRPr="00A64CBE" w:rsidRDefault="00952028" w:rsidP="006E6012">
      <w:pPr>
        <w:pStyle w:val="ListParagraph"/>
        <w:numPr>
          <w:ilvl w:val="0"/>
          <w:numId w:val="47"/>
        </w:numPr>
        <w:ind w:left="446"/>
      </w:pPr>
      <w:r w:rsidRPr="00385596">
        <w:rPr>
          <w:rFonts w:eastAsia="Helvetica Neue"/>
        </w:rPr>
        <w:t>When conducting protection monitoring, consider the broad protection factors that may exacerbate the risks of GBV in the particular setting (e.g. displacement; closeness to armed forces or international borders; unsafe routes for firewood and water collection, to work, or to school; safety issues for those who remain in the home; distribution times and locations of food and non-food items; overcrowded camps, dwellings, shelters, apartments; family separation; placement of water and sanitation facilities; access to documentation; etc.).</w:t>
      </w:r>
    </w:p>
    <w:p w14:paraId="271F8C45" w14:textId="77777777" w:rsidR="00952028" w:rsidRPr="00A64CBE" w:rsidRDefault="00952028" w:rsidP="006E6012">
      <w:pPr>
        <w:pStyle w:val="ListParagraph"/>
        <w:numPr>
          <w:ilvl w:val="0"/>
          <w:numId w:val="47"/>
        </w:numPr>
        <w:ind w:left="446"/>
      </w:pPr>
      <w:r w:rsidRPr="00385596">
        <w:rPr>
          <w:rFonts w:eastAsia="Helvetica Neue"/>
        </w:rPr>
        <w:t>Wherever possible, include a GBV specialist or at least one protection staff member who has GBV expertise. This is especially important when undertaking any protection monitoring that specifically examines GBV issues or incidents. Ensure protection-monitoring processes adhere to guiding principles related to GBV.</w:t>
      </w:r>
    </w:p>
    <w:p w14:paraId="0054EDE4" w14:textId="77777777" w:rsidR="00952028" w:rsidRPr="00A64CBE" w:rsidRDefault="00952028" w:rsidP="006E6012">
      <w:pPr>
        <w:pStyle w:val="ListParagraph"/>
        <w:numPr>
          <w:ilvl w:val="0"/>
          <w:numId w:val="47"/>
        </w:numPr>
        <w:ind w:left="446"/>
      </w:pPr>
      <w:r w:rsidRPr="00385596">
        <w:rPr>
          <w:rFonts w:eastAsia="Helvetica Neue"/>
        </w:rPr>
        <w:t>Support community-based strategies for monitoring high-risk areas. Combine a targeted, proactive presence around specific high-risk areas with a more widespread and mobile presence that gives protected people and potential violators a sense that someone is always around. Tactics might include:</w:t>
      </w:r>
    </w:p>
    <w:p w14:paraId="5536E77E" w14:textId="77777777" w:rsidR="00952028" w:rsidRPr="00A64CBE" w:rsidRDefault="00952028" w:rsidP="006E6012">
      <w:pPr>
        <w:pStyle w:val="ListParagraph"/>
        <w:numPr>
          <w:ilvl w:val="1"/>
          <w:numId w:val="47"/>
        </w:numPr>
        <w:ind w:left="810" w:hanging="270"/>
      </w:pPr>
      <w:r w:rsidRPr="00385596">
        <w:rPr>
          <w:rFonts w:eastAsia="Helvetica Neue"/>
        </w:rPr>
        <w:t>Community watch programmes or security groups</w:t>
      </w:r>
    </w:p>
    <w:p w14:paraId="365BB84C" w14:textId="77777777" w:rsidR="00952028" w:rsidRPr="00A64CBE" w:rsidRDefault="00952028" w:rsidP="006E6012">
      <w:pPr>
        <w:pStyle w:val="ListParagraph"/>
        <w:numPr>
          <w:ilvl w:val="1"/>
          <w:numId w:val="47"/>
        </w:numPr>
        <w:ind w:left="810" w:hanging="270"/>
      </w:pPr>
      <w:r w:rsidRPr="00385596">
        <w:rPr>
          <w:rFonts w:eastAsia="Helvetica Neue"/>
        </w:rPr>
        <w:t>Security patrols</w:t>
      </w:r>
    </w:p>
    <w:p w14:paraId="7A5D4C17" w14:textId="1F84BE8D" w:rsidR="00B3695D" w:rsidRPr="00B3695D" w:rsidRDefault="00952028" w:rsidP="006E6012">
      <w:pPr>
        <w:pStyle w:val="ListParagraph"/>
        <w:numPr>
          <w:ilvl w:val="1"/>
          <w:numId w:val="47"/>
        </w:numPr>
        <w:ind w:left="810" w:hanging="270"/>
      </w:pPr>
      <w:r w:rsidRPr="00385596">
        <w:rPr>
          <w:rFonts w:eastAsia="Helvetica Neue"/>
        </w:rPr>
        <w:t>Regular and frequent field visits by protection monitors to assess GBV-related concerns in communities (camps, villages, etc.), where security allows”.</w:t>
      </w:r>
      <w:r w:rsidRPr="00A64CBE">
        <w:rPr>
          <w:rFonts w:eastAsia="Helvetica Neue"/>
          <w:vertAlign w:val="superscript"/>
        </w:rPr>
        <w:endnoteReference w:id="274"/>
      </w:r>
      <w:r w:rsidR="00CC57B9">
        <w:rPr>
          <w:rFonts w:eastAsia="Helvetica Neue"/>
        </w:rPr>
        <w:t xml:space="preserve"> </w:t>
      </w:r>
      <w:bookmarkStart w:id="13" w:name="GBVprevention"/>
    </w:p>
    <w:p w14:paraId="428ED8D4" w14:textId="7CF0233C" w:rsidR="00B3695D" w:rsidRDefault="00B3695D" w:rsidP="00CD00E1">
      <w:pPr>
        <w:ind w:hanging="90"/>
      </w:pPr>
      <w:r w:rsidRPr="00A6697D">
        <w:rPr>
          <w:noProof/>
        </w:rPr>
        <mc:AlternateContent>
          <mc:Choice Requires="wps">
            <w:drawing>
              <wp:inline distT="0" distB="0" distL="0" distR="0" wp14:anchorId="2384A2DE" wp14:editId="64D6B0EC">
                <wp:extent cx="5943600" cy="0"/>
                <wp:effectExtent l="0" t="12700" r="25400" b="25400"/>
                <wp:docPr id="28" name="Straight Connector 28" descr="Text box ends"/>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rgbClr val="9B4868"/>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3CE6681E" id="Straight Connector 28" o:spid="_x0000_s1026" alt="Text box end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" strokecolor="#9b4868" strokeweight="3pt">
                <w10:anchorlock/>
              </v:line>
            </w:pict>
          </mc:Fallback>
        </mc:AlternateContent>
      </w:r>
    </w:p>
    <w:p w14:paraId="3F741F03" w14:textId="44F02DB3" w:rsidR="00952028" w:rsidRPr="00623AE4" w:rsidRDefault="00952028" w:rsidP="00EC13D0">
      <w:pPr>
        <w:pStyle w:val="Heading2"/>
        <w:spacing w:before="480" w:after="120"/>
        <w:ind w:left="547" w:right="-720" w:hanging="547"/>
      </w:pPr>
      <w:r w:rsidRPr="00623AE4">
        <w:t>3.3</w:t>
      </w:r>
      <w:bookmarkEnd w:id="13"/>
      <w:r w:rsidR="00EC13D0">
        <w:tab/>
      </w:r>
      <w:r w:rsidRPr="00623AE4">
        <w:t xml:space="preserve">GBV Prevention for Women and Young </w:t>
      </w:r>
      <w:r w:rsidR="000C4D76">
        <w:t>Persons</w:t>
      </w:r>
      <w:r w:rsidR="000C4D76" w:rsidRPr="00623AE4">
        <w:t xml:space="preserve"> </w:t>
      </w:r>
      <w:r w:rsidRPr="00623AE4">
        <w:t xml:space="preserve">with Disabilities </w:t>
      </w:r>
    </w:p>
    <w:p w14:paraId="1403AA2A" w14:textId="77777777" w:rsidR="00952028" w:rsidRPr="00A64CBE" w:rsidRDefault="00952028" w:rsidP="00EC13D0">
      <w:pPr>
        <w:pStyle w:val="Heading3"/>
        <w:spacing w:before="240"/>
      </w:pPr>
      <w:r w:rsidRPr="0064309E">
        <w:t xml:space="preserve">3.3.1 </w:t>
      </w:r>
      <w:r w:rsidRPr="0064309E">
        <w:tab/>
        <w:t>Issue Overview</w:t>
      </w:r>
      <w:r w:rsidRPr="00A64CBE">
        <w:t xml:space="preserve"> </w:t>
      </w:r>
    </w:p>
    <w:p w14:paraId="22D8BDF6" w14:textId="0628012F" w:rsidR="00952028" w:rsidRPr="003473CF" w:rsidRDefault="00952028" w:rsidP="003473CF">
      <w:pPr>
        <w:rPr>
          <w:rFonts w:eastAsia="Helvetica Neue"/>
        </w:rPr>
      </w:pPr>
      <w:r w:rsidRPr="00A64CBE">
        <w:rPr>
          <w:rFonts w:eastAsia="Helvetica Neue"/>
        </w:rPr>
        <w:t xml:space="preserve">Preventing GBV before it happens is essential to combating </w:t>
      </w:r>
      <w:r>
        <w:rPr>
          <w:rFonts w:eastAsia="Helvetica Neue"/>
        </w:rPr>
        <w:t>GBV</w:t>
      </w:r>
      <w:r w:rsidRPr="00A64CBE">
        <w:rPr>
          <w:rFonts w:eastAsia="Helvetica Neue"/>
        </w:rPr>
        <w:t xml:space="preserve"> and is a core component of a State’s due diligence obligation. GBV prevention requires both high-level policy and community-based interventions. GBV prevention programmes for women and young </w:t>
      </w:r>
      <w:r>
        <w:rPr>
          <w:rFonts w:eastAsia="Helvetica Neue"/>
        </w:rPr>
        <w:t>persons</w:t>
      </w:r>
      <w:r w:rsidRPr="00A64CBE">
        <w:rPr>
          <w:rFonts w:eastAsia="Helvetica Neue"/>
        </w:rPr>
        <w:t xml:space="preserve"> with disabilities include </w:t>
      </w:r>
      <w:r w:rsidRPr="002D0897">
        <w:rPr>
          <w:rFonts w:eastAsia="Helvetica Neue"/>
        </w:rPr>
        <w:t xml:space="preserve">advocating for laws, policies, and awareness-raising campaigns aimed at preventing GBV against women and young </w:t>
      </w:r>
      <w:r>
        <w:rPr>
          <w:rFonts w:eastAsia="Helvetica Neue"/>
        </w:rPr>
        <w:t>persons</w:t>
      </w:r>
      <w:r w:rsidRPr="002D0897">
        <w:rPr>
          <w:rFonts w:eastAsia="Helvetica Neue"/>
        </w:rPr>
        <w:t xml:space="preserve"> with disabilities and dismantling harmful stereotypes and practices that contribute to such violence; educational programmes about the right to be free from GBV, how to recognize such violence, and how to report it; and </w:t>
      </w:r>
      <w:r w:rsidRPr="002D0897">
        <w:rPr>
          <w:rFonts w:eastAsia="Helvetica Neue"/>
        </w:rPr>
        <w:lastRenderedPageBreak/>
        <w:t>identification of GBV victims/survivors.</w:t>
      </w:r>
      <w:r w:rsidRPr="00A64CBE">
        <w:rPr>
          <w:rFonts w:eastAsia="Helvetica Neue"/>
          <w:vertAlign w:val="superscript"/>
        </w:rPr>
        <w:endnoteReference w:id="275"/>
      </w:r>
      <w:r w:rsidRPr="00A64CBE">
        <w:rPr>
          <w:rFonts w:eastAsia="Helvetica Neue"/>
        </w:rPr>
        <w:t xml:space="preserve"> Other measures include initiatives to strengthen economic independence, supported decision-making regimes, and other forms of autonomy for women and young </w:t>
      </w:r>
      <w:r>
        <w:rPr>
          <w:rFonts w:eastAsia="Helvetica Neue"/>
        </w:rPr>
        <w:t>persons</w:t>
      </w:r>
      <w:r w:rsidRPr="00A64CBE">
        <w:rPr>
          <w:rFonts w:eastAsia="Helvetica Neue"/>
        </w:rPr>
        <w:t xml:space="preserve"> with disabilities, as well as initiatives to support, educate, and provide respite care for their families and other caregivers. Effective prevention campaigns also address the root causes of </w:t>
      </w:r>
      <w:r>
        <w:rPr>
          <w:rFonts w:eastAsia="Helvetica Neue"/>
        </w:rPr>
        <w:t>GBV</w:t>
      </w:r>
      <w:r w:rsidRPr="00A64CBE">
        <w:rPr>
          <w:rFonts w:eastAsia="Helvetica Neue"/>
        </w:rPr>
        <w:t xml:space="preserve"> against women and young </w:t>
      </w:r>
      <w:r>
        <w:rPr>
          <w:rFonts w:eastAsia="Helvetica Neue"/>
        </w:rPr>
        <w:t>persons</w:t>
      </w:r>
      <w:r w:rsidRPr="00A64CBE">
        <w:rPr>
          <w:rFonts w:eastAsia="Helvetica Neue"/>
        </w:rPr>
        <w:t xml:space="preserve"> with disabilities, including gender inequality, discrimination on the basis of both gender and disability, and lack of adequate and disability-</w:t>
      </w:r>
      <w:r>
        <w:rPr>
          <w:rFonts w:eastAsia="Helvetica Neue"/>
        </w:rPr>
        <w:t xml:space="preserve"> and gender- </w:t>
      </w:r>
      <w:r w:rsidRPr="00A64CBE">
        <w:rPr>
          <w:rFonts w:eastAsia="Helvetica Neue"/>
        </w:rPr>
        <w:t xml:space="preserve">sensitive social protection and social support services for </w:t>
      </w:r>
      <w:r>
        <w:rPr>
          <w:rFonts w:eastAsia="Helvetica Neue"/>
        </w:rPr>
        <w:t>persons</w:t>
      </w:r>
      <w:r w:rsidRPr="00A64CBE">
        <w:rPr>
          <w:rFonts w:eastAsia="Helvetica Neue"/>
        </w:rPr>
        <w:t xml:space="preserve"> with disabilities and their families.</w:t>
      </w:r>
    </w:p>
    <w:p w14:paraId="3AB40019" w14:textId="47C20D17" w:rsidR="00952028" w:rsidRPr="003473CF" w:rsidRDefault="00952028" w:rsidP="00B92BF0">
      <w:pPr>
        <w:pStyle w:val="Heading3"/>
      </w:pPr>
      <w:r w:rsidRPr="00A64CBE">
        <w:t>3.3.2</w:t>
      </w:r>
      <w:r w:rsidRPr="00A64CBE">
        <w:tab/>
        <w:t xml:space="preserve">Guidelines </w:t>
      </w:r>
      <w:r w:rsidRPr="003C6133">
        <w:rPr>
          <w:rFonts w:eastAsia="Helvetica Neue"/>
        </w:rPr>
        <w:t>on</w:t>
      </w:r>
      <w:r w:rsidRPr="00A64CBE">
        <w:t xml:space="preserve"> Rights-Based GBV Prevention </w:t>
      </w:r>
    </w:p>
    <w:p w14:paraId="26749148" w14:textId="4D160EDB" w:rsidR="00952028" w:rsidRPr="00A64CBE" w:rsidRDefault="00952028" w:rsidP="003473CF">
      <w:pPr>
        <w:rPr>
          <w:rFonts w:eastAsia="Helvetica Neue"/>
        </w:rPr>
      </w:pPr>
      <w:r w:rsidRPr="00A64CBE">
        <w:rPr>
          <w:rFonts w:eastAsia="Helvetica Neue"/>
        </w:rPr>
        <w:t xml:space="preserve">The key considerations enumerated here identify common issues and barriers to preventing </w:t>
      </w:r>
      <w:r>
        <w:rPr>
          <w:rFonts w:eastAsia="Helvetica Neue"/>
        </w:rPr>
        <w:t xml:space="preserve">GBV </w:t>
      </w:r>
      <w:r w:rsidRPr="00A64CBE">
        <w:rPr>
          <w:rFonts w:eastAsia="Helvetica Neue"/>
        </w:rPr>
        <w:t xml:space="preserve">against women and young </w:t>
      </w:r>
      <w:r w:rsidR="000C4D76">
        <w:rPr>
          <w:rFonts w:eastAsia="Helvetica Neue"/>
        </w:rPr>
        <w:t>persons</w:t>
      </w:r>
      <w:r w:rsidR="000C4D76" w:rsidRPr="00A64CBE">
        <w:rPr>
          <w:rFonts w:eastAsia="Helvetica Neue"/>
        </w:rPr>
        <w:t xml:space="preserve"> </w:t>
      </w:r>
      <w:r w:rsidRPr="00A64CBE">
        <w:rPr>
          <w:rFonts w:eastAsia="Helvetica Neue"/>
        </w:rPr>
        <w:t xml:space="preserve">with disabilities. The subsequent guidelines for action offer guidance for ensuring that GBV prevention programmes are available, accessible, acceptable and of good quality for women and young </w:t>
      </w:r>
      <w:r>
        <w:rPr>
          <w:rFonts w:eastAsia="Helvetica Neue"/>
        </w:rPr>
        <w:t>persons</w:t>
      </w:r>
      <w:r w:rsidRPr="00A64CBE">
        <w:rPr>
          <w:rFonts w:eastAsia="Helvetica Neue"/>
        </w:rPr>
        <w:t xml:space="preserve"> with disabilities. These guidelines for action build on the Foundational Guidelines for Action identified in </w:t>
      </w:r>
      <w:r w:rsidRPr="002D0897">
        <w:rPr>
          <w:rFonts w:eastAsia="Helvetica Neue"/>
          <w:b/>
        </w:rPr>
        <w:t>Chapter 2</w:t>
      </w:r>
      <w:r w:rsidRPr="00A64CBE">
        <w:rPr>
          <w:rFonts w:eastAsia="Helvetica Neue"/>
        </w:rPr>
        <w:t xml:space="preserve"> and are not exhaustive but provide a starting point for developing disability-inclusive services and programmes.</w:t>
      </w:r>
    </w:p>
    <w:p w14:paraId="604CA952" w14:textId="77777777" w:rsidR="00952028" w:rsidRPr="00A64CBE" w:rsidRDefault="00952028" w:rsidP="003C6133">
      <w:pPr>
        <w:pStyle w:val="Heading4"/>
        <w:spacing w:before="480"/>
        <w:rPr>
          <w:rFonts w:eastAsia="Helvetica Neue"/>
        </w:rPr>
      </w:pPr>
      <w:r w:rsidRPr="00A64CBE">
        <w:rPr>
          <w:rFonts w:eastAsia="Helvetica Neue"/>
        </w:rPr>
        <w:t xml:space="preserve">Key </w:t>
      </w:r>
      <w:r w:rsidRPr="003473CF">
        <w:rPr>
          <w:rFonts w:eastAsia="Helvetica Neue"/>
        </w:rPr>
        <w:t>Considerations</w:t>
      </w:r>
    </w:p>
    <w:p w14:paraId="7808A386" w14:textId="77777777" w:rsidR="00952028" w:rsidRPr="00A64CBE" w:rsidRDefault="00952028" w:rsidP="006E6012">
      <w:pPr>
        <w:pStyle w:val="ListParagraph"/>
        <w:numPr>
          <w:ilvl w:val="0"/>
          <w:numId w:val="43"/>
        </w:numPr>
        <w:ind w:left="274" w:hanging="274"/>
      </w:pPr>
      <w:r w:rsidRPr="003473CF">
        <w:rPr>
          <w:rFonts w:eastAsia="Helvetica Neue"/>
        </w:rPr>
        <w:t>Due to prejudice, lack of knowledge about the nature of the violence experienced by persons with disabilities, and an absence of promising practices, awareness-raising campaigns around GBV seldom address violence against women and young persons with disabilities. Moreover, GBV campaigns are rarely designed and delivered in an accessible manner to reach women and young persons with disabilities.</w:t>
      </w:r>
    </w:p>
    <w:p w14:paraId="7E764BBB" w14:textId="77777777" w:rsidR="00952028" w:rsidRPr="00A64CBE" w:rsidRDefault="00952028" w:rsidP="006E6012">
      <w:pPr>
        <w:pStyle w:val="ListParagraph"/>
        <w:numPr>
          <w:ilvl w:val="0"/>
          <w:numId w:val="43"/>
        </w:numPr>
        <w:ind w:left="274" w:hanging="274"/>
      </w:pPr>
      <w:r w:rsidRPr="003473CF">
        <w:rPr>
          <w:rFonts w:eastAsia="Helvetica Neue"/>
        </w:rPr>
        <w:t xml:space="preserve">Women and young persons with disabilities are often excluded from educational programmes that address healthy relationships, GBV, and other fundamental aspects of prevention, denying them the opportunity to learn how to develop healthy relationships, understand what constitutes appropriate touch, and how to avoid, recognize, and report instances of exploitation, violence, and abuse. This exclusion places women and young persons with disabilities at greater risk of violence and enables perpetrators to target persons with disabilities with impunity.  </w:t>
      </w:r>
    </w:p>
    <w:p w14:paraId="1B442F1C" w14:textId="77777777" w:rsidR="00952028" w:rsidRPr="003473CF" w:rsidRDefault="00952028" w:rsidP="006E6012">
      <w:pPr>
        <w:pStyle w:val="ListParagraph"/>
        <w:numPr>
          <w:ilvl w:val="0"/>
          <w:numId w:val="43"/>
        </w:numPr>
        <w:ind w:left="274" w:hanging="274"/>
        <w:rPr>
          <w:u w:val="single"/>
        </w:rPr>
      </w:pPr>
      <w:r w:rsidRPr="003473CF">
        <w:rPr>
          <w:rFonts w:eastAsia="Helvetica Neue"/>
        </w:rPr>
        <w:t xml:space="preserve">Lack of accessible prevention initiatives can keep women and young persons with disabilities from being screened for, recognizing, or reporting GBV. GBV prevention programmes for persons with disabilities are underfunded, limiting the efficacy of and access to critical programmes for women and young persons with disabilities who are at risk of GBV. </w:t>
      </w:r>
    </w:p>
    <w:p w14:paraId="21D0077C" w14:textId="77777777" w:rsidR="00952028" w:rsidRPr="003473CF" w:rsidRDefault="00952028" w:rsidP="006E6012">
      <w:pPr>
        <w:pStyle w:val="ListParagraph"/>
        <w:numPr>
          <w:ilvl w:val="0"/>
          <w:numId w:val="43"/>
        </w:numPr>
        <w:ind w:left="274" w:hanging="274"/>
        <w:rPr>
          <w:u w:val="single"/>
        </w:rPr>
      </w:pPr>
      <w:r w:rsidRPr="003473CF">
        <w:rPr>
          <w:rFonts w:eastAsia="Helvetica Neue"/>
        </w:rPr>
        <w:t xml:space="preserve">Poverty and economic dependence can exacerbate the risk of violence for women and young persons with disabilities. </w:t>
      </w:r>
    </w:p>
    <w:p w14:paraId="44BBF05F" w14:textId="77777777" w:rsidR="00952028" w:rsidRPr="003473CF" w:rsidRDefault="00952028" w:rsidP="006E6012">
      <w:pPr>
        <w:pStyle w:val="ListParagraph"/>
        <w:numPr>
          <w:ilvl w:val="0"/>
          <w:numId w:val="43"/>
        </w:numPr>
        <w:ind w:left="274" w:hanging="274"/>
        <w:rPr>
          <w:u w:val="single"/>
        </w:rPr>
      </w:pPr>
      <w:r w:rsidRPr="003473CF">
        <w:rPr>
          <w:rFonts w:eastAsia="Helvetica Neue"/>
        </w:rPr>
        <w:t>Male survivors of sexual violence are less likely than women and girls to disclose assaults, with the result that such violence is "vastly under-represented" in official statistics.</w:t>
      </w:r>
      <w:r w:rsidRPr="00A64CBE">
        <w:rPr>
          <w:rFonts w:eastAsia="Helvetica Neue"/>
          <w:vertAlign w:val="superscript"/>
        </w:rPr>
        <w:endnoteReference w:id="276"/>
      </w:r>
    </w:p>
    <w:p w14:paraId="34E0A77D" w14:textId="77777777" w:rsidR="003A0C66" w:rsidRDefault="003A0C66">
      <w:pPr>
        <w:spacing w:before="0" w:after="0"/>
        <w:rPr>
          <w:rFonts w:eastAsia="Helvetica Neue"/>
          <w:b/>
          <w:sz w:val="28"/>
          <w:lang w:val="en-GB"/>
        </w:rPr>
      </w:pPr>
      <w:r>
        <w:rPr>
          <w:rFonts w:eastAsia="Helvetica Neue"/>
        </w:rPr>
        <w:br w:type="page"/>
      </w:r>
    </w:p>
    <w:p w14:paraId="3F56CEFE" w14:textId="42D9B424" w:rsidR="00952028" w:rsidRDefault="00952028" w:rsidP="00186F67">
      <w:pPr>
        <w:pStyle w:val="Heading4"/>
        <w:spacing w:before="480"/>
        <w:rPr>
          <w:rFonts w:eastAsia="Helvetica Neue"/>
        </w:rPr>
      </w:pPr>
      <w:r w:rsidRPr="00A64CBE">
        <w:rPr>
          <w:rFonts w:eastAsia="Helvetica Neue"/>
        </w:rPr>
        <w:lastRenderedPageBreak/>
        <w:t>Guidelines for Action</w:t>
      </w:r>
      <w:r w:rsidR="00717E2B">
        <w:rPr>
          <w:rFonts w:eastAsia="Helvetica Neue"/>
        </w:rPr>
        <w:t>: Availability</w:t>
      </w:r>
    </w:p>
    <w:p w14:paraId="0B708DE8" w14:textId="77777777" w:rsidR="00952028" w:rsidRPr="00385596" w:rsidRDefault="00952028" w:rsidP="006E6012">
      <w:pPr>
        <w:pStyle w:val="ListParagraph"/>
        <w:numPr>
          <w:ilvl w:val="0"/>
          <w:numId w:val="45"/>
        </w:numPr>
        <w:rPr>
          <w:rFonts w:eastAsia="Helvetica Neue"/>
          <w:u w:val="single"/>
        </w:rPr>
      </w:pPr>
      <w:r w:rsidRPr="00385596">
        <w:rPr>
          <w:rFonts w:eastAsia="Helvetica Neue"/>
        </w:rPr>
        <w:t>Create effective GBV trainings about the rights of women and young persons with disabilities and how to report violence and abuse. These trainings and associated educational materials should be tailored for women and young persons with disabilities.</w:t>
      </w:r>
      <w:r w:rsidRPr="00A64CBE">
        <w:rPr>
          <w:rFonts w:eastAsia="Helvetica Neue"/>
          <w:vertAlign w:val="superscript"/>
        </w:rPr>
        <w:endnoteReference w:id="277"/>
      </w:r>
      <w:r w:rsidRPr="00385596">
        <w:rPr>
          <w:rFonts w:eastAsia="Helvetica Neue"/>
        </w:rPr>
        <w:t xml:space="preserve"> </w:t>
      </w:r>
    </w:p>
    <w:p w14:paraId="7800A2D2" w14:textId="77777777" w:rsidR="00952028" w:rsidRPr="004B4BB2" w:rsidRDefault="00952028" w:rsidP="006E6012">
      <w:pPr>
        <w:pStyle w:val="ListParagraph"/>
        <w:numPr>
          <w:ilvl w:val="1"/>
          <w:numId w:val="45"/>
        </w:numPr>
        <w:rPr>
          <w:rFonts w:eastAsia="Helvetica Neue"/>
          <w:highlight w:val="white"/>
        </w:rPr>
      </w:pPr>
      <w:r w:rsidRPr="00385596">
        <w:rPr>
          <w:rFonts w:eastAsia="Helvetica Neue"/>
          <w:b/>
        </w:rPr>
        <w:t>Example:</w:t>
      </w:r>
      <w:r w:rsidRPr="00385596">
        <w:rPr>
          <w:rFonts w:eastAsia="Helvetica Neue"/>
        </w:rPr>
        <w:t xml:space="preserve"> Human Rights Watch produced an easy read guide to assist persons with intellectual and learning disabilities better understand what to do if they experience GBV. The guide is titled </w:t>
      </w:r>
      <w:r w:rsidRPr="00385596">
        <w:rPr>
          <w:rFonts w:eastAsia="Helvetica Neue"/>
          <w:b/>
        </w:rPr>
        <w:t>‘</w:t>
      </w:r>
      <w:r w:rsidRPr="00385596">
        <w:rPr>
          <w:rFonts w:eastAsia="Helvetica Neue"/>
          <w:b/>
          <w:highlight w:val="white"/>
        </w:rPr>
        <w:t>What to Do if Someone Hurts You or Does Bad Things to You: Information about Gender-Based Violence for People with Disabilities’</w:t>
      </w:r>
      <w:r w:rsidRPr="004B4BB2">
        <w:rPr>
          <w:rFonts w:eastAsia="Helvetica Neue"/>
          <w:highlight w:val="white"/>
        </w:rPr>
        <w:t>.</w:t>
      </w:r>
      <w:r w:rsidRPr="00A64CBE">
        <w:rPr>
          <w:rFonts w:eastAsia="Helvetica Neue"/>
          <w:highlight w:val="white"/>
          <w:vertAlign w:val="superscript"/>
        </w:rPr>
        <w:endnoteReference w:id="278"/>
      </w:r>
    </w:p>
    <w:p w14:paraId="4B733A94" w14:textId="458D062A" w:rsidR="00952028" w:rsidRPr="00385596" w:rsidRDefault="00952028" w:rsidP="006E6012">
      <w:pPr>
        <w:pStyle w:val="ListParagraph"/>
        <w:numPr>
          <w:ilvl w:val="0"/>
          <w:numId w:val="45"/>
        </w:numPr>
        <w:rPr>
          <w:rFonts w:eastAsia="Helvetica Neue"/>
          <w:u w:val="single"/>
        </w:rPr>
      </w:pPr>
      <w:r w:rsidRPr="00385596">
        <w:rPr>
          <w:rFonts w:eastAsia="Helvetica Neue"/>
        </w:rPr>
        <w:t>Produce SRHR programmes to help women and young persons with disabilities develop life skills and understand their SRHR. The right to health extends beyond healthcare to the underlying determinants of SRHR, which include effective protection from GBV.</w:t>
      </w:r>
      <w:r w:rsidRPr="00A64CBE">
        <w:rPr>
          <w:rFonts w:eastAsia="Helvetica Neue"/>
          <w:vertAlign w:val="superscript"/>
        </w:rPr>
        <w:endnoteReference w:id="279"/>
      </w:r>
      <w:r w:rsidRPr="00385596">
        <w:rPr>
          <w:rFonts w:eastAsia="Helvetica Neue"/>
          <w:b/>
        </w:rPr>
        <w:t xml:space="preserve"> </w:t>
      </w:r>
      <w:r w:rsidRPr="00385596">
        <w:rPr>
          <w:rFonts w:eastAsia="Helvetica Neue"/>
        </w:rPr>
        <w:t>For more information</w:t>
      </w:r>
      <w:r w:rsidRPr="00385596">
        <w:rPr>
          <w:rFonts w:eastAsia="Helvetica Neue"/>
          <w:color w:val="000000" w:themeColor="text1"/>
        </w:rPr>
        <w:t xml:space="preserve">, see </w:t>
      </w:r>
      <w:hyperlink w:anchor="SRHRcse" w:history="1">
        <w:r w:rsidRPr="00385596">
          <w:rPr>
            <w:rStyle w:val="Hyperlink"/>
            <w:rFonts w:ascii="Arial" w:eastAsia="Helvetica Neue" w:hAnsi="Arial" w:cs="Arial"/>
            <w:color w:val="000000" w:themeColor="text1"/>
            <w:u w:val="none"/>
          </w:rPr>
          <w:t>Comprehensive Sexuality Education for Women and Young Persons with Disabilities (Section 4.5)</w:t>
        </w:r>
      </w:hyperlink>
      <w:r w:rsidRPr="00385596">
        <w:rPr>
          <w:rFonts w:eastAsia="Helvetica Neue"/>
          <w:color w:val="000000" w:themeColor="text1"/>
        </w:rPr>
        <w:t>.</w:t>
      </w:r>
    </w:p>
    <w:p w14:paraId="1E9B2AD7" w14:textId="77777777" w:rsidR="00952028" w:rsidRPr="00385596" w:rsidRDefault="00952028" w:rsidP="006E6012">
      <w:pPr>
        <w:pStyle w:val="ListParagraph"/>
        <w:numPr>
          <w:ilvl w:val="1"/>
          <w:numId w:val="45"/>
        </w:numPr>
        <w:rPr>
          <w:rFonts w:eastAsia="Helvetica Neue"/>
          <w:b/>
        </w:rPr>
      </w:pPr>
      <w:r w:rsidRPr="00385596">
        <w:rPr>
          <w:rFonts w:eastAsia="Helvetica Neue"/>
          <w:b/>
        </w:rPr>
        <w:t>Example:</w:t>
      </w:r>
      <w:r w:rsidRPr="00385596">
        <w:rPr>
          <w:rFonts w:eastAsia="Helvetica Neue"/>
        </w:rPr>
        <w:t xml:space="preserve"> The </w:t>
      </w:r>
      <w:proofErr w:type="spellStart"/>
      <w:r w:rsidRPr="00385596">
        <w:rPr>
          <w:rFonts w:eastAsia="Helvetica Neue"/>
        </w:rPr>
        <w:t>DisAbled</w:t>
      </w:r>
      <w:proofErr w:type="spellEnd"/>
      <w:r w:rsidRPr="00385596">
        <w:rPr>
          <w:rFonts w:eastAsia="Helvetica Neue"/>
        </w:rPr>
        <w:t xml:space="preserve"> Women’s Network (DAWN) and Canadian Association of Community Living (CACL) created a workshop series for persons with disabilities and their families titled ‘</w:t>
      </w:r>
      <w:r w:rsidRPr="00385596">
        <w:rPr>
          <w:rFonts w:eastAsia="Helvetica Neue"/>
          <w:b/>
        </w:rPr>
        <w:t>Our Right to be Safe! Building Safe Communities for People with Disabilities and Deaf People</w:t>
      </w:r>
      <w:r w:rsidRPr="00385596">
        <w:rPr>
          <w:rFonts w:eastAsia="Helvetica Neue"/>
        </w:rPr>
        <w:t>’. The workshop series offers practical guidance through interactive workshops on violence prevention and services for persons with disabilities. The workshop for persons with disabilities covers forms of abuse and assists participants with developing a safety plan and identifying their accessibility needs. The workshop for service providers is about the nature, impact, and barriers to seeking assistance that persons with disabilities face to assist with dismantling these barriers.</w:t>
      </w:r>
      <w:r w:rsidRPr="00A64CBE">
        <w:rPr>
          <w:rFonts w:eastAsia="Helvetica Neue"/>
          <w:vertAlign w:val="superscript"/>
        </w:rPr>
        <w:endnoteReference w:id="280"/>
      </w:r>
      <w:r w:rsidRPr="00385596">
        <w:rPr>
          <w:rFonts w:eastAsia="Helvetica Neue"/>
        </w:rPr>
        <w:t xml:space="preserve"> </w:t>
      </w:r>
    </w:p>
    <w:p w14:paraId="41C7433C" w14:textId="77777777" w:rsidR="00952028" w:rsidRPr="00385596" w:rsidRDefault="00952028" w:rsidP="006E6012">
      <w:pPr>
        <w:pStyle w:val="ListParagraph"/>
        <w:numPr>
          <w:ilvl w:val="0"/>
          <w:numId w:val="45"/>
        </w:numPr>
        <w:rPr>
          <w:rFonts w:eastAsia="Helvetica Neue"/>
          <w:u w:val="single"/>
        </w:rPr>
      </w:pPr>
      <w:r w:rsidRPr="00385596">
        <w:rPr>
          <w:rFonts w:eastAsia="Helvetica Neue"/>
        </w:rPr>
        <w:t>Develop programmes to reduce the isolation of women and young persons with disabilities, to connect them with services, and to make persons with disabilities more visible in their communities.</w:t>
      </w:r>
      <w:r w:rsidRPr="00A64CBE">
        <w:rPr>
          <w:rFonts w:eastAsia="Helvetica Neue"/>
          <w:vertAlign w:val="superscript"/>
        </w:rPr>
        <w:endnoteReference w:id="281"/>
      </w:r>
      <w:r w:rsidRPr="00385596">
        <w:rPr>
          <w:rFonts w:eastAsia="Helvetica Neue"/>
        </w:rPr>
        <w:t xml:space="preserve"> </w:t>
      </w:r>
    </w:p>
    <w:p w14:paraId="146B396E" w14:textId="77777777" w:rsidR="00952028" w:rsidRPr="00385596" w:rsidRDefault="00952028" w:rsidP="006E6012">
      <w:pPr>
        <w:pStyle w:val="ListParagraph"/>
        <w:numPr>
          <w:ilvl w:val="1"/>
          <w:numId w:val="45"/>
        </w:numPr>
        <w:rPr>
          <w:rFonts w:eastAsia="Helvetica Neue"/>
        </w:rPr>
      </w:pPr>
      <w:r w:rsidRPr="00385596">
        <w:rPr>
          <w:rFonts w:eastAsia="Helvetica Neue"/>
          <w:b/>
        </w:rPr>
        <w:t>Examples:</w:t>
      </w:r>
      <w:r w:rsidRPr="00385596">
        <w:rPr>
          <w:rFonts w:eastAsia="Helvetica Neue"/>
        </w:rPr>
        <w:t xml:space="preserve"> Some good practices include disability-sensitive GBV identification procedures; accessible women-, child-, adolescent-, and youth-friendly hotlines; text emergency services; a global hotline; inclusive education programmes; accessible housing programmes; a legal framework that allows children to access services without parental consent; and free or subsidized transportation. </w:t>
      </w:r>
    </w:p>
    <w:p w14:paraId="7086E243" w14:textId="77777777" w:rsidR="00952028" w:rsidRPr="00385596" w:rsidRDefault="00952028" w:rsidP="006E6012">
      <w:pPr>
        <w:pStyle w:val="ListParagraph"/>
        <w:numPr>
          <w:ilvl w:val="0"/>
          <w:numId w:val="45"/>
        </w:numPr>
        <w:rPr>
          <w:rFonts w:eastAsia="Helvetica Neue"/>
        </w:rPr>
      </w:pPr>
      <w:r w:rsidRPr="00385596">
        <w:rPr>
          <w:rFonts w:eastAsia="Helvetica Neue"/>
        </w:rPr>
        <w:t xml:space="preserve">Create programmes to promote safe, stable and nurturing relationships between persons with disabilities and their family, romantic partners, community members, and caregivers. </w:t>
      </w:r>
    </w:p>
    <w:p w14:paraId="01A3121D" w14:textId="77777777" w:rsidR="00952028" w:rsidRPr="00385596" w:rsidRDefault="00952028" w:rsidP="006E6012">
      <w:pPr>
        <w:pStyle w:val="ListParagraph"/>
        <w:numPr>
          <w:ilvl w:val="1"/>
          <w:numId w:val="45"/>
        </w:numPr>
        <w:rPr>
          <w:rFonts w:eastAsia="Helvetica Neue"/>
          <w:u w:val="single"/>
        </w:rPr>
      </w:pPr>
      <w:r w:rsidRPr="00385596">
        <w:rPr>
          <w:rFonts w:eastAsia="Helvetica Neue"/>
          <w:b/>
        </w:rPr>
        <w:t xml:space="preserve">Example: </w:t>
      </w:r>
      <w:r w:rsidRPr="00385596">
        <w:rPr>
          <w:rFonts w:eastAsia="Helvetica Neue"/>
        </w:rPr>
        <w:t>The Cambodian ‘</w:t>
      </w:r>
      <w:r w:rsidRPr="00385596">
        <w:rPr>
          <w:rFonts w:eastAsia="Helvetica Neue"/>
          <w:b/>
        </w:rPr>
        <w:t>Challenging Discrimination Against Women with Disabilities: A Community Toolkit’</w:t>
      </w:r>
      <w:r w:rsidRPr="00385596">
        <w:rPr>
          <w:rFonts w:eastAsia="Helvetica Neue"/>
        </w:rPr>
        <w:t xml:space="preserve"> offers a good example of a resource that service providers and support staff can use to promote inclusion and support of women with disabilities in their communities relating to GBV.</w:t>
      </w:r>
      <w:r w:rsidRPr="002D0897">
        <w:rPr>
          <w:rFonts w:eastAsia="Helvetica Neue"/>
          <w:vertAlign w:val="superscript"/>
        </w:rPr>
        <w:endnoteReference w:id="282"/>
      </w:r>
    </w:p>
    <w:p w14:paraId="13F4FBC8" w14:textId="77A70179" w:rsidR="00952028" w:rsidRDefault="00952028" w:rsidP="00186F67">
      <w:pPr>
        <w:pStyle w:val="Heading4"/>
        <w:spacing w:before="480"/>
        <w:rPr>
          <w:rFonts w:eastAsia="Helvetica Neue"/>
        </w:rPr>
      </w:pPr>
      <w:r w:rsidRPr="00A64CBE">
        <w:rPr>
          <w:rFonts w:eastAsia="Helvetica Neue"/>
        </w:rPr>
        <w:t>Guidelines for Action:</w:t>
      </w:r>
      <w:r w:rsidR="00385596">
        <w:rPr>
          <w:rFonts w:eastAsia="Helvetica Neue"/>
        </w:rPr>
        <w:t xml:space="preserve"> Accessibility</w:t>
      </w:r>
    </w:p>
    <w:p w14:paraId="1F8E38D3" w14:textId="77777777" w:rsidR="00952028" w:rsidRPr="00385596" w:rsidRDefault="00952028" w:rsidP="006E6012">
      <w:pPr>
        <w:pStyle w:val="ListParagraph"/>
        <w:numPr>
          <w:ilvl w:val="0"/>
          <w:numId w:val="48"/>
        </w:numPr>
        <w:rPr>
          <w:rFonts w:eastAsia="Helvetica Neue"/>
        </w:rPr>
      </w:pPr>
      <w:r w:rsidRPr="00385596">
        <w:rPr>
          <w:rFonts w:eastAsia="Helvetica Neue"/>
        </w:rPr>
        <w:t xml:space="preserve">Ensure that prevention programmes target isolated settings to provide information about GBV rights and how to report violence to the most vulnerable women and young persons with disabilities (e.g. people in institutions and isolated group homes, indigenous women </w:t>
      </w:r>
      <w:r w:rsidRPr="00385596">
        <w:rPr>
          <w:rFonts w:eastAsia="Helvetica Neue"/>
        </w:rPr>
        <w:lastRenderedPageBreak/>
        <w:t>and young persons, rural women and young persons, LGBTI individuals, and refugees and internally displaced persons).</w:t>
      </w:r>
    </w:p>
    <w:p w14:paraId="1DBB15C1" w14:textId="159ECBDC" w:rsidR="00952028" w:rsidRPr="00186F67" w:rsidRDefault="00952028" w:rsidP="006E6012">
      <w:pPr>
        <w:pStyle w:val="ListParagraph"/>
        <w:numPr>
          <w:ilvl w:val="0"/>
          <w:numId w:val="48"/>
        </w:numPr>
        <w:rPr>
          <w:rFonts w:eastAsia="Helvetica Neue"/>
        </w:rPr>
      </w:pPr>
      <w:r w:rsidRPr="00385596">
        <w:rPr>
          <w:rFonts w:eastAsia="Helvetica Neue"/>
        </w:rPr>
        <w:t>Develop volunteer-led, community-based education and training programmes on preventing, recognizing, and responding to GBV as a low-cost alternative to more formalized education programmes.</w:t>
      </w:r>
    </w:p>
    <w:p w14:paraId="2D3E5E56" w14:textId="46018EC7" w:rsidR="00952028" w:rsidRDefault="00952028" w:rsidP="00186F67">
      <w:pPr>
        <w:pStyle w:val="Heading4"/>
        <w:spacing w:before="480"/>
        <w:rPr>
          <w:rFonts w:eastAsia="Helvetica Neue"/>
        </w:rPr>
      </w:pPr>
      <w:r w:rsidRPr="00A64CBE">
        <w:rPr>
          <w:rFonts w:eastAsia="Helvetica Neue"/>
        </w:rPr>
        <w:t>Guidelines for Action</w:t>
      </w:r>
      <w:r w:rsidR="00385596">
        <w:rPr>
          <w:rFonts w:eastAsia="Helvetica Neue"/>
        </w:rPr>
        <w:t>: Acceptability</w:t>
      </w:r>
      <w:r w:rsidRPr="00A64CBE">
        <w:rPr>
          <w:rFonts w:eastAsia="Helvetica Neue"/>
        </w:rPr>
        <w:t xml:space="preserve"> </w:t>
      </w:r>
    </w:p>
    <w:p w14:paraId="783FF506" w14:textId="77777777" w:rsidR="00952028" w:rsidRPr="00186F67" w:rsidRDefault="00952028" w:rsidP="006E6012">
      <w:pPr>
        <w:pStyle w:val="ListParagraph"/>
        <w:numPr>
          <w:ilvl w:val="0"/>
          <w:numId w:val="49"/>
        </w:numPr>
        <w:rPr>
          <w:rFonts w:eastAsia="Helvetica Neue"/>
          <w:u w:val="single"/>
        </w:rPr>
      </w:pPr>
      <w:r w:rsidRPr="00186F67">
        <w:rPr>
          <w:rFonts w:eastAsia="Helvetica Neue"/>
        </w:rPr>
        <w:t>Invest in educating and training service providers and support</w:t>
      </w:r>
      <w:r w:rsidRPr="00186F67">
        <w:rPr>
          <w:rFonts w:eastAsia="Helvetica Neue"/>
          <w:b/>
        </w:rPr>
        <w:t xml:space="preserve"> </w:t>
      </w:r>
      <w:r w:rsidRPr="00186F67">
        <w:rPr>
          <w:rFonts w:eastAsia="Helvetica Neue"/>
        </w:rPr>
        <w:t>staff</w:t>
      </w:r>
      <w:r w:rsidRPr="00186F67">
        <w:rPr>
          <w:rFonts w:eastAsia="Helvetica Neue"/>
          <w:b/>
        </w:rPr>
        <w:t xml:space="preserve"> </w:t>
      </w:r>
      <w:r w:rsidRPr="00186F67">
        <w:rPr>
          <w:rFonts w:eastAsia="Helvetica Neue"/>
        </w:rPr>
        <w:t>who encounter women and young persons with disabilities, especially healthcare workers, school officials, and social workers. Offer detailed guidance on how to detect and report violence against women and young persons with disabilities,</w:t>
      </w:r>
      <w:r w:rsidRPr="00A64CBE">
        <w:rPr>
          <w:rFonts w:eastAsia="Helvetica Neue"/>
          <w:vertAlign w:val="superscript"/>
        </w:rPr>
        <w:endnoteReference w:id="283"/>
      </w:r>
      <w:r w:rsidRPr="00186F67">
        <w:rPr>
          <w:rFonts w:eastAsia="Helvetica Neue"/>
        </w:rPr>
        <w:t xml:space="preserve"> including sexual violence directed at males, as well as training on the rights of and risks for women and young persons with disabilities.</w:t>
      </w:r>
      <w:r w:rsidRPr="00A64CBE">
        <w:rPr>
          <w:rFonts w:eastAsia="Helvetica Neue"/>
          <w:vertAlign w:val="superscript"/>
        </w:rPr>
        <w:endnoteReference w:id="284"/>
      </w:r>
    </w:p>
    <w:p w14:paraId="48A7D70C" w14:textId="77777777" w:rsidR="00952028" w:rsidRPr="00186F67" w:rsidRDefault="00952028" w:rsidP="006E6012">
      <w:pPr>
        <w:pStyle w:val="ListParagraph"/>
        <w:numPr>
          <w:ilvl w:val="0"/>
          <w:numId w:val="49"/>
        </w:numPr>
        <w:rPr>
          <w:rFonts w:eastAsia="Helvetica Neue"/>
          <w:u w:val="single"/>
        </w:rPr>
      </w:pPr>
      <w:r w:rsidRPr="00186F67">
        <w:rPr>
          <w:rFonts w:eastAsia="Helvetica Neue"/>
        </w:rPr>
        <w:t>Develop accessible public information campaigns that address the rights of children,</w:t>
      </w:r>
      <w:r w:rsidRPr="00A64CBE">
        <w:rPr>
          <w:rFonts w:eastAsia="Helvetica Neue"/>
          <w:vertAlign w:val="superscript"/>
        </w:rPr>
        <w:endnoteReference w:id="285"/>
      </w:r>
      <w:r w:rsidRPr="00186F67">
        <w:rPr>
          <w:rFonts w:eastAsia="Helvetica Neue"/>
        </w:rPr>
        <w:t xml:space="preserve"> women,</w:t>
      </w:r>
      <w:r w:rsidRPr="00A64CBE">
        <w:rPr>
          <w:rFonts w:eastAsia="Helvetica Neue"/>
          <w:vertAlign w:val="superscript"/>
        </w:rPr>
        <w:endnoteReference w:id="286"/>
      </w:r>
      <w:r w:rsidRPr="00186F67">
        <w:rPr>
          <w:rFonts w:eastAsia="Helvetica Neue"/>
        </w:rPr>
        <w:t xml:space="preserve"> and persons with disabilities,</w:t>
      </w:r>
      <w:r w:rsidRPr="00A64CBE">
        <w:rPr>
          <w:rFonts w:eastAsia="Helvetica Neue"/>
          <w:vertAlign w:val="superscript"/>
        </w:rPr>
        <w:endnoteReference w:id="287"/>
      </w:r>
      <w:r w:rsidRPr="00186F67">
        <w:rPr>
          <w:rFonts w:eastAsia="Helvetica Neue"/>
        </w:rPr>
        <w:t xml:space="preserve"> as well as the vulnerability of women and young persons with disabilities to GBV,</w:t>
      </w:r>
      <w:r w:rsidRPr="00A64CBE">
        <w:rPr>
          <w:rFonts w:eastAsia="Helvetica Neue"/>
          <w:vertAlign w:val="superscript"/>
        </w:rPr>
        <w:endnoteReference w:id="288"/>
      </w:r>
      <w:r w:rsidRPr="00186F67">
        <w:rPr>
          <w:rFonts w:eastAsia="Helvetica Neue"/>
        </w:rPr>
        <w:t xml:space="preserve"> women’s role in society,</w:t>
      </w:r>
      <w:r w:rsidRPr="00A64CBE">
        <w:rPr>
          <w:rFonts w:eastAsia="Helvetica Neue"/>
          <w:vertAlign w:val="superscript"/>
        </w:rPr>
        <w:endnoteReference w:id="289"/>
      </w:r>
      <w:r w:rsidRPr="00186F67">
        <w:rPr>
          <w:rFonts w:eastAsia="Helvetica Neue"/>
        </w:rPr>
        <w:t xml:space="preserve"> and information about available services.</w:t>
      </w:r>
      <w:r w:rsidRPr="00A64CBE">
        <w:rPr>
          <w:rFonts w:eastAsia="Helvetica Neue"/>
          <w:vertAlign w:val="superscript"/>
        </w:rPr>
        <w:endnoteReference w:id="290"/>
      </w:r>
      <w:r w:rsidRPr="00186F67">
        <w:rPr>
          <w:rFonts w:eastAsia="Helvetica Neue"/>
        </w:rPr>
        <w:t xml:space="preserve"> </w:t>
      </w:r>
    </w:p>
    <w:p w14:paraId="69F1C88A" w14:textId="77777777" w:rsidR="00952028" w:rsidRPr="00186F67" w:rsidRDefault="00952028" w:rsidP="006E6012">
      <w:pPr>
        <w:pStyle w:val="ListParagraph"/>
        <w:numPr>
          <w:ilvl w:val="0"/>
          <w:numId w:val="49"/>
        </w:numPr>
        <w:rPr>
          <w:rFonts w:eastAsia="Helvetica Neue"/>
          <w:u w:val="single"/>
        </w:rPr>
      </w:pPr>
      <w:r w:rsidRPr="00186F67">
        <w:rPr>
          <w:rFonts w:eastAsia="Helvetica Neue"/>
        </w:rPr>
        <w:t>Create programmes for families of persons with disabilities that improve the care and support they provide for their family member with a disability</w:t>
      </w:r>
      <w:r w:rsidRPr="00186F67">
        <w:rPr>
          <w:rFonts w:eastAsia="Helvetica Neue"/>
          <w:b/>
        </w:rPr>
        <w:t xml:space="preserve">. </w:t>
      </w:r>
      <w:r w:rsidRPr="00186F67">
        <w:rPr>
          <w:rFonts w:eastAsia="Helvetica Neue"/>
        </w:rPr>
        <w:t>For example, assistance programmes such as caretaker trainings, counselling, financial assistance, and respite care.</w:t>
      </w:r>
      <w:r w:rsidRPr="00A64CBE">
        <w:rPr>
          <w:rFonts w:eastAsia="Helvetica Neue"/>
          <w:vertAlign w:val="superscript"/>
        </w:rPr>
        <w:endnoteReference w:id="291"/>
      </w:r>
    </w:p>
    <w:p w14:paraId="2B158D8B" w14:textId="1D8370A3" w:rsidR="00952028" w:rsidRPr="00186F67" w:rsidRDefault="00952028" w:rsidP="00186F67">
      <w:pPr>
        <w:pStyle w:val="Heading4"/>
        <w:spacing w:before="480"/>
        <w:rPr>
          <w:rFonts w:eastAsia="Helvetica Neue"/>
        </w:rPr>
      </w:pPr>
      <w:r w:rsidRPr="00A64CBE">
        <w:rPr>
          <w:rFonts w:eastAsia="Helvetica Neue"/>
        </w:rPr>
        <w:t>Guidelines for Action</w:t>
      </w:r>
      <w:r>
        <w:rPr>
          <w:rFonts w:eastAsia="Helvetica Neue"/>
        </w:rPr>
        <w:t>:</w:t>
      </w:r>
      <w:r w:rsidR="00186F67">
        <w:rPr>
          <w:rFonts w:eastAsia="Helvetica Neue"/>
        </w:rPr>
        <w:t xml:space="preserve"> </w:t>
      </w:r>
      <w:r w:rsidRPr="00186F67">
        <w:rPr>
          <w:rFonts w:eastAsia="Helvetica Neue"/>
        </w:rPr>
        <w:t>Quality</w:t>
      </w:r>
    </w:p>
    <w:p w14:paraId="74E3E05D" w14:textId="77777777" w:rsidR="00952028" w:rsidRPr="00186F67" w:rsidRDefault="00952028" w:rsidP="006E6012">
      <w:pPr>
        <w:pStyle w:val="ListParagraph"/>
        <w:numPr>
          <w:ilvl w:val="0"/>
          <w:numId w:val="50"/>
        </w:numPr>
        <w:rPr>
          <w:rFonts w:eastAsia="Helvetica Neue"/>
          <w:u w:val="single"/>
        </w:rPr>
      </w:pPr>
      <w:r w:rsidRPr="00186F67">
        <w:rPr>
          <w:rFonts w:eastAsia="Helvetica Neue"/>
        </w:rPr>
        <w:t>Ensure that public information and awareness-raising campaigns address the forms and manifestations of violence against women and young persons with disabilities</w:t>
      </w:r>
      <w:r w:rsidRPr="00186F67">
        <w:rPr>
          <w:rFonts w:eastAsia="Helvetica Neue"/>
          <w:b/>
        </w:rPr>
        <w:t xml:space="preserve">, </w:t>
      </w:r>
      <w:r w:rsidRPr="00186F67">
        <w:rPr>
          <w:rFonts w:eastAsia="Helvetica Neue"/>
        </w:rPr>
        <w:t>sexual harassment, and available services. Engage the health sector in developing these campaigns.</w:t>
      </w:r>
      <w:r w:rsidRPr="00A64CBE">
        <w:rPr>
          <w:rFonts w:eastAsia="Helvetica Neue"/>
          <w:vertAlign w:val="superscript"/>
        </w:rPr>
        <w:endnoteReference w:id="292"/>
      </w:r>
    </w:p>
    <w:p w14:paraId="65234BF0" w14:textId="6EAD4429" w:rsidR="00952028" w:rsidRPr="00186F67" w:rsidRDefault="00952028" w:rsidP="006E6012">
      <w:pPr>
        <w:pStyle w:val="ListParagraph"/>
        <w:numPr>
          <w:ilvl w:val="1"/>
          <w:numId w:val="50"/>
        </w:numPr>
        <w:rPr>
          <w:rFonts w:eastAsia="Helvetica Neue"/>
          <w:u w:val="single"/>
        </w:rPr>
      </w:pPr>
      <w:r w:rsidRPr="00186F67">
        <w:rPr>
          <w:rFonts w:eastAsia="Helvetica Neue"/>
          <w:b/>
        </w:rPr>
        <w:t>Example:</w:t>
      </w:r>
      <w:r w:rsidRPr="00186F67">
        <w:rPr>
          <w:rFonts w:eastAsia="Helvetica Neue"/>
        </w:rPr>
        <w:t xml:space="preserve"> The </w:t>
      </w:r>
      <w:r w:rsidRPr="00186F67">
        <w:rPr>
          <w:rFonts w:eastAsia="Helvetica Neue"/>
          <w:b/>
        </w:rPr>
        <w:t>‘Toolkit on Eliminating Violence Against Women and Girls with Disabilities in Fiji’</w:t>
      </w:r>
      <w:r w:rsidRPr="00186F67">
        <w:rPr>
          <w:rFonts w:eastAsia="Helvetica Neue"/>
        </w:rPr>
        <w:t xml:space="preserve"> was developed in partnership with multiple disabled persons organizations to provide detailed guidance on effective trainings designed to eliminate violence against women and girls with disabilities. The toolkit includes training sections on human rights generally, disability, gender, violence against women, and planning for inclusion. Useful appendixes include sample evaluation forms to a sample survey to assess gender bias.</w:t>
      </w:r>
      <w:r w:rsidRPr="002D0897">
        <w:rPr>
          <w:rFonts w:eastAsia="Helvetica Neue"/>
          <w:vertAlign w:val="superscript"/>
        </w:rPr>
        <w:endnoteReference w:id="293"/>
      </w:r>
    </w:p>
    <w:p w14:paraId="162535A5" w14:textId="77777777" w:rsidR="00952028" w:rsidRPr="00186F67" w:rsidRDefault="00952028" w:rsidP="006E6012">
      <w:pPr>
        <w:pStyle w:val="ListParagraph"/>
        <w:numPr>
          <w:ilvl w:val="0"/>
          <w:numId w:val="50"/>
        </w:numPr>
        <w:rPr>
          <w:rFonts w:eastAsia="Helvetica Neue"/>
        </w:rPr>
      </w:pPr>
      <w:r w:rsidRPr="00186F67">
        <w:rPr>
          <w:rFonts w:eastAsia="Helvetica Neue"/>
        </w:rPr>
        <w:t>Ensure that awareness-raising campaigns address GBV against boys and young men with disabilities to combat misperceptions that boys and men are not victims of GBV.</w:t>
      </w:r>
    </w:p>
    <w:p w14:paraId="2C87AD4B" w14:textId="77777777" w:rsidR="00952028" w:rsidRPr="00186F67" w:rsidRDefault="00952028" w:rsidP="006E6012">
      <w:pPr>
        <w:pStyle w:val="ListParagraph"/>
        <w:numPr>
          <w:ilvl w:val="0"/>
          <w:numId w:val="50"/>
        </w:numPr>
        <w:rPr>
          <w:rFonts w:eastAsia="Helvetica Neue"/>
          <w:u w:val="single"/>
        </w:rPr>
      </w:pPr>
      <w:r w:rsidRPr="00186F67">
        <w:rPr>
          <w:rFonts w:eastAsia="Helvetica Neue"/>
        </w:rPr>
        <w:t>Develop identification procedures to determine whether service recipients qualify for poverty-reduction schemes or other support programmes or provide appropriate support or referrals to apply for such programmes.</w:t>
      </w:r>
    </w:p>
    <w:p w14:paraId="6C0FF27B" w14:textId="77777777" w:rsidR="00952028" w:rsidRPr="00186F67" w:rsidRDefault="00952028" w:rsidP="006E6012">
      <w:pPr>
        <w:pStyle w:val="ListParagraph"/>
        <w:numPr>
          <w:ilvl w:val="0"/>
          <w:numId w:val="50"/>
        </w:numPr>
        <w:rPr>
          <w:rFonts w:eastAsia="Helvetica Neue"/>
          <w:u w:val="single"/>
        </w:rPr>
      </w:pPr>
      <w:r w:rsidRPr="00186F67">
        <w:rPr>
          <w:rFonts w:eastAsia="Helvetica Neue"/>
        </w:rPr>
        <w:lastRenderedPageBreak/>
        <w:t>Distribute information and develop programming aimed at reducing the available and harmful use and access to alcohol, guns, knives, and pesticides.</w:t>
      </w:r>
      <w:r w:rsidRPr="00A64CBE">
        <w:rPr>
          <w:rFonts w:eastAsia="Helvetica Neue"/>
          <w:vertAlign w:val="superscript"/>
        </w:rPr>
        <w:endnoteReference w:id="294"/>
      </w:r>
      <w:r w:rsidRPr="00186F67">
        <w:rPr>
          <w:rFonts w:eastAsia="Helvetica Neue"/>
        </w:rPr>
        <w:t xml:space="preserve"> Each has been identified as a risk factor for GBV. </w:t>
      </w:r>
    </w:p>
    <w:p w14:paraId="49CF88CC" w14:textId="1AE43378" w:rsidR="00952028" w:rsidRPr="00186F67" w:rsidRDefault="00952028" w:rsidP="006E6012">
      <w:pPr>
        <w:pStyle w:val="ListParagraph"/>
        <w:numPr>
          <w:ilvl w:val="0"/>
          <w:numId w:val="50"/>
        </w:numPr>
        <w:rPr>
          <w:rFonts w:eastAsia="Helvetica Neue"/>
        </w:rPr>
      </w:pPr>
      <w:r w:rsidRPr="00186F67">
        <w:rPr>
          <w:rFonts w:eastAsia="Helvetica Neue"/>
        </w:rPr>
        <w:t xml:space="preserve">Design services and facilities for displaced populations and humanitarian emergency services to effectively prevent sexual and gender-based violence during humanitarian emergencies. </w:t>
      </w:r>
    </w:p>
    <w:p w14:paraId="1157EA40" w14:textId="532EC882" w:rsidR="00952028" w:rsidRPr="009840FE" w:rsidRDefault="00952028" w:rsidP="009840FE">
      <w:pPr>
        <w:pStyle w:val="Heading3"/>
      </w:pPr>
      <w:r w:rsidRPr="00A64CBE">
        <w:t xml:space="preserve">3.3.3 </w:t>
      </w:r>
      <w:r w:rsidRPr="00A64CBE">
        <w:tab/>
        <w:t xml:space="preserve">Indicators </w:t>
      </w:r>
    </w:p>
    <w:p w14:paraId="74C25EC8" w14:textId="77777777" w:rsidR="00952028" w:rsidRPr="00A64CBE" w:rsidRDefault="00952028" w:rsidP="00186F67">
      <w:pPr>
        <w:rPr>
          <w:rFonts w:eastAsia="Helvetica Neue"/>
        </w:rPr>
      </w:pPr>
      <w:r w:rsidRPr="00A64CBE">
        <w:rPr>
          <w:rFonts w:eastAsia="Helvetica Neue"/>
        </w:rPr>
        <w:t>The following are illustrative of indicators useful to monitor and evaluate progress in the provision of GBV prevention programmes. This is not an exhaustive list, but rather lists examples that demonstrate the level of specificity, subjects, and form that indicators should take. Service providers should tailor the indicators to fit their programme settings and levels, including by specifying at which level and by whom indicator data should be collected.</w:t>
      </w:r>
    </w:p>
    <w:p w14:paraId="2617CCA4" w14:textId="77777777" w:rsidR="00952028" w:rsidRPr="00186F67" w:rsidRDefault="00952028" w:rsidP="006E6012">
      <w:pPr>
        <w:pStyle w:val="ListParagraph"/>
        <w:numPr>
          <w:ilvl w:val="0"/>
          <w:numId w:val="51"/>
        </w:numPr>
        <w:ind w:left="270" w:hanging="270"/>
        <w:rPr>
          <w:b/>
          <w:u w:val="single"/>
        </w:rPr>
      </w:pPr>
      <w:r w:rsidRPr="00186F67">
        <w:rPr>
          <w:rFonts w:eastAsia="Helvetica Neue"/>
        </w:rPr>
        <w:t>GBV public awareness campaigns include GBV against persons with disabilities.</w:t>
      </w:r>
    </w:p>
    <w:p w14:paraId="2FC4F25F" w14:textId="1E6F5413" w:rsidR="00952028" w:rsidRPr="00186F67" w:rsidRDefault="00952028" w:rsidP="006E6012">
      <w:pPr>
        <w:pStyle w:val="ListParagraph"/>
        <w:numPr>
          <w:ilvl w:val="0"/>
          <w:numId w:val="51"/>
        </w:numPr>
        <w:ind w:left="270" w:hanging="270"/>
        <w:rPr>
          <w:b/>
          <w:u w:val="single"/>
        </w:rPr>
      </w:pPr>
      <w:r w:rsidRPr="00186F67">
        <w:rPr>
          <w:rFonts w:eastAsia="Helvetica Neue"/>
        </w:rPr>
        <w:t xml:space="preserve">GBV information material is available in a variety of accessible formats to disseminate information about rights and prevention services. </w:t>
      </w:r>
    </w:p>
    <w:p w14:paraId="6AF242DF" w14:textId="2BB976A2" w:rsidR="00952028" w:rsidRPr="00186F67" w:rsidRDefault="00952028" w:rsidP="00EC13D0">
      <w:pPr>
        <w:pStyle w:val="Heading2"/>
        <w:spacing w:before="480" w:after="120"/>
        <w:ind w:left="547" w:right="-720" w:hanging="547"/>
      </w:pPr>
      <w:bookmarkStart w:id="14" w:name="GBVhealth"/>
      <w:r w:rsidRPr="00186F67">
        <w:t>3.4</w:t>
      </w:r>
      <w:bookmarkEnd w:id="14"/>
      <w:r w:rsidR="00EC13D0">
        <w:tab/>
      </w:r>
      <w:r w:rsidRPr="00186F67">
        <w:t>Health Services for GBV Victims/Survivors with Disabilities</w:t>
      </w:r>
    </w:p>
    <w:p w14:paraId="6D795B1B" w14:textId="3F9740C9" w:rsidR="00952028" w:rsidRPr="009840FE" w:rsidRDefault="00952028" w:rsidP="00EC13D0">
      <w:pPr>
        <w:pStyle w:val="Heading3"/>
        <w:spacing w:before="240"/>
      </w:pPr>
      <w:r w:rsidRPr="004B2A25">
        <w:t>3.4.1</w:t>
      </w:r>
      <w:r w:rsidRPr="004B2A25">
        <w:tab/>
        <w:t xml:space="preserve">Issue </w:t>
      </w:r>
      <w:r w:rsidRPr="009840FE">
        <w:t>Overview</w:t>
      </w:r>
    </w:p>
    <w:p w14:paraId="69FC8E25" w14:textId="289D2FB8" w:rsidR="00952028" w:rsidRPr="00A64CBE" w:rsidRDefault="00952028" w:rsidP="00186F67">
      <w:pPr>
        <w:rPr>
          <w:rFonts w:eastAsia="Helvetica Neue"/>
        </w:rPr>
      </w:pPr>
      <w:r w:rsidRPr="00A64CBE">
        <w:rPr>
          <w:rFonts w:eastAsia="Helvetica Neue"/>
        </w:rPr>
        <w:t xml:space="preserve">Health service providers and support staff are key to “secondary prevention—aimed at stopping or minimizing GBV —through screening for GBV, to identify women and [young </w:t>
      </w:r>
      <w:r>
        <w:rPr>
          <w:rFonts w:eastAsia="Helvetica Neue"/>
        </w:rPr>
        <w:t>persons</w:t>
      </w:r>
      <w:r w:rsidRPr="00A64CBE">
        <w:rPr>
          <w:rFonts w:eastAsia="Helvetica Neue"/>
        </w:rPr>
        <w:t xml:space="preserve">] experiencing GBV and provide the needed support and referrals to prevent additional occurrences. Health services also undertake tertiary prevention: treatment and harm reduction for those women and [young </w:t>
      </w:r>
      <w:r>
        <w:rPr>
          <w:rFonts w:eastAsia="Helvetica Neue"/>
        </w:rPr>
        <w:t>persons</w:t>
      </w:r>
      <w:r w:rsidRPr="00A64CBE">
        <w:rPr>
          <w:rFonts w:eastAsia="Helvetica Neue"/>
        </w:rPr>
        <w:t xml:space="preserve">] with severe injuries and health consequences from </w:t>
      </w:r>
      <w:r>
        <w:rPr>
          <w:rFonts w:eastAsia="Helvetica Neue"/>
        </w:rPr>
        <w:t>GBV</w:t>
      </w:r>
      <w:r w:rsidRPr="00A64CBE">
        <w:rPr>
          <w:rFonts w:eastAsia="Helvetica Neue"/>
        </w:rPr>
        <w:t xml:space="preserve">. Many primary-prevention strategies are either community-based with direct face-to-face educational interventions </w:t>
      </w:r>
      <w:r>
        <w:rPr>
          <w:rFonts w:eastAsia="Helvetica Neue"/>
        </w:rPr>
        <w:t>or involve mass media campaigns</w:t>
      </w:r>
      <w:r w:rsidRPr="00A64CBE">
        <w:rPr>
          <w:rFonts w:eastAsia="Helvetica Neue"/>
        </w:rPr>
        <w:t>”</w:t>
      </w:r>
      <w:r>
        <w:rPr>
          <w:rFonts w:eastAsia="Helvetica Neue"/>
        </w:rPr>
        <w:t>.</w:t>
      </w:r>
      <w:r w:rsidRPr="00A64CBE">
        <w:rPr>
          <w:rFonts w:eastAsia="Helvetica Neue"/>
          <w:vertAlign w:val="superscript"/>
        </w:rPr>
        <w:endnoteReference w:id="295"/>
      </w:r>
      <w:r w:rsidRPr="00A64CBE">
        <w:rPr>
          <w:rFonts w:eastAsia="Helvetica Neue"/>
        </w:rPr>
        <w:t xml:space="preserve"> Women and young </w:t>
      </w:r>
      <w:r>
        <w:rPr>
          <w:rFonts w:eastAsia="Helvetica Neue"/>
        </w:rPr>
        <w:t>persons</w:t>
      </w:r>
      <w:r w:rsidRPr="00A64CBE">
        <w:rPr>
          <w:rFonts w:eastAsia="Helvetica Neue"/>
        </w:rPr>
        <w:t xml:space="preserve"> with disabilities who are victims/survivors of </w:t>
      </w:r>
      <w:r>
        <w:rPr>
          <w:rFonts w:eastAsia="Helvetica Neue"/>
        </w:rPr>
        <w:t>GBV</w:t>
      </w:r>
      <w:r w:rsidRPr="00A64CBE">
        <w:rPr>
          <w:rFonts w:eastAsia="Helvetica Neue"/>
        </w:rPr>
        <w:t xml:space="preserve"> have a right to access quality health services generally, including as an essential component of their physical and psychological recovery.</w:t>
      </w:r>
    </w:p>
    <w:p w14:paraId="18E60C4B" w14:textId="77777777" w:rsidR="00952028" w:rsidRPr="00A64CBE" w:rsidRDefault="00952028" w:rsidP="00186F67">
      <w:pPr>
        <w:rPr>
          <w:rFonts w:eastAsia="Helvetica Neue"/>
        </w:rPr>
      </w:pPr>
      <w:r w:rsidRPr="00A64CBE">
        <w:rPr>
          <w:rFonts w:eastAsia="Helvetica Neue"/>
        </w:rPr>
        <w:t xml:space="preserve">Important health services for GBV victim/survivors include: </w:t>
      </w:r>
      <w:r w:rsidRPr="002D0897">
        <w:rPr>
          <w:rFonts w:eastAsia="Helvetica Neue"/>
        </w:rPr>
        <w:t>identification procedures for victims/survivors of GBV; first-line support to respond to the immediate emotional, physical, safety and support needs of victims/survivors of GBV with disabilities; care of injuries and urgent medical issues; sexual assault exam and care for victims/survivors of sexual violence (including access to emergency contraception to prevent unintended pregnancy, post-exposure prophylaxis to prevent HIV and other sexually transmitted infections, and abortion services where it is not against the law); mental health assessments and referrals for follow-up psychosocial care; and documentation of violence for medico-legal evidence.</w:t>
      </w:r>
      <w:r w:rsidRPr="00A64CBE">
        <w:rPr>
          <w:rFonts w:eastAsia="Helvetica Neue"/>
        </w:rPr>
        <w:t xml:space="preserve"> </w:t>
      </w:r>
    </w:p>
    <w:p w14:paraId="4C724D78" w14:textId="77777777" w:rsidR="00952028" w:rsidRPr="00A64CBE" w:rsidRDefault="00952028" w:rsidP="00952028">
      <w:pPr>
        <w:rPr>
          <w:rFonts w:ascii="Arial" w:eastAsia="Helvetica Neue" w:hAnsi="Arial" w:cs="Arial"/>
          <w:color w:val="000000"/>
        </w:rPr>
      </w:pPr>
    </w:p>
    <w:p w14:paraId="5812E596" w14:textId="77777777" w:rsidR="00952028" w:rsidRPr="00A64CBE" w:rsidRDefault="00952028" w:rsidP="009840FE">
      <w:pPr>
        <w:pStyle w:val="Heading3"/>
      </w:pPr>
      <w:r w:rsidRPr="00A64CBE">
        <w:lastRenderedPageBreak/>
        <w:t>3.4.2</w:t>
      </w:r>
      <w:r w:rsidRPr="00A64CBE">
        <w:tab/>
      </w:r>
      <w:r w:rsidRPr="009840FE">
        <w:t>Providing</w:t>
      </w:r>
      <w:r w:rsidRPr="00A64CBE">
        <w:t xml:space="preserve"> Rights-Based Health Services for GBV Victims/Survivors with Disabilities</w:t>
      </w:r>
    </w:p>
    <w:p w14:paraId="29CF653E" w14:textId="6244D7CD" w:rsidR="00952028" w:rsidRPr="00A64CBE" w:rsidRDefault="00952028" w:rsidP="00186F67">
      <w:pPr>
        <w:rPr>
          <w:rFonts w:eastAsia="Helvetica Neue"/>
          <w:b/>
          <w:u w:val="single"/>
        </w:rPr>
      </w:pPr>
      <w:r w:rsidRPr="00A64CBE">
        <w:rPr>
          <w:rFonts w:eastAsia="Helvetica Neue"/>
        </w:rPr>
        <w:t xml:space="preserve">The key considerations enumerated here identify common barriers to accessing health services by women and young </w:t>
      </w:r>
      <w:r w:rsidR="000C4D76">
        <w:rPr>
          <w:rFonts w:eastAsia="Helvetica Neue"/>
        </w:rPr>
        <w:t>persons</w:t>
      </w:r>
      <w:r w:rsidR="000C4D76" w:rsidRPr="00A64CBE">
        <w:rPr>
          <w:rFonts w:eastAsia="Helvetica Neue"/>
        </w:rPr>
        <w:t xml:space="preserve"> </w:t>
      </w:r>
      <w:r w:rsidRPr="00A64CBE">
        <w:rPr>
          <w:rFonts w:eastAsia="Helvetica Neue"/>
        </w:rPr>
        <w:t xml:space="preserve">with disabilities who are victims/survivors of </w:t>
      </w:r>
      <w:r>
        <w:rPr>
          <w:rFonts w:eastAsia="Helvetica Neue"/>
        </w:rPr>
        <w:t>GBV</w:t>
      </w:r>
      <w:r w:rsidRPr="00A64CBE">
        <w:rPr>
          <w:rFonts w:eastAsia="Helvetica Neue"/>
        </w:rPr>
        <w:t xml:space="preserve">. The guidelines for action offer guidance for ensuring that rights-based health services tailored to the specific needs and experiences of GBV victims/survivors with disabilities are available, accessible, acceptable, and of good quality. These guidelines for action build on the Foundational Guidelines for Action identified in </w:t>
      </w:r>
      <w:r w:rsidRPr="002D0897">
        <w:rPr>
          <w:rFonts w:eastAsia="Helvetica Neue"/>
          <w:b/>
        </w:rPr>
        <w:t>Chapter 2</w:t>
      </w:r>
      <w:r w:rsidRPr="00A64CBE">
        <w:rPr>
          <w:rFonts w:eastAsia="Helvetica Neue"/>
        </w:rPr>
        <w:t xml:space="preserve"> and are not exhaustive but provide a starting point for developing disability-inclusive services and programmes.</w:t>
      </w:r>
    </w:p>
    <w:p w14:paraId="06417558" w14:textId="77777777" w:rsidR="00952028" w:rsidRPr="00A64CBE" w:rsidRDefault="00952028" w:rsidP="003C6133">
      <w:pPr>
        <w:pStyle w:val="Heading4"/>
        <w:spacing w:before="480"/>
        <w:rPr>
          <w:rFonts w:eastAsia="Helvetica Neue"/>
        </w:rPr>
      </w:pPr>
      <w:r w:rsidRPr="00A64CBE">
        <w:rPr>
          <w:rFonts w:eastAsia="Helvetica Neue"/>
        </w:rPr>
        <w:t xml:space="preserve">Key </w:t>
      </w:r>
      <w:r w:rsidRPr="00186F67">
        <w:rPr>
          <w:rFonts w:eastAsia="Helvetica Neue"/>
        </w:rPr>
        <w:t>Considerations</w:t>
      </w:r>
    </w:p>
    <w:p w14:paraId="511A50D0" w14:textId="77777777" w:rsidR="00952028" w:rsidRPr="00A64CBE" w:rsidRDefault="00952028" w:rsidP="006E6012">
      <w:pPr>
        <w:pStyle w:val="ListParagraph"/>
        <w:numPr>
          <w:ilvl w:val="0"/>
          <w:numId w:val="52"/>
        </w:numPr>
        <w:ind w:left="360"/>
      </w:pPr>
      <w:r w:rsidRPr="00186F67">
        <w:rPr>
          <w:rFonts w:eastAsia="Helvetica Neue"/>
        </w:rPr>
        <w:t xml:space="preserve">Lack of clear and disability-sensitive laws, regulations, and protocols for accessing emergency contraception, abortion (where legal), and post-exposure prophylaxis for victims/survivors of sexual violence can result in unintended pregnancy and sexually transmitted infections going untested and untreated, resulting in further health problems. </w:t>
      </w:r>
    </w:p>
    <w:p w14:paraId="799B16BF" w14:textId="0617B110" w:rsidR="00952028" w:rsidRPr="00A64CBE" w:rsidRDefault="00952028" w:rsidP="006E6012">
      <w:pPr>
        <w:pStyle w:val="ListParagraph"/>
        <w:numPr>
          <w:ilvl w:val="0"/>
          <w:numId w:val="52"/>
        </w:numPr>
        <w:ind w:left="360"/>
      </w:pPr>
      <w:r w:rsidRPr="00186F67">
        <w:rPr>
          <w:rFonts w:eastAsia="Helvetica Neue"/>
        </w:rPr>
        <w:t xml:space="preserve">Provider misconception that </w:t>
      </w:r>
      <w:r w:rsidR="000C4D76">
        <w:rPr>
          <w:rFonts w:eastAsia="Helvetica Neue"/>
        </w:rPr>
        <w:t>persons</w:t>
      </w:r>
      <w:r w:rsidR="000C4D76" w:rsidRPr="00186F67">
        <w:rPr>
          <w:rFonts w:eastAsia="Helvetica Neue"/>
        </w:rPr>
        <w:t xml:space="preserve"> </w:t>
      </w:r>
      <w:r w:rsidRPr="00186F67">
        <w:rPr>
          <w:rFonts w:eastAsia="Helvetica Neue"/>
        </w:rPr>
        <w:t>with disabilities are not sexually active may result in the failure to identify GBV victim/survivors.</w:t>
      </w:r>
      <w:r w:rsidRPr="00A64CBE">
        <w:rPr>
          <w:rFonts w:eastAsia="Helvetica Neue"/>
          <w:vertAlign w:val="superscript"/>
        </w:rPr>
        <w:endnoteReference w:id="296"/>
      </w:r>
    </w:p>
    <w:p w14:paraId="4DC49FC3" w14:textId="77777777" w:rsidR="00952028" w:rsidRPr="00A64CBE" w:rsidRDefault="00952028" w:rsidP="006E6012">
      <w:pPr>
        <w:pStyle w:val="ListParagraph"/>
        <w:numPr>
          <w:ilvl w:val="0"/>
          <w:numId w:val="52"/>
        </w:numPr>
        <w:ind w:left="360"/>
      </w:pPr>
      <w:r w:rsidRPr="00186F67">
        <w:rPr>
          <w:rFonts w:eastAsia="Helvetica Neue"/>
        </w:rPr>
        <w:t xml:space="preserve">Ill-informed and disrespectful care in GBV health services can traumatize a victim/survivor. </w:t>
      </w:r>
    </w:p>
    <w:p w14:paraId="0B31D7C8" w14:textId="77777777" w:rsidR="00952028" w:rsidRPr="00A64CBE" w:rsidRDefault="00952028" w:rsidP="006E6012">
      <w:pPr>
        <w:pStyle w:val="ListParagraph"/>
        <w:numPr>
          <w:ilvl w:val="0"/>
          <w:numId w:val="52"/>
        </w:numPr>
        <w:ind w:left="360"/>
      </w:pPr>
      <w:r w:rsidRPr="00186F67">
        <w:rPr>
          <w:rFonts w:eastAsia="Helvetica Neue"/>
        </w:rPr>
        <w:t>Failure to identify a need for or to respond to a request for GBV health services can result in GBV occurring for a prolonged period, expose victims/survivors to an increased risk of unintended pregnancy and sexually transmitted infections, and further traumatize a victim/survivor.</w:t>
      </w:r>
    </w:p>
    <w:p w14:paraId="122FC244" w14:textId="77777777" w:rsidR="00952028" w:rsidRPr="00186F67" w:rsidRDefault="00952028" w:rsidP="006E6012">
      <w:pPr>
        <w:pStyle w:val="ListParagraph"/>
        <w:numPr>
          <w:ilvl w:val="0"/>
          <w:numId w:val="52"/>
        </w:numPr>
        <w:ind w:left="360"/>
        <w:rPr>
          <w:b/>
        </w:rPr>
      </w:pPr>
      <w:r w:rsidRPr="00186F67">
        <w:rPr>
          <w:rFonts w:eastAsia="Helvetica Neue"/>
        </w:rPr>
        <w:t xml:space="preserve">Exclusion of women and young persons with disabilities from public health information campaigns about GBV and SRHR due to a variety of factors, including stereotypes, isolation, and inaccessible formats. </w:t>
      </w:r>
    </w:p>
    <w:p w14:paraId="4D3C5D6E" w14:textId="77777777" w:rsidR="00952028" w:rsidRPr="00186F67" w:rsidRDefault="00952028" w:rsidP="006E6012">
      <w:pPr>
        <w:pStyle w:val="ListParagraph"/>
        <w:numPr>
          <w:ilvl w:val="0"/>
          <w:numId w:val="52"/>
        </w:numPr>
        <w:ind w:left="360"/>
        <w:rPr>
          <w:b/>
        </w:rPr>
      </w:pPr>
      <w:r w:rsidRPr="00186F67">
        <w:rPr>
          <w:rFonts w:eastAsia="Helvetica Neue"/>
        </w:rPr>
        <w:t>Denial of access to essential counselling for women and young persons with disabilities as needed to make decisions around urgent healthcare follow up, including emergency contraception, abortion (where legal), and STI testing and prophylactic treatment. This can lead some service providers and support staff to feel uncomfortable when treating women and girls with disabilities and limit the overall quality and effectiveness of care.</w:t>
      </w:r>
      <w:r w:rsidRPr="00A64CBE">
        <w:rPr>
          <w:rFonts w:eastAsia="Helvetica Neue"/>
          <w:vertAlign w:val="superscript"/>
        </w:rPr>
        <w:endnoteReference w:id="297"/>
      </w:r>
    </w:p>
    <w:p w14:paraId="1FD91DAE" w14:textId="77777777" w:rsidR="00952028" w:rsidRPr="00A64CBE" w:rsidRDefault="00952028" w:rsidP="006E6012">
      <w:pPr>
        <w:pStyle w:val="ListParagraph"/>
        <w:numPr>
          <w:ilvl w:val="0"/>
          <w:numId w:val="52"/>
        </w:numPr>
        <w:ind w:left="360"/>
      </w:pPr>
      <w:r w:rsidRPr="00186F67">
        <w:rPr>
          <w:rFonts w:eastAsia="Helvetica Neue"/>
        </w:rPr>
        <w:t xml:space="preserve">Inaccessible intake forms and other communication barriers that prevent service providers and support staff from accurately identifying sexual and GBV and assessing the health needs and risks for GBV victims/survivors with disabilities. </w:t>
      </w:r>
    </w:p>
    <w:p w14:paraId="67545215" w14:textId="77777777" w:rsidR="00952028" w:rsidRPr="00A64CBE" w:rsidRDefault="00952028" w:rsidP="006E6012">
      <w:pPr>
        <w:pStyle w:val="ListParagraph"/>
        <w:numPr>
          <w:ilvl w:val="0"/>
          <w:numId w:val="52"/>
        </w:numPr>
        <w:ind w:left="360"/>
      </w:pPr>
      <w:r w:rsidRPr="00186F67">
        <w:rPr>
          <w:rFonts w:eastAsia="Helvetica Neue"/>
        </w:rPr>
        <w:t xml:space="preserve">During emergencies, some service providers and support staff may conclude that women and young persons with intellectual disabilities lack the capacity to benefit from services. Thus, services are not developed or offered to women and young persons with intellectual disabilities, despite their documented need. </w:t>
      </w:r>
    </w:p>
    <w:p w14:paraId="4CF6F5A6" w14:textId="77777777" w:rsidR="003A0C66" w:rsidRDefault="003A0C66">
      <w:pPr>
        <w:spacing w:before="0" w:after="0"/>
        <w:rPr>
          <w:rFonts w:eastAsia="Helvetica Neue"/>
          <w:b/>
          <w:sz w:val="28"/>
          <w:lang w:val="en-GB"/>
        </w:rPr>
      </w:pPr>
      <w:r>
        <w:rPr>
          <w:rFonts w:eastAsia="Helvetica Neue"/>
        </w:rPr>
        <w:br w:type="page"/>
      </w:r>
    </w:p>
    <w:p w14:paraId="575757F2" w14:textId="72AF5FB1" w:rsidR="00952028" w:rsidRPr="00186F67" w:rsidRDefault="00952028" w:rsidP="00186F67">
      <w:pPr>
        <w:pStyle w:val="Heading4"/>
        <w:spacing w:before="480"/>
        <w:rPr>
          <w:rFonts w:eastAsia="Helvetica Neue"/>
        </w:rPr>
      </w:pPr>
      <w:r w:rsidRPr="00A64CBE">
        <w:rPr>
          <w:rFonts w:eastAsia="Helvetica Neue"/>
        </w:rPr>
        <w:lastRenderedPageBreak/>
        <w:t xml:space="preserve">Guidelines for Action: </w:t>
      </w:r>
      <w:r w:rsidRPr="00186F67">
        <w:rPr>
          <w:rFonts w:eastAsia="Helvetica Neue"/>
        </w:rPr>
        <w:t>Availability</w:t>
      </w:r>
    </w:p>
    <w:p w14:paraId="4CD5D560" w14:textId="77777777" w:rsidR="00952028" w:rsidRPr="00186F67" w:rsidRDefault="00952028" w:rsidP="006E6012">
      <w:pPr>
        <w:pStyle w:val="ListParagraph"/>
        <w:numPr>
          <w:ilvl w:val="0"/>
          <w:numId w:val="53"/>
        </w:numPr>
        <w:rPr>
          <w:rFonts w:eastAsia="Helvetica Neue"/>
          <w:u w:val="single"/>
        </w:rPr>
      </w:pPr>
      <w:r w:rsidRPr="00186F67">
        <w:rPr>
          <w:rFonts w:eastAsia="Helvetica Neue"/>
        </w:rPr>
        <w:t xml:space="preserve">Create education programmes for family members, partners, and caregivers, who may act as gatekeepers to essential services, to help them better understand the importance of accessing GBV health services. </w:t>
      </w:r>
    </w:p>
    <w:p w14:paraId="1D1A1BA5" w14:textId="277AA8E9" w:rsidR="00952028" w:rsidRPr="00186F67" w:rsidRDefault="00952028" w:rsidP="006E6012">
      <w:pPr>
        <w:pStyle w:val="ListParagraph"/>
        <w:numPr>
          <w:ilvl w:val="0"/>
          <w:numId w:val="53"/>
        </w:numPr>
        <w:rPr>
          <w:rFonts w:eastAsia="Helvetica Neue"/>
        </w:rPr>
      </w:pPr>
      <w:r w:rsidRPr="00186F67">
        <w:rPr>
          <w:rFonts w:eastAsia="Helvetica Neue"/>
        </w:rPr>
        <w:t>Ensure accessible emergency medical care</w:t>
      </w:r>
      <w:r w:rsidRPr="00186F67">
        <w:rPr>
          <w:rFonts w:eastAsia="Helvetica Neue"/>
          <w:b/>
        </w:rPr>
        <w:t xml:space="preserve"> </w:t>
      </w:r>
      <w:r w:rsidRPr="00186F67">
        <w:rPr>
          <w:rFonts w:eastAsia="Helvetica Neue"/>
        </w:rPr>
        <w:t>is available for women and young persons with disabilities—including essential medicines (such as emergency contraception and STI prophylaxis), pregnancy and STI testing, and abortion services, where legal—for free or at a low cost to victims/survivors of GBV.</w:t>
      </w:r>
      <w:r w:rsidRPr="00A64CBE">
        <w:rPr>
          <w:rFonts w:eastAsia="Helvetica Neue"/>
          <w:vertAlign w:val="superscript"/>
        </w:rPr>
        <w:endnoteReference w:id="298"/>
      </w:r>
    </w:p>
    <w:p w14:paraId="4CC72A38" w14:textId="563077BF" w:rsidR="00952028" w:rsidRPr="00186F67" w:rsidRDefault="00952028" w:rsidP="00186F67">
      <w:pPr>
        <w:pStyle w:val="Heading4"/>
        <w:spacing w:before="480"/>
        <w:rPr>
          <w:rFonts w:eastAsia="Helvetica Neue"/>
        </w:rPr>
      </w:pPr>
      <w:r w:rsidRPr="00A64CBE">
        <w:rPr>
          <w:rFonts w:eastAsia="Helvetica Neue"/>
        </w:rPr>
        <w:t xml:space="preserve">Guidelines </w:t>
      </w:r>
      <w:r w:rsidRPr="009840FE">
        <w:rPr>
          <w:rFonts w:eastAsia="Helvetica Neue"/>
        </w:rPr>
        <w:t>for</w:t>
      </w:r>
      <w:r w:rsidRPr="00A64CBE">
        <w:rPr>
          <w:rFonts w:eastAsia="Helvetica Neue"/>
        </w:rPr>
        <w:t xml:space="preserve"> Action: </w:t>
      </w:r>
      <w:r w:rsidRPr="00186F67">
        <w:rPr>
          <w:rFonts w:eastAsia="Helvetica Neue"/>
        </w:rPr>
        <w:t>Accessibility</w:t>
      </w:r>
    </w:p>
    <w:p w14:paraId="0FAB91F2" w14:textId="77777777" w:rsidR="00952028" w:rsidRPr="00186F67" w:rsidRDefault="00952028" w:rsidP="006E6012">
      <w:pPr>
        <w:pStyle w:val="ListParagraph"/>
        <w:numPr>
          <w:ilvl w:val="0"/>
          <w:numId w:val="54"/>
        </w:numPr>
        <w:rPr>
          <w:rFonts w:eastAsia="Helvetica Neue"/>
          <w:u w:val="single"/>
        </w:rPr>
      </w:pPr>
      <w:r w:rsidRPr="00186F67">
        <w:rPr>
          <w:rFonts w:eastAsia="Helvetica Neue"/>
          <w:bCs/>
        </w:rPr>
        <w:t>Picture guides</w:t>
      </w:r>
      <w:r w:rsidRPr="00186F67">
        <w:rPr>
          <w:rFonts w:eastAsia="Helvetica Neue"/>
          <w:b/>
        </w:rPr>
        <w:t xml:space="preserve"> </w:t>
      </w:r>
      <w:r w:rsidRPr="00186F67">
        <w:rPr>
          <w:rFonts w:eastAsia="Helvetica Neue"/>
        </w:rPr>
        <w:t xml:space="preserve">and other accessible formats tailored for persons with different disabilities, can be an especially useful resource to prepare women and young persons for medical exams and procedures. </w:t>
      </w:r>
    </w:p>
    <w:p w14:paraId="665FECDC" w14:textId="705596AA" w:rsidR="00952028" w:rsidRPr="006A423E" w:rsidRDefault="00952028" w:rsidP="007B7686">
      <w:pPr>
        <w:pStyle w:val="ListParagraph"/>
        <w:numPr>
          <w:ilvl w:val="0"/>
          <w:numId w:val="33"/>
        </w:numPr>
        <w:ind w:left="720"/>
        <w:rPr>
          <w:rFonts w:eastAsia="Helvetica Neue"/>
        </w:rPr>
      </w:pPr>
      <w:r w:rsidRPr="006A423E">
        <w:rPr>
          <w:rFonts w:eastAsia="Helvetica Neue"/>
          <w:b/>
        </w:rPr>
        <w:t xml:space="preserve">Example: </w:t>
      </w:r>
      <w:r w:rsidRPr="006A423E">
        <w:rPr>
          <w:rFonts w:eastAsia="Helvetica Neue"/>
        </w:rPr>
        <w:t xml:space="preserve">The Illinois Imagines’ </w:t>
      </w:r>
      <w:r w:rsidRPr="006A423E">
        <w:rPr>
          <w:rFonts w:eastAsia="Helvetica Neue"/>
          <w:b/>
        </w:rPr>
        <w:t>SANE Picture Guides</w:t>
      </w:r>
      <w:r w:rsidRPr="006A423E">
        <w:rPr>
          <w:rFonts w:eastAsia="Helvetica Neue"/>
        </w:rPr>
        <w:t xml:space="preserve"> are good examples of picture guides that can increase GBV health service accessibility. This collection of picture guides was developed to assist women with disabilities to better un</w:t>
      </w:r>
      <w:r w:rsidRPr="002C157A">
        <w:rPr>
          <w:rFonts w:eastAsia="Helvetica Neue"/>
        </w:rPr>
        <w:t>derstand the sexual assault examination process. There are different guides depending on the needs of the woman and guides for medical staff and advocates to assist a woman with a disability.</w:t>
      </w:r>
      <w:r w:rsidRPr="002D0897">
        <w:rPr>
          <w:rFonts w:eastAsia="Helvetica Neue"/>
          <w:vertAlign w:val="superscript"/>
        </w:rPr>
        <w:endnoteReference w:id="299"/>
      </w:r>
    </w:p>
    <w:p w14:paraId="14324086" w14:textId="1C6EC816" w:rsidR="00952028" w:rsidRPr="00186F67" w:rsidRDefault="00952028" w:rsidP="00186F67">
      <w:pPr>
        <w:pStyle w:val="Heading4"/>
        <w:spacing w:before="480"/>
        <w:rPr>
          <w:rFonts w:eastAsia="Helvetica Neue"/>
        </w:rPr>
      </w:pPr>
      <w:r w:rsidRPr="00A64CBE">
        <w:rPr>
          <w:rFonts w:eastAsia="Helvetica Neue"/>
        </w:rPr>
        <w:t xml:space="preserve">Guidelines for </w:t>
      </w:r>
      <w:r w:rsidRPr="009840FE">
        <w:rPr>
          <w:rFonts w:eastAsia="Helvetica Neue"/>
        </w:rPr>
        <w:t>Action</w:t>
      </w:r>
      <w:r w:rsidRPr="00A64CBE">
        <w:rPr>
          <w:rFonts w:eastAsia="Helvetica Neue"/>
        </w:rPr>
        <w:t xml:space="preserve">: </w:t>
      </w:r>
      <w:r w:rsidRPr="00186F67">
        <w:rPr>
          <w:rFonts w:eastAsia="Helvetica Neue"/>
        </w:rPr>
        <w:t>Acceptability</w:t>
      </w:r>
    </w:p>
    <w:p w14:paraId="66E21557" w14:textId="55F06144" w:rsidR="00952028" w:rsidRPr="00186F67" w:rsidRDefault="00952028" w:rsidP="006E6012">
      <w:pPr>
        <w:pStyle w:val="ListParagraph"/>
        <w:numPr>
          <w:ilvl w:val="0"/>
          <w:numId w:val="55"/>
        </w:numPr>
        <w:rPr>
          <w:rFonts w:eastAsia="Helvetica Neue"/>
        </w:rPr>
      </w:pPr>
      <w:r w:rsidRPr="00186F67">
        <w:rPr>
          <w:rFonts w:eastAsia="Helvetica Neue"/>
        </w:rPr>
        <w:t>Create—and train all service providers and support staff on—effective and trauma-informed GBV identification procedures and policies. Medical service providers must understand their responsibility to identify patients with disabilities experiencing or at risk of GBV and how to conduct appropriate and trauma-informed identification and referrals.</w:t>
      </w:r>
      <w:r w:rsidRPr="002D0897">
        <w:rPr>
          <w:rFonts w:eastAsia="Helvetica Neue"/>
          <w:vertAlign w:val="superscript"/>
        </w:rPr>
        <w:endnoteReference w:id="300"/>
      </w:r>
      <w:r w:rsidRPr="00186F67">
        <w:rPr>
          <w:rFonts w:eastAsia="Helvetica Neue"/>
          <w:vertAlign w:val="superscript"/>
        </w:rPr>
        <w:t xml:space="preserve"> </w:t>
      </w:r>
      <w:r w:rsidRPr="00186F67">
        <w:rPr>
          <w:rFonts w:eastAsia="Helvetica Neue"/>
        </w:rPr>
        <w:t>Stereotypes about women and young persons with disabilities not being GBV victims must be actively dispelled in training.</w:t>
      </w:r>
      <w:r w:rsidRPr="00A64CBE">
        <w:rPr>
          <w:rFonts w:eastAsia="Helvetica Neue"/>
          <w:vertAlign w:val="superscript"/>
        </w:rPr>
        <w:endnoteReference w:id="301"/>
      </w:r>
      <w:r w:rsidRPr="00186F67">
        <w:rPr>
          <w:rFonts w:eastAsia="Helvetica Neue"/>
        </w:rPr>
        <w:t xml:space="preserve"> It is particularly important to include male service providers and support staff in gender sensitization programmes to improve their ability to identify women and young </w:t>
      </w:r>
      <w:r w:rsidR="000C4D76">
        <w:rPr>
          <w:rFonts w:eastAsia="Helvetica Neue"/>
        </w:rPr>
        <w:t>persons</w:t>
      </w:r>
      <w:r w:rsidR="000C4D76" w:rsidRPr="00186F67">
        <w:rPr>
          <w:rFonts w:eastAsia="Helvetica Neue"/>
        </w:rPr>
        <w:t xml:space="preserve"> </w:t>
      </w:r>
      <w:r w:rsidRPr="00186F67">
        <w:rPr>
          <w:rFonts w:eastAsia="Helvetica Neue"/>
        </w:rPr>
        <w:t>with and without disabilities who have experienced GBV.</w:t>
      </w:r>
      <w:r w:rsidRPr="00A64CBE">
        <w:rPr>
          <w:rFonts w:eastAsia="Helvetica Neue"/>
          <w:vertAlign w:val="superscript"/>
        </w:rPr>
        <w:endnoteReference w:id="302"/>
      </w:r>
      <w:r w:rsidRPr="00186F67">
        <w:rPr>
          <w:rFonts w:eastAsia="Helvetica Neue"/>
        </w:rPr>
        <w:t xml:space="preserve"> </w:t>
      </w:r>
    </w:p>
    <w:p w14:paraId="0A59A172" w14:textId="77777777" w:rsidR="00952028" w:rsidRPr="00186F67" w:rsidRDefault="00952028" w:rsidP="006E6012">
      <w:pPr>
        <w:pStyle w:val="ListParagraph"/>
        <w:numPr>
          <w:ilvl w:val="0"/>
          <w:numId w:val="55"/>
        </w:numPr>
        <w:rPr>
          <w:rFonts w:eastAsia="Helvetica Neue"/>
          <w:u w:val="single"/>
        </w:rPr>
      </w:pPr>
      <w:r w:rsidRPr="00186F67">
        <w:rPr>
          <w:rFonts w:eastAsia="Helvetica Neue"/>
        </w:rPr>
        <w:t>Tailor GBV identification policies to identify the unique types of violence that women and young persons with disabilities experience. Examples of identification questions include:</w:t>
      </w:r>
    </w:p>
    <w:p w14:paraId="2B93490A" w14:textId="77777777" w:rsidR="00952028" w:rsidRPr="00186F67" w:rsidRDefault="00952028" w:rsidP="006E6012">
      <w:pPr>
        <w:pStyle w:val="ListParagraph"/>
        <w:numPr>
          <w:ilvl w:val="1"/>
          <w:numId w:val="55"/>
        </w:numPr>
        <w:rPr>
          <w:u w:val="single"/>
        </w:rPr>
      </w:pPr>
      <w:r w:rsidRPr="00186F67">
        <w:rPr>
          <w:rFonts w:eastAsia="Helvetica Neue"/>
        </w:rPr>
        <w:t>“Is there anything I need to know [about you] to be able to provide the best services possible?</w:t>
      </w:r>
    </w:p>
    <w:p w14:paraId="4C65C811" w14:textId="77777777" w:rsidR="00952028" w:rsidRPr="00186F67" w:rsidRDefault="00952028" w:rsidP="006E6012">
      <w:pPr>
        <w:pStyle w:val="ListParagraph"/>
        <w:numPr>
          <w:ilvl w:val="1"/>
          <w:numId w:val="55"/>
        </w:numPr>
        <w:rPr>
          <w:u w:val="single"/>
        </w:rPr>
      </w:pPr>
      <w:r w:rsidRPr="00186F67">
        <w:rPr>
          <w:rFonts w:eastAsia="Helvetica Neue"/>
        </w:rPr>
        <w:t xml:space="preserve">Now that I have described our program, (include path of travel to agency, physical layout of building, various services) do you have any concerns or hesitations about using our program’s services? </w:t>
      </w:r>
    </w:p>
    <w:p w14:paraId="77B9204B" w14:textId="77777777" w:rsidR="00952028" w:rsidRPr="00186F67" w:rsidRDefault="00952028" w:rsidP="006E6012">
      <w:pPr>
        <w:pStyle w:val="ListParagraph"/>
        <w:numPr>
          <w:ilvl w:val="1"/>
          <w:numId w:val="55"/>
        </w:numPr>
        <w:rPr>
          <w:u w:val="single"/>
        </w:rPr>
      </w:pPr>
      <w:r w:rsidRPr="00186F67">
        <w:rPr>
          <w:rFonts w:eastAsia="Helvetica Neue"/>
        </w:rPr>
        <w:t>Does anyone control your communication with others or change what you are trying to say?</w:t>
      </w:r>
    </w:p>
    <w:p w14:paraId="1418E193" w14:textId="77777777" w:rsidR="00952028" w:rsidRPr="00186F67" w:rsidRDefault="00952028" w:rsidP="006E6012">
      <w:pPr>
        <w:pStyle w:val="ListParagraph"/>
        <w:numPr>
          <w:ilvl w:val="1"/>
          <w:numId w:val="55"/>
        </w:numPr>
        <w:rPr>
          <w:u w:val="single"/>
        </w:rPr>
      </w:pPr>
      <w:r w:rsidRPr="00186F67">
        <w:rPr>
          <w:rFonts w:eastAsia="Helvetica Neue"/>
        </w:rPr>
        <w:t>Has anyone taken or broken something that you need to be independent? For example, your cane, walker, wheelchair, respirator, or TTY [teletypewriter]?</w:t>
      </w:r>
    </w:p>
    <w:p w14:paraId="19926F7D" w14:textId="77777777" w:rsidR="00952028" w:rsidRPr="00186F67" w:rsidRDefault="00952028" w:rsidP="006E6012">
      <w:pPr>
        <w:pStyle w:val="ListParagraph"/>
        <w:numPr>
          <w:ilvl w:val="1"/>
          <w:numId w:val="55"/>
        </w:numPr>
        <w:rPr>
          <w:u w:val="single"/>
        </w:rPr>
      </w:pPr>
      <w:r w:rsidRPr="00186F67">
        <w:rPr>
          <w:rFonts w:eastAsia="Helvetica Neue"/>
        </w:rPr>
        <w:lastRenderedPageBreak/>
        <w:t>Does anyone have legal control over your money or your decisions? What happens if you disagree with them about their decisions?</w:t>
      </w:r>
    </w:p>
    <w:p w14:paraId="21CBD2E6" w14:textId="77777777" w:rsidR="00952028" w:rsidRPr="00186F67" w:rsidRDefault="00952028" w:rsidP="006E6012">
      <w:pPr>
        <w:pStyle w:val="ListParagraph"/>
        <w:numPr>
          <w:ilvl w:val="1"/>
          <w:numId w:val="55"/>
        </w:numPr>
        <w:rPr>
          <w:u w:val="single"/>
        </w:rPr>
      </w:pPr>
      <w:r w:rsidRPr="00186F67">
        <w:rPr>
          <w:rFonts w:eastAsia="Helvetica Neue"/>
        </w:rPr>
        <w:t>Does anyone prevent you from using resources and support your need to be independent? (For example, resources such as vocational services, personal care attendants, disability agency support person, specialized support personnel for Deaf-blind services, readers, or interpreters?)”</w:t>
      </w:r>
      <w:r w:rsidRPr="00A64CBE">
        <w:rPr>
          <w:rFonts w:eastAsia="Helvetica Neue"/>
          <w:vertAlign w:val="superscript"/>
        </w:rPr>
        <w:endnoteReference w:id="303"/>
      </w:r>
    </w:p>
    <w:p w14:paraId="236675C8" w14:textId="77777777" w:rsidR="00952028" w:rsidRPr="00186F67" w:rsidRDefault="00952028" w:rsidP="006E6012">
      <w:pPr>
        <w:pStyle w:val="ListParagraph"/>
        <w:numPr>
          <w:ilvl w:val="0"/>
          <w:numId w:val="55"/>
        </w:numPr>
        <w:rPr>
          <w:rFonts w:eastAsia="Helvetica Neue"/>
        </w:rPr>
      </w:pPr>
      <w:r w:rsidRPr="00186F67">
        <w:rPr>
          <w:rFonts w:eastAsia="Helvetica Neue"/>
        </w:rPr>
        <w:t>Ensure that service providers and support staff are equipped to provide disability- and gender-sensitive care as the first line of support for the physical, psychological, and emotional health consequences of GBV, where a person is identified as a victim/survivor. This includes the skills to provide or give robust referrals to appropriate medical care for injuries and health consequences of GBV, including STI prophylaxis and emergency contraception post-rape.</w:t>
      </w:r>
      <w:r w:rsidRPr="00BC2FAB">
        <w:rPr>
          <w:rFonts w:eastAsia="Helvetica Neue"/>
          <w:vertAlign w:val="superscript"/>
        </w:rPr>
        <w:endnoteReference w:id="304"/>
      </w:r>
    </w:p>
    <w:p w14:paraId="2CC14449" w14:textId="77777777" w:rsidR="00952028" w:rsidRPr="00186F67" w:rsidRDefault="00952028" w:rsidP="006E6012">
      <w:pPr>
        <w:pStyle w:val="ListParagraph"/>
        <w:numPr>
          <w:ilvl w:val="0"/>
          <w:numId w:val="55"/>
        </w:numPr>
        <w:rPr>
          <w:rFonts w:eastAsia="Helvetica Neue"/>
          <w:u w:val="single"/>
        </w:rPr>
      </w:pPr>
      <w:r w:rsidRPr="00186F67">
        <w:rPr>
          <w:rFonts w:eastAsia="Helvetica Neue"/>
        </w:rPr>
        <w:t xml:space="preserve">Promulgate widespread accessible community information campaigns to increase knowledge about health needs for victims/survivors of GBV and the importance of timely health interventions. Campaigns should feature women and young persons with disabilities and target them, their families, partners, caregivers, and healthcare practitioners. The contents of the campaigns must prioritize the forms of abuse most commonly experienced by persons with disabilities. </w:t>
      </w:r>
    </w:p>
    <w:p w14:paraId="67587BEB" w14:textId="51F7B8D5" w:rsidR="00952028" w:rsidRPr="00186F67" w:rsidRDefault="00186F67" w:rsidP="00186F67">
      <w:pPr>
        <w:pStyle w:val="Heading4"/>
        <w:spacing w:before="480"/>
        <w:rPr>
          <w:rFonts w:eastAsia="Helvetica Neue"/>
        </w:rPr>
      </w:pPr>
      <w:r>
        <w:rPr>
          <w:rFonts w:eastAsia="Helvetica Neue"/>
        </w:rPr>
        <w:t>G</w:t>
      </w:r>
      <w:r w:rsidR="00952028" w:rsidRPr="00A64CBE">
        <w:rPr>
          <w:rFonts w:eastAsia="Helvetica Neue"/>
        </w:rPr>
        <w:t xml:space="preserve">uidelines for Action: </w:t>
      </w:r>
      <w:r w:rsidR="00952028" w:rsidRPr="00186F67">
        <w:rPr>
          <w:rFonts w:eastAsia="Helvetica Neue"/>
        </w:rPr>
        <w:t>Quality</w:t>
      </w:r>
    </w:p>
    <w:p w14:paraId="4896CA7A" w14:textId="77777777" w:rsidR="00952028" w:rsidRPr="00186F67" w:rsidRDefault="00952028" w:rsidP="006E6012">
      <w:pPr>
        <w:pStyle w:val="ListParagraph"/>
        <w:numPr>
          <w:ilvl w:val="0"/>
          <w:numId w:val="56"/>
        </w:numPr>
        <w:rPr>
          <w:rFonts w:eastAsia="Helvetica Neue"/>
          <w:u w:val="single"/>
        </w:rPr>
      </w:pPr>
      <w:r w:rsidRPr="00186F67">
        <w:rPr>
          <w:rFonts w:eastAsia="Helvetica Neue"/>
        </w:rPr>
        <w:t xml:space="preserve">Ensure that women and girls with disabilities who are victims/survivors of GBV have access to medically accurate information and unbiased counselling on the availability of emergency contraception; STI testing; post-exposure prophylaxis; and abortion services, where legal, in situations where pregnancy is a result of rape. Counselling should address the pros and cons of the service, the legal status of abortion for sexual violence victims/survivors, what to expect if an STI test result comes back positive, and the availability of STI treatment. Counselling must be accessible, respect patient privacy and confidentiality, and utilize supported decision-making tools. </w:t>
      </w:r>
    </w:p>
    <w:p w14:paraId="5BE27792" w14:textId="77777777" w:rsidR="00952028" w:rsidRPr="00186F67" w:rsidRDefault="00952028" w:rsidP="006E6012">
      <w:pPr>
        <w:pStyle w:val="ListParagraph"/>
        <w:numPr>
          <w:ilvl w:val="0"/>
          <w:numId w:val="56"/>
        </w:numPr>
        <w:rPr>
          <w:rFonts w:eastAsia="Helvetica Neue"/>
          <w:u w:val="single"/>
        </w:rPr>
      </w:pPr>
      <w:r w:rsidRPr="00186F67">
        <w:rPr>
          <w:rFonts w:eastAsia="Helvetica Neue"/>
        </w:rPr>
        <w:t>Establish protocols and guidelines on—and train staff to implement—follow-up visits, delivery of test results, and referrals. Protocols and guidelines should also address follow-up procedures for people living in institutional settings.</w:t>
      </w:r>
    </w:p>
    <w:p w14:paraId="1A12004C" w14:textId="77777777" w:rsidR="00952028" w:rsidRPr="00186F67" w:rsidRDefault="00952028" w:rsidP="006E6012">
      <w:pPr>
        <w:pStyle w:val="ListParagraph"/>
        <w:numPr>
          <w:ilvl w:val="0"/>
          <w:numId w:val="56"/>
        </w:numPr>
        <w:rPr>
          <w:rFonts w:eastAsia="Helvetica Neue"/>
        </w:rPr>
      </w:pPr>
      <w:r w:rsidRPr="00186F67">
        <w:rPr>
          <w:rFonts w:eastAsia="Helvetica Neue"/>
        </w:rPr>
        <w:t>Collect medico-legal evidence. Service providers should be trained on accurate documentation and reporting of medico-legal evidence; collection of forensic specimens; providing written evidence; the importance of attending court proceedings; and the legal process, including how to write a strong statement.</w:t>
      </w:r>
      <w:r w:rsidRPr="00A64CBE">
        <w:rPr>
          <w:rFonts w:eastAsia="Helvetica Neue"/>
          <w:vertAlign w:val="superscript"/>
        </w:rPr>
        <w:endnoteReference w:id="305"/>
      </w:r>
      <w:r w:rsidRPr="00186F67">
        <w:rPr>
          <w:rFonts w:eastAsia="Helvetica Neue"/>
        </w:rPr>
        <w:t xml:space="preserve"> Challenges presented by a person’s disability in collecting evidence is not a sufficient reason to not to collect evidence. </w:t>
      </w:r>
    </w:p>
    <w:p w14:paraId="48903656" w14:textId="77777777" w:rsidR="00952028" w:rsidRPr="00A64CBE" w:rsidRDefault="00952028" w:rsidP="00092AD2">
      <w:pPr>
        <w:pStyle w:val="Heading3"/>
        <w:spacing w:before="480"/>
      </w:pPr>
      <w:r w:rsidRPr="00A64CBE">
        <w:t xml:space="preserve">3.4.3 </w:t>
      </w:r>
      <w:r w:rsidRPr="00A64CBE">
        <w:tab/>
        <w:t>Indicators</w:t>
      </w:r>
    </w:p>
    <w:p w14:paraId="4002264D" w14:textId="473F370E" w:rsidR="00952028" w:rsidRPr="00092AD2" w:rsidRDefault="00952028" w:rsidP="00092AD2">
      <w:pPr>
        <w:rPr>
          <w:rFonts w:eastAsia="Helvetica Neue"/>
        </w:rPr>
      </w:pPr>
      <w:r w:rsidRPr="00A64CBE">
        <w:rPr>
          <w:rFonts w:eastAsia="Helvetica Neue"/>
        </w:rPr>
        <w:t xml:space="preserve">The following is illustrative of the type of indicators that can be used to monitor and evaluate progress in the provision of GBV health services for women and young </w:t>
      </w:r>
      <w:r>
        <w:rPr>
          <w:rFonts w:eastAsia="Helvetica Neue"/>
        </w:rPr>
        <w:t>persons</w:t>
      </w:r>
      <w:r w:rsidRPr="00A64CBE">
        <w:rPr>
          <w:rFonts w:eastAsia="Helvetica Neue"/>
        </w:rPr>
        <w:t xml:space="preserve"> with disabilities. This is not an exhaustive list, but rather one example demonstrating the level of specificity, </w:t>
      </w:r>
      <w:r w:rsidRPr="00A64CBE">
        <w:rPr>
          <w:rFonts w:eastAsia="Helvetica Neue"/>
        </w:rPr>
        <w:lastRenderedPageBreak/>
        <w:t>subject, and form that indicators for GBV health services should take. Service providers should tailor indicators to fit their programme settings and levels, including by specifying at which level and by whom indicator data should be collected.</w:t>
      </w:r>
    </w:p>
    <w:p w14:paraId="7C58C0E9" w14:textId="77777777" w:rsidR="00734701" w:rsidRPr="00734701" w:rsidRDefault="00952028" w:rsidP="006E6012">
      <w:pPr>
        <w:pStyle w:val="ListParagraph"/>
        <w:numPr>
          <w:ilvl w:val="0"/>
          <w:numId w:val="57"/>
        </w:numPr>
      </w:pPr>
      <w:r w:rsidRPr="00092AD2">
        <w:rPr>
          <w:rFonts w:eastAsia="Helvetica Neue"/>
        </w:rPr>
        <w:t xml:space="preserve">Percentage of facilities whose staff are trained to provide the following accommodations for GBV victims/survivors with disabilities and have essential resources to support these accommodations: </w:t>
      </w:r>
    </w:p>
    <w:p w14:paraId="434CB7A3" w14:textId="3BF68BAA" w:rsidR="00952028" w:rsidRPr="00A64CBE" w:rsidRDefault="00952028" w:rsidP="006E6012">
      <w:pPr>
        <w:pStyle w:val="ListParagraph"/>
        <w:numPr>
          <w:ilvl w:val="1"/>
          <w:numId w:val="57"/>
        </w:numPr>
      </w:pPr>
      <w:r w:rsidRPr="00734701">
        <w:rPr>
          <w:rFonts w:eastAsia="Helvetica Neue"/>
        </w:rPr>
        <w:t>“A tip sheet on how to maximize exam accessibility when no accessible exam table is available.</w:t>
      </w:r>
    </w:p>
    <w:p w14:paraId="712DD109" w14:textId="77777777" w:rsidR="00952028" w:rsidRPr="00A64CBE" w:rsidRDefault="00952028" w:rsidP="006E6012">
      <w:pPr>
        <w:pStyle w:val="ListParagraph"/>
        <w:numPr>
          <w:ilvl w:val="1"/>
          <w:numId w:val="57"/>
        </w:numPr>
      </w:pPr>
      <w:r w:rsidRPr="00092AD2">
        <w:rPr>
          <w:rFonts w:eastAsia="Helvetica Neue"/>
        </w:rPr>
        <w:t>A list of key considerations and guidelines to provide to sign language interpreters during sexual assault forensic exams.</w:t>
      </w:r>
    </w:p>
    <w:p w14:paraId="05B94AE6" w14:textId="77777777" w:rsidR="00952028" w:rsidRPr="00A64CBE" w:rsidRDefault="00952028" w:rsidP="006E6012">
      <w:pPr>
        <w:pStyle w:val="ListParagraph"/>
        <w:numPr>
          <w:ilvl w:val="1"/>
          <w:numId w:val="57"/>
        </w:numPr>
      </w:pPr>
      <w:r w:rsidRPr="00092AD2">
        <w:rPr>
          <w:rFonts w:eastAsia="Helvetica Neue"/>
        </w:rPr>
        <w:t xml:space="preserve">A pictorial guide to explain the [sexual assault exam] in simple language. </w:t>
      </w:r>
    </w:p>
    <w:p w14:paraId="307AFA26" w14:textId="77777777" w:rsidR="00952028" w:rsidRPr="00A64CBE" w:rsidRDefault="00952028" w:rsidP="006E6012">
      <w:pPr>
        <w:pStyle w:val="ListParagraph"/>
        <w:numPr>
          <w:ilvl w:val="1"/>
          <w:numId w:val="57"/>
        </w:numPr>
      </w:pPr>
      <w:r w:rsidRPr="00092AD2">
        <w:rPr>
          <w:rFonts w:eastAsia="Helvetica Neue"/>
        </w:rPr>
        <w:t>An instruction guide on how to prioritize details when orienting a [victim/survivor] who is blind or visually impaired to the exam room”.</w:t>
      </w:r>
      <w:r w:rsidRPr="00A64CBE">
        <w:rPr>
          <w:rFonts w:eastAsia="Helvetica Neue"/>
          <w:vertAlign w:val="superscript"/>
        </w:rPr>
        <w:endnoteReference w:id="306"/>
      </w:r>
    </w:p>
    <w:p w14:paraId="12B873B6" w14:textId="2096A2F9" w:rsidR="00952028" w:rsidRPr="00A64CBE" w:rsidRDefault="00952028" w:rsidP="00EC13D0">
      <w:pPr>
        <w:pStyle w:val="Heading2"/>
        <w:spacing w:before="480" w:after="120"/>
        <w:ind w:left="547" w:right="-720" w:hanging="547"/>
      </w:pPr>
      <w:bookmarkStart w:id="15" w:name="GBVjustice"/>
      <w:r w:rsidRPr="00A64CBE">
        <w:t>3.5</w:t>
      </w:r>
      <w:bookmarkEnd w:id="15"/>
      <w:r w:rsidR="00EC13D0">
        <w:tab/>
      </w:r>
      <w:r w:rsidRPr="00A64CBE">
        <w:t xml:space="preserve">Justice and </w:t>
      </w:r>
      <w:r w:rsidRPr="009840FE">
        <w:t>Policing</w:t>
      </w:r>
      <w:r w:rsidRPr="00A64CBE">
        <w:t xml:space="preserve"> Services for GBV Victims/Survivors with Disabilities</w:t>
      </w:r>
    </w:p>
    <w:p w14:paraId="15B7091E" w14:textId="77777777" w:rsidR="00952028" w:rsidRPr="00A64CBE" w:rsidRDefault="00952028" w:rsidP="00EC13D0">
      <w:pPr>
        <w:pStyle w:val="Heading3"/>
        <w:spacing w:before="240"/>
      </w:pPr>
      <w:r w:rsidRPr="00A64CBE">
        <w:t>3.5.1</w:t>
      </w:r>
      <w:r w:rsidRPr="00A64CBE">
        <w:tab/>
      </w:r>
      <w:r w:rsidRPr="009840FE">
        <w:t>Issue</w:t>
      </w:r>
      <w:r w:rsidRPr="00A64CBE">
        <w:t xml:space="preserve"> Overview </w:t>
      </w:r>
    </w:p>
    <w:p w14:paraId="6274F74E" w14:textId="77777777" w:rsidR="00952028" w:rsidRPr="00A64CBE" w:rsidRDefault="00952028" w:rsidP="00092AD2">
      <w:pPr>
        <w:rPr>
          <w:rFonts w:eastAsia="Helvetica Neue"/>
        </w:rPr>
      </w:pPr>
      <w:r w:rsidRPr="00A64CBE">
        <w:rPr>
          <w:rFonts w:eastAsia="Helvetica Neue"/>
        </w:rPr>
        <w:t>The concept of access to justice refers to the ability to make use of “the systems, procedures, information, and locations used in the administration of justice”.</w:t>
      </w:r>
      <w:r w:rsidRPr="00A64CBE">
        <w:rPr>
          <w:rFonts w:eastAsia="Helvetica Neue"/>
          <w:vertAlign w:val="superscript"/>
        </w:rPr>
        <w:endnoteReference w:id="307"/>
      </w:r>
      <w:r w:rsidRPr="00A64CBE">
        <w:rPr>
          <w:rFonts w:eastAsia="Helvetica Neue"/>
        </w:rPr>
        <w:t xml:space="preserve"> As used in these Guidelines, the term ‘justice system’ refers to both </w:t>
      </w:r>
      <w:r w:rsidRPr="002D0897">
        <w:rPr>
          <w:rFonts w:eastAsia="Helvetica Neue"/>
        </w:rPr>
        <w:t>formal and informal systems.</w:t>
      </w:r>
      <w:r w:rsidRPr="00AE0A54">
        <w:rPr>
          <w:rFonts w:eastAsia="Helvetica Neue"/>
        </w:rPr>
        <w:t xml:space="preserve"> </w:t>
      </w:r>
      <w:r w:rsidRPr="00A64CBE">
        <w:rPr>
          <w:rFonts w:eastAsia="Helvetica Neue"/>
        </w:rPr>
        <w:t xml:space="preserve">Access to justice is a fundamental component of realizing and respecting the rights of women and young </w:t>
      </w:r>
      <w:r>
        <w:rPr>
          <w:rFonts w:eastAsia="Helvetica Neue"/>
        </w:rPr>
        <w:t>persons</w:t>
      </w:r>
      <w:r w:rsidRPr="00A64CBE">
        <w:rPr>
          <w:rFonts w:eastAsia="Helvetica Neue"/>
        </w:rPr>
        <w:t xml:space="preserve"> with disabilities.</w:t>
      </w:r>
      <w:r w:rsidRPr="00A64CBE">
        <w:rPr>
          <w:rFonts w:eastAsia="Helvetica Neue"/>
          <w:vertAlign w:val="superscript"/>
        </w:rPr>
        <w:endnoteReference w:id="308"/>
      </w:r>
      <w:r w:rsidRPr="00A64CBE">
        <w:rPr>
          <w:rFonts w:eastAsia="Helvetica Neue"/>
        </w:rPr>
        <w:t xml:space="preserve"> For victims/survivors of </w:t>
      </w:r>
      <w:r>
        <w:rPr>
          <w:rFonts w:eastAsia="Helvetica Neue"/>
        </w:rPr>
        <w:t>GBV</w:t>
      </w:r>
      <w:r w:rsidRPr="00A64CBE">
        <w:rPr>
          <w:rFonts w:eastAsia="Helvetica Neue"/>
        </w:rPr>
        <w:t xml:space="preserve">, this often means unencumbered access to a range of criminal and civil mechanisms to hold perpetrators accountable and to the justice and policing services necessary for these mechanisms. </w:t>
      </w:r>
      <w:r w:rsidRPr="002D0897">
        <w:rPr>
          <w:rFonts w:eastAsia="Helvetica Neue"/>
        </w:rPr>
        <w:t>Justice and policing services include services that provide the information and support necessary to facilitate obtaining protection orders; participation in criminal investigation and prosecution of perpetrators; access to victim compensation funds and other forms of reparations; removal of guardianship designations; and access to divorce proceedings.</w:t>
      </w:r>
      <w:r w:rsidRPr="00A64CBE">
        <w:rPr>
          <w:rFonts w:eastAsia="Helvetica Neue"/>
        </w:rPr>
        <w:t xml:space="preserve"> Justice mechanisms can be formal state-sponsored mechanisms or informal mechanisms such as customary courts or local mediators that may or may not be connected to the government. </w:t>
      </w:r>
    </w:p>
    <w:p w14:paraId="0B28C450" w14:textId="77777777" w:rsidR="00952028" w:rsidRPr="00A64CBE" w:rsidRDefault="00952028" w:rsidP="00092AD2">
      <w:pPr>
        <w:pStyle w:val="Heading3"/>
        <w:spacing w:before="480"/>
      </w:pPr>
      <w:r w:rsidRPr="00A64CBE">
        <w:t>3.5.2</w:t>
      </w:r>
      <w:r w:rsidRPr="00A64CBE">
        <w:tab/>
        <w:t>Guidance on Justice and Policing Services</w:t>
      </w:r>
    </w:p>
    <w:p w14:paraId="603CA75A" w14:textId="01D05F39" w:rsidR="00952028" w:rsidRPr="00E72AEE" w:rsidRDefault="00952028" w:rsidP="00E72AEE">
      <w:pPr>
        <w:rPr>
          <w:rFonts w:eastAsia="Helvetica Neue"/>
        </w:rPr>
      </w:pPr>
      <w:r w:rsidRPr="00A64CBE">
        <w:rPr>
          <w:rFonts w:eastAsia="Helvetica Neue"/>
        </w:rPr>
        <w:t xml:space="preserve">The key considerations in this section identify common barriers that women and young </w:t>
      </w:r>
      <w:r>
        <w:rPr>
          <w:rFonts w:eastAsia="Helvetica Neue"/>
        </w:rPr>
        <w:t>persons</w:t>
      </w:r>
      <w:r w:rsidRPr="00A64CBE">
        <w:rPr>
          <w:rFonts w:eastAsia="Helvetica Neue"/>
        </w:rPr>
        <w:t xml:space="preserve"> with disabilities face in accessing policing and justice mechanisms. The guidelines for action provide guidance as to how service providers and support staff can promote greater access to justice for women and young </w:t>
      </w:r>
      <w:r w:rsidR="000C4D76">
        <w:rPr>
          <w:rFonts w:eastAsia="Helvetica Neue"/>
        </w:rPr>
        <w:t>persons</w:t>
      </w:r>
      <w:r w:rsidR="000C4D76" w:rsidRPr="00A64CBE">
        <w:rPr>
          <w:rFonts w:eastAsia="Helvetica Neue"/>
        </w:rPr>
        <w:t xml:space="preserve"> </w:t>
      </w:r>
      <w:r w:rsidRPr="00A64CBE">
        <w:rPr>
          <w:rFonts w:eastAsia="Helvetica Neue"/>
        </w:rPr>
        <w:t xml:space="preserve">with disabilities. These guidelines for action build on the Foundational Guidelines for Action identified in </w:t>
      </w:r>
      <w:r w:rsidRPr="002D0897">
        <w:rPr>
          <w:rFonts w:eastAsia="Helvetica Neue"/>
          <w:b/>
        </w:rPr>
        <w:t>Chapter 2</w:t>
      </w:r>
      <w:r w:rsidRPr="00A64CBE">
        <w:rPr>
          <w:rFonts w:eastAsia="Helvetica Neue"/>
        </w:rPr>
        <w:t xml:space="preserve"> and are not exhaustive but provide a starting point for developing disability-inclusive services and </w:t>
      </w:r>
      <w:proofErr w:type="spellStart"/>
      <w:r w:rsidRPr="00A64CBE">
        <w:rPr>
          <w:rFonts w:eastAsia="Helvetica Neue"/>
        </w:rPr>
        <w:t>programmes</w:t>
      </w:r>
      <w:proofErr w:type="spellEnd"/>
      <w:r w:rsidRPr="00A64CBE">
        <w:rPr>
          <w:rFonts w:eastAsia="Helvetica Neue"/>
        </w:rPr>
        <w:t>.</w:t>
      </w:r>
    </w:p>
    <w:p w14:paraId="35836BFA" w14:textId="77777777" w:rsidR="003A0C66" w:rsidRDefault="003A0C66">
      <w:pPr>
        <w:spacing w:before="0" w:after="0"/>
        <w:rPr>
          <w:rFonts w:eastAsia="Helvetica Neue"/>
          <w:b/>
          <w:sz w:val="28"/>
          <w:lang w:val="en-GB"/>
        </w:rPr>
      </w:pPr>
      <w:r>
        <w:rPr>
          <w:rFonts w:eastAsia="Helvetica Neue"/>
        </w:rPr>
        <w:br w:type="page"/>
      </w:r>
    </w:p>
    <w:p w14:paraId="11ED10E6" w14:textId="65F650B7" w:rsidR="00952028" w:rsidRPr="002D0897" w:rsidRDefault="00952028" w:rsidP="003C6133">
      <w:pPr>
        <w:pStyle w:val="Heading4"/>
        <w:spacing w:before="480"/>
        <w:rPr>
          <w:rFonts w:eastAsia="Helvetica Neue"/>
        </w:rPr>
      </w:pPr>
      <w:r w:rsidRPr="002D0897">
        <w:rPr>
          <w:rFonts w:eastAsia="Helvetica Neue"/>
        </w:rPr>
        <w:lastRenderedPageBreak/>
        <w:t xml:space="preserve">Key </w:t>
      </w:r>
      <w:r w:rsidRPr="009840FE">
        <w:rPr>
          <w:rFonts w:eastAsia="Helvetica Neue"/>
        </w:rPr>
        <w:t>Considerations</w:t>
      </w:r>
      <w:r w:rsidRPr="002D0897">
        <w:rPr>
          <w:rFonts w:eastAsia="Helvetica Neue"/>
        </w:rPr>
        <w:t xml:space="preserve"> </w:t>
      </w:r>
    </w:p>
    <w:p w14:paraId="5318F5FF" w14:textId="77777777" w:rsidR="00092AD2" w:rsidRDefault="00952028" w:rsidP="006E6012">
      <w:pPr>
        <w:pStyle w:val="ListParagraph"/>
        <w:numPr>
          <w:ilvl w:val="0"/>
          <w:numId w:val="9"/>
        </w:numPr>
        <w:rPr>
          <w:b/>
        </w:rPr>
      </w:pPr>
      <w:r w:rsidRPr="00A64CBE">
        <w:rPr>
          <w:rFonts w:eastAsia="Helvetica Neue"/>
        </w:rPr>
        <w:t xml:space="preserve">Laws and policies, such as those that deny individuals with intellectual disabilities the ability to testify against their abuser, can directly prevent women and young </w:t>
      </w:r>
      <w:r>
        <w:rPr>
          <w:rFonts w:eastAsia="Helvetica Neue"/>
        </w:rPr>
        <w:t>persons</w:t>
      </w:r>
      <w:r w:rsidRPr="00A64CBE">
        <w:rPr>
          <w:rFonts w:eastAsia="Helvetica Neue"/>
        </w:rPr>
        <w:t xml:space="preserve"> with disabilities from accessing justice mechanisms. </w:t>
      </w:r>
    </w:p>
    <w:p w14:paraId="04CA7E2C" w14:textId="77777777" w:rsidR="00092AD2" w:rsidRDefault="00952028" w:rsidP="006E6012">
      <w:pPr>
        <w:pStyle w:val="ListParagraph"/>
        <w:numPr>
          <w:ilvl w:val="0"/>
          <w:numId w:val="9"/>
        </w:numPr>
        <w:rPr>
          <w:b/>
        </w:rPr>
      </w:pPr>
      <w:r w:rsidRPr="00092AD2">
        <w:rPr>
          <w:rFonts w:eastAsia="Helvetica Neue"/>
        </w:rPr>
        <w:t>Many individuals involved in the administration of justice hold stereotypes about and lack awareness of the rights and experiences of women and young persons with disabilities. For example, because society generally fails to see women with disabilities as sexual, such stereotypes may lead judges, juries, law enforcement officers, and others to discount their testimony and experiences with violence.</w:t>
      </w:r>
      <w:r w:rsidRPr="00A64CBE">
        <w:rPr>
          <w:rFonts w:eastAsia="Helvetica Neue"/>
          <w:vertAlign w:val="superscript"/>
        </w:rPr>
        <w:endnoteReference w:id="309"/>
      </w:r>
    </w:p>
    <w:p w14:paraId="0F9F2A8B" w14:textId="77777777" w:rsidR="00092AD2" w:rsidRDefault="00952028" w:rsidP="006E6012">
      <w:pPr>
        <w:pStyle w:val="ListParagraph"/>
        <w:numPr>
          <w:ilvl w:val="0"/>
          <w:numId w:val="9"/>
        </w:numPr>
        <w:rPr>
          <w:b/>
        </w:rPr>
      </w:pPr>
      <w:r w:rsidRPr="00092AD2">
        <w:rPr>
          <w:rFonts w:eastAsia="Helvetica Neue"/>
        </w:rPr>
        <w:t>Judicial systems systematically fail to acknowledge women with disabilities as competent witnesses or give sufficient credence to their testimony, which is particularly problematic in cases involving sexual assault or other forms of GBV where the victim/survivor’s testimony may provide the only evidence against the assailant.</w:t>
      </w:r>
      <w:r w:rsidRPr="00A64CBE">
        <w:rPr>
          <w:rFonts w:eastAsia="Helvetica Neue"/>
          <w:vertAlign w:val="superscript"/>
        </w:rPr>
        <w:endnoteReference w:id="310"/>
      </w:r>
      <w:r w:rsidRPr="00092AD2">
        <w:rPr>
          <w:rFonts w:eastAsia="Helvetica Neue"/>
        </w:rPr>
        <w:t xml:space="preserve"> </w:t>
      </w:r>
    </w:p>
    <w:p w14:paraId="44327A25" w14:textId="77777777" w:rsidR="00092AD2" w:rsidRDefault="00952028" w:rsidP="006E6012">
      <w:pPr>
        <w:pStyle w:val="ListParagraph"/>
        <w:numPr>
          <w:ilvl w:val="0"/>
          <w:numId w:val="9"/>
        </w:numPr>
        <w:rPr>
          <w:b/>
        </w:rPr>
      </w:pPr>
      <w:r w:rsidRPr="00092AD2">
        <w:rPr>
          <w:rFonts w:eastAsia="Helvetica Neue"/>
        </w:rPr>
        <w:t>Women with cognitive disabilities can have trouble remembering the sequence of events, which can make them seem less credible as witnesses.</w:t>
      </w:r>
      <w:r w:rsidRPr="00A64CBE">
        <w:rPr>
          <w:rFonts w:eastAsia="Helvetica Neue"/>
          <w:vertAlign w:val="superscript"/>
        </w:rPr>
        <w:endnoteReference w:id="311"/>
      </w:r>
    </w:p>
    <w:p w14:paraId="34D7D4F3" w14:textId="77777777" w:rsidR="00092AD2" w:rsidRDefault="00952028" w:rsidP="006E6012">
      <w:pPr>
        <w:pStyle w:val="ListParagraph"/>
        <w:numPr>
          <w:ilvl w:val="0"/>
          <w:numId w:val="9"/>
        </w:numPr>
        <w:rPr>
          <w:b/>
        </w:rPr>
      </w:pPr>
      <w:r w:rsidRPr="00092AD2">
        <w:rPr>
          <w:rFonts w:eastAsia="Helvetica Neue"/>
        </w:rPr>
        <w:t>Burdensome processes for removing someone as a legal guardian or obtaining a divorce and cumbersome evidentiary requirements act as barriers for GBV victims/survivors with disabilities to access justice.</w:t>
      </w:r>
    </w:p>
    <w:p w14:paraId="274D48A1" w14:textId="77777777" w:rsidR="00092AD2" w:rsidRDefault="00952028" w:rsidP="006E6012">
      <w:pPr>
        <w:pStyle w:val="ListParagraph"/>
        <w:numPr>
          <w:ilvl w:val="0"/>
          <w:numId w:val="9"/>
        </w:numPr>
        <w:rPr>
          <w:b/>
        </w:rPr>
      </w:pPr>
      <w:r w:rsidRPr="00092AD2">
        <w:rPr>
          <w:rFonts w:eastAsia="Helvetica Neue"/>
        </w:rPr>
        <w:t xml:space="preserve">Women and young persons with disabilities, and their caregivers, often lack knowledge about their rights to and within the justice system. </w:t>
      </w:r>
    </w:p>
    <w:p w14:paraId="22B23B43" w14:textId="77777777" w:rsidR="00092AD2" w:rsidRDefault="00952028" w:rsidP="006E6012">
      <w:pPr>
        <w:pStyle w:val="ListParagraph"/>
        <w:numPr>
          <w:ilvl w:val="0"/>
          <w:numId w:val="9"/>
        </w:numPr>
        <w:rPr>
          <w:b/>
        </w:rPr>
      </w:pPr>
      <w:r w:rsidRPr="00092AD2">
        <w:rPr>
          <w:rFonts w:eastAsia="Helvetica Neue"/>
        </w:rPr>
        <w:t>Information about legal rights is rarely available in accessible formats, which can prevent, for example, those with intellectual or visual disabilities, from knowing what rights they have, how to file a complaint or obtain a protective order or understand other justice and legal processes.</w:t>
      </w:r>
    </w:p>
    <w:p w14:paraId="4D8D04B7" w14:textId="3DCE0D77" w:rsidR="00092AD2" w:rsidRDefault="00952028" w:rsidP="006E6012">
      <w:pPr>
        <w:pStyle w:val="ListParagraph"/>
        <w:numPr>
          <w:ilvl w:val="0"/>
          <w:numId w:val="9"/>
        </w:numPr>
        <w:rPr>
          <w:b/>
        </w:rPr>
      </w:pPr>
      <w:r w:rsidRPr="00092AD2">
        <w:rPr>
          <w:rFonts w:eastAsia="Helvetica Neue"/>
        </w:rPr>
        <w:t xml:space="preserve">Lack of interpretation or other communication aids throughout the justice system can prevent women and young </w:t>
      </w:r>
      <w:r w:rsidR="000C4D76">
        <w:rPr>
          <w:rFonts w:eastAsia="Helvetica Neue"/>
        </w:rPr>
        <w:t>persons</w:t>
      </w:r>
      <w:r w:rsidR="000C4D76" w:rsidRPr="00092AD2">
        <w:rPr>
          <w:rFonts w:eastAsia="Helvetica Neue"/>
        </w:rPr>
        <w:t xml:space="preserve"> </w:t>
      </w:r>
      <w:r w:rsidRPr="00092AD2">
        <w:rPr>
          <w:rFonts w:eastAsia="Helvetica Neue"/>
        </w:rPr>
        <w:t xml:space="preserve">with disabilities from reporting gender-based violence or moving a complaint through the justice system. For instance, lack of sign language interpreters or communication technology may deny women and young </w:t>
      </w:r>
      <w:r w:rsidR="000C4D76">
        <w:rPr>
          <w:rFonts w:eastAsia="Helvetica Neue"/>
        </w:rPr>
        <w:t>persons</w:t>
      </w:r>
      <w:r w:rsidR="000C4D76" w:rsidRPr="00092AD2">
        <w:rPr>
          <w:rFonts w:eastAsia="Helvetica Neue"/>
        </w:rPr>
        <w:t xml:space="preserve"> </w:t>
      </w:r>
      <w:r w:rsidRPr="00092AD2">
        <w:rPr>
          <w:rFonts w:eastAsia="Helvetica Neue"/>
        </w:rPr>
        <w:t>with disabilities the ability to report GBV.</w:t>
      </w:r>
    </w:p>
    <w:p w14:paraId="05CC70AD" w14:textId="77777777" w:rsidR="00092AD2" w:rsidRDefault="00952028" w:rsidP="006E6012">
      <w:pPr>
        <w:pStyle w:val="ListParagraph"/>
        <w:numPr>
          <w:ilvl w:val="0"/>
          <w:numId w:val="9"/>
        </w:numPr>
        <w:rPr>
          <w:b/>
        </w:rPr>
      </w:pPr>
      <w:r w:rsidRPr="00092AD2">
        <w:rPr>
          <w:rFonts w:eastAsia="Helvetica Neue"/>
        </w:rPr>
        <w:t xml:space="preserve">Physically inaccessible courthouses, police departments, or legal aid offices and inaccessible transportation services can prevent women and young persons with disabilities from accessing justice mechanisms. </w:t>
      </w:r>
    </w:p>
    <w:p w14:paraId="002B7834" w14:textId="77777777" w:rsidR="00092AD2" w:rsidRPr="00092AD2" w:rsidRDefault="00952028" w:rsidP="006E6012">
      <w:pPr>
        <w:pStyle w:val="ListParagraph"/>
        <w:numPr>
          <w:ilvl w:val="0"/>
          <w:numId w:val="9"/>
        </w:numPr>
        <w:rPr>
          <w:b/>
        </w:rPr>
      </w:pPr>
      <w:r w:rsidRPr="00092AD2">
        <w:rPr>
          <w:rFonts w:eastAsia="Helvetica Neue"/>
        </w:rPr>
        <w:t>Costs associated with hiring an attorney, transportation, filing fees, and medical services, as well as economic dependence on abusers, create financial barriers to accessing justice.</w:t>
      </w:r>
    </w:p>
    <w:p w14:paraId="62700531" w14:textId="79F326FC" w:rsidR="00952028" w:rsidRPr="00092AD2" w:rsidRDefault="00952028" w:rsidP="006E6012">
      <w:pPr>
        <w:pStyle w:val="ListParagraph"/>
        <w:numPr>
          <w:ilvl w:val="0"/>
          <w:numId w:val="9"/>
        </w:numPr>
        <w:rPr>
          <w:b/>
        </w:rPr>
      </w:pPr>
      <w:r w:rsidRPr="00092AD2">
        <w:rPr>
          <w:rFonts w:eastAsia="Helvetica Neue"/>
        </w:rPr>
        <w:t xml:space="preserve">Family members and caregivers can act as gatekeepers, either facilitating or hindering a woman or young person with a disability’s access to justice. In communities where there is considerable stigma around gender-based violence, service providers may find that families and caregivers act as an even greater barrier. </w:t>
      </w:r>
    </w:p>
    <w:p w14:paraId="23C8FBC8" w14:textId="77777777" w:rsidR="003A0C66" w:rsidRDefault="003A0C66">
      <w:pPr>
        <w:spacing w:before="0" w:after="0"/>
        <w:rPr>
          <w:rFonts w:eastAsia="Helvetica Neue"/>
          <w:b/>
          <w:sz w:val="28"/>
          <w:lang w:val="en-GB"/>
        </w:rPr>
      </w:pPr>
      <w:r>
        <w:rPr>
          <w:rFonts w:eastAsia="Helvetica Neue"/>
        </w:rPr>
        <w:br w:type="page"/>
      </w:r>
    </w:p>
    <w:p w14:paraId="2982DDF5" w14:textId="3AA33F87" w:rsidR="00952028" w:rsidRDefault="00952028" w:rsidP="00F77479">
      <w:pPr>
        <w:pStyle w:val="Heading4"/>
        <w:spacing w:before="480"/>
        <w:rPr>
          <w:rFonts w:eastAsia="Helvetica Neue"/>
        </w:rPr>
      </w:pPr>
      <w:r w:rsidRPr="00A64CBE">
        <w:rPr>
          <w:rFonts w:eastAsia="Helvetica Neue"/>
        </w:rPr>
        <w:lastRenderedPageBreak/>
        <w:t xml:space="preserve">Guidelines for </w:t>
      </w:r>
      <w:r w:rsidRPr="00F77479">
        <w:rPr>
          <w:rFonts w:eastAsia="Helvetica Neue"/>
        </w:rPr>
        <w:t>Action</w:t>
      </w:r>
      <w:r w:rsidRPr="00A64CBE">
        <w:rPr>
          <w:rFonts w:eastAsia="Helvetica Neue"/>
        </w:rPr>
        <w:t>:</w:t>
      </w:r>
      <w:r w:rsidR="00F77479">
        <w:rPr>
          <w:rFonts w:eastAsia="Helvetica Neue"/>
        </w:rPr>
        <w:t xml:space="preserve"> Availability</w:t>
      </w:r>
    </w:p>
    <w:p w14:paraId="2E09157F" w14:textId="24E75065" w:rsidR="00F77479" w:rsidRDefault="00952028" w:rsidP="006E6012">
      <w:pPr>
        <w:pStyle w:val="ListParagraph"/>
        <w:numPr>
          <w:ilvl w:val="0"/>
          <w:numId w:val="59"/>
        </w:numPr>
        <w:rPr>
          <w:rFonts w:eastAsia="Helvetica Neue"/>
        </w:rPr>
      </w:pPr>
      <w:r w:rsidRPr="00F77479">
        <w:rPr>
          <w:rFonts w:eastAsia="Helvetica Neue"/>
        </w:rPr>
        <w:t>Develop programmes to build capacity of the legal profession</w:t>
      </w:r>
      <w:r w:rsidRPr="00F77479">
        <w:rPr>
          <w:rFonts w:eastAsia="Helvetica Neue"/>
          <w:b/>
        </w:rPr>
        <w:t xml:space="preserve">, </w:t>
      </w:r>
      <w:r w:rsidRPr="00F77479">
        <w:rPr>
          <w:rFonts w:eastAsia="Helvetica Neue"/>
        </w:rPr>
        <w:t>including attorneys, judges, and clerks</w:t>
      </w:r>
      <w:r w:rsidRPr="00F77479">
        <w:rPr>
          <w:rFonts w:eastAsia="Helvetica Neue"/>
          <w:b/>
        </w:rPr>
        <w:t xml:space="preserve">, </w:t>
      </w:r>
      <w:r w:rsidRPr="00F77479">
        <w:rPr>
          <w:rFonts w:eastAsia="Helvetica Neue"/>
        </w:rPr>
        <w:t>on representing and working with victims/survivors of violence with disabilities in a gender- and disability-sensitive manner and investigating GBV involving a woman or a young person with a disability. Educate staff at all levels of the justice system about the rights, experiences, and needs of women and young persons with disabilities to ensure that complaints made by women and</w:t>
      </w:r>
      <w:r w:rsidR="000C4D76">
        <w:rPr>
          <w:rFonts w:eastAsia="Helvetica Neue"/>
        </w:rPr>
        <w:t xml:space="preserve"> young</w:t>
      </w:r>
      <w:r w:rsidRPr="00F77479">
        <w:rPr>
          <w:rFonts w:eastAsia="Helvetica Neue"/>
        </w:rPr>
        <w:t xml:space="preserve"> persons with disabilities are taken seriously. </w:t>
      </w:r>
    </w:p>
    <w:p w14:paraId="5A44CC76" w14:textId="77777777" w:rsidR="00F77479" w:rsidRDefault="00952028" w:rsidP="006E6012">
      <w:pPr>
        <w:pStyle w:val="ListParagraph"/>
        <w:numPr>
          <w:ilvl w:val="0"/>
          <w:numId w:val="59"/>
        </w:numPr>
        <w:rPr>
          <w:rFonts w:eastAsia="Helvetica Neue"/>
        </w:rPr>
      </w:pPr>
      <w:r w:rsidRPr="00F77479">
        <w:rPr>
          <w:rFonts w:eastAsia="Helvetica Neue"/>
        </w:rPr>
        <w:t xml:space="preserve">Train law enforcement officers and other emergency personnel, such as emergency-line operators. Training and guidance for law enforcement is an important role that service providers can play in breaking down barriers in justice systems for women and young persons with disabilities. Consider implementing the recommendations in </w:t>
      </w:r>
      <w:r w:rsidRPr="004A6F29">
        <w:rPr>
          <w:rFonts w:eastAsia="Helvetica Neue"/>
          <w:b/>
          <w:iCs/>
        </w:rPr>
        <w:t>‘People with Mental Health and Cognitive Disabilities &amp; Access to the Justice System’</w:t>
      </w:r>
      <w:r w:rsidRPr="004A6F29">
        <w:rPr>
          <w:rFonts w:eastAsia="Helvetica Neue"/>
          <w:iCs/>
        </w:rPr>
        <w:t xml:space="preserve"> b</w:t>
      </w:r>
      <w:r w:rsidRPr="00F77479">
        <w:rPr>
          <w:rFonts w:eastAsia="Helvetica Neue"/>
        </w:rPr>
        <w:t>y the Institute for Research and Development on Inclusion and Society.</w:t>
      </w:r>
      <w:r w:rsidRPr="00A64CBE">
        <w:rPr>
          <w:rFonts w:eastAsia="Helvetica Neue"/>
          <w:vertAlign w:val="superscript"/>
        </w:rPr>
        <w:endnoteReference w:id="312"/>
      </w:r>
      <w:r w:rsidRPr="00F77479">
        <w:rPr>
          <w:rFonts w:eastAsia="Helvetica Neue"/>
        </w:rPr>
        <w:t xml:space="preserve"> This literature review identifies five strategic areas of focus for improving access to justice for people with mental health and cognitive disabilities: </w:t>
      </w:r>
      <w:r w:rsidRPr="00F77479">
        <w:rPr>
          <w:rFonts w:eastAsia="Helvetica Neue"/>
        </w:rPr>
        <w:tab/>
      </w:r>
    </w:p>
    <w:p w14:paraId="6F42247D" w14:textId="77777777" w:rsidR="00F77479" w:rsidRDefault="00952028" w:rsidP="006E6012">
      <w:pPr>
        <w:pStyle w:val="ListParagraph"/>
        <w:numPr>
          <w:ilvl w:val="1"/>
          <w:numId w:val="59"/>
        </w:numPr>
        <w:rPr>
          <w:rFonts w:eastAsia="Helvetica Neue"/>
        </w:rPr>
      </w:pPr>
      <w:r w:rsidRPr="00F77479">
        <w:rPr>
          <w:rFonts w:eastAsia="Helvetica Neue"/>
        </w:rPr>
        <w:t>Mental health policy framework;</w:t>
      </w:r>
    </w:p>
    <w:p w14:paraId="56A9A8E5" w14:textId="77777777" w:rsidR="00F77479" w:rsidRDefault="00952028" w:rsidP="006E6012">
      <w:pPr>
        <w:pStyle w:val="ListParagraph"/>
        <w:numPr>
          <w:ilvl w:val="1"/>
          <w:numId w:val="59"/>
        </w:numPr>
        <w:rPr>
          <w:rFonts w:eastAsia="Helvetica Neue"/>
        </w:rPr>
      </w:pPr>
      <w:r w:rsidRPr="00F77479">
        <w:rPr>
          <w:rFonts w:eastAsia="Helvetica Neue"/>
        </w:rPr>
        <w:t>Police training curriculum;</w:t>
      </w:r>
    </w:p>
    <w:p w14:paraId="48A15231" w14:textId="77777777" w:rsidR="00F77479" w:rsidRDefault="00952028" w:rsidP="006E6012">
      <w:pPr>
        <w:pStyle w:val="ListParagraph"/>
        <w:numPr>
          <w:ilvl w:val="1"/>
          <w:numId w:val="59"/>
        </w:numPr>
        <w:rPr>
          <w:rFonts w:eastAsia="Helvetica Neue"/>
        </w:rPr>
      </w:pPr>
      <w:r w:rsidRPr="00F77479">
        <w:rPr>
          <w:rFonts w:eastAsia="Helvetica Neue"/>
        </w:rPr>
        <w:t>Police recruitment process;</w:t>
      </w:r>
    </w:p>
    <w:p w14:paraId="0E252C46" w14:textId="77777777" w:rsidR="00F77479" w:rsidRDefault="00952028" w:rsidP="006E6012">
      <w:pPr>
        <w:pStyle w:val="ListParagraph"/>
        <w:numPr>
          <w:ilvl w:val="1"/>
          <w:numId w:val="59"/>
        </w:numPr>
        <w:rPr>
          <w:rFonts w:eastAsia="Helvetica Neue"/>
        </w:rPr>
      </w:pPr>
      <w:r w:rsidRPr="00F77479">
        <w:rPr>
          <w:rFonts w:eastAsia="Helvetica Neue"/>
        </w:rPr>
        <w:t xml:space="preserve">Collaborative programmes, protocols, and guidelines for cross-sectoral information sharing; </w:t>
      </w:r>
    </w:p>
    <w:p w14:paraId="4612BB1F" w14:textId="77777777" w:rsidR="004A6F29" w:rsidRDefault="00952028" w:rsidP="006E6012">
      <w:pPr>
        <w:pStyle w:val="ListParagraph"/>
        <w:numPr>
          <w:ilvl w:val="1"/>
          <w:numId w:val="59"/>
        </w:numPr>
        <w:rPr>
          <w:rFonts w:eastAsia="Helvetica Neue"/>
        </w:rPr>
      </w:pPr>
      <w:r w:rsidRPr="00F77479">
        <w:rPr>
          <w:rFonts w:eastAsia="Helvetica Neue"/>
        </w:rPr>
        <w:t>Education and training for other key sectors, including healthcare, as well as for individuals and their families.</w:t>
      </w:r>
      <w:r w:rsidRPr="00A64CBE">
        <w:rPr>
          <w:rFonts w:eastAsia="Helvetica Neue"/>
          <w:vertAlign w:val="superscript"/>
        </w:rPr>
        <w:endnoteReference w:id="313"/>
      </w:r>
      <w:r w:rsidRPr="00F77479">
        <w:rPr>
          <w:rFonts w:eastAsia="Helvetica Neue"/>
        </w:rPr>
        <w:t xml:space="preserve"> </w:t>
      </w:r>
    </w:p>
    <w:p w14:paraId="38091428" w14:textId="77777777" w:rsidR="004A6F29" w:rsidRDefault="00952028" w:rsidP="006E6012">
      <w:pPr>
        <w:pStyle w:val="ListParagraph"/>
        <w:numPr>
          <w:ilvl w:val="2"/>
          <w:numId w:val="59"/>
        </w:numPr>
        <w:ind w:left="720"/>
        <w:rPr>
          <w:rFonts w:eastAsia="Helvetica Neue"/>
        </w:rPr>
      </w:pPr>
      <w:r w:rsidRPr="004A6F29">
        <w:rPr>
          <w:rFonts w:eastAsia="Helvetica Neue"/>
          <w:b/>
        </w:rPr>
        <w:t>Example:</w:t>
      </w:r>
      <w:r w:rsidRPr="004A6F29">
        <w:rPr>
          <w:rFonts w:eastAsia="Helvetica Neue"/>
        </w:rPr>
        <w:t xml:space="preserve"> Safe Austin in the United States of America developed a training and manual that provides resources and tools for law enforcement: </w:t>
      </w:r>
      <w:r w:rsidRPr="004A6F29">
        <w:rPr>
          <w:rFonts w:eastAsia="Helvetica Neue"/>
          <w:b/>
        </w:rPr>
        <w:t>‘In My Jurisdiction: Responding to Crimes Against People with Disabilities, Deaf Individuals, and Older Adults</w:t>
      </w:r>
      <w:r w:rsidRPr="004A6F29">
        <w:rPr>
          <w:rFonts w:eastAsia="Helvetica Neue"/>
        </w:rPr>
        <w:t>.’</w:t>
      </w:r>
      <w:r w:rsidRPr="002D0897">
        <w:rPr>
          <w:rFonts w:eastAsia="Helvetica Neue"/>
          <w:vertAlign w:val="superscript"/>
        </w:rPr>
        <w:endnoteReference w:id="314"/>
      </w:r>
    </w:p>
    <w:p w14:paraId="39720D15" w14:textId="6591802E" w:rsidR="00952028" w:rsidRPr="00A12EF9" w:rsidRDefault="00952028" w:rsidP="006E6012">
      <w:pPr>
        <w:pStyle w:val="ListParagraph"/>
        <w:numPr>
          <w:ilvl w:val="0"/>
          <w:numId w:val="59"/>
        </w:numPr>
        <w:rPr>
          <w:rFonts w:eastAsia="Helvetica Neue"/>
        </w:rPr>
      </w:pPr>
      <w:r w:rsidRPr="004A6F29">
        <w:rPr>
          <w:rFonts w:eastAsia="Helvetica Neue"/>
        </w:rPr>
        <w:t xml:space="preserve">Recruit and maintain a list of legal services providers educated about the experiences of persons with disabilities whose services have low or no cost for women and young persons with disabilities. </w:t>
      </w:r>
    </w:p>
    <w:p w14:paraId="52915262" w14:textId="60CF4C51" w:rsidR="00952028" w:rsidRPr="004A6F29" w:rsidRDefault="00952028" w:rsidP="004A6F29">
      <w:pPr>
        <w:pStyle w:val="Heading4"/>
        <w:spacing w:before="480"/>
        <w:rPr>
          <w:rFonts w:eastAsia="Helvetica Neue"/>
        </w:rPr>
      </w:pPr>
      <w:r w:rsidRPr="00A64CBE">
        <w:rPr>
          <w:rFonts w:eastAsia="Helvetica Neue"/>
        </w:rPr>
        <w:t xml:space="preserve">Guidelines for Action: </w:t>
      </w:r>
      <w:r w:rsidRPr="004A6F29">
        <w:rPr>
          <w:rFonts w:eastAsia="Helvetica Neue"/>
        </w:rPr>
        <w:t>Accessibility</w:t>
      </w:r>
    </w:p>
    <w:p w14:paraId="1806BB99" w14:textId="77777777" w:rsidR="004A6F29" w:rsidRPr="004A6F29" w:rsidRDefault="00952028" w:rsidP="006E6012">
      <w:pPr>
        <w:pStyle w:val="ListParagraph"/>
        <w:numPr>
          <w:ilvl w:val="0"/>
          <w:numId w:val="60"/>
        </w:numPr>
        <w:rPr>
          <w:rFonts w:eastAsia="Helvetica Neue"/>
          <w:u w:val="single"/>
        </w:rPr>
      </w:pPr>
      <w:r w:rsidRPr="004A6F29">
        <w:rPr>
          <w:rFonts w:eastAsia="Helvetica Neue"/>
        </w:rPr>
        <w:t xml:space="preserve">Develop accessible and inclusive know your rights programmes for women and young persons with disabilities, including their rights during court proceedings and how to access justice and policing mechanisms. </w:t>
      </w:r>
    </w:p>
    <w:p w14:paraId="7DD567E2" w14:textId="77777777" w:rsidR="004A6F29" w:rsidRPr="004A6F29" w:rsidRDefault="00952028" w:rsidP="006E6012">
      <w:pPr>
        <w:pStyle w:val="ListParagraph"/>
        <w:numPr>
          <w:ilvl w:val="0"/>
          <w:numId w:val="60"/>
        </w:numPr>
        <w:rPr>
          <w:rFonts w:eastAsia="Helvetica Neue"/>
          <w:u w:val="single"/>
        </w:rPr>
      </w:pPr>
      <w:r w:rsidRPr="004A6F29">
        <w:rPr>
          <w:rFonts w:eastAsia="Helvetica Neue"/>
        </w:rPr>
        <w:t>Offer programmes that provide necessary supports for women and young persons with disabilities as they navigate the justice process. For instance, trained social workers can help women and young persons with disabilities navigate the justice system from the reporting of gender-based violence through the remedy stages.</w:t>
      </w:r>
      <w:r w:rsidRPr="00A64CBE">
        <w:rPr>
          <w:rFonts w:eastAsia="Helvetica Neue"/>
          <w:vertAlign w:val="superscript"/>
        </w:rPr>
        <w:endnoteReference w:id="315"/>
      </w:r>
      <w:r w:rsidRPr="004A6F29">
        <w:rPr>
          <w:rFonts w:eastAsia="Helvetica Neue"/>
        </w:rPr>
        <w:t xml:space="preserve"> Ensure that support people or contextual advisers whom a woman or a young person wishes to join them before, during, and after court proceedings are permitted. </w:t>
      </w:r>
    </w:p>
    <w:p w14:paraId="7815A0F1" w14:textId="77777777" w:rsidR="004A6F29" w:rsidRPr="004A6F29" w:rsidRDefault="00952028" w:rsidP="006E6012">
      <w:pPr>
        <w:pStyle w:val="ListParagraph"/>
        <w:numPr>
          <w:ilvl w:val="1"/>
          <w:numId w:val="60"/>
        </w:numPr>
        <w:rPr>
          <w:rFonts w:eastAsia="Helvetica Neue"/>
          <w:u w:val="single"/>
        </w:rPr>
      </w:pPr>
      <w:r w:rsidRPr="004A6F29">
        <w:rPr>
          <w:rFonts w:eastAsia="Helvetica Neue"/>
          <w:b/>
        </w:rPr>
        <w:lastRenderedPageBreak/>
        <w:t>Example:</w:t>
      </w:r>
      <w:r w:rsidRPr="004A6F29">
        <w:rPr>
          <w:rFonts w:eastAsia="Helvetica Neue"/>
        </w:rPr>
        <w:t xml:space="preserve"> The National Union of Women with Disabilities of Uganda’s paralegal programme uses well-trained paralegals to increase access to justice for women and young persons with disabilities. Thirty-two women with disabilities were trained about the rights of women and girls with disabilities relating to SRHR and GBV. These paralegals became community role models, offering peer-to-peer support in reporting violations and conducting the necessary follow-up to ensure justice was achieved and advocating for systemic change.</w:t>
      </w:r>
      <w:r w:rsidRPr="002D0897">
        <w:rPr>
          <w:rFonts w:eastAsia="Helvetica Neue"/>
          <w:vertAlign w:val="superscript"/>
        </w:rPr>
        <w:endnoteReference w:id="316"/>
      </w:r>
    </w:p>
    <w:p w14:paraId="188570CD" w14:textId="77777777" w:rsidR="004A6F29" w:rsidRPr="004A6F29" w:rsidRDefault="00952028" w:rsidP="006E6012">
      <w:pPr>
        <w:pStyle w:val="ListParagraph"/>
        <w:numPr>
          <w:ilvl w:val="0"/>
          <w:numId w:val="60"/>
        </w:numPr>
        <w:rPr>
          <w:rFonts w:eastAsia="Helvetica Neue"/>
          <w:u w:val="single"/>
        </w:rPr>
      </w:pPr>
      <w:r w:rsidRPr="004A6F29">
        <w:rPr>
          <w:rFonts w:eastAsia="Helvetica Neue"/>
        </w:rPr>
        <w:t xml:space="preserve">Develop programmes to increase the comfort of women and young persons with disabilities during court proceedings, assist victims/survivors in giving testimony, and address credibility concerns. </w:t>
      </w:r>
    </w:p>
    <w:p w14:paraId="30A53871" w14:textId="77777777" w:rsidR="004A6F29" w:rsidRPr="004A6F29" w:rsidRDefault="00952028" w:rsidP="006E6012">
      <w:pPr>
        <w:pStyle w:val="ListParagraph"/>
        <w:numPr>
          <w:ilvl w:val="1"/>
          <w:numId w:val="60"/>
        </w:numPr>
        <w:rPr>
          <w:rFonts w:eastAsia="Helvetica Neue"/>
          <w:u w:val="single"/>
        </w:rPr>
      </w:pPr>
      <w:r w:rsidRPr="004A6F29">
        <w:rPr>
          <w:rFonts w:eastAsia="Helvetica Neue"/>
          <w:b/>
        </w:rPr>
        <w:t>Example:</w:t>
      </w:r>
      <w:r w:rsidRPr="004A6F29">
        <w:rPr>
          <w:rFonts w:eastAsia="Helvetica Neue"/>
        </w:rPr>
        <w:t xml:space="preserve"> The </w:t>
      </w:r>
      <w:r w:rsidRPr="004A6F29">
        <w:rPr>
          <w:rFonts w:eastAsia="Helvetica Neue"/>
          <w:b/>
        </w:rPr>
        <w:t xml:space="preserve">Sexual Abuse Victim Empowerment (SAVE) </w:t>
      </w:r>
      <w:r w:rsidRPr="004A6F29">
        <w:rPr>
          <w:rFonts w:eastAsia="Helvetica Neue"/>
        </w:rPr>
        <w:t>programme at Cape Mental Health in South Africa involves a psychological assessment; court preparation, comprehensive sexuality education, counselling, and support for the victim/survivor and their family; a cache of expert witnesses; a referral network within the justice and police departments; training and awareness-raising among the police and prosecutors; and training and ongoing support for other stakeholders.</w:t>
      </w:r>
      <w:r w:rsidRPr="002D0897">
        <w:rPr>
          <w:rFonts w:eastAsia="Helvetica Neue"/>
          <w:vertAlign w:val="superscript"/>
        </w:rPr>
        <w:endnoteReference w:id="317"/>
      </w:r>
      <w:r w:rsidRPr="004A6F29">
        <w:rPr>
          <w:rFonts w:eastAsia="Helvetica Neue"/>
        </w:rPr>
        <w:t xml:space="preserve"> </w:t>
      </w:r>
    </w:p>
    <w:p w14:paraId="1516A35E" w14:textId="77777777" w:rsidR="004A6F29" w:rsidRPr="004A6F29" w:rsidRDefault="00952028" w:rsidP="006E6012">
      <w:pPr>
        <w:pStyle w:val="ListParagraph"/>
        <w:numPr>
          <w:ilvl w:val="0"/>
          <w:numId w:val="60"/>
        </w:numPr>
        <w:rPr>
          <w:rFonts w:eastAsia="Helvetica Neue"/>
          <w:u w:val="single"/>
        </w:rPr>
      </w:pPr>
      <w:r w:rsidRPr="004A6F29">
        <w:rPr>
          <w:rFonts w:eastAsia="Helvetica Neue"/>
        </w:rPr>
        <w:t>Advocate for a comprehensive disability access plan for the justice system.</w:t>
      </w:r>
      <w:r w:rsidRPr="00A64CBE">
        <w:rPr>
          <w:rFonts w:eastAsia="Helvetica Neue"/>
          <w:vertAlign w:val="superscript"/>
        </w:rPr>
        <w:endnoteReference w:id="318"/>
      </w:r>
      <w:r w:rsidRPr="004A6F29">
        <w:rPr>
          <w:rFonts w:eastAsia="Helvetica Neue"/>
        </w:rPr>
        <w:t xml:space="preserve"> Ensure that any costs associated with making the justice system accessible to women and young persons with disabilities are not passed on to them through formal or informal user fees. This could include costs associated with testifying, such as transportation costs and lost wages. </w:t>
      </w:r>
    </w:p>
    <w:p w14:paraId="62C6E8D0" w14:textId="77777777" w:rsidR="004A6F29" w:rsidRPr="004A6F29" w:rsidRDefault="00952028" w:rsidP="006E6012">
      <w:pPr>
        <w:pStyle w:val="ListParagraph"/>
        <w:numPr>
          <w:ilvl w:val="1"/>
          <w:numId w:val="60"/>
        </w:numPr>
        <w:rPr>
          <w:rFonts w:eastAsia="Helvetica Neue"/>
          <w:u w:val="single"/>
        </w:rPr>
      </w:pPr>
      <w:r w:rsidRPr="004A6F29">
        <w:rPr>
          <w:rFonts w:eastAsia="Helvetica Neue"/>
          <w:b/>
        </w:rPr>
        <w:t>Example:</w:t>
      </w:r>
      <w:r w:rsidRPr="004A6F29">
        <w:rPr>
          <w:rFonts w:eastAsia="Helvetica Neue"/>
        </w:rPr>
        <w:t xml:space="preserve"> The </w:t>
      </w:r>
      <w:r w:rsidRPr="004A6F29">
        <w:rPr>
          <w:rFonts w:eastAsia="Helvetica Neue"/>
          <w:b/>
        </w:rPr>
        <w:t xml:space="preserve">‘Brasilia Regulations Regarding Access to Justice for Vulnerable People’ </w:t>
      </w:r>
      <w:r w:rsidRPr="004A6F29">
        <w:rPr>
          <w:rFonts w:eastAsia="Helvetica Neue"/>
        </w:rPr>
        <w:t xml:space="preserve">produced by the XIV </w:t>
      </w:r>
      <w:proofErr w:type="spellStart"/>
      <w:r w:rsidRPr="004A6F29">
        <w:rPr>
          <w:rFonts w:eastAsia="Helvetica Neue"/>
        </w:rPr>
        <w:t>Ibero</w:t>
      </w:r>
      <w:proofErr w:type="spellEnd"/>
      <w:r w:rsidRPr="004A6F29">
        <w:rPr>
          <w:rFonts w:eastAsia="Helvetica Neue"/>
        </w:rPr>
        <w:t>-American Judicial Summit, provides guidance on how to improve access to justice for persons with disabilities and other intersectional vulnerabilities, such as women and indigenous communities. The document provides guiding rules and mechanisms for increasing the effectiveness of access to justice rules and regulations. Sample regulations address access to information, understanding judicial processes, appearing in court, and protection of privacy. For example, one sample regulation says: “All necessary measures will be adopted to reduce any difficulties in communication that affect the understanding of the judicial proceeding in which a vulnerable person is taking part, guaranteeing that they can understand its scope and significance”.</w:t>
      </w:r>
      <w:r w:rsidRPr="002D0897">
        <w:rPr>
          <w:rFonts w:eastAsia="Helvetica Neue"/>
          <w:vertAlign w:val="superscript"/>
        </w:rPr>
        <w:endnoteReference w:id="319"/>
      </w:r>
      <w:r w:rsidRPr="004A6F29">
        <w:rPr>
          <w:rFonts w:eastAsia="Helvetica Neue"/>
          <w:b/>
        </w:rPr>
        <w:t xml:space="preserve"> </w:t>
      </w:r>
    </w:p>
    <w:p w14:paraId="127A033A" w14:textId="77777777" w:rsidR="004A6F29" w:rsidRPr="004A6F29" w:rsidRDefault="00952028" w:rsidP="006E6012">
      <w:pPr>
        <w:pStyle w:val="ListParagraph"/>
        <w:numPr>
          <w:ilvl w:val="0"/>
          <w:numId w:val="60"/>
        </w:numPr>
        <w:rPr>
          <w:rFonts w:eastAsia="Helvetica Neue"/>
          <w:u w:val="single"/>
        </w:rPr>
      </w:pPr>
      <w:r w:rsidRPr="004A6F29">
        <w:rPr>
          <w:rFonts w:eastAsia="Helvetica Neue"/>
        </w:rPr>
        <w:t>Translate justice system forms, information material, and instructions into a range of accessible formats.</w:t>
      </w:r>
    </w:p>
    <w:p w14:paraId="297F325A" w14:textId="77777777" w:rsidR="004A6F29" w:rsidRPr="004A6F29" w:rsidRDefault="00952028" w:rsidP="006E6012">
      <w:pPr>
        <w:pStyle w:val="ListParagraph"/>
        <w:numPr>
          <w:ilvl w:val="0"/>
          <w:numId w:val="60"/>
        </w:numPr>
        <w:rPr>
          <w:rFonts w:eastAsia="Helvetica Neue"/>
          <w:u w:val="single"/>
        </w:rPr>
      </w:pPr>
      <w:r w:rsidRPr="004A6F29">
        <w:rPr>
          <w:rFonts w:eastAsia="Helvetica Neue"/>
        </w:rPr>
        <w:t>Lobby for women and young persons with disabilities to be included in access to justice initiatives in humanitarian emergency settings, particularly involving sexual and GBV and disabilities.</w:t>
      </w:r>
      <w:r w:rsidRPr="00A64CBE">
        <w:rPr>
          <w:rFonts w:eastAsia="Helvetica Neue"/>
          <w:vertAlign w:val="superscript"/>
        </w:rPr>
        <w:endnoteReference w:id="320"/>
      </w:r>
    </w:p>
    <w:p w14:paraId="60B993C0" w14:textId="77777777" w:rsidR="004A6F29" w:rsidRPr="004A6F29" w:rsidRDefault="00952028" w:rsidP="006E6012">
      <w:pPr>
        <w:pStyle w:val="ListParagraph"/>
        <w:numPr>
          <w:ilvl w:val="0"/>
          <w:numId w:val="60"/>
        </w:numPr>
        <w:rPr>
          <w:rFonts w:eastAsia="Helvetica Neue"/>
          <w:u w:val="single"/>
        </w:rPr>
      </w:pPr>
      <w:r w:rsidRPr="004A6F29">
        <w:rPr>
          <w:rFonts w:eastAsia="Helvetica Neue"/>
        </w:rPr>
        <w:t>Educate justice sector stakeholders about physical accessibility adaptations that increase the comfort and dignity of women and young persons with disabilities engaging with the justice system, such as ensuring that a witness box is accessible and that a person of short stature or sitting in a wheelchair can be clearly seen.</w:t>
      </w:r>
    </w:p>
    <w:p w14:paraId="0ABE0425" w14:textId="0458E0ED" w:rsidR="00952028" w:rsidRPr="004A6F29" w:rsidRDefault="00952028" w:rsidP="006E6012">
      <w:pPr>
        <w:pStyle w:val="ListParagraph"/>
        <w:numPr>
          <w:ilvl w:val="0"/>
          <w:numId w:val="60"/>
        </w:numPr>
        <w:rPr>
          <w:rFonts w:eastAsia="Helvetica Neue"/>
          <w:u w:val="single"/>
        </w:rPr>
      </w:pPr>
      <w:r w:rsidRPr="004A6F29">
        <w:rPr>
          <w:rFonts w:eastAsia="Helvetica Neue"/>
        </w:rPr>
        <w:lastRenderedPageBreak/>
        <w:t>Advocate</w:t>
      </w:r>
      <w:r w:rsidRPr="004A6F29">
        <w:rPr>
          <w:rFonts w:eastAsia="Helvetica Neue"/>
          <w:b/>
        </w:rPr>
        <w:t xml:space="preserve"> </w:t>
      </w:r>
      <w:r w:rsidRPr="004A6F29">
        <w:rPr>
          <w:rFonts w:eastAsia="Helvetica Neue"/>
        </w:rPr>
        <w:t>for government-funded legal services, fee waivers, and cost reductions for women and young persons with disabilities who are unable to afford legal representation or other fees associated with access to justice.</w:t>
      </w:r>
      <w:r w:rsidRPr="00A64CBE">
        <w:rPr>
          <w:rFonts w:eastAsia="Helvetica Neue"/>
          <w:vertAlign w:val="superscript"/>
        </w:rPr>
        <w:endnoteReference w:id="321"/>
      </w:r>
    </w:p>
    <w:p w14:paraId="177929E2" w14:textId="5903F514" w:rsidR="00DE4CE2" w:rsidRDefault="00A34370" w:rsidP="00CD00E1">
      <w:pPr>
        <w:pStyle w:val="Heading4"/>
        <w:spacing w:before="480"/>
        <w:ind w:hanging="90"/>
        <w:rPr>
          <w:rFonts w:eastAsia="Helvetica Neue"/>
        </w:rPr>
      </w:pPr>
      <w:r w:rsidRPr="00A6697D">
        <w:rPr>
          <w:noProof/>
        </w:rPr>
        <mc:AlternateContent>
          <mc:Choice Requires="wps">
            <w:drawing>
              <wp:inline distT="0" distB="0" distL="0" distR="0" wp14:anchorId="5146F8BE" wp14:editId="3413DE11">
                <wp:extent cx="5943600" cy="0"/>
                <wp:effectExtent l="0" t="38100" r="25400" b="38100"/>
                <wp:docPr id="19" name="Straight Connector 19" descr="Text box follows"/>
                <wp:cNvGraphicFramePr/>
                <a:graphic xmlns:a="http://schemas.openxmlformats.org/drawingml/2006/main">
                  <a:graphicData uri="http://schemas.microsoft.com/office/word/2010/wordprocessingShape">
                    <wps:wsp>
                      <wps:cNvCnPr/>
                      <wps:spPr>
                        <a:xfrm>
                          <a:off x="0" y="0"/>
                          <a:ext cx="5943600" cy="0"/>
                        </a:xfrm>
                        <a:prstGeom prst="line">
                          <a:avLst/>
                        </a:prstGeom>
                        <a:ln w="76200">
                          <a:solidFill>
                            <a:schemeClr val="bg2">
                              <a:lumMod val="50000"/>
                            </a:schemeClr>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25C490FE" id="Straight Connector 19" o:spid="_x0000_s1026" alt="Text box foll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" strokecolor="#938953 [1614]" strokeweight="6pt">
                <w10:anchorlock/>
              </v:line>
            </w:pict>
          </mc:Fallback>
        </mc:AlternateContent>
      </w:r>
      <w:r>
        <w:rPr>
          <w:rFonts w:eastAsia="Helvetica Neue"/>
          <w:color w:val="948A54" w:themeColor="background2" w:themeShade="80"/>
          <w:sz w:val="32"/>
          <w:szCs w:val="32"/>
        </w:rPr>
        <w:br/>
      </w:r>
      <w:r w:rsidRPr="00A34370">
        <w:rPr>
          <w:rFonts w:eastAsia="Helvetica Neue"/>
          <w:color w:val="948A54" w:themeColor="background2" w:themeShade="80"/>
          <w:sz w:val="16"/>
          <w:szCs w:val="16"/>
        </w:rPr>
        <w:br/>
      </w:r>
      <w:r w:rsidR="00DE4CE2" w:rsidRPr="00A34370">
        <w:rPr>
          <w:rFonts w:eastAsia="Helvetica Neue"/>
          <w:color w:val="948A54" w:themeColor="background2" w:themeShade="80"/>
          <w:sz w:val="32"/>
          <w:szCs w:val="32"/>
        </w:rPr>
        <w:t>P</w:t>
      </w:r>
      <w:r w:rsidR="00952028" w:rsidRPr="00A34370">
        <w:rPr>
          <w:rFonts w:eastAsia="Helvetica Neue"/>
          <w:color w:val="948A54" w:themeColor="background2" w:themeShade="80"/>
          <w:sz w:val="32"/>
          <w:szCs w:val="32"/>
        </w:rPr>
        <w:t>utting into Practice</w:t>
      </w:r>
      <w:r w:rsidR="008304B7">
        <w:rPr>
          <w:rFonts w:eastAsia="Helvetica Neue"/>
          <w:color w:val="948A54" w:themeColor="background2" w:themeShade="80"/>
          <w:sz w:val="32"/>
          <w:szCs w:val="32"/>
        </w:rPr>
        <w:t xml:space="preserve">: </w:t>
      </w:r>
      <w:r w:rsidR="00952028" w:rsidRPr="00A34370">
        <w:rPr>
          <w:rFonts w:eastAsia="Helvetica Neue"/>
          <w:color w:val="948A54" w:themeColor="background2" w:themeShade="80"/>
          <w:sz w:val="32"/>
          <w:szCs w:val="32"/>
        </w:rPr>
        <w:t>The Leonard Cheshire Disability Zimbabwe Trust— ‘Access to Justice for Girls and Women with Disabilities Project’.</w:t>
      </w:r>
      <w:r w:rsidR="00952028" w:rsidRPr="00A34370">
        <w:rPr>
          <w:rFonts w:eastAsia="Helvetica Neue"/>
          <w:color w:val="948A54" w:themeColor="background2" w:themeShade="80"/>
        </w:rPr>
        <w:t xml:space="preserve"> </w:t>
      </w:r>
    </w:p>
    <w:p w14:paraId="5C9976FA" w14:textId="367A937E" w:rsidR="00952028" w:rsidRPr="00A64CBE" w:rsidRDefault="00952028" w:rsidP="00DE4CE2">
      <w:pPr>
        <w:rPr>
          <w:rFonts w:eastAsia="Helvetica Neue"/>
        </w:rPr>
      </w:pPr>
      <w:r w:rsidRPr="00A64CBE">
        <w:rPr>
          <w:rFonts w:eastAsia="Helvetica Neue"/>
        </w:rPr>
        <w:t xml:space="preserve">After identifying significant gaps in reporting among girls and women with disabilities who were victims/survivors of sexual violence, Leonard Cheshire developed this project to help girls and women with disabilities realize full enjoyment of their rights and to stop violence against women. The project was successful in enhancing access to post-violence justice and related services for women and girls with disabilities, empowering them to access justice and other services, and increasing attention to their concerns. The following activities were identified as key to enhancing access: </w:t>
      </w:r>
    </w:p>
    <w:p w14:paraId="067648AA" w14:textId="77777777" w:rsidR="00952028" w:rsidRPr="00A64CBE" w:rsidRDefault="00952028" w:rsidP="007B7686">
      <w:pPr>
        <w:pStyle w:val="ListParagraph"/>
        <w:numPr>
          <w:ilvl w:val="0"/>
          <w:numId w:val="159"/>
        </w:numPr>
      </w:pPr>
      <w:r w:rsidRPr="00DE4CE2">
        <w:rPr>
          <w:rFonts w:eastAsia="Helvetica Neue"/>
        </w:rPr>
        <w:t>Provide logistical support to victims/survivors to access justice and other necessary post-violence services.</w:t>
      </w:r>
    </w:p>
    <w:p w14:paraId="02CE4E32" w14:textId="77777777" w:rsidR="00952028" w:rsidRPr="00A64CBE" w:rsidRDefault="00952028" w:rsidP="007B7686">
      <w:pPr>
        <w:pStyle w:val="ListParagraph"/>
        <w:numPr>
          <w:ilvl w:val="0"/>
          <w:numId w:val="159"/>
        </w:numPr>
      </w:pPr>
      <w:r w:rsidRPr="00DE4CE2">
        <w:rPr>
          <w:rFonts w:eastAsia="Helvetica Neue"/>
        </w:rPr>
        <w:t xml:space="preserve">Facilitate communication and provide technical advice in cases involving women and girls with disabilities who are victims/survivors. </w:t>
      </w:r>
    </w:p>
    <w:p w14:paraId="3F9A7CA0" w14:textId="77777777" w:rsidR="00952028" w:rsidRPr="00A64CBE" w:rsidRDefault="00952028" w:rsidP="007B7686">
      <w:pPr>
        <w:pStyle w:val="ListParagraph"/>
        <w:numPr>
          <w:ilvl w:val="0"/>
          <w:numId w:val="159"/>
        </w:numPr>
      </w:pPr>
      <w:r w:rsidRPr="00DE4CE2">
        <w:rPr>
          <w:rFonts w:eastAsia="Helvetica Neue"/>
        </w:rPr>
        <w:t>Train women and girls with disabilities on violence against women, GBV legal frameworks and how to report violence.</w:t>
      </w:r>
    </w:p>
    <w:p w14:paraId="24ABE344" w14:textId="77777777" w:rsidR="00952028" w:rsidRPr="00A64CBE" w:rsidRDefault="00952028" w:rsidP="007B7686">
      <w:pPr>
        <w:pStyle w:val="ListParagraph"/>
        <w:numPr>
          <w:ilvl w:val="0"/>
          <w:numId w:val="159"/>
        </w:numPr>
      </w:pPr>
      <w:r w:rsidRPr="00DE4CE2">
        <w:rPr>
          <w:rFonts w:eastAsia="Helvetica Neue"/>
        </w:rPr>
        <w:t>Develop community awareness campaigns around access to justice targeting community leaders, community-based organizations, women and girls with disabilities, caregivers and the general community.</w:t>
      </w:r>
    </w:p>
    <w:p w14:paraId="713A69B6" w14:textId="77777777" w:rsidR="00952028" w:rsidRPr="00DE4CE2" w:rsidRDefault="00952028" w:rsidP="007B7686">
      <w:pPr>
        <w:pStyle w:val="ListParagraph"/>
        <w:numPr>
          <w:ilvl w:val="0"/>
          <w:numId w:val="159"/>
        </w:numPr>
        <w:rPr>
          <w:lang w:val="fr-FR"/>
        </w:rPr>
      </w:pPr>
      <w:r w:rsidRPr="00DE4CE2">
        <w:rPr>
          <w:rFonts w:eastAsia="Helvetica Neue"/>
          <w:lang w:val="fr-FR"/>
        </w:rPr>
        <w:t>Train police on sign language communication.</w:t>
      </w:r>
    </w:p>
    <w:p w14:paraId="68F66C4B" w14:textId="77777777" w:rsidR="00952028" w:rsidRPr="00A64CBE" w:rsidRDefault="00952028" w:rsidP="007B7686">
      <w:pPr>
        <w:pStyle w:val="ListParagraph"/>
        <w:numPr>
          <w:ilvl w:val="0"/>
          <w:numId w:val="159"/>
        </w:numPr>
      </w:pPr>
      <w:r w:rsidRPr="00DE4CE2">
        <w:rPr>
          <w:rFonts w:eastAsia="Helvetica Neue"/>
        </w:rPr>
        <w:t xml:space="preserve">Sensitize government stakeholders on disability and violence against women and girls with disabilities. </w:t>
      </w:r>
    </w:p>
    <w:p w14:paraId="50A558C7" w14:textId="77777777" w:rsidR="00952028" w:rsidRPr="00A64CBE" w:rsidRDefault="00952028" w:rsidP="007B7686">
      <w:pPr>
        <w:pStyle w:val="ListParagraph"/>
        <w:numPr>
          <w:ilvl w:val="0"/>
          <w:numId w:val="159"/>
        </w:numPr>
      </w:pPr>
      <w:r w:rsidRPr="00DE4CE2">
        <w:rPr>
          <w:rFonts w:eastAsia="Helvetica Neue"/>
        </w:rPr>
        <w:t>Facilitate formation of support groups.</w:t>
      </w:r>
    </w:p>
    <w:p w14:paraId="724BBAD5" w14:textId="77777777" w:rsidR="00952028" w:rsidRPr="00A64CBE" w:rsidRDefault="00952028" w:rsidP="007B7686">
      <w:pPr>
        <w:pStyle w:val="ListParagraph"/>
        <w:numPr>
          <w:ilvl w:val="0"/>
          <w:numId w:val="159"/>
        </w:numPr>
      </w:pPr>
      <w:r w:rsidRPr="00DE4CE2">
        <w:rPr>
          <w:rFonts w:eastAsia="Helvetica Neue"/>
        </w:rPr>
        <w:t>Establish a national dialogue on violence against women and girls with disabilities and their access to services.</w:t>
      </w:r>
    </w:p>
    <w:p w14:paraId="5E4B76D6" w14:textId="77777777" w:rsidR="00952028" w:rsidRPr="00A64CBE" w:rsidRDefault="00952028" w:rsidP="007B7686">
      <w:pPr>
        <w:pStyle w:val="ListParagraph"/>
        <w:numPr>
          <w:ilvl w:val="0"/>
          <w:numId w:val="159"/>
        </w:numPr>
      </w:pPr>
      <w:r w:rsidRPr="00DE4CE2">
        <w:rPr>
          <w:rFonts w:eastAsia="Helvetica Neue"/>
        </w:rPr>
        <w:t>Organize follow-up meetings with mainstream women’s organizations.</w:t>
      </w:r>
      <w:r w:rsidRPr="00A64CBE">
        <w:rPr>
          <w:rFonts w:eastAsia="Helvetica Neue"/>
          <w:vertAlign w:val="superscript"/>
        </w:rPr>
        <w:endnoteReference w:id="322"/>
      </w:r>
    </w:p>
    <w:p w14:paraId="35D1B9F9" w14:textId="77777777" w:rsidR="00A34370" w:rsidRDefault="00A34370" w:rsidP="00CD00E1">
      <w:pPr>
        <w:ind w:hanging="90"/>
        <w:rPr>
          <w:rFonts w:eastAsia="Helvetica Neue"/>
        </w:rPr>
      </w:pPr>
      <w:r w:rsidRPr="00A6697D">
        <w:rPr>
          <w:noProof/>
        </w:rPr>
        <mc:AlternateContent>
          <mc:Choice Requires="wps">
            <w:drawing>
              <wp:inline distT="0" distB="0" distL="0" distR="0" wp14:anchorId="4E815EE5" wp14:editId="3AF4AEC4">
                <wp:extent cx="5943600" cy="0"/>
                <wp:effectExtent l="0" t="12700" r="25400" b="25400"/>
                <wp:docPr id="23" name="Straight Connector 23" descr="Text box ends"/>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chemeClr val="bg2">
                              <a:lumMod val="50000"/>
                            </a:schemeClr>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182B01B2" id="Straight Connector 23" o:spid="_x0000_s1026" alt="Text box end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" strokecolor="#938953 [1614]" strokeweight="3pt">
                <w10:anchorlock/>
              </v:line>
            </w:pict>
          </mc:Fallback>
        </mc:AlternateContent>
      </w:r>
    </w:p>
    <w:p w14:paraId="2225F9BF" w14:textId="77777777" w:rsidR="002C157A" w:rsidRDefault="002C157A" w:rsidP="00A34370">
      <w:pPr>
        <w:pStyle w:val="Heading4"/>
        <w:rPr>
          <w:rFonts w:eastAsia="Helvetica Neue"/>
        </w:rPr>
      </w:pPr>
    </w:p>
    <w:p w14:paraId="4BAB5EF4" w14:textId="77777777" w:rsidR="003A0C66" w:rsidRDefault="003A0C66">
      <w:pPr>
        <w:spacing w:before="0" w:after="0"/>
        <w:rPr>
          <w:rFonts w:eastAsia="Helvetica Neue"/>
          <w:b/>
          <w:sz w:val="28"/>
          <w:lang w:val="en-GB"/>
        </w:rPr>
      </w:pPr>
      <w:r>
        <w:rPr>
          <w:rFonts w:eastAsia="Helvetica Neue"/>
        </w:rPr>
        <w:br w:type="page"/>
      </w:r>
    </w:p>
    <w:p w14:paraId="1F5D616A" w14:textId="288D315C" w:rsidR="00952028" w:rsidRPr="004A6F29" w:rsidRDefault="00952028" w:rsidP="00A34370">
      <w:pPr>
        <w:pStyle w:val="Heading4"/>
        <w:rPr>
          <w:rFonts w:eastAsia="Helvetica Neue"/>
        </w:rPr>
      </w:pPr>
      <w:r w:rsidRPr="00A64CBE">
        <w:rPr>
          <w:rFonts w:eastAsia="Helvetica Neue"/>
        </w:rPr>
        <w:lastRenderedPageBreak/>
        <w:t xml:space="preserve">Guidelines for Action: </w:t>
      </w:r>
      <w:r w:rsidRPr="004A6F29">
        <w:rPr>
          <w:rFonts w:eastAsia="Helvetica Neue"/>
        </w:rPr>
        <w:t>Acceptability</w:t>
      </w:r>
    </w:p>
    <w:p w14:paraId="6D6F6E65" w14:textId="64A353E0" w:rsidR="00166C0A" w:rsidRDefault="00952028" w:rsidP="006E6012">
      <w:pPr>
        <w:pStyle w:val="ListParagraph"/>
        <w:numPr>
          <w:ilvl w:val="0"/>
          <w:numId w:val="63"/>
        </w:numPr>
        <w:rPr>
          <w:rFonts w:eastAsia="Helvetica Neue"/>
        </w:rPr>
      </w:pPr>
      <w:r w:rsidRPr="00166C0A">
        <w:rPr>
          <w:rFonts w:eastAsia="Helvetica Neue"/>
        </w:rPr>
        <w:t xml:space="preserve">Develop programmes to increase the capacity and representation of persons with disabilities in the justice system, including for example, by ensuring that law schools are accessible to </w:t>
      </w:r>
      <w:r w:rsidR="000C4D76">
        <w:rPr>
          <w:rFonts w:eastAsia="Helvetica Neue"/>
        </w:rPr>
        <w:t>persons</w:t>
      </w:r>
      <w:r w:rsidR="000C4D76" w:rsidRPr="00166C0A">
        <w:rPr>
          <w:rFonts w:eastAsia="Helvetica Neue"/>
        </w:rPr>
        <w:t xml:space="preserve"> </w:t>
      </w:r>
      <w:r w:rsidRPr="00166C0A">
        <w:rPr>
          <w:rFonts w:eastAsia="Helvetica Neue"/>
        </w:rPr>
        <w:t>with disabilities, incorporating disability law into law school curricula, and developing law school clinics that work with clients with disabilities. Create opportunities for postgraduate legal training and professional development on representing clients with disabilities.</w:t>
      </w:r>
      <w:r w:rsidRPr="00A64CBE">
        <w:rPr>
          <w:rFonts w:eastAsia="Helvetica Neue"/>
          <w:vertAlign w:val="superscript"/>
        </w:rPr>
        <w:endnoteReference w:id="323"/>
      </w:r>
      <w:r w:rsidRPr="00166C0A">
        <w:rPr>
          <w:rFonts w:eastAsia="Helvetica Neue"/>
        </w:rPr>
        <w:t xml:space="preserve"> </w:t>
      </w:r>
    </w:p>
    <w:p w14:paraId="128724CD" w14:textId="263F821E" w:rsidR="00952028" w:rsidRPr="00166C0A" w:rsidRDefault="00952028" w:rsidP="006E6012">
      <w:pPr>
        <w:pStyle w:val="ListParagraph"/>
        <w:numPr>
          <w:ilvl w:val="0"/>
          <w:numId w:val="63"/>
        </w:numPr>
        <w:rPr>
          <w:rFonts w:eastAsia="Helvetica Neue"/>
        </w:rPr>
      </w:pPr>
      <w:r w:rsidRPr="00166C0A">
        <w:rPr>
          <w:rFonts w:eastAsia="Helvetica Neue"/>
        </w:rPr>
        <w:t>Where sexual violence occurs, particularly in humanitarian emergency settings, develop programmes that support prompt and independent investigations to hold perpetrators accountable, along with appropriate compensation for the victim/survivor.</w:t>
      </w:r>
      <w:r w:rsidRPr="00A64CBE">
        <w:rPr>
          <w:rFonts w:eastAsia="Helvetica Neue"/>
          <w:vertAlign w:val="superscript"/>
        </w:rPr>
        <w:endnoteReference w:id="324"/>
      </w:r>
      <w:r w:rsidRPr="00166C0A">
        <w:rPr>
          <w:rFonts w:eastAsia="Helvetica Neue"/>
        </w:rPr>
        <w:t xml:space="preserve"> Where security forces or public personnel are responsible for the sexual violence, advocate for such claims to be investigated and prosecuted and for perpetrators to be punished.</w:t>
      </w:r>
      <w:r w:rsidRPr="00A64CBE">
        <w:rPr>
          <w:rFonts w:eastAsia="Helvetica Neue"/>
          <w:vertAlign w:val="superscript"/>
        </w:rPr>
        <w:endnoteReference w:id="325"/>
      </w:r>
      <w:r w:rsidRPr="00166C0A">
        <w:rPr>
          <w:rFonts w:eastAsia="Helvetica Neue"/>
        </w:rPr>
        <w:t xml:space="preserve"> </w:t>
      </w:r>
    </w:p>
    <w:p w14:paraId="659B81D2" w14:textId="1C77B239" w:rsidR="00952028" w:rsidRDefault="00952028" w:rsidP="004A6F29">
      <w:pPr>
        <w:pStyle w:val="Heading4"/>
        <w:spacing w:before="480"/>
        <w:rPr>
          <w:rFonts w:eastAsia="Helvetica Neue"/>
        </w:rPr>
      </w:pPr>
      <w:r w:rsidRPr="00A64CBE">
        <w:rPr>
          <w:rFonts w:eastAsia="Helvetica Neue"/>
        </w:rPr>
        <w:t>Guidelines for Action:</w:t>
      </w:r>
      <w:r w:rsidR="00497420">
        <w:rPr>
          <w:rFonts w:eastAsia="Helvetica Neue"/>
        </w:rPr>
        <w:t xml:space="preserve"> Quality</w:t>
      </w:r>
      <w:r w:rsidRPr="00A64CBE">
        <w:rPr>
          <w:rFonts w:eastAsia="Helvetica Neue"/>
        </w:rPr>
        <w:t xml:space="preserve"> </w:t>
      </w:r>
    </w:p>
    <w:p w14:paraId="648FC0EE" w14:textId="68D5AACA" w:rsidR="00952028" w:rsidRPr="00814A44" w:rsidRDefault="00952028" w:rsidP="007B7686">
      <w:pPr>
        <w:pStyle w:val="ListParagraph"/>
        <w:numPr>
          <w:ilvl w:val="0"/>
          <w:numId w:val="157"/>
        </w:numPr>
        <w:rPr>
          <w:rFonts w:eastAsia="Helvetica Neue"/>
        </w:rPr>
      </w:pPr>
      <w:r w:rsidRPr="002C157A">
        <w:rPr>
          <w:rFonts w:eastAsia="Helvetica Neue"/>
        </w:rPr>
        <w:t xml:space="preserve">Conduct training sessions for members of the justice sector—including lawyers, paralegals, law enforcement officers, judges, court administrators, correctional facility staff—on the rights and experiences of women and young </w:t>
      </w:r>
      <w:r w:rsidR="000C4D76">
        <w:rPr>
          <w:rFonts w:eastAsia="Helvetica Neue"/>
        </w:rPr>
        <w:t>persons</w:t>
      </w:r>
      <w:r w:rsidR="000C4D76" w:rsidRPr="002C157A">
        <w:rPr>
          <w:rFonts w:eastAsia="Helvetica Neue"/>
        </w:rPr>
        <w:t xml:space="preserve"> </w:t>
      </w:r>
      <w:r w:rsidRPr="002C157A">
        <w:rPr>
          <w:rFonts w:eastAsia="Helvetica Neue"/>
        </w:rPr>
        <w:t>with disabilities relating to GBV</w:t>
      </w:r>
      <w:r w:rsidRPr="000C4D76">
        <w:rPr>
          <w:rFonts w:eastAsia="Helvetica Neue"/>
        </w:rPr>
        <w:t>. Service providers and support staff</w:t>
      </w:r>
      <w:r w:rsidRPr="000C4D76" w:rsidDel="00D44CFA">
        <w:rPr>
          <w:rFonts w:eastAsia="Helvetica Neue"/>
        </w:rPr>
        <w:t xml:space="preserve"> </w:t>
      </w:r>
      <w:r w:rsidRPr="000C4D76">
        <w:rPr>
          <w:rFonts w:eastAsia="Helvetica Neue"/>
        </w:rPr>
        <w:t>can offer themselves as resources for justice-sector professionals u</w:t>
      </w:r>
      <w:r w:rsidRPr="00814A44">
        <w:rPr>
          <w:rFonts w:eastAsia="Helvetica Neue"/>
        </w:rPr>
        <w:t xml:space="preserve">nclear on how to communicate with or better serve a woman or a young person with a disability. </w:t>
      </w:r>
    </w:p>
    <w:p w14:paraId="0A579150" w14:textId="27D9C5CE" w:rsidR="00952028" w:rsidRPr="00F409EC" w:rsidRDefault="00952028" w:rsidP="007B7686">
      <w:pPr>
        <w:pStyle w:val="ListParagraph"/>
        <w:numPr>
          <w:ilvl w:val="0"/>
          <w:numId w:val="157"/>
        </w:numPr>
        <w:rPr>
          <w:rFonts w:eastAsia="Helvetica Neue"/>
        </w:rPr>
      </w:pPr>
      <w:r w:rsidRPr="0078371A">
        <w:rPr>
          <w:rFonts w:eastAsia="Helvetica Neue"/>
        </w:rPr>
        <w:t>Conduct regular evaluations</w:t>
      </w:r>
      <w:r w:rsidRPr="00F409EC">
        <w:rPr>
          <w:rFonts w:eastAsia="Helvetica Neue"/>
        </w:rPr>
        <w:t xml:space="preserve"> of the extent to which GBV services promote access to justice for women and young persons with disabilities. When appraising access to justice services, particularly effective methods include violence safety audits, surveys, focus groups, key informant interviews, court monitoring, and human rights monitoring. </w:t>
      </w:r>
    </w:p>
    <w:p w14:paraId="123DBAD7" w14:textId="7A603221" w:rsidR="00952028" w:rsidRPr="009840FE" w:rsidRDefault="00952028" w:rsidP="009840FE">
      <w:pPr>
        <w:pStyle w:val="Heading3"/>
      </w:pPr>
      <w:r w:rsidRPr="00A64CBE">
        <w:t>3.5.3</w:t>
      </w:r>
      <w:r w:rsidRPr="00A64CBE">
        <w:tab/>
        <w:t xml:space="preserve">Indicators </w:t>
      </w:r>
    </w:p>
    <w:p w14:paraId="5258B532" w14:textId="02527B0C" w:rsidR="00952028" w:rsidRPr="00DE4CE2" w:rsidRDefault="00952028" w:rsidP="00DE4CE2">
      <w:pPr>
        <w:rPr>
          <w:rFonts w:eastAsia="Helvetica Neue"/>
        </w:rPr>
      </w:pPr>
      <w:r w:rsidRPr="00A64CBE">
        <w:rPr>
          <w:rFonts w:eastAsia="Helvetica Neue"/>
        </w:rPr>
        <w:t xml:space="preserve">The following are illustrative of indicators that can be used to monitor and evaluate progress in the provision of rights-based justice and policing services for women and young </w:t>
      </w:r>
      <w:r>
        <w:rPr>
          <w:rFonts w:eastAsia="Helvetica Neue"/>
        </w:rPr>
        <w:t>persons</w:t>
      </w:r>
      <w:r w:rsidRPr="00A64CBE">
        <w:rPr>
          <w:rFonts w:eastAsia="Helvetica Neue"/>
        </w:rPr>
        <w:t xml:space="preserve"> with disabilities. This is not an exhaustive list, but rather a few examples demonstrating the level of specificity, subjects, and form that indicators in the justice and policing service provision area should take. Service providers should tailor the indicators to fit their programme settings and levels, including by specifying at which level and by whom indicator data should be collected.</w:t>
      </w:r>
    </w:p>
    <w:p w14:paraId="302C0E37" w14:textId="77777777" w:rsidR="00952028" w:rsidRPr="00A64CBE" w:rsidRDefault="00952028" w:rsidP="006E6012">
      <w:pPr>
        <w:pStyle w:val="ListParagraph"/>
        <w:numPr>
          <w:ilvl w:val="0"/>
          <w:numId w:val="62"/>
        </w:numPr>
      </w:pPr>
      <w:r w:rsidRPr="00DE4CE2">
        <w:rPr>
          <w:rFonts w:eastAsia="Helvetica Neue"/>
        </w:rPr>
        <w:t>Number of prosecutions for crimes against a woman or young person with a disability.</w:t>
      </w:r>
    </w:p>
    <w:p w14:paraId="252A1FA9" w14:textId="77777777" w:rsidR="00952028" w:rsidRPr="00A64CBE" w:rsidRDefault="00952028" w:rsidP="006E6012">
      <w:pPr>
        <w:pStyle w:val="ListParagraph"/>
        <w:numPr>
          <w:ilvl w:val="0"/>
          <w:numId w:val="62"/>
        </w:numPr>
      </w:pPr>
      <w:r w:rsidRPr="00DE4CE2">
        <w:rPr>
          <w:rFonts w:eastAsia="Helvetica Neue"/>
        </w:rPr>
        <w:t>Number of prosecutions for crimes against a woman or young person with a disability in which the victim with a disability testified.</w:t>
      </w:r>
    </w:p>
    <w:p w14:paraId="5C0D5B67" w14:textId="77777777" w:rsidR="00952028" w:rsidRPr="00A64CBE" w:rsidRDefault="00952028" w:rsidP="006E6012">
      <w:pPr>
        <w:pStyle w:val="ListParagraph"/>
        <w:numPr>
          <w:ilvl w:val="0"/>
          <w:numId w:val="62"/>
        </w:numPr>
      </w:pPr>
      <w:r w:rsidRPr="00DE4CE2">
        <w:rPr>
          <w:rFonts w:eastAsia="Helvetica Neue"/>
        </w:rPr>
        <w:t>Percentage of women or young persons with disabilities who know of an organization that provides legal assistance to GBV victims/survivors.</w:t>
      </w:r>
      <w:r w:rsidRPr="00A64CBE">
        <w:rPr>
          <w:rFonts w:eastAsia="Helvetica Neue"/>
          <w:vertAlign w:val="superscript"/>
        </w:rPr>
        <w:endnoteReference w:id="326"/>
      </w:r>
    </w:p>
    <w:p w14:paraId="0778636D" w14:textId="77777777" w:rsidR="00952028" w:rsidRPr="00A64CBE" w:rsidRDefault="00952028" w:rsidP="006E6012">
      <w:pPr>
        <w:pStyle w:val="ListParagraph"/>
        <w:numPr>
          <w:ilvl w:val="0"/>
          <w:numId w:val="62"/>
        </w:numPr>
      </w:pPr>
      <w:r w:rsidRPr="00DE4CE2">
        <w:rPr>
          <w:rFonts w:eastAsia="Helvetica Neue"/>
        </w:rPr>
        <w:t>Number of service provider and support staff who are trained on the types of GBV and access-to-justice issues that women and young persons with disabilities experience.</w:t>
      </w:r>
      <w:r w:rsidRPr="00A64CBE">
        <w:rPr>
          <w:rFonts w:eastAsia="Helvetica Neue"/>
          <w:vertAlign w:val="superscript"/>
        </w:rPr>
        <w:endnoteReference w:id="327"/>
      </w:r>
    </w:p>
    <w:p w14:paraId="308AFA61" w14:textId="77777777" w:rsidR="00952028" w:rsidRPr="00A64CBE" w:rsidRDefault="00952028" w:rsidP="006E6012">
      <w:pPr>
        <w:pStyle w:val="ListParagraph"/>
        <w:numPr>
          <w:ilvl w:val="0"/>
          <w:numId w:val="62"/>
        </w:numPr>
      </w:pPr>
      <w:r w:rsidRPr="00DE4CE2">
        <w:rPr>
          <w:rFonts w:eastAsia="Helvetica Neue"/>
        </w:rPr>
        <w:t xml:space="preserve">Number of supports put in place for persons with disabilities in the justice system. </w:t>
      </w:r>
    </w:p>
    <w:p w14:paraId="59F4448F" w14:textId="6E3103FC" w:rsidR="00952028" w:rsidRPr="009840FE" w:rsidRDefault="00952028" w:rsidP="006B661E">
      <w:pPr>
        <w:pStyle w:val="Heading2"/>
        <w:spacing w:before="480" w:after="120"/>
        <w:ind w:left="547" w:right="-720" w:hanging="547"/>
      </w:pPr>
      <w:bookmarkStart w:id="16" w:name="GBVprotect"/>
      <w:r w:rsidRPr="00A64CBE">
        <w:lastRenderedPageBreak/>
        <w:t>3.6</w:t>
      </w:r>
      <w:bookmarkEnd w:id="16"/>
      <w:r w:rsidR="006B661E">
        <w:tab/>
      </w:r>
      <w:r w:rsidRPr="00A64CBE">
        <w:t xml:space="preserve">Social </w:t>
      </w:r>
      <w:r w:rsidRPr="009840FE">
        <w:t>Services</w:t>
      </w:r>
      <w:r w:rsidRPr="00A64CBE">
        <w:t xml:space="preserve">—Protection Services for GBV Victims/Survivors with Disabilities </w:t>
      </w:r>
    </w:p>
    <w:p w14:paraId="0AF7132B" w14:textId="77777777" w:rsidR="00952028" w:rsidRPr="00A64CBE" w:rsidRDefault="00952028" w:rsidP="00DE4CE2">
      <w:pPr>
        <w:pStyle w:val="Heading3"/>
      </w:pPr>
      <w:r w:rsidRPr="00A64CBE">
        <w:t>3.6.1</w:t>
      </w:r>
      <w:r w:rsidRPr="00A64CBE">
        <w:tab/>
        <w:t xml:space="preserve">Issue </w:t>
      </w:r>
      <w:r w:rsidRPr="00DE4CE2">
        <w:t>Overview</w:t>
      </w:r>
      <w:r w:rsidRPr="00A64CBE">
        <w:t xml:space="preserve"> </w:t>
      </w:r>
    </w:p>
    <w:p w14:paraId="7D2B6E5C" w14:textId="6805EF3B" w:rsidR="00952028" w:rsidRPr="00A64CBE" w:rsidRDefault="00952028" w:rsidP="00DE4CE2">
      <w:pPr>
        <w:rPr>
          <w:rFonts w:eastAsia="Helvetica Neue"/>
        </w:rPr>
      </w:pPr>
      <w:r w:rsidRPr="00A64CBE">
        <w:rPr>
          <w:rFonts w:eastAsia="Helvetica Neue"/>
        </w:rPr>
        <w:t>Access to protection services is an essential component of the right to be free from gender-based violence</w:t>
      </w:r>
      <w:r w:rsidRPr="00A64CBE">
        <w:rPr>
          <w:rFonts w:eastAsia="Helvetica Neue"/>
          <w:vertAlign w:val="superscript"/>
        </w:rPr>
        <w:endnoteReference w:id="328"/>
      </w:r>
      <w:r w:rsidRPr="00A64CBE">
        <w:rPr>
          <w:rFonts w:eastAsia="Helvetica Neue"/>
        </w:rPr>
        <w:t xml:space="preserve"> and a core component of a State’s due diligence obligations to prevent, protect against, investigate, punish, and provide redress for </w:t>
      </w:r>
      <w:r>
        <w:rPr>
          <w:rFonts w:eastAsia="Helvetica Neue"/>
        </w:rPr>
        <w:t>GBV</w:t>
      </w:r>
      <w:r w:rsidRPr="00A64CBE">
        <w:rPr>
          <w:rFonts w:eastAsia="Helvetica Neue"/>
        </w:rPr>
        <w:t>.</w:t>
      </w:r>
      <w:r w:rsidRPr="00A64CBE">
        <w:rPr>
          <w:rFonts w:eastAsia="Helvetica Neue"/>
          <w:vertAlign w:val="superscript"/>
        </w:rPr>
        <w:endnoteReference w:id="329"/>
      </w:r>
      <w:r w:rsidRPr="00A64CBE">
        <w:rPr>
          <w:rFonts w:eastAsia="Helvetica Neue"/>
        </w:rPr>
        <w:t xml:space="preserve"> Protection services are essential to help GBV victims/survivors to break the cycle of violence and to safeguard them from experiencing further violence. </w:t>
      </w:r>
      <w:r w:rsidRPr="002D0897">
        <w:rPr>
          <w:rFonts w:eastAsia="Helvetica Neue"/>
        </w:rPr>
        <w:t xml:space="preserve">Essential protection services include: crisis information and counselling (including safety planning); crisis </w:t>
      </w:r>
      <w:r w:rsidRPr="002D0897">
        <w:rPr>
          <w:rFonts w:eastAsia="Helvetica Neue"/>
          <w:lang w:val="en-GB"/>
        </w:rPr>
        <w:t>centres</w:t>
      </w:r>
      <w:r w:rsidRPr="002D0897">
        <w:rPr>
          <w:rFonts w:eastAsia="Helvetica Neue"/>
        </w:rPr>
        <w:t>; help lines; emergency housing and other safe residences; material and financial aid; and emergency protective orders</w:t>
      </w:r>
      <w:r w:rsidRPr="00A64CBE">
        <w:rPr>
          <w:rFonts w:eastAsia="Helvetica Neue"/>
        </w:rPr>
        <w:t>.</w:t>
      </w:r>
      <w:r w:rsidRPr="00A64CBE">
        <w:rPr>
          <w:rFonts w:eastAsia="Helvetica Neue"/>
          <w:vertAlign w:val="superscript"/>
        </w:rPr>
        <w:endnoteReference w:id="330"/>
      </w:r>
      <w:r w:rsidRPr="00A64CBE">
        <w:rPr>
          <w:rFonts w:eastAsia="Helvetica Neue"/>
        </w:rPr>
        <w:t xml:space="preserve"> Similar to prevention services, protection services must also include measures to strengthen economic independence, supported decision-making regimes, and other forms of autonomy for women and young </w:t>
      </w:r>
      <w:r w:rsidR="000C4D76">
        <w:rPr>
          <w:rFonts w:eastAsia="Helvetica Neue"/>
        </w:rPr>
        <w:t>persons</w:t>
      </w:r>
      <w:r w:rsidR="000C4D76" w:rsidRPr="00A64CBE">
        <w:rPr>
          <w:rFonts w:eastAsia="Helvetica Neue"/>
        </w:rPr>
        <w:t xml:space="preserve"> </w:t>
      </w:r>
      <w:r w:rsidRPr="00A64CBE">
        <w:rPr>
          <w:rFonts w:eastAsia="Helvetica Neue"/>
        </w:rPr>
        <w:t>both with and without disabilities.</w:t>
      </w:r>
      <w:r w:rsidRPr="00A64CBE">
        <w:rPr>
          <w:rFonts w:eastAsia="Helvetica Neue"/>
          <w:vertAlign w:val="superscript"/>
        </w:rPr>
        <w:endnoteReference w:id="331"/>
      </w:r>
      <w:r w:rsidRPr="00A64CBE">
        <w:rPr>
          <w:rFonts w:eastAsia="Helvetica Neue"/>
        </w:rPr>
        <w:t xml:space="preserve"> Due to communication, information, physical, and other barriers, women and young </w:t>
      </w:r>
      <w:r>
        <w:rPr>
          <w:rFonts w:eastAsia="Helvetica Neue"/>
        </w:rPr>
        <w:t>persons</w:t>
      </w:r>
      <w:r w:rsidRPr="00A64CBE">
        <w:rPr>
          <w:rFonts w:eastAsia="Helvetica Neue"/>
        </w:rPr>
        <w:t xml:space="preserve"> with disabilities are often excluded from these essential protection services, undermining their right to be free from </w:t>
      </w:r>
      <w:r>
        <w:rPr>
          <w:rFonts w:eastAsia="Helvetica Neue"/>
        </w:rPr>
        <w:t>GBV</w:t>
      </w:r>
      <w:r w:rsidRPr="00A64CBE">
        <w:rPr>
          <w:rFonts w:eastAsia="Helvetica Neue"/>
        </w:rPr>
        <w:t xml:space="preserve">. </w:t>
      </w:r>
    </w:p>
    <w:p w14:paraId="558C9FBD" w14:textId="77777777" w:rsidR="00952028" w:rsidRPr="00A64CBE" w:rsidRDefault="00952028" w:rsidP="006B661E">
      <w:pPr>
        <w:pStyle w:val="Heading3"/>
      </w:pPr>
      <w:r w:rsidRPr="00A64CBE">
        <w:t>3.6.2</w:t>
      </w:r>
      <w:r w:rsidRPr="00A64CBE">
        <w:tab/>
        <w:t>Guidelines for Providing Rights-Based Protection Services for Victims/Survivors of GBV with Disabilities</w:t>
      </w:r>
    </w:p>
    <w:p w14:paraId="33C1EF2A" w14:textId="77777777" w:rsidR="00952028" w:rsidRPr="00A64CBE" w:rsidRDefault="00952028" w:rsidP="00693E55">
      <w:pPr>
        <w:rPr>
          <w:rFonts w:eastAsia="Helvetica Neue"/>
        </w:rPr>
      </w:pPr>
      <w:r w:rsidRPr="00A64CBE">
        <w:rPr>
          <w:rFonts w:eastAsia="Helvetica Neue"/>
        </w:rPr>
        <w:t xml:space="preserve">The key considerations enumerated here identify common barriers to accessing protection services by women and young </w:t>
      </w:r>
      <w:r>
        <w:rPr>
          <w:rFonts w:eastAsia="Helvetica Neue"/>
        </w:rPr>
        <w:t>persons</w:t>
      </w:r>
      <w:r w:rsidRPr="00A64CBE">
        <w:rPr>
          <w:rFonts w:eastAsia="Helvetica Neue"/>
        </w:rPr>
        <w:t xml:space="preserve"> with disabilities who are victims/survivors of </w:t>
      </w:r>
      <w:r>
        <w:rPr>
          <w:rFonts w:eastAsia="Helvetica Neue"/>
        </w:rPr>
        <w:t>GBV</w:t>
      </w:r>
      <w:r w:rsidRPr="00A64CBE">
        <w:rPr>
          <w:rFonts w:eastAsia="Helvetica Neue"/>
        </w:rPr>
        <w:t xml:space="preserve">. The guidelines for action offer guidance for ensuring that rights-based protection services are tailored to the specific needs and experiences of GBV victims/survivors with disabilities, and are available, accessible, acceptable, and of good quality for women and young </w:t>
      </w:r>
      <w:r>
        <w:rPr>
          <w:rFonts w:eastAsia="Helvetica Neue"/>
        </w:rPr>
        <w:t>persons</w:t>
      </w:r>
      <w:r w:rsidRPr="00A64CBE">
        <w:rPr>
          <w:rFonts w:eastAsia="Helvetica Neue"/>
        </w:rPr>
        <w:t xml:space="preserve"> with disabilities. These guidelines for action build on the Foundational Guidelines for Action identified in </w:t>
      </w:r>
      <w:r w:rsidRPr="002D0897">
        <w:rPr>
          <w:rFonts w:eastAsia="Helvetica Neue"/>
          <w:b/>
        </w:rPr>
        <w:t>Chapter 2</w:t>
      </w:r>
      <w:r w:rsidRPr="00A64CBE">
        <w:rPr>
          <w:rFonts w:eastAsia="Helvetica Neue"/>
        </w:rPr>
        <w:t xml:space="preserve"> and are not exhaustive but provide a starting point for developing disability-inclusive services and programmes.</w:t>
      </w:r>
    </w:p>
    <w:p w14:paraId="68439F62" w14:textId="77777777" w:rsidR="00952028" w:rsidRPr="00A64CBE" w:rsidRDefault="00952028" w:rsidP="00693E55">
      <w:pPr>
        <w:rPr>
          <w:rFonts w:eastAsia="Helvetica Neue"/>
        </w:rPr>
      </w:pPr>
      <w:r w:rsidRPr="00A64CBE">
        <w:rPr>
          <w:rFonts w:eastAsia="Helvetica Neue"/>
        </w:rPr>
        <w:t xml:space="preserve">This section addresses protection programmes and measures directed at immediate social services required by a woman or young person with a disability who has experienced </w:t>
      </w:r>
      <w:r>
        <w:rPr>
          <w:rFonts w:eastAsia="Helvetica Neue"/>
        </w:rPr>
        <w:t>GBV</w:t>
      </w:r>
      <w:r w:rsidRPr="00A64CBE">
        <w:rPr>
          <w:rFonts w:eastAsia="Helvetica Neue"/>
        </w:rPr>
        <w:t xml:space="preserve">. Longer-term social services are addressed in </w:t>
      </w:r>
      <w:r w:rsidRPr="002D0897">
        <w:rPr>
          <w:rFonts w:eastAsia="Helvetica Neue"/>
          <w:b/>
        </w:rPr>
        <w:t>section 3.7</w:t>
      </w:r>
      <w:r w:rsidRPr="009D02AC">
        <w:rPr>
          <w:rFonts w:eastAsia="Helvetica Neue"/>
          <w:b/>
        </w:rPr>
        <w:t>,</w:t>
      </w:r>
      <w:r w:rsidRPr="00A64CBE">
        <w:rPr>
          <w:rFonts w:eastAsia="Helvetica Neue"/>
          <w:b/>
        </w:rPr>
        <w:t xml:space="preserve"> </w:t>
      </w:r>
      <w:r w:rsidRPr="00A64CBE">
        <w:rPr>
          <w:rFonts w:eastAsia="Helvetica Neue"/>
        </w:rPr>
        <w:t xml:space="preserve">which discusses rehabilitation services. This division has been made for organizational purposes with recognition that the need for many of these programmes and services will be overlapping. </w:t>
      </w:r>
    </w:p>
    <w:p w14:paraId="7975C89A" w14:textId="77777777" w:rsidR="00952028" w:rsidRPr="002D0897" w:rsidRDefault="00952028" w:rsidP="003C6133">
      <w:pPr>
        <w:pStyle w:val="Heading4"/>
        <w:spacing w:before="480"/>
        <w:rPr>
          <w:rFonts w:eastAsia="Helvetica Neue"/>
        </w:rPr>
      </w:pPr>
      <w:r w:rsidRPr="002D0897">
        <w:rPr>
          <w:rFonts w:eastAsia="Helvetica Neue"/>
        </w:rPr>
        <w:t>Key Considerations</w:t>
      </w:r>
    </w:p>
    <w:p w14:paraId="2F0614C6" w14:textId="77777777" w:rsidR="00693E55" w:rsidRPr="00693E55" w:rsidRDefault="00952028" w:rsidP="006E6012">
      <w:pPr>
        <w:pStyle w:val="ListParagraph"/>
        <w:numPr>
          <w:ilvl w:val="0"/>
          <w:numId w:val="68"/>
        </w:numPr>
      </w:pPr>
      <w:r w:rsidRPr="00693E55">
        <w:rPr>
          <w:rFonts w:eastAsia="Helvetica Neue"/>
        </w:rPr>
        <w:t>Discriminatory laws, regulations, and policies that fail to protect the autonomy and legal capacity of women and young persons with disabilities can deter them from seeking GBV protection services. For example, women or young persons with disabilities may fear leaving their abuser or seeking protection services for fear of loss of custody of their children.</w:t>
      </w:r>
      <w:r w:rsidRPr="00A64CBE">
        <w:rPr>
          <w:rFonts w:eastAsia="Helvetica Neue"/>
          <w:vertAlign w:val="superscript"/>
        </w:rPr>
        <w:endnoteReference w:id="332"/>
      </w:r>
      <w:r w:rsidRPr="00693E55">
        <w:rPr>
          <w:rFonts w:eastAsia="Helvetica Neue"/>
        </w:rPr>
        <w:t xml:space="preserve"> </w:t>
      </w:r>
    </w:p>
    <w:p w14:paraId="0A6C333F" w14:textId="77777777" w:rsidR="00693E55" w:rsidRPr="00693E55" w:rsidRDefault="00952028" w:rsidP="006E6012">
      <w:pPr>
        <w:pStyle w:val="ListParagraph"/>
        <w:numPr>
          <w:ilvl w:val="0"/>
          <w:numId w:val="68"/>
        </w:numPr>
      </w:pPr>
      <w:r w:rsidRPr="00693E55">
        <w:rPr>
          <w:rFonts w:eastAsia="Helvetica Neue"/>
        </w:rPr>
        <w:t xml:space="preserve">Economic dependence, dependence on caregiving, and fear of institutionalization can all deter women and young persons with disabilities from reporting violence by caregivers or </w:t>
      </w:r>
      <w:r w:rsidRPr="00693E55">
        <w:rPr>
          <w:rFonts w:eastAsia="Helvetica Neue"/>
        </w:rPr>
        <w:lastRenderedPageBreak/>
        <w:t>intimate partners and can prevent them from seeking GBV protection services. They may fear losing necessary care if they lack funds to hire alternative care</w:t>
      </w:r>
      <w:r w:rsidRPr="00A64CBE">
        <w:rPr>
          <w:rFonts w:eastAsia="Helvetica Neue"/>
          <w:vertAlign w:val="superscript"/>
        </w:rPr>
        <w:endnoteReference w:id="333"/>
      </w:r>
      <w:r w:rsidRPr="00693E55">
        <w:rPr>
          <w:rFonts w:eastAsia="Helvetica Neue"/>
        </w:rPr>
        <w:t xml:space="preserve"> or institutionalization in situations where the perpetrator owns the home.</w:t>
      </w:r>
      <w:r w:rsidRPr="00A64CBE">
        <w:rPr>
          <w:rFonts w:eastAsia="Helvetica Neue"/>
          <w:vertAlign w:val="superscript"/>
        </w:rPr>
        <w:endnoteReference w:id="334"/>
      </w:r>
      <w:r w:rsidRPr="00693E55">
        <w:rPr>
          <w:rFonts w:eastAsia="Helvetica Neue"/>
        </w:rPr>
        <w:t xml:space="preserve"> </w:t>
      </w:r>
    </w:p>
    <w:p w14:paraId="693C601D" w14:textId="77777777" w:rsidR="00693E55" w:rsidRPr="00693E55" w:rsidRDefault="00952028" w:rsidP="006E6012">
      <w:pPr>
        <w:pStyle w:val="ListParagraph"/>
        <w:numPr>
          <w:ilvl w:val="0"/>
          <w:numId w:val="68"/>
        </w:numPr>
      </w:pPr>
      <w:r w:rsidRPr="00693E55">
        <w:rPr>
          <w:rFonts w:eastAsia="Helvetica Neue"/>
        </w:rPr>
        <w:t xml:space="preserve">Women and young persons with disabilities who leave violent or abusive situations may also lose access to assistive devices or supports, which can be prohibitively expensive to replace. </w:t>
      </w:r>
    </w:p>
    <w:p w14:paraId="3EC99A81" w14:textId="77777777" w:rsidR="00693E55" w:rsidRPr="00693E55" w:rsidRDefault="00952028" w:rsidP="006E6012">
      <w:pPr>
        <w:pStyle w:val="ListParagraph"/>
        <w:numPr>
          <w:ilvl w:val="0"/>
          <w:numId w:val="68"/>
        </w:numPr>
      </w:pPr>
      <w:r w:rsidRPr="00693E55">
        <w:rPr>
          <w:rFonts w:eastAsia="Helvetica Neue"/>
        </w:rPr>
        <w:t>Women and young persons with disabilities encounter stereotypes and bias from service providers and support staff who do not recognize that they are at risk of violence or do not view them as rights-holders.</w:t>
      </w:r>
      <w:r w:rsidRPr="00A64CBE">
        <w:rPr>
          <w:rFonts w:eastAsia="Helvetica Neue"/>
          <w:vertAlign w:val="superscript"/>
        </w:rPr>
        <w:endnoteReference w:id="335"/>
      </w:r>
    </w:p>
    <w:p w14:paraId="269C81F8" w14:textId="77777777" w:rsidR="00693E55" w:rsidRPr="00693E55" w:rsidRDefault="00952028" w:rsidP="006E6012">
      <w:pPr>
        <w:pStyle w:val="ListParagraph"/>
        <w:numPr>
          <w:ilvl w:val="0"/>
          <w:numId w:val="68"/>
        </w:numPr>
      </w:pPr>
      <w:r w:rsidRPr="00693E55">
        <w:rPr>
          <w:rFonts w:eastAsia="Helvetica Neue"/>
        </w:rPr>
        <w:t xml:space="preserve">Eligibility requirements for certain protection services, such as emergency shelters, may exclude women and young persons with disabilities. For instance, a shelter may not recognize certain forms of violence such as violence at the hands of a caregiver or not offer accommodations for victims/survivors with disabilities or women with children with disabilities. </w:t>
      </w:r>
    </w:p>
    <w:p w14:paraId="0E788BD3" w14:textId="46B7A132" w:rsidR="00693E55" w:rsidRPr="00693E55" w:rsidRDefault="00952028" w:rsidP="006E6012">
      <w:pPr>
        <w:pStyle w:val="ListParagraph"/>
        <w:numPr>
          <w:ilvl w:val="0"/>
          <w:numId w:val="68"/>
        </w:numPr>
      </w:pPr>
      <w:r w:rsidRPr="00693E55">
        <w:rPr>
          <w:rFonts w:eastAsia="Helvetica Neue"/>
        </w:rPr>
        <w:t>Service providers and support staff—including social workers, medical providers, crisis centre or hotline staff—lack</w:t>
      </w:r>
      <w:r w:rsidR="00693E55" w:rsidRPr="00693E55">
        <w:rPr>
          <w:rFonts w:eastAsia="Helvetica Neue"/>
        </w:rPr>
        <w:t xml:space="preserve"> </w:t>
      </w:r>
      <w:r w:rsidRPr="00693E55">
        <w:rPr>
          <w:rFonts w:eastAsia="Helvetica Neue"/>
        </w:rPr>
        <w:t xml:space="preserve">necessary training on providing information about GBV and GBV services to women and young persons with disabilities. Isolation and lack of information in accessible formats further prevents women and young </w:t>
      </w:r>
      <w:r w:rsidR="00814A44">
        <w:rPr>
          <w:rFonts w:eastAsia="Helvetica Neue"/>
        </w:rPr>
        <w:t>persons</w:t>
      </w:r>
      <w:r w:rsidR="00814A44" w:rsidRPr="00693E55">
        <w:rPr>
          <w:rFonts w:eastAsia="Helvetica Neue"/>
        </w:rPr>
        <w:t xml:space="preserve"> </w:t>
      </w:r>
      <w:r w:rsidRPr="00693E55">
        <w:rPr>
          <w:rFonts w:eastAsia="Helvetica Neue"/>
        </w:rPr>
        <w:t>with disabilities from obtaining information about GBV services.</w:t>
      </w:r>
      <w:r w:rsidRPr="00A64CBE">
        <w:rPr>
          <w:rFonts w:eastAsia="Helvetica Neue"/>
          <w:vertAlign w:val="superscript"/>
        </w:rPr>
        <w:endnoteReference w:id="336"/>
      </w:r>
    </w:p>
    <w:p w14:paraId="768A6BE9" w14:textId="77777777" w:rsidR="00693E55" w:rsidRPr="00693E55" w:rsidRDefault="00952028" w:rsidP="006E6012">
      <w:pPr>
        <w:pStyle w:val="ListParagraph"/>
        <w:numPr>
          <w:ilvl w:val="0"/>
          <w:numId w:val="68"/>
        </w:numPr>
      </w:pPr>
      <w:r w:rsidRPr="00693E55">
        <w:rPr>
          <w:rFonts w:eastAsia="Helvetica Neue"/>
        </w:rPr>
        <w:t xml:space="preserve">Women and young persons with disabilities do not have access to information or education about their rights to be free from GBV, how to recognize forms of GBV, and how to access protective services. </w:t>
      </w:r>
    </w:p>
    <w:p w14:paraId="23778A4F" w14:textId="77777777" w:rsidR="00693E55" w:rsidRPr="00693E55" w:rsidRDefault="00952028" w:rsidP="006E6012">
      <w:pPr>
        <w:pStyle w:val="ListParagraph"/>
        <w:numPr>
          <w:ilvl w:val="0"/>
          <w:numId w:val="68"/>
        </w:numPr>
      </w:pPr>
      <w:r w:rsidRPr="00693E55">
        <w:rPr>
          <w:rFonts w:eastAsia="Helvetica Neue"/>
        </w:rPr>
        <w:t xml:space="preserve">Lack of data and information about the violence women and young persons with disabilities experience in their homes prevents the development of targeted services. </w:t>
      </w:r>
    </w:p>
    <w:p w14:paraId="306C7167" w14:textId="77777777" w:rsidR="00693E55" w:rsidRPr="00693E55" w:rsidRDefault="00952028" w:rsidP="006E6012">
      <w:pPr>
        <w:pStyle w:val="ListParagraph"/>
        <w:numPr>
          <w:ilvl w:val="0"/>
          <w:numId w:val="68"/>
        </w:numPr>
      </w:pPr>
      <w:r w:rsidRPr="00693E55">
        <w:rPr>
          <w:rFonts w:eastAsia="Helvetica Neue"/>
        </w:rPr>
        <w:t>Communication barriers are often particularly acute for people with sensory and intellectual disabilities and present barriers to reporting violence and receiving crisis counselling, safety planning, and other protection services.</w:t>
      </w:r>
      <w:r w:rsidRPr="00A64CBE">
        <w:rPr>
          <w:rFonts w:eastAsia="Helvetica Neue"/>
          <w:vertAlign w:val="superscript"/>
        </w:rPr>
        <w:endnoteReference w:id="337"/>
      </w:r>
    </w:p>
    <w:p w14:paraId="413C31E4" w14:textId="77777777" w:rsidR="00693E55" w:rsidRPr="00693E55" w:rsidRDefault="00952028" w:rsidP="006E6012">
      <w:pPr>
        <w:pStyle w:val="ListParagraph"/>
        <w:numPr>
          <w:ilvl w:val="0"/>
          <w:numId w:val="68"/>
        </w:numPr>
      </w:pPr>
      <w:r w:rsidRPr="00693E55">
        <w:rPr>
          <w:rFonts w:eastAsia="Helvetica Neue"/>
        </w:rPr>
        <w:t>Women and young persons with disabilities from indigenous, migrant, or linguistic minority communities face intersectional communication challenges and increased risk of violence.</w:t>
      </w:r>
      <w:r w:rsidRPr="00A64CBE">
        <w:rPr>
          <w:rFonts w:eastAsia="Helvetica Neue"/>
          <w:vertAlign w:val="superscript"/>
        </w:rPr>
        <w:endnoteReference w:id="338"/>
      </w:r>
      <w:r w:rsidRPr="00693E55">
        <w:rPr>
          <w:rFonts w:eastAsia="Helvetica Neue"/>
        </w:rPr>
        <w:t xml:space="preserve"> </w:t>
      </w:r>
    </w:p>
    <w:p w14:paraId="41BE98BC" w14:textId="0DAFD12F" w:rsidR="00A731AC" w:rsidRPr="00693E55" w:rsidRDefault="00952028" w:rsidP="006E6012">
      <w:pPr>
        <w:pStyle w:val="ListParagraph"/>
        <w:numPr>
          <w:ilvl w:val="0"/>
          <w:numId w:val="68"/>
        </w:numPr>
      </w:pPr>
      <w:r w:rsidRPr="00693E55">
        <w:rPr>
          <w:rFonts w:eastAsia="Helvetica Neue"/>
        </w:rPr>
        <w:t>Physical barriers—such as lack of accessible transportation to services or inaccessible furniture or kitchen facilities in emergency shelters—can deny women and young persons with disabilities access to essential protection services.</w:t>
      </w:r>
      <w:r w:rsidRPr="00A64CBE">
        <w:rPr>
          <w:rFonts w:eastAsia="Helvetica Neue"/>
          <w:vertAlign w:val="superscript"/>
        </w:rPr>
        <w:endnoteReference w:id="339"/>
      </w:r>
    </w:p>
    <w:p w14:paraId="79E2F7B3" w14:textId="77777777" w:rsidR="00693E55" w:rsidRPr="00693E55" w:rsidRDefault="00952028" w:rsidP="007B7686">
      <w:pPr>
        <w:pStyle w:val="ListParagraph"/>
        <w:numPr>
          <w:ilvl w:val="0"/>
          <w:numId w:val="68"/>
        </w:numPr>
      </w:pPr>
      <w:r w:rsidRPr="00015E32">
        <w:rPr>
          <w:rFonts w:eastAsia="Helvetica Neue"/>
        </w:rPr>
        <w:t>Shortages of accessible emergency GBV shelters and available beds for women and young persons with disabilities are widespread.</w:t>
      </w:r>
      <w:r w:rsidRPr="00A64CBE">
        <w:rPr>
          <w:rFonts w:eastAsia="Helvetica Neue"/>
          <w:vertAlign w:val="superscript"/>
        </w:rPr>
        <w:endnoteReference w:id="340"/>
      </w:r>
      <w:r w:rsidRPr="00015E32">
        <w:rPr>
          <w:rFonts w:eastAsia="Helvetica Neue"/>
        </w:rPr>
        <w:t xml:space="preserve"> These challenges can be further exacerbated for certain groups of persons with disabilities:</w:t>
      </w:r>
    </w:p>
    <w:p w14:paraId="71CCD847" w14:textId="77777777" w:rsidR="00693E55" w:rsidRPr="00693E55" w:rsidRDefault="00952028" w:rsidP="006E6012">
      <w:pPr>
        <w:pStyle w:val="ListParagraph"/>
        <w:numPr>
          <w:ilvl w:val="1"/>
          <w:numId w:val="68"/>
        </w:numPr>
      </w:pPr>
      <w:r w:rsidRPr="00693E55">
        <w:rPr>
          <w:rFonts w:eastAsia="Helvetica Neue"/>
        </w:rPr>
        <w:t xml:space="preserve">GBV shelters and services for boys and young men with disabilities rarely exist, in part due to the misperceptions that men and boys are not victims/survivors of GBV or that funding for such services would reduce funding for female victim/survivors. </w:t>
      </w:r>
    </w:p>
    <w:p w14:paraId="1420DFE1" w14:textId="77777777" w:rsidR="00693E55" w:rsidRPr="00693E55" w:rsidRDefault="00952028" w:rsidP="006E6012">
      <w:pPr>
        <w:pStyle w:val="ListParagraph"/>
        <w:numPr>
          <w:ilvl w:val="1"/>
          <w:numId w:val="68"/>
        </w:numPr>
      </w:pPr>
      <w:r w:rsidRPr="00693E55">
        <w:rPr>
          <w:rFonts w:eastAsia="Helvetica Neue"/>
        </w:rPr>
        <w:lastRenderedPageBreak/>
        <w:t xml:space="preserve">Women and young persons with psychosocial disabilities can face exclusion from GBV shelters and other services due to a perception that they may be dangerous or disruptive in a communal setting. </w:t>
      </w:r>
    </w:p>
    <w:p w14:paraId="307A6B54" w14:textId="33A32074" w:rsidR="00952028" w:rsidRPr="00A64CBE" w:rsidRDefault="00952028" w:rsidP="006E6012">
      <w:pPr>
        <w:pStyle w:val="ListParagraph"/>
        <w:numPr>
          <w:ilvl w:val="0"/>
          <w:numId w:val="68"/>
        </w:numPr>
      </w:pPr>
      <w:r w:rsidRPr="00693E55">
        <w:rPr>
          <w:rFonts w:eastAsia="Helvetica Neue"/>
        </w:rPr>
        <w:t xml:space="preserve">Shelters sometimes fail to provide reasonable accommodations for a person’s mobility and sensory devices, medicines, and other necessary accommodations. </w:t>
      </w:r>
    </w:p>
    <w:p w14:paraId="064A29D4" w14:textId="0267431C" w:rsidR="00952028" w:rsidRPr="006B661E" w:rsidRDefault="00952028" w:rsidP="004E4E38">
      <w:pPr>
        <w:pStyle w:val="Heading4"/>
        <w:spacing w:before="480"/>
        <w:rPr>
          <w:rFonts w:eastAsia="Helvetica Neue"/>
        </w:rPr>
      </w:pPr>
      <w:r w:rsidRPr="006B661E">
        <w:rPr>
          <w:rFonts w:eastAsia="Helvetica Neue"/>
        </w:rPr>
        <w:t>Guidelines for Action:</w:t>
      </w:r>
      <w:r w:rsidR="006B661E">
        <w:rPr>
          <w:rFonts w:eastAsia="Helvetica Neue"/>
        </w:rPr>
        <w:t xml:space="preserve"> </w:t>
      </w:r>
      <w:r w:rsidRPr="006B661E">
        <w:rPr>
          <w:rFonts w:eastAsia="Helvetica Neue"/>
        </w:rPr>
        <w:t xml:space="preserve">Availability </w:t>
      </w:r>
    </w:p>
    <w:p w14:paraId="49F934FB" w14:textId="77777777" w:rsidR="00693E55" w:rsidRPr="00693E55" w:rsidRDefault="00952028" w:rsidP="006E6012">
      <w:pPr>
        <w:pStyle w:val="ListParagraph"/>
        <w:numPr>
          <w:ilvl w:val="0"/>
          <w:numId w:val="69"/>
        </w:numPr>
        <w:rPr>
          <w:u w:val="single"/>
        </w:rPr>
      </w:pPr>
      <w:r w:rsidRPr="00693E55">
        <w:rPr>
          <w:rFonts w:eastAsia="Helvetica Neue"/>
        </w:rPr>
        <w:t>Evaluate the eligibility criteria to receive services or enter the shelter to ensure that services are available to women and young persons with disabilities and that the eligibility criteria are reflective of the forms of violence that women and young persons with disabilities experience. This includes ensuring that services are also available to women without disabilities who require services and have a child with a disability who will also use the services.</w:t>
      </w:r>
    </w:p>
    <w:p w14:paraId="6F53FD9D" w14:textId="77777777" w:rsidR="00693E55" w:rsidRPr="00693E55" w:rsidRDefault="00952028" w:rsidP="006E6012">
      <w:pPr>
        <w:pStyle w:val="ListParagraph"/>
        <w:numPr>
          <w:ilvl w:val="1"/>
          <w:numId w:val="69"/>
        </w:numPr>
        <w:rPr>
          <w:u w:val="single"/>
        </w:rPr>
      </w:pPr>
      <w:r w:rsidRPr="00693E55">
        <w:rPr>
          <w:rFonts w:eastAsia="Helvetica Neue"/>
          <w:b/>
        </w:rPr>
        <w:t>Example:</w:t>
      </w:r>
      <w:r w:rsidRPr="00693E55">
        <w:rPr>
          <w:rFonts w:eastAsia="Helvetica Neue"/>
        </w:rPr>
        <w:t xml:space="preserve"> </w:t>
      </w:r>
      <w:r w:rsidRPr="00693E55">
        <w:rPr>
          <w:rFonts w:eastAsia="Helvetica Neue"/>
          <w:b/>
        </w:rPr>
        <w:t xml:space="preserve">‘More than Just a Ramp: A Guide for Women’s Refuges to Develop Disability Discrimination Act Action Plans’ </w:t>
      </w:r>
      <w:r w:rsidRPr="00693E55">
        <w:rPr>
          <w:rFonts w:eastAsia="Helvetica Neue"/>
        </w:rPr>
        <w:t>developed by Women with Disabilities Australia offers useful instructions to service providers and support staff on developing a plan for action to increase availability of services to women with disabilities. The process involves identification of barriers for women and children with disabilities seeking refuge and strategies for eliminating those barriers. The guide also includes instructions on how to conduct monitoring and evaluation following implementation of the plan. The guide offers the following ten steps for writing an action plan: (1) Develop a good working group; (2) Familiarize yourself with the barriers in your service; (3) Consult and involve women with disabilities; (4) Educate your organization about local disability rights legislation; (5) Ensure that you are well supported; (6) Develop strategies; (7) Resource the action plan; (8) Negotiate with the relevant government departments; (9) Determine responsibility; and (10) Evaluate.</w:t>
      </w:r>
      <w:r w:rsidRPr="002D0897">
        <w:rPr>
          <w:rFonts w:eastAsia="Helvetica Neue"/>
          <w:vertAlign w:val="superscript"/>
        </w:rPr>
        <w:endnoteReference w:id="341"/>
      </w:r>
    </w:p>
    <w:p w14:paraId="74C42162" w14:textId="77777777" w:rsidR="00693E55" w:rsidRPr="00693E55" w:rsidRDefault="00952028" w:rsidP="006E6012">
      <w:pPr>
        <w:pStyle w:val="ListParagraph"/>
        <w:numPr>
          <w:ilvl w:val="0"/>
          <w:numId w:val="69"/>
        </w:numPr>
        <w:rPr>
          <w:u w:val="single"/>
        </w:rPr>
      </w:pPr>
      <w:r w:rsidRPr="00693E55">
        <w:rPr>
          <w:rFonts w:eastAsia="Helvetica Neue"/>
        </w:rPr>
        <w:t>Ensure that safety planning services are available from trained professionals.</w:t>
      </w:r>
    </w:p>
    <w:p w14:paraId="3EBAE38F" w14:textId="6AAC72FC" w:rsidR="00952028" w:rsidRPr="00693E55" w:rsidRDefault="00952028" w:rsidP="006E6012">
      <w:pPr>
        <w:pStyle w:val="ListParagraph"/>
        <w:numPr>
          <w:ilvl w:val="1"/>
          <w:numId w:val="69"/>
        </w:numPr>
        <w:rPr>
          <w:u w:val="single"/>
        </w:rPr>
      </w:pPr>
      <w:r w:rsidRPr="00693E55">
        <w:rPr>
          <w:rFonts w:eastAsia="Helvetica Neue"/>
          <w:b/>
        </w:rPr>
        <w:t>Example:</w:t>
      </w:r>
      <w:r w:rsidRPr="00693E55">
        <w:rPr>
          <w:rFonts w:eastAsia="Helvetica Neue"/>
        </w:rPr>
        <w:t xml:space="preserve"> </w:t>
      </w:r>
      <w:r w:rsidRPr="00693E55">
        <w:rPr>
          <w:rFonts w:eastAsia="Helvetica Neue"/>
          <w:b/>
        </w:rPr>
        <w:t>Project CARE</w:t>
      </w:r>
      <w:r w:rsidRPr="00693E55">
        <w:rPr>
          <w:rFonts w:eastAsia="Helvetica Neue"/>
        </w:rPr>
        <w:t xml:space="preserve"> in the United States of America developed a guide for advocates on safety planning for persons with disabilities that includes questions and information about accommodations during the safety-planning process.</w:t>
      </w:r>
      <w:r w:rsidRPr="00A64CBE">
        <w:rPr>
          <w:rFonts w:eastAsia="Helvetica Neue"/>
          <w:vertAlign w:val="superscript"/>
        </w:rPr>
        <w:endnoteReference w:id="342"/>
      </w:r>
      <w:r w:rsidRPr="00693E55">
        <w:rPr>
          <w:rFonts w:eastAsia="Helvetica Neue"/>
        </w:rPr>
        <w:t xml:space="preserve"> </w:t>
      </w:r>
    </w:p>
    <w:p w14:paraId="67DAA55A" w14:textId="535DD170" w:rsidR="00952028" w:rsidRPr="006B661E" w:rsidRDefault="00952028" w:rsidP="004E4E38">
      <w:pPr>
        <w:pStyle w:val="Heading4"/>
        <w:spacing w:before="480"/>
        <w:rPr>
          <w:rFonts w:eastAsia="Helvetica Neue"/>
        </w:rPr>
      </w:pPr>
      <w:r w:rsidRPr="006B661E">
        <w:rPr>
          <w:rFonts w:eastAsia="Helvetica Neue"/>
        </w:rPr>
        <w:t>Guidelines for Action:</w:t>
      </w:r>
      <w:r w:rsidR="006B661E" w:rsidRPr="006B661E">
        <w:rPr>
          <w:rFonts w:eastAsia="Helvetica Neue"/>
        </w:rPr>
        <w:t xml:space="preserve"> </w:t>
      </w:r>
      <w:r w:rsidRPr="006B661E">
        <w:rPr>
          <w:rFonts w:eastAsia="Helvetica Neue"/>
        </w:rPr>
        <w:t>Accessibility</w:t>
      </w:r>
    </w:p>
    <w:p w14:paraId="04490D1D" w14:textId="77777777" w:rsidR="00693E55" w:rsidRPr="00693E55" w:rsidRDefault="00952028" w:rsidP="006E6012">
      <w:pPr>
        <w:pStyle w:val="ListParagraph"/>
        <w:numPr>
          <w:ilvl w:val="0"/>
          <w:numId w:val="70"/>
        </w:numPr>
      </w:pPr>
      <w:r w:rsidRPr="00693E55">
        <w:rPr>
          <w:rFonts w:eastAsia="Helvetica Neue"/>
        </w:rPr>
        <w:t xml:space="preserve">Develop crisis hotlines that allow for alternative forms of communication, including, for example, texting or other written formats for people with hearing related disabilities. </w:t>
      </w:r>
    </w:p>
    <w:p w14:paraId="73BE4C8F" w14:textId="77777777" w:rsidR="00693E55" w:rsidRPr="00693E55" w:rsidRDefault="00952028" w:rsidP="006E6012">
      <w:pPr>
        <w:pStyle w:val="ListParagraph"/>
        <w:numPr>
          <w:ilvl w:val="0"/>
          <w:numId w:val="70"/>
        </w:numPr>
      </w:pPr>
      <w:r w:rsidRPr="00693E55">
        <w:rPr>
          <w:rFonts w:eastAsia="Helvetica Neue"/>
        </w:rPr>
        <w:t>Develop initiatives to inform women and young persons with disabilities about how to report violence and access protection</w:t>
      </w:r>
      <w:r w:rsidRPr="00693E55">
        <w:rPr>
          <w:rFonts w:eastAsia="Helvetica Neue"/>
          <w:b/>
        </w:rPr>
        <w:t xml:space="preserve"> </w:t>
      </w:r>
      <w:r w:rsidRPr="00693E55">
        <w:rPr>
          <w:rFonts w:eastAsia="Helvetica Neue"/>
        </w:rPr>
        <w:t>services. Resources should be available in various accessible formats and accompanied by training programmes.</w:t>
      </w:r>
    </w:p>
    <w:p w14:paraId="2BEFC7F7" w14:textId="77777777" w:rsidR="004E4E38" w:rsidRPr="004E4E38" w:rsidRDefault="00952028" w:rsidP="006E6012">
      <w:pPr>
        <w:pStyle w:val="ListParagraph"/>
        <w:numPr>
          <w:ilvl w:val="1"/>
          <w:numId w:val="70"/>
        </w:numPr>
      </w:pPr>
      <w:r w:rsidRPr="00693E55">
        <w:rPr>
          <w:rFonts w:eastAsia="Helvetica Neue"/>
          <w:b/>
        </w:rPr>
        <w:t>Example:</w:t>
      </w:r>
      <w:r w:rsidRPr="00693E55">
        <w:rPr>
          <w:rFonts w:eastAsia="Helvetica Neue"/>
        </w:rPr>
        <w:t xml:space="preserve"> In Croatia, the government and civil society published an SOS address book for women with disabilities with contact information for GBV service providers.</w:t>
      </w:r>
      <w:r w:rsidRPr="00A64CBE">
        <w:rPr>
          <w:rFonts w:eastAsia="Helvetica Neue"/>
          <w:vertAlign w:val="superscript"/>
        </w:rPr>
        <w:endnoteReference w:id="343"/>
      </w:r>
      <w:r w:rsidRPr="00693E55">
        <w:rPr>
          <w:rFonts w:eastAsia="Helvetica Neue"/>
        </w:rPr>
        <w:t xml:space="preserve"> </w:t>
      </w:r>
    </w:p>
    <w:p w14:paraId="46C52045" w14:textId="77777777" w:rsidR="004E4E38" w:rsidRPr="004E4E38" w:rsidRDefault="00952028" w:rsidP="006E6012">
      <w:pPr>
        <w:pStyle w:val="ListParagraph"/>
        <w:numPr>
          <w:ilvl w:val="0"/>
          <w:numId w:val="70"/>
        </w:numPr>
      </w:pPr>
      <w:r w:rsidRPr="004E4E38">
        <w:rPr>
          <w:rFonts w:eastAsia="Helvetica Neue"/>
        </w:rPr>
        <w:lastRenderedPageBreak/>
        <w:t xml:space="preserve">Ensure that shelters include accessible rooms for various disability-related needs and devices. Similarly, available recreational activities and resources such as phones and bathrooms must be accessible. </w:t>
      </w:r>
    </w:p>
    <w:p w14:paraId="606BBD7C" w14:textId="2172A8DE" w:rsidR="00952028" w:rsidRPr="00693E55" w:rsidRDefault="00952028" w:rsidP="006E6012">
      <w:pPr>
        <w:pStyle w:val="ListParagraph"/>
        <w:numPr>
          <w:ilvl w:val="0"/>
          <w:numId w:val="70"/>
        </w:numPr>
      </w:pPr>
      <w:r w:rsidRPr="004E4E38">
        <w:rPr>
          <w:rFonts w:eastAsia="Helvetica Neue"/>
        </w:rPr>
        <w:t>Where resources allow, offer free or low-cost assistive devices to reduce isolation and to replace devices lost in fleeing an abusive situation.</w:t>
      </w:r>
    </w:p>
    <w:p w14:paraId="493CC0F9" w14:textId="0C0D1D3C" w:rsidR="00952028" w:rsidRPr="006B661E" w:rsidRDefault="00952028" w:rsidP="004E4E38">
      <w:pPr>
        <w:pStyle w:val="Heading4"/>
        <w:spacing w:before="480"/>
        <w:rPr>
          <w:rFonts w:eastAsia="Helvetica Neue"/>
        </w:rPr>
      </w:pPr>
      <w:r w:rsidRPr="006B661E">
        <w:rPr>
          <w:rFonts w:eastAsia="Helvetica Neue"/>
        </w:rPr>
        <w:t>Guidelines for Action:</w:t>
      </w:r>
      <w:r w:rsidR="006B661E" w:rsidRPr="006B661E">
        <w:rPr>
          <w:rFonts w:eastAsia="Helvetica Neue"/>
        </w:rPr>
        <w:t xml:space="preserve"> </w:t>
      </w:r>
      <w:r w:rsidRPr="006B661E">
        <w:rPr>
          <w:rFonts w:eastAsia="Helvetica Neue"/>
        </w:rPr>
        <w:t>Acceptability</w:t>
      </w:r>
    </w:p>
    <w:p w14:paraId="52C78B88" w14:textId="77777777" w:rsidR="004E4E38" w:rsidRPr="004E4E38" w:rsidRDefault="00952028" w:rsidP="006E6012">
      <w:pPr>
        <w:pStyle w:val="ListParagraph"/>
        <w:numPr>
          <w:ilvl w:val="0"/>
          <w:numId w:val="71"/>
        </w:numPr>
      </w:pPr>
      <w:r w:rsidRPr="004E4E38">
        <w:rPr>
          <w:rFonts w:eastAsia="Helvetica Neue"/>
        </w:rPr>
        <w:t xml:space="preserve">Ensure that protection service staff are sensitive and educated about the intersectional and intercultural needs and experiences of women and young persons with disabilities from a variety of backgrounds. This is particularly important for shelter service providers and support staff. </w:t>
      </w:r>
    </w:p>
    <w:p w14:paraId="092E3537" w14:textId="3BEEC9FC" w:rsidR="00952028" w:rsidRPr="00A64CBE" w:rsidRDefault="00952028" w:rsidP="006E6012">
      <w:pPr>
        <w:pStyle w:val="ListParagraph"/>
        <w:numPr>
          <w:ilvl w:val="0"/>
          <w:numId w:val="71"/>
        </w:numPr>
      </w:pPr>
      <w:r w:rsidRPr="004E4E38">
        <w:rPr>
          <w:rFonts w:eastAsia="Helvetica Neue"/>
        </w:rPr>
        <w:t>Create information materials for all shelter residents that explains what personal care services are available, details available accommodations for persons with disabilities, lists persons with disabilities as part of any diversity statement, and limits the use of scents and fragrances to accommodate people with a chemical sensitivity.</w:t>
      </w:r>
      <w:r w:rsidRPr="00A64CBE">
        <w:rPr>
          <w:rFonts w:eastAsia="Helvetica Neue"/>
          <w:vertAlign w:val="superscript"/>
        </w:rPr>
        <w:endnoteReference w:id="344"/>
      </w:r>
      <w:r w:rsidRPr="004E4E38">
        <w:rPr>
          <w:rFonts w:eastAsia="Helvetica Neue"/>
        </w:rPr>
        <w:t xml:space="preserve"> </w:t>
      </w:r>
    </w:p>
    <w:p w14:paraId="6718A0A6" w14:textId="710D8270" w:rsidR="00952028" w:rsidRPr="006B661E" w:rsidRDefault="00952028" w:rsidP="004E4E38">
      <w:pPr>
        <w:pStyle w:val="Heading4"/>
        <w:spacing w:before="480"/>
        <w:rPr>
          <w:rFonts w:eastAsia="Helvetica Neue"/>
        </w:rPr>
      </w:pPr>
      <w:r w:rsidRPr="006B661E">
        <w:rPr>
          <w:rFonts w:eastAsia="Helvetica Neue"/>
        </w:rPr>
        <w:t>Guidelines for Action:</w:t>
      </w:r>
      <w:r w:rsidR="006B661E" w:rsidRPr="006B661E">
        <w:rPr>
          <w:rFonts w:eastAsia="Helvetica Neue"/>
        </w:rPr>
        <w:t xml:space="preserve"> </w:t>
      </w:r>
      <w:r w:rsidRPr="006B661E">
        <w:rPr>
          <w:rFonts w:eastAsia="Helvetica Neue"/>
        </w:rPr>
        <w:t xml:space="preserve">Quality </w:t>
      </w:r>
    </w:p>
    <w:p w14:paraId="36D7DBF1" w14:textId="2CF8BFA2" w:rsidR="00952028" w:rsidRPr="004E4E38" w:rsidRDefault="00952028" w:rsidP="006E6012">
      <w:pPr>
        <w:pStyle w:val="ListParagraph"/>
        <w:numPr>
          <w:ilvl w:val="0"/>
          <w:numId w:val="72"/>
        </w:numPr>
        <w:rPr>
          <w:rFonts w:eastAsia="Helvetica Neue"/>
        </w:rPr>
      </w:pPr>
      <w:r w:rsidRPr="004E4E38">
        <w:rPr>
          <w:rFonts w:eastAsia="Helvetica Neue"/>
        </w:rPr>
        <w:t xml:space="preserve">Train service providers and support staff on how to recognize signs of GBV against women and young persons with disabilities, particularly relating to a caregiver. Training programmes should directly address power dynamics between </w:t>
      </w:r>
      <w:r w:rsidR="00814A44">
        <w:rPr>
          <w:rFonts w:eastAsia="Helvetica Neue"/>
        </w:rPr>
        <w:t>persons</w:t>
      </w:r>
      <w:r w:rsidR="00814A44" w:rsidRPr="004E4E38">
        <w:rPr>
          <w:rFonts w:eastAsia="Helvetica Neue"/>
        </w:rPr>
        <w:t xml:space="preserve"> </w:t>
      </w:r>
      <w:r w:rsidRPr="004E4E38">
        <w:rPr>
          <w:rFonts w:eastAsia="Helvetica Neue"/>
        </w:rPr>
        <w:t xml:space="preserve">with disabilities and caregivers. </w:t>
      </w:r>
    </w:p>
    <w:p w14:paraId="1291124E" w14:textId="77777777" w:rsidR="00952028" w:rsidRPr="00A64CBE" w:rsidRDefault="00952028" w:rsidP="007A020E">
      <w:pPr>
        <w:pStyle w:val="Heading3"/>
      </w:pPr>
      <w:r w:rsidRPr="00A64CBE">
        <w:t>3.6.3</w:t>
      </w:r>
      <w:r w:rsidRPr="00A64CBE">
        <w:tab/>
      </w:r>
      <w:r w:rsidRPr="007A020E">
        <w:t>Indicators</w:t>
      </w:r>
      <w:r w:rsidRPr="00A64CBE">
        <w:t xml:space="preserve"> </w:t>
      </w:r>
    </w:p>
    <w:p w14:paraId="1B205B04" w14:textId="7EF7256B" w:rsidR="00952028" w:rsidRPr="007A020E" w:rsidRDefault="00952028" w:rsidP="007A020E">
      <w:pPr>
        <w:rPr>
          <w:rFonts w:eastAsia="Helvetica Neue"/>
          <w:highlight w:val="white"/>
        </w:rPr>
      </w:pPr>
      <w:r w:rsidRPr="00A64CBE">
        <w:rPr>
          <w:rFonts w:eastAsia="Helvetica Neue"/>
          <w:highlight w:val="white"/>
        </w:rPr>
        <w:t xml:space="preserve">The following are illustrative of indicators that can be used to monitor and evaluate progress in the provision of rights-based GBV protection services for women and young </w:t>
      </w:r>
      <w:r>
        <w:rPr>
          <w:rFonts w:eastAsia="Helvetica Neue"/>
          <w:highlight w:val="white"/>
        </w:rPr>
        <w:t>persons</w:t>
      </w:r>
      <w:r w:rsidRPr="00A64CBE">
        <w:rPr>
          <w:rFonts w:eastAsia="Helvetica Neue"/>
          <w:highlight w:val="white"/>
        </w:rPr>
        <w:t xml:space="preserve"> with disabilities. This is not an exhaustive list, but rather a few examples demonstrating the level of specificity, subjects, and form that indicators for GBV protection services should take. </w:t>
      </w:r>
      <w:r w:rsidRPr="00A64CBE">
        <w:rPr>
          <w:rFonts w:eastAsia="Helvetica Neue"/>
        </w:rPr>
        <w:t>Service providers should tailor the indicators to fit their programme settings and levels, including by specifying at which level and by whom indicator data should be collected.</w:t>
      </w:r>
    </w:p>
    <w:p w14:paraId="43506991" w14:textId="77777777" w:rsidR="00952028" w:rsidRPr="001F7F81" w:rsidRDefault="00952028" w:rsidP="006E6012">
      <w:pPr>
        <w:pStyle w:val="ListParagraph"/>
        <w:numPr>
          <w:ilvl w:val="0"/>
          <w:numId w:val="73"/>
        </w:numPr>
      </w:pPr>
      <w:r w:rsidRPr="007A020E">
        <w:rPr>
          <w:rFonts w:eastAsia="Helvetica Neue"/>
        </w:rPr>
        <w:t>Number of women and young persons with disabilities that can be accommodated in the shelter or other safe residence (disaggregated by gender, age, and type of disability).</w:t>
      </w:r>
    </w:p>
    <w:p w14:paraId="7EEEB398" w14:textId="77777777" w:rsidR="00952028" w:rsidRPr="007A020E" w:rsidRDefault="00952028" w:rsidP="006E6012">
      <w:pPr>
        <w:pStyle w:val="ListParagraph"/>
        <w:numPr>
          <w:ilvl w:val="0"/>
          <w:numId w:val="73"/>
        </w:numPr>
        <w:rPr>
          <w:b/>
          <w:u w:val="single"/>
        </w:rPr>
      </w:pPr>
      <w:r w:rsidRPr="007A020E">
        <w:rPr>
          <w:rFonts w:eastAsia="Helvetica Neue"/>
        </w:rPr>
        <w:t>Agency provides a variety of accessible methods of communication, including:</w:t>
      </w:r>
    </w:p>
    <w:p w14:paraId="266CB8D8" w14:textId="77777777" w:rsidR="00952028" w:rsidRPr="007A020E" w:rsidRDefault="00952028" w:rsidP="006E6012">
      <w:pPr>
        <w:pStyle w:val="ListParagraph"/>
        <w:numPr>
          <w:ilvl w:val="1"/>
          <w:numId w:val="73"/>
        </w:numPr>
        <w:rPr>
          <w:b/>
          <w:u w:val="single"/>
        </w:rPr>
      </w:pPr>
      <w:r w:rsidRPr="007A020E">
        <w:rPr>
          <w:rFonts w:eastAsia="Helvetica Neue"/>
        </w:rPr>
        <w:t>An accessible website;</w:t>
      </w:r>
    </w:p>
    <w:p w14:paraId="33FBFC3A" w14:textId="77777777" w:rsidR="00952028" w:rsidRPr="007A020E" w:rsidRDefault="00952028" w:rsidP="006E6012">
      <w:pPr>
        <w:pStyle w:val="ListParagraph"/>
        <w:numPr>
          <w:ilvl w:val="1"/>
          <w:numId w:val="73"/>
        </w:numPr>
        <w:rPr>
          <w:b/>
          <w:u w:val="single"/>
        </w:rPr>
      </w:pPr>
      <w:r w:rsidRPr="007A020E">
        <w:rPr>
          <w:rFonts w:eastAsia="Helvetica Neue"/>
        </w:rPr>
        <w:t>An in-house videophone that can be used for communication between staff and service recipients who are Deaf or hard of hearing;</w:t>
      </w:r>
    </w:p>
    <w:p w14:paraId="65081B07" w14:textId="77777777" w:rsidR="00952028" w:rsidRPr="007A020E" w:rsidRDefault="00952028" w:rsidP="006E6012">
      <w:pPr>
        <w:pStyle w:val="ListParagraph"/>
        <w:numPr>
          <w:ilvl w:val="1"/>
          <w:numId w:val="73"/>
        </w:numPr>
        <w:rPr>
          <w:b/>
          <w:u w:val="single"/>
        </w:rPr>
      </w:pPr>
      <w:r w:rsidRPr="007A020E">
        <w:rPr>
          <w:rFonts w:eastAsia="Helvetica Neue"/>
        </w:rPr>
        <w:t>A telephone for people who have low vision;</w:t>
      </w:r>
    </w:p>
    <w:p w14:paraId="0301D335" w14:textId="77777777" w:rsidR="00952028" w:rsidRPr="007A020E" w:rsidRDefault="00952028" w:rsidP="006E6012">
      <w:pPr>
        <w:pStyle w:val="ListParagraph"/>
        <w:numPr>
          <w:ilvl w:val="1"/>
          <w:numId w:val="73"/>
        </w:numPr>
        <w:rPr>
          <w:b/>
          <w:u w:val="single"/>
        </w:rPr>
      </w:pPr>
      <w:r w:rsidRPr="007A020E">
        <w:rPr>
          <w:rFonts w:eastAsia="Helvetica Neue"/>
        </w:rPr>
        <w:t>A dedicated line answered by a staff member for receiving text messages from service recipients.</w:t>
      </w:r>
      <w:r w:rsidRPr="00A64CBE">
        <w:rPr>
          <w:rFonts w:eastAsia="Helvetica Neue"/>
          <w:vertAlign w:val="superscript"/>
        </w:rPr>
        <w:endnoteReference w:id="345"/>
      </w:r>
    </w:p>
    <w:p w14:paraId="24ABF14F" w14:textId="6CA43247" w:rsidR="00952028" w:rsidRPr="007A020E" w:rsidRDefault="00952028" w:rsidP="006E6012">
      <w:pPr>
        <w:pStyle w:val="ListParagraph"/>
        <w:numPr>
          <w:ilvl w:val="0"/>
          <w:numId w:val="73"/>
        </w:numPr>
      </w:pPr>
      <w:r w:rsidRPr="007A020E">
        <w:rPr>
          <w:rFonts w:eastAsia="Helvetica Neue"/>
        </w:rPr>
        <w:lastRenderedPageBreak/>
        <w:t xml:space="preserve">Emergency shelter agency has a handbook for residents of its shelter that addresses use of scents and fragrances, clearly explains personal care services staff may provide, offers flexibility for </w:t>
      </w:r>
      <w:r w:rsidR="00814A44">
        <w:rPr>
          <w:rFonts w:eastAsia="Helvetica Neue"/>
        </w:rPr>
        <w:t>persons</w:t>
      </w:r>
      <w:r w:rsidR="00814A44" w:rsidRPr="007A020E">
        <w:rPr>
          <w:rFonts w:eastAsia="Helvetica Neue"/>
        </w:rPr>
        <w:t xml:space="preserve"> </w:t>
      </w:r>
      <w:r w:rsidRPr="007A020E">
        <w:rPr>
          <w:rFonts w:eastAsia="Helvetica Neue"/>
        </w:rPr>
        <w:t xml:space="preserve">with disabilities, and lists </w:t>
      </w:r>
      <w:r w:rsidR="00814A44">
        <w:rPr>
          <w:rFonts w:eastAsia="Helvetica Neue"/>
        </w:rPr>
        <w:t>persons</w:t>
      </w:r>
      <w:r w:rsidR="00814A44" w:rsidRPr="007A020E">
        <w:rPr>
          <w:rFonts w:eastAsia="Helvetica Neue"/>
        </w:rPr>
        <w:t xml:space="preserve"> </w:t>
      </w:r>
      <w:r w:rsidRPr="007A020E">
        <w:rPr>
          <w:rFonts w:eastAsia="Helvetica Neue"/>
        </w:rPr>
        <w:t>with disabilities as part of any statement about respecting diversity.</w:t>
      </w:r>
      <w:r w:rsidRPr="00A64CBE">
        <w:rPr>
          <w:rFonts w:eastAsia="Helvetica Neue"/>
          <w:vertAlign w:val="superscript"/>
        </w:rPr>
        <w:endnoteReference w:id="346"/>
      </w:r>
    </w:p>
    <w:p w14:paraId="73551E37" w14:textId="03D461C7" w:rsidR="00952028" w:rsidRPr="00A64CBE" w:rsidRDefault="00952028" w:rsidP="007A020E">
      <w:pPr>
        <w:pStyle w:val="Heading2"/>
        <w:spacing w:before="480" w:after="120"/>
        <w:ind w:left="547" w:right="-180" w:hanging="547"/>
      </w:pPr>
      <w:bookmarkStart w:id="17" w:name="GBVrehab"/>
      <w:r w:rsidRPr="00A64CBE">
        <w:t>3.7</w:t>
      </w:r>
      <w:r w:rsidRPr="00A64CBE">
        <w:tab/>
      </w:r>
      <w:bookmarkEnd w:id="17"/>
      <w:r w:rsidRPr="00A64CBE">
        <w:t>Social Services—Rehabilitation Services for GBV Victims/Survivors with Disabilities</w:t>
      </w:r>
    </w:p>
    <w:p w14:paraId="5F2DD9ED" w14:textId="77777777" w:rsidR="00952028" w:rsidRPr="00A64CBE" w:rsidRDefault="00952028" w:rsidP="007A020E">
      <w:pPr>
        <w:pStyle w:val="Heading3"/>
      </w:pPr>
      <w:r w:rsidRPr="00A64CBE">
        <w:t>3.7.1</w:t>
      </w:r>
      <w:r w:rsidRPr="00A64CBE">
        <w:tab/>
        <w:t xml:space="preserve">Issue Overview </w:t>
      </w:r>
    </w:p>
    <w:p w14:paraId="284E6A20" w14:textId="77777777" w:rsidR="00952028" w:rsidRDefault="00952028" w:rsidP="007A020E">
      <w:pPr>
        <w:rPr>
          <w:rFonts w:eastAsia="Helvetica Neue"/>
        </w:rPr>
      </w:pPr>
      <w:r w:rsidRPr="00A64CBE">
        <w:rPr>
          <w:rFonts w:eastAsia="Helvetica Neue"/>
        </w:rPr>
        <w:t xml:space="preserve">The right of women and young </w:t>
      </w:r>
      <w:r>
        <w:rPr>
          <w:rFonts w:eastAsia="Helvetica Neue"/>
        </w:rPr>
        <w:t>persons</w:t>
      </w:r>
      <w:r w:rsidRPr="00A64CBE">
        <w:rPr>
          <w:rFonts w:eastAsia="Helvetica Neue"/>
        </w:rPr>
        <w:t xml:space="preserve"> with disabilities to be free from </w:t>
      </w:r>
      <w:r>
        <w:rPr>
          <w:rFonts w:eastAsia="Helvetica Neue"/>
        </w:rPr>
        <w:t>GBV</w:t>
      </w:r>
      <w:r w:rsidRPr="00A64CBE">
        <w:rPr>
          <w:rFonts w:eastAsia="Helvetica Neue"/>
        </w:rPr>
        <w:t xml:space="preserve"> encompasses a right to comprehensive rehabilitation services.</w:t>
      </w:r>
      <w:r w:rsidRPr="00A64CBE">
        <w:rPr>
          <w:rFonts w:eastAsia="Helvetica Neue"/>
          <w:vertAlign w:val="superscript"/>
        </w:rPr>
        <w:endnoteReference w:id="347"/>
      </w:r>
      <w:r w:rsidRPr="00A64CBE">
        <w:rPr>
          <w:rFonts w:eastAsia="Helvetica Neue"/>
        </w:rPr>
        <w:t xml:space="preserve"> Rehabilitation services are essential to the psychological and social recovery of GBV victims/survivors. </w:t>
      </w:r>
      <w:r w:rsidRPr="002D0897">
        <w:rPr>
          <w:rFonts w:eastAsia="Helvetica Neue"/>
        </w:rPr>
        <w:t xml:space="preserve">Important rehabilitation services include: mental healthcare; assessment for self-harm, suicide, and other severe consequences resulting from the experience of </w:t>
      </w:r>
      <w:r>
        <w:rPr>
          <w:rFonts w:eastAsia="Helvetica Neue"/>
        </w:rPr>
        <w:t>GBV</w:t>
      </w:r>
      <w:r w:rsidRPr="002D0897">
        <w:rPr>
          <w:rFonts w:eastAsia="Helvetica Neue"/>
        </w:rPr>
        <w:t>; psychosocial support and counselling; necessary referrals, including to physical health services; and appropriate social reintegration services, such as assistance with recovering or replacing identity documents; women-</w:t>
      </w:r>
      <w:proofErr w:type="spellStart"/>
      <w:r w:rsidRPr="002D0897">
        <w:rPr>
          <w:rFonts w:eastAsia="Helvetica Neue"/>
        </w:rPr>
        <w:t>centred</w:t>
      </w:r>
      <w:proofErr w:type="spellEnd"/>
      <w:r w:rsidRPr="002D0897">
        <w:rPr>
          <w:rFonts w:eastAsia="Helvetica Neue"/>
        </w:rPr>
        <w:t xml:space="preserve"> support; children’s services for any child affected by violence; community information, education and outreach; and assistance towards economic independence, recovery and autonomy.</w:t>
      </w:r>
      <w:r w:rsidRPr="00A64CBE">
        <w:rPr>
          <w:rFonts w:eastAsia="Helvetica Neue"/>
          <w:vertAlign w:val="superscript"/>
        </w:rPr>
        <w:endnoteReference w:id="348"/>
      </w:r>
      <w:r w:rsidRPr="00A64CBE">
        <w:rPr>
          <w:rFonts w:eastAsia="Helvetica Neue"/>
        </w:rPr>
        <w:t xml:space="preserve"> </w:t>
      </w:r>
    </w:p>
    <w:p w14:paraId="089EA348" w14:textId="0860A683" w:rsidR="00A34370" w:rsidRDefault="00952028" w:rsidP="00A34370">
      <w:pPr>
        <w:rPr>
          <w:rFonts w:eastAsia="Helvetica Neue"/>
        </w:rPr>
      </w:pPr>
      <w:r w:rsidRPr="00A64CBE">
        <w:rPr>
          <w:rFonts w:eastAsia="Helvetica Neue"/>
        </w:rPr>
        <w:t xml:space="preserve">Rehabilitation services are fundamental to the recovery of any victim/survivor, as well as the right of that victim/survivor to be free from </w:t>
      </w:r>
      <w:r>
        <w:rPr>
          <w:rFonts w:eastAsia="Helvetica Neue"/>
        </w:rPr>
        <w:t>GBV</w:t>
      </w:r>
      <w:r w:rsidRPr="00A64CBE">
        <w:rPr>
          <w:rFonts w:eastAsia="Helvetica Neue"/>
        </w:rPr>
        <w:t>.</w:t>
      </w:r>
      <w:r w:rsidRPr="00A64CBE">
        <w:rPr>
          <w:rFonts w:eastAsia="Helvetica Neue"/>
          <w:vertAlign w:val="superscript"/>
        </w:rPr>
        <w:endnoteReference w:id="349"/>
      </w:r>
      <w:r w:rsidRPr="00A64CBE">
        <w:rPr>
          <w:rFonts w:eastAsia="Helvetica Neue"/>
        </w:rPr>
        <w:t xml:space="preserve"> This is especially so for women and young </w:t>
      </w:r>
      <w:r>
        <w:rPr>
          <w:rFonts w:eastAsia="Helvetica Neue"/>
        </w:rPr>
        <w:t>persons</w:t>
      </w:r>
      <w:r w:rsidRPr="00A64CBE">
        <w:rPr>
          <w:rFonts w:eastAsia="Helvetica Neue"/>
        </w:rPr>
        <w:t xml:space="preserve"> with disabilities given that they are more vulnerable to isolation and poverty and because the caregivers and intimate partners who act as gatekeepers to psychosocial services are often the perpetrators of GBV against women and young </w:t>
      </w:r>
      <w:r>
        <w:rPr>
          <w:rFonts w:eastAsia="Helvetica Neue"/>
        </w:rPr>
        <w:t>persons</w:t>
      </w:r>
      <w:r w:rsidRPr="00A64CBE">
        <w:rPr>
          <w:rFonts w:eastAsia="Helvetica Neue"/>
        </w:rPr>
        <w:t xml:space="preserve"> with disabilities. Victims/survivors of all forms of </w:t>
      </w:r>
      <w:r>
        <w:rPr>
          <w:rFonts w:eastAsia="Helvetica Neue"/>
        </w:rPr>
        <w:t>GBV—</w:t>
      </w:r>
      <w:r w:rsidRPr="00A64CBE">
        <w:rPr>
          <w:rFonts w:eastAsia="Helvetica Neue"/>
        </w:rPr>
        <w:t>including intimate partner violence, sexual violence, psychological or financial abuse, and violence in institutional or medical settings</w:t>
      </w:r>
      <w:r>
        <w:rPr>
          <w:rFonts w:eastAsia="Helvetica Neue"/>
        </w:rPr>
        <w:t>—</w:t>
      </w:r>
      <w:r w:rsidRPr="00A64CBE">
        <w:rPr>
          <w:rFonts w:eastAsia="Helvetica Neue"/>
        </w:rPr>
        <w:t>must have access to a range of psychosocial rehabilitation services.</w:t>
      </w:r>
      <w:r w:rsidRPr="00A64CBE">
        <w:rPr>
          <w:rFonts w:eastAsia="Helvetica Neue"/>
          <w:vertAlign w:val="superscript"/>
        </w:rPr>
        <w:endnoteReference w:id="350"/>
      </w:r>
      <w:r w:rsidRPr="00A64CBE">
        <w:rPr>
          <w:rFonts w:eastAsia="Helvetica Neue"/>
        </w:rPr>
        <w:t xml:space="preserve"> </w:t>
      </w:r>
    </w:p>
    <w:p w14:paraId="56066E92" w14:textId="48EABBE6" w:rsidR="007A020E" w:rsidRPr="00A34370" w:rsidRDefault="00A34370" w:rsidP="00CD00E1">
      <w:pPr>
        <w:pStyle w:val="Heading4"/>
        <w:spacing w:before="480" w:line="360" w:lineRule="auto"/>
        <w:ind w:hanging="90"/>
        <w:rPr>
          <w:rFonts w:eastAsia="Helvetica Neue"/>
          <w:color w:val="948A54" w:themeColor="background2" w:themeShade="80"/>
          <w:sz w:val="32"/>
          <w:szCs w:val="32"/>
        </w:rPr>
      </w:pPr>
      <w:r w:rsidRPr="00A6697D">
        <w:rPr>
          <w:noProof/>
        </w:rPr>
        <mc:AlternateContent>
          <mc:Choice Requires="wps">
            <w:drawing>
              <wp:inline distT="0" distB="0" distL="0" distR="0" wp14:anchorId="70374FFA" wp14:editId="042130FA">
                <wp:extent cx="5943600" cy="0"/>
                <wp:effectExtent l="0" t="38100" r="25400" b="38100"/>
                <wp:docPr id="27" name="Straight Connector 27" descr="Text box follows"/>
                <wp:cNvGraphicFramePr/>
                <a:graphic xmlns:a="http://schemas.openxmlformats.org/drawingml/2006/main">
                  <a:graphicData uri="http://schemas.microsoft.com/office/word/2010/wordprocessingShape">
                    <wps:wsp>
                      <wps:cNvCnPr/>
                      <wps:spPr>
                        <a:xfrm>
                          <a:off x="0" y="0"/>
                          <a:ext cx="5943600" cy="0"/>
                        </a:xfrm>
                        <a:prstGeom prst="line">
                          <a:avLst/>
                        </a:prstGeom>
                        <a:ln w="76200">
                          <a:solidFill>
                            <a:schemeClr val="bg2">
                              <a:lumMod val="50000"/>
                            </a:schemeClr>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3A826F86" id="Straight Connector 27" o:spid="_x0000_s1026" alt="Text box foll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" strokecolor="#938953 [1614]" strokeweight="6pt">
                <w10:anchorlock/>
              </v:line>
            </w:pict>
          </mc:Fallback>
        </mc:AlternateContent>
      </w:r>
      <w:r w:rsidR="00952028" w:rsidRPr="00A34370">
        <w:rPr>
          <w:rFonts w:eastAsia="Helvetica Neue"/>
          <w:color w:val="948A54" w:themeColor="background2" w:themeShade="80"/>
          <w:sz w:val="32"/>
          <w:szCs w:val="32"/>
        </w:rPr>
        <w:t>Psychosocial Support</w:t>
      </w:r>
    </w:p>
    <w:p w14:paraId="392A00ED" w14:textId="0E11A57D" w:rsidR="00952028" w:rsidRDefault="00952028" w:rsidP="00CD00E1">
      <w:pPr>
        <w:ind w:right="180"/>
        <w:rPr>
          <w:rFonts w:eastAsia="Helvetica Neue"/>
        </w:rPr>
      </w:pPr>
      <w:r w:rsidRPr="00A64CBE">
        <w:rPr>
          <w:rFonts w:eastAsia="Helvetica Neue"/>
        </w:rPr>
        <w:t xml:space="preserve">The term </w:t>
      </w:r>
      <w:r w:rsidRPr="005D729C">
        <w:rPr>
          <w:rFonts w:eastAsia="Helvetica Neue"/>
        </w:rPr>
        <w:t>‘psychosocial support’</w:t>
      </w:r>
      <w:r w:rsidRPr="00A64CBE">
        <w:rPr>
          <w:rFonts w:eastAsia="Helvetica Neue"/>
        </w:rPr>
        <w:t xml:space="preserve"> refers to “the inter-connection between psychological and social processes and the fact that each continually interacts with and influences the other. …The composite term mental health and psychosocial support (MHPSS) is used to describe any type of local or outside support that aims to protect or promote psychosocial well-being and/or prevent or treat mental disorder”.</w:t>
      </w:r>
      <w:r w:rsidRPr="00A64CBE">
        <w:rPr>
          <w:rFonts w:eastAsia="Helvetica Neue"/>
          <w:vertAlign w:val="superscript"/>
        </w:rPr>
        <w:endnoteReference w:id="351"/>
      </w:r>
    </w:p>
    <w:p w14:paraId="0A8274C8" w14:textId="7EE0B233" w:rsidR="00952028" w:rsidRPr="00A64CBE" w:rsidRDefault="00A34370" w:rsidP="00CD00E1">
      <w:pPr>
        <w:widowControl w:val="0"/>
        <w:pBdr>
          <w:top w:val="nil"/>
          <w:left w:val="nil"/>
          <w:bottom w:val="nil"/>
          <w:right w:val="nil"/>
          <w:between w:val="nil"/>
        </w:pBdr>
        <w:ind w:hanging="90"/>
        <w:rPr>
          <w:rFonts w:ascii="Arial" w:eastAsia="Helvetica Neue" w:hAnsi="Arial" w:cs="Arial"/>
          <w:b/>
          <w:color w:val="000000"/>
        </w:rPr>
      </w:pPr>
      <w:r w:rsidRPr="00A6697D">
        <w:rPr>
          <w:noProof/>
        </w:rPr>
        <mc:AlternateContent>
          <mc:Choice Requires="wps">
            <w:drawing>
              <wp:inline distT="0" distB="0" distL="0" distR="0" wp14:anchorId="0D213ABA" wp14:editId="7F28A242">
                <wp:extent cx="5943600" cy="0"/>
                <wp:effectExtent l="0" t="12700" r="25400" b="25400"/>
                <wp:docPr id="30" name="Straight Connector 30" descr="Text box ends"/>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chemeClr val="bg2">
                              <a:lumMod val="50000"/>
                            </a:schemeClr>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5AD330D3" id="Straight Connector 30" o:spid="_x0000_s1026" alt="Text box end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" strokecolor="#938953 [1614]" strokeweight="3pt">
                <w10:anchorlock/>
              </v:line>
            </w:pict>
          </mc:Fallback>
        </mc:AlternateContent>
      </w:r>
    </w:p>
    <w:p w14:paraId="49C6CFD5" w14:textId="77777777" w:rsidR="00952028" w:rsidRPr="00A64CBE" w:rsidRDefault="00952028" w:rsidP="00A34370">
      <w:pPr>
        <w:pStyle w:val="Heading3"/>
        <w:ind w:left="810" w:hanging="810"/>
      </w:pPr>
      <w:r w:rsidRPr="00A64CBE">
        <w:lastRenderedPageBreak/>
        <w:t>3.7.2</w:t>
      </w:r>
      <w:r w:rsidRPr="00A64CBE">
        <w:tab/>
        <w:t xml:space="preserve">Providing Rights-Based Rehabilitation Services for GBV Victims/Survivors with Disabilities </w:t>
      </w:r>
    </w:p>
    <w:p w14:paraId="44DB6A02" w14:textId="77777777" w:rsidR="00952028" w:rsidRPr="00A64CBE" w:rsidRDefault="00952028" w:rsidP="007A020E">
      <w:pPr>
        <w:rPr>
          <w:rFonts w:eastAsia="Helvetica Neue"/>
        </w:rPr>
      </w:pPr>
      <w:r w:rsidRPr="00A64CBE">
        <w:rPr>
          <w:rFonts w:eastAsia="Helvetica Neue"/>
        </w:rPr>
        <w:t xml:space="preserve">The key considerations enumerated here identify common barriers to comprehensive rehabilitation services faced by women and young </w:t>
      </w:r>
      <w:r>
        <w:rPr>
          <w:rFonts w:eastAsia="Helvetica Neue"/>
        </w:rPr>
        <w:t>persons</w:t>
      </w:r>
      <w:r w:rsidRPr="00A64CBE">
        <w:rPr>
          <w:rFonts w:eastAsia="Helvetica Neue"/>
        </w:rPr>
        <w:t xml:space="preserve"> with disabilities who are victims/survivors of </w:t>
      </w:r>
      <w:r>
        <w:rPr>
          <w:rFonts w:eastAsia="Helvetica Neue"/>
        </w:rPr>
        <w:t>GBV</w:t>
      </w:r>
      <w:r w:rsidRPr="00A64CBE">
        <w:rPr>
          <w:rFonts w:eastAsia="Helvetica Neue"/>
        </w:rPr>
        <w:t xml:space="preserve">. The guidelines for action offer guidance for ensuring that rights-based rehabilitation services tailored to the specific needs and experiences of GBV victims/survivors with disabilities are available, accessible, acceptable, and of good quality for women and young </w:t>
      </w:r>
      <w:r>
        <w:rPr>
          <w:rFonts w:eastAsia="Helvetica Neue"/>
        </w:rPr>
        <w:t>persons</w:t>
      </w:r>
      <w:r w:rsidRPr="00A64CBE">
        <w:rPr>
          <w:rFonts w:eastAsia="Helvetica Neue"/>
        </w:rPr>
        <w:t xml:space="preserve"> with disabilities. These guidelines for action build on the Foundational Guidelines for Action identified in </w:t>
      </w:r>
      <w:r w:rsidRPr="002D0897">
        <w:rPr>
          <w:rFonts w:eastAsia="Helvetica Neue"/>
          <w:b/>
        </w:rPr>
        <w:t>Chapter 2</w:t>
      </w:r>
      <w:r w:rsidRPr="00A64CBE">
        <w:rPr>
          <w:rFonts w:eastAsia="Helvetica Neue"/>
        </w:rPr>
        <w:t xml:space="preserve"> and are not exhaustive but provide a starting point for developing disability-inclusive services and programmes.</w:t>
      </w:r>
    </w:p>
    <w:p w14:paraId="04216ADB" w14:textId="77777777" w:rsidR="00952028" w:rsidRPr="00A64CBE" w:rsidRDefault="00952028" w:rsidP="007A020E">
      <w:pPr>
        <w:rPr>
          <w:rFonts w:eastAsia="Helvetica Neue"/>
        </w:rPr>
      </w:pPr>
      <w:r w:rsidRPr="002D0897">
        <w:rPr>
          <w:rFonts w:eastAsia="Helvetica Neue"/>
          <w:b/>
        </w:rPr>
        <w:t>Section 3.6</w:t>
      </w:r>
      <w:r w:rsidRPr="00A64CBE">
        <w:rPr>
          <w:rFonts w:eastAsia="Helvetica Neue"/>
          <w:b/>
        </w:rPr>
        <w:t xml:space="preserve"> </w:t>
      </w:r>
      <w:r w:rsidRPr="00A64CBE">
        <w:rPr>
          <w:rFonts w:eastAsia="Helvetica Neue"/>
        </w:rPr>
        <w:t xml:space="preserve">addressed immediate social services required by a woman or young person with a disability who is experiencing or has experienced </w:t>
      </w:r>
      <w:r>
        <w:rPr>
          <w:rFonts w:eastAsia="Helvetica Neue"/>
        </w:rPr>
        <w:t>GBV</w:t>
      </w:r>
      <w:r w:rsidRPr="00A64CBE">
        <w:rPr>
          <w:rFonts w:eastAsia="Helvetica Neue"/>
        </w:rPr>
        <w:t xml:space="preserve">, while this section addresses long-term rehabilitation services. This division is for organizational purposes with recognition that many of these programmes and services overlap for those with both immediate and long-term needs. </w:t>
      </w:r>
    </w:p>
    <w:p w14:paraId="39FC4B27" w14:textId="77777777" w:rsidR="00952028" w:rsidRPr="00A64CBE" w:rsidRDefault="00952028" w:rsidP="003C6133">
      <w:pPr>
        <w:pStyle w:val="Heading4"/>
        <w:spacing w:before="480"/>
        <w:rPr>
          <w:rFonts w:eastAsia="Helvetica Neue"/>
        </w:rPr>
      </w:pPr>
      <w:r w:rsidRPr="00A64CBE">
        <w:rPr>
          <w:rFonts w:eastAsia="Helvetica Neue"/>
        </w:rPr>
        <w:t>Key Considerations</w:t>
      </w:r>
    </w:p>
    <w:p w14:paraId="1EDBE1E0" w14:textId="77777777" w:rsidR="00952028" w:rsidRPr="00A64CBE" w:rsidRDefault="00952028" w:rsidP="006E6012">
      <w:pPr>
        <w:pStyle w:val="ListParagraph"/>
        <w:numPr>
          <w:ilvl w:val="0"/>
          <w:numId w:val="74"/>
        </w:numPr>
      </w:pPr>
      <w:r w:rsidRPr="007A020E">
        <w:rPr>
          <w:rFonts w:eastAsia="Helvetica Neue"/>
        </w:rPr>
        <w:t>Laws and policies that mandate participation in psychosocial recovery programmes or that make benefits conditional, such as conditioning economic support on meeting job-seeking requirements or only providing immigration support to GBV victims/survivors who cooperate in prosecutions against their abuser, can deter women and young persons with disabilities from seeking or adhering to recovery programmes.</w:t>
      </w:r>
    </w:p>
    <w:p w14:paraId="74750585" w14:textId="77777777" w:rsidR="00952028" w:rsidRPr="00A64CBE" w:rsidRDefault="00952028" w:rsidP="006E6012">
      <w:pPr>
        <w:pStyle w:val="ListParagraph"/>
        <w:numPr>
          <w:ilvl w:val="0"/>
          <w:numId w:val="74"/>
        </w:numPr>
      </w:pPr>
      <w:r w:rsidRPr="007A020E">
        <w:rPr>
          <w:rFonts w:eastAsia="Helvetica Neue"/>
        </w:rPr>
        <w:t xml:space="preserve">While pursuing access to justice can have a rehabilitative effect for some GBV victims/survivors, navigating legal processes can potentially result in secondary trauma, particularly for victims/survivors with disabilities who may face additional barriers to justice. </w:t>
      </w:r>
    </w:p>
    <w:p w14:paraId="4861B388" w14:textId="77777777" w:rsidR="00952028" w:rsidRPr="00A64CBE" w:rsidRDefault="00952028" w:rsidP="006E6012">
      <w:pPr>
        <w:pStyle w:val="ListParagraph"/>
        <w:numPr>
          <w:ilvl w:val="0"/>
          <w:numId w:val="74"/>
        </w:numPr>
      </w:pPr>
      <w:r w:rsidRPr="007A020E">
        <w:rPr>
          <w:rFonts w:eastAsia="Helvetica Neue"/>
        </w:rPr>
        <w:t xml:space="preserve">Rehabilitation services often do not offer the requisite sensitivity towards and understanding of the needs of victims/survivors with disabilities. Insensitive or discriminatory services can directly or indirectly result in additional trauma. </w:t>
      </w:r>
    </w:p>
    <w:p w14:paraId="673137C1" w14:textId="77777777" w:rsidR="00952028" w:rsidRPr="00A64CBE" w:rsidRDefault="00952028" w:rsidP="006E6012">
      <w:pPr>
        <w:pStyle w:val="ListParagraph"/>
        <w:numPr>
          <w:ilvl w:val="0"/>
          <w:numId w:val="74"/>
        </w:numPr>
      </w:pPr>
      <w:r w:rsidRPr="007A020E">
        <w:rPr>
          <w:rFonts w:eastAsia="Helvetica Neue"/>
        </w:rPr>
        <w:t xml:space="preserve">Women and young persons with disabilities are often unable to access rehabilitative services, even where available, because information about such services is not accessible. </w:t>
      </w:r>
    </w:p>
    <w:p w14:paraId="6634CEAA" w14:textId="77777777" w:rsidR="00952028" w:rsidRPr="00A64CBE" w:rsidRDefault="00952028" w:rsidP="006E6012">
      <w:pPr>
        <w:pStyle w:val="ListParagraph"/>
        <w:numPr>
          <w:ilvl w:val="0"/>
          <w:numId w:val="74"/>
        </w:numPr>
      </w:pPr>
      <w:r w:rsidRPr="007A020E">
        <w:rPr>
          <w:rFonts w:eastAsia="Helvetica Neue"/>
        </w:rPr>
        <w:t xml:space="preserve">Service providers, support staff, or family members are often unfamiliar with the rehabilitative needs of women and young persons with disabilities, thus key referrals are not made. For example, a doctor treating a woman with an intellectual disability who has been sexually assaulted may not refer that woman to counselling services because of a mistaken belief that she would not benefit from counselling.  </w:t>
      </w:r>
    </w:p>
    <w:p w14:paraId="12E92AA6" w14:textId="77777777" w:rsidR="00952028" w:rsidRPr="00A64CBE" w:rsidRDefault="00952028" w:rsidP="006E6012">
      <w:pPr>
        <w:pStyle w:val="ListParagraph"/>
        <w:numPr>
          <w:ilvl w:val="0"/>
          <w:numId w:val="74"/>
        </w:numPr>
      </w:pPr>
      <w:r w:rsidRPr="007A020E">
        <w:rPr>
          <w:rFonts w:eastAsia="Helvetica Neue"/>
        </w:rPr>
        <w:t xml:space="preserve">The trauma resulting from GBV can make navigating rehabilitative services a challenge for any victim/survivor. Disabilities increase already substantial barriers to services and can prevent women and young persons from accessing services at all. </w:t>
      </w:r>
    </w:p>
    <w:p w14:paraId="1615E272" w14:textId="77777777" w:rsidR="00952028" w:rsidRPr="00A64CBE" w:rsidRDefault="00952028" w:rsidP="006E6012">
      <w:pPr>
        <w:pStyle w:val="ListParagraph"/>
        <w:numPr>
          <w:ilvl w:val="0"/>
          <w:numId w:val="74"/>
        </w:numPr>
      </w:pPr>
      <w:r w:rsidRPr="007A020E">
        <w:rPr>
          <w:rFonts w:eastAsia="Helvetica Neue"/>
        </w:rPr>
        <w:t xml:space="preserve">Psychological services are among the most critical rehabilitation services. Yet women and young persons with communication or intellectual disabilities are regularly excluded from </w:t>
      </w:r>
      <w:r w:rsidRPr="007A020E">
        <w:rPr>
          <w:rFonts w:eastAsia="Helvetica Neue"/>
        </w:rPr>
        <w:lastRenderedPageBreak/>
        <w:t xml:space="preserve">such services due to communication barriers. There is also little guidance or training for mental healthcare service providers in this area. </w:t>
      </w:r>
    </w:p>
    <w:p w14:paraId="609CF578" w14:textId="77777777" w:rsidR="00952028" w:rsidRPr="00A64CBE" w:rsidRDefault="00952028" w:rsidP="006E6012">
      <w:pPr>
        <w:pStyle w:val="ListParagraph"/>
        <w:numPr>
          <w:ilvl w:val="0"/>
          <w:numId w:val="74"/>
        </w:numPr>
      </w:pPr>
      <w:r w:rsidRPr="007A020E">
        <w:rPr>
          <w:rFonts w:eastAsia="Helvetica Neue"/>
        </w:rPr>
        <w:t xml:space="preserve">Effective rehabilitation services require multiple visits over a sustained period, and this can present a major barrier to women and young persons with disabilities, who often live in poverty and may live in an area without accessible transportation. </w:t>
      </w:r>
    </w:p>
    <w:p w14:paraId="0081F66E" w14:textId="77777777" w:rsidR="00952028" w:rsidRPr="002D0897" w:rsidRDefault="00952028" w:rsidP="006E6012">
      <w:pPr>
        <w:pStyle w:val="ListParagraph"/>
        <w:numPr>
          <w:ilvl w:val="0"/>
          <w:numId w:val="74"/>
        </w:numPr>
      </w:pPr>
      <w:r w:rsidRPr="007A020E">
        <w:rPr>
          <w:rFonts w:eastAsia="Helvetica Neue"/>
        </w:rPr>
        <w:t xml:space="preserve">Poverty and economic dependence can often keep women and young persons with disabilities in a violent situation or force their return. For example, if a woman is economically dependent on an abusive partner for insurance or funds to pay for vital medicines, she may feel she has no choice but to return to a violent situation. </w:t>
      </w:r>
    </w:p>
    <w:p w14:paraId="14D79AC7" w14:textId="77777777" w:rsidR="00952028" w:rsidRPr="002D0897" w:rsidRDefault="00952028" w:rsidP="006E6012">
      <w:pPr>
        <w:pStyle w:val="ListParagraph"/>
        <w:numPr>
          <w:ilvl w:val="0"/>
          <w:numId w:val="74"/>
        </w:numPr>
      </w:pPr>
      <w:r w:rsidRPr="007A020E">
        <w:rPr>
          <w:rFonts w:eastAsia="Helvetica Neue"/>
        </w:rPr>
        <w:t xml:space="preserve">Victims/survivors of economic control, a form of GBV whereby an abuser controls the finances of a woman or young person with disabilities to coerce them into doing things against their will, may face additional barriers in securing adequate funds to obtain rehabilitation services. </w:t>
      </w:r>
    </w:p>
    <w:p w14:paraId="3A03F5DA" w14:textId="2318A66F" w:rsidR="00952028" w:rsidRPr="00970569" w:rsidRDefault="00952028" w:rsidP="006E6012">
      <w:pPr>
        <w:pStyle w:val="ListParagraph"/>
        <w:numPr>
          <w:ilvl w:val="0"/>
          <w:numId w:val="74"/>
        </w:numPr>
      </w:pPr>
      <w:r w:rsidRPr="007A020E">
        <w:rPr>
          <w:rFonts w:eastAsia="Helvetica Neue"/>
        </w:rPr>
        <w:t xml:space="preserve">Victims/survivors with disabilities can often experience diagnostic overshadowing, where their trauma symptoms are attributed to an already existing disability diagnosis and no further assessment is conducted to determine if there are issues or symptoms relating to trauma. Particularly for persons with intellectual and developmental disabilities, service providers may create a behaviour plan to stop the behaviour rather than exploring whether the behaviour reflects a trauma. Thus, the person with a disability is punished for their trauma responses. </w:t>
      </w:r>
    </w:p>
    <w:p w14:paraId="7F4514FE" w14:textId="2A43708D" w:rsidR="00952028" w:rsidRPr="00970569" w:rsidRDefault="00952028" w:rsidP="00970569">
      <w:pPr>
        <w:pStyle w:val="Heading4"/>
        <w:spacing w:before="480"/>
        <w:rPr>
          <w:rFonts w:eastAsia="Helvetica Neue"/>
        </w:rPr>
      </w:pPr>
      <w:r w:rsidRPr="00970569">
        <w:rPr>
          <w:rFonts w:eastAsia="Helvetica Neue"/>
        </w:rPr>
        <w:t xml:space="preserve">Guidelines for Action: Availability </w:t>
      </w:r>
    </w:p>
    <w:p w14:paraId="1843523B" w14:textId="77777777" w:rsidR="00952028" w:rsidRPr="00970569" w:rsidRDefault="00952028" w:rsidP="006E6012">
      <w:pPr>
        <w:pStyle w:val="ListParagraph"/>
        <w:numPr>
          <w:ilvl w:val="0"/>
          <w:numId w:val="75"/>
        </w:numPr>
        <w:rPr>
          <w:rFonts w:eastAsia="Helvetica Neue"/>
          <w:u w:val="single"/>
        </w:rPr>
      </w:pPr>
      <w:r w:rsidRPr="00970569">
        <w:rPr>
          <w:rFonts w:eastAsia="Helvetica Neue"/>
        </w:rPr>
        <w:t>Develop community-based services, including peer-to-peer support groups, which can be particularly effective for making rehabilitation services available at a low cost and in the community. Handicraft-making groups, for example, can serve multiple purposes, providing both economic empowerment and peer support. When promoting these services, ensure that they are not classified as something for victims/survivors only, as this can be alienating.</w:t>
      </w:r>
      <w:r w:rsidRPr="00A64CBE">
        <w:rPr>
          <w:rFonts w:eastAsia="Helvetica Neue"/>
          <w:vertAlign w:val="superscript"/>
        </w:rPr>
        <w:endnoteReference w:id="352"/>
      </w:r>
    </w:p>
    <w:p w14:paraId="69B661F2" w14:textId="77777777" w:rsidR="00952028" w:rsidRPr="00970569" w:rsidRDefault="00952028" w:rsidP="006E6012">
      <w:pPr>
        <w:pStyle w:val="ListParagraph"/>
        <w:numPr>
          <w:ilvl w:val="0"/>
          <w:numId w:val="75"/>
        </w:numPr>
        <w:rPr>
          <w:rFonts w:eastAsia="Helvetica Neue"/>
          <w:u w:val="single"/>
        </w:rPr>
      </w:pPr>
      <w:r w:rsidRPr="00970569">
        <w:rPr>
          <w:rFonts w:eastAsia="Helvetica Neue"/>
        </w:rPr>
        <w:t xml:space="preserve">Conduct a review of social benefits to identify those that have mandatory or conditional components that can make them unavailable to women and young persons with disabilities. Advocate accordingly to make such services available to women and young persons with disabilities. </w:t>
      </w:r>
    </w:p>
    <w:p w14:paraId="4D6035CA" w14:textId="5B8695BD" w:rsidR="00952028" w:rsidRPr="00970569" w:rsidRDefault="00952028" w:rsidP="006E6012">
      <w:pPr>
        <w:pStyle w:val="ListParagraph"/>
        <w:numPr>
          <w:ilvl w:val="0"/>
          <w:numId w:val="75"/>
        </w:numPr>
        <w:rPr>
          <w:rFonts w:eastAsia="Helvetica Neue"/>
        </w:rPr>
      </w:pPr>
      <w:r w:rsidRPr="00970569">
        <w:rPr>
          <w:rFonts w:eastAsia="Helvetica Neue"/>
        </w:rPr>
        <w:t>Where appropriate, offer individualized and group counselling led by professionals trained in working with women and young persons with disabilities who have experienced GBV.</w:t>
      </w:r>
      <w:r w:rsidRPr="00A64CBE">
        <w:rPr>
          <w:rFonts w:eastAsia="Helvetica Neue"/>
          <w:vertAlign w:val="superscript"/>
        </w:rPr>
        <w:endnoteReference w:id="353"/>
      </w:r>
    </w:p>
    <w:p w14:paraId="354BC220" w14:textId="7841AD75" w:rsidR="00952028" w:rsidRPr="00970569" w:rsidRDefault="00952028" w:rsidP="00970569">
      <w:pPr>
        <w:pStyle w:val="Heading4"/>
        <w:spacing w:before="480"/>
        <w:rPr>
          <w:rFonts w:eastAsia="Helvetica Neue"/>
        </w:rPr>
      </w:pPr>
      <w:r w:rsidRPr="00970569">
        <w:rPr>
          <w:rFonts w:eastAsia="Helvetica Neue"/>
        </w:rPr>
        <w:t>Guidelines for Action: Accessibility</w:t>
      </w:r>
    </w:p>
    <w:p w14:paraId="36632682" w14:textId="77777777" w:rsidR="00952028" w:rsidRPr="00970569" w:rsidRDefault="00952028" w:rsidP="006E6012">
      <w:pPr>
        <w:pStyle w:val="ListParagraph"/>
        <w:numPr>
          <w:ilvl w:val="0"/>
          <w:numId w:val="76"/>
        </w:numPr>
        <w:rPr>
          <w:rFonts w:eastAsia="Helvetica Neue"/>
          <w:u w:val="single"/>
        </w:rPr>
      </w:pPr>
      <w:r w:rsidRPr="00970569">
        <w:rPr>
          <w:rFonts w:eastAsia="Helvetica Neue"/>
        </w:rPr>
        <w:t xml:space="preserve">Create one-stop spaces where women and young persons with disabilities can get information and receive rehabilitation services in a comfortable setting that feels safe and supportive. </w:t>
      </w:r>
    </w:p>
    <w:p w14:paraId="14C91DC0" w14:textId="77777777" w:rsidR="00952028" w:rsidRPr="00970569" w:rsidRDefault="00952028" w:rsidP="006E6012">
      <w:pPr>
        <w:pStyle w:val="ListParagraph"/>
        <w:numPr>
          <w:ilvl w:val="0"/>
          <w:numId w:val="76"/>
        </w:numPr>
        <w:rPr>
          <w:rFonts w:eastAsia="Helvetica Neue"/>
        </w:rPr>
      </w:pPr>
      <w:r w:rsidRPr="00970569">
        <w:rPr>
          <w:rFonts w:eastAsia="Helvetica Neue"/>
        </w:rPr>
        <w:lastRenderedPageBreak/>
        <w:t>Develop safe and effective ways to distribute accessible information about rehabilitation services to women and young persons with disabilities at risk of or experiencing gender-based violence. Identify specific entry points for young persons with disabilities to learn about and access rehabilitation services. Adult victims/survivors with and without disabilities can serve important roles as mentors and advocates for young victims/survivors.</w:t>
      </w:r>
    </w:p>
    <w:p w14:paraId="0286FE09" w14:textId="77777777" w:rsidR="00952028" w:rsidRPr="00970569" w:rsidRDefault="00952028" w:rsidP="006E6012">
      <w:pPr>
        <w:pStyle w:val="ListParagraph"/>
        <w:numPr>
          <w:ilvl w:val="1"/>
          <w:numId w:val="76"/>
        </w:numPr>
        <w:rPr>
          <w:rFonts w:eastAsia="Helvetica Neue"/>
        </w:rPr>
      </w:pPr>
      <w:r w:rsidRPr="00970569">
        <w:rPr>
          <w:rFonts w:eastAsia="Helvetica Neue"/>
          <w:b/>
        </w:rPr>
        <w:t>Example:</w:t>
      </w:r>
      <w:r w:rsidRPr="00970569">
        <w:rPr>
          <w:rFonts w:eastAsia="Helvetica Neue"/>
        </w:rPr>
        <w:t xml:space="preserve"> The Illinois Imagines Project worked with self-advocates to develop the </w:t>
      </w:r>
      <w:r w:rsidRPr="00970569">
        <w:rPr>
          <w:rFonts w:eastAsia="Helvetica Neue"/>
          <w:b/>
        </w:rPr>
        <w:t>‘Our Rights, Right Now: Women with Disabilities and Sexual Violence Education Guide</w:t>
      </w:r>
      <w:r w:rsidRPr="004B4BB2">
        <w:rPr>
          <w:rFonts w:eastAsia="Helvetica Neue"/>
          <w:b/>
        </w:rPr>
        <w:t>’</w:t>
      </w:r>
      <w:r w:rsidRPr="00970569">
        <w:rPr>
          <w:rFonts w:eastAsia="Helvetica Neue"/>
        </w:rPr>
        <w:t xml:space="preserve">. The guide offers a basic overview of sexual violence and </w:t>
      </w:r>
      <w:r w:rsidRPr="00970569">
        <w:rPr>
          <w:rFonts w:eastAsia="Helvetica Neue"/>
          <w:highlight w:val="white"/>
        </w:rPr>
        <w:t>rights related to sexuality</w:t>
      </w:r>
      <w:r w:rsidRPr="00970569">
        <w:rPr>
          <w:rFonts w:eastAsia="Helvetica Neue"/>
        </w:rPr>
        <w:t xml:space="preserve"> with respect to women with disabilities, and then provides guidance, information, and handouts for facilitating education sessions for women with disabilities on healthy relationships, healthy sexuality, sexual violence risk reduction, and how to get help.</w:t>
      </w:r>
      <w:r w:rsidRPr="002D0897">
        <w:rPr>
          <w:rFonts w:eastAsia="Helvetica Neue"/>
          <w:vertAlign w:val="superscript"/>
        </w:rPr>
        <w:endnoteReference w:id="354"/>
      </w:r>
      <w:r w:rsidRPr="00970569">
        <w:rPr>
          <w:rFonts w:eastAsia="Helvetica Neue"/>
        </w:rPr>
        <w:t xml:space="preserve"> </w:t>
      </w:r>
    </w:p>
    <w:p w14:paraId="2A58F48A" w14:textId="531E51F0" w:rsidR="00952028" w:rsidRPr="00970569" w:rsidRDefault="00952028" w:rsidP="006E6012">
      <w:pPr>
        <w:pStyle w:val="ListParagraph"/>
        <w:numPr>
          <w:ilvl w:val="0"/>
          <w:numId w:val="76"/>
        </w:numPr>
        <w:rPr>
          <w:rFonts w:eastAsia="Helvetica Neue"/>
        </w:rPr>
      </w:pPr>
      <w:r w:rsidRPr="00970569">
        <w:rPr>
          <w:rFonts w:eastAsia="Helvetica Neue"/>
        </w:rPr>
        <w:t>Facilitate access to social services programmes that provide independent caregiving. Prioritize access to programmes that promote economic independence and control. Also, assist with access to income assistance and other social protection programmes where needed.</w:t>
      </w:r>
      <w:r w:rsidRPr="00A64CBE">
        <w:rPr>
          <w:rFonts w:eastAsia="Helvetica Neue"/>
          <w:vertAlign w:val="superscript"/>
        </w:rPr>
        <w:endnoteReference w:id="355"/>
      </w:r>
    </w:p>
    <w:p w14:paraId="66F5D1AE" w14:textId="0AA85259" w:rsidR="00952028" w:rsidRPr="00970569" w:rsidRDefault="00952028" w:rsidP="00970569">
      <w:pPr>
        <w:pStyle w:val="Heading4"/>
        <w:spacing w:before="480"/>
        <w:rPr>
          <w:rFonts w:eastAsia="Helvetica Neue"/>
        </w:rPr>
      </w:pPr>
      <w:r w:rsidRPr="00970569">
        <w:rPr>
          <w:rFonts w:eastAsia="Helvetica Neue"/>
        </w:rPr>
        <w:t>Guidelines for Action: Acceptability</w:t>
      </w:r>
    </w:p>
    <w:p w14:paraId="7F79F65F" w14:textId="77777777" w:rsidR="00952028" w:rsidRPr="00970569" w:rsidRDefault="00952028" w:rsidP="006E6012">
      <w:pPr>
        <w:pStyle w:val="ListParagraph"/>
        <w:numPr>
          <w:ilvl w:val="0"/>
          <w:numId w:val="77"/>
        </w:numPr>
        <w:rPr>
          <w:rFonts w:eastAsia="Helvetica Neue"/>
        </w:rPr>
      </w:pPr>
      <w:r w:rsidRPr="00970569">
        <w:rPr>
          <w:rFonts w:eastAsia="Helvetica Neue"/>
        </w:rPr>
        <w:t>Train all</w:t>
      </w:r>
      <w:r w:rsidRPr="00970569">
        <w:rPr>
          <w:rFonts w:eastAsia="Helvetica Neue"/>
          <w:i/>
        </w:rPr>
        <w:t xml:space="preserve"> </w:t>
      </w:r>
      <w:r w:rsidRPr="00970569">
        <w:rPr>
          <w:rFonts w:eastAsia="Helvetica Neue"/>
        </w:rPr>
        <w:t>service providers, support staff, and programme participants on preventing re-traumatization, from the receptionist to the peers in a peer-support group. In providing mental health services, the principle of ‘do no harm’ is paramount. Providers, staff, and participants must ensure they do not blame the victim/survivor, must listen with compassion, must not espouse harmful gender or disability norms that belittle the victim/survivor or normalize GBV, must assess danger, and must assist with safety planning.</w:t>
      </w:r>
      <w:r w:rsidRPr="00A64CBE">
        <w:rPr>
          <w:rFonts w:eastAsia="Helvetica Neue"/>
          <w:vertAlign w:val="superscript"/>
        </w:rPr>
        <w:endnoteReference w:id="356"/>
      </w:r>
      <w:r w:rsidRPr="00970569">
        <w:rPr>
          <w:rFonts w:eastAsia="Helvetica Neue"/>
        </w:rPr>
        <w:t xml:space="preserve"> Ensure that services are delivered in a way that is compassionate and non-judgmental and clearly conveys the message that violence is never deserved and that women and young persons with disabilities have the right to live free of violence.</w:t>
      </w:r>
      <w:r w:rsidRPr="00A64CBE">
        <w:rPr>
          <w:rFonts w:eastAsia="Helvetica Neue"/>
          <w:vertAlign w:val="superscript"/>
        </w:rPr>
        <w:endnoteReference w:id="357"/>
      </w:r>
    </w:p>
    <w:p w14:paraId="04ED8583" w14:textId="77777777" w:rsidR="00952028" w:rsidRPr="00970569" w:rsidRDefault="00952028" w:rsidP="006E6012">
      <w:pPr>
        <w:pStyle w:val="ListParagraph"/>
        <w:numPr>
          <w:ilvl w:val="1"/>
          <w:numId w:val="77"/>
        </w:numPr>
        <w:rPr>
          <w:rFonts w:eastAsia="Helvetica Neue"/>
        </w:rPr>
      </w:pPr>
      <w:r w:rsidRPr="00970569">
        <w:rPr>
          <w:rFonts w:eastAsia="Helvetica Neue"/>
          <w:b/>
        </w:rPr>
        <w:t>Example:</w:t>
      </w:r>
      <w:r w:rsidRPr="00970569">
        <w:rPr>
          <w:rFonts w:eastAsia="Helvetica Neue"/>
        </w:rPr>
        <w:t xml:space="preserve"> The </w:t>
      </w:r>
      <w:r w:rsidRPr="00970569">
        <w:rPr>
          <w:rFonts w:eastAsia="Helvetica Neue"/>
          <w:highlight w:val="white"/>
        </w:rPr>
        <w:t>Wisconsin’s Violence Against Women with Disabilities and Deaf Women Project</w:t>
      </w:r>
      <w:r w:rsidRPr="00970569">
        <w:rPr>
          <w:rFonts w:eastAsia="Helvetica Neue"/>
        </w:rPr>
        <w:t xml:space="preserve"> developed </w:t>
      </w:r>
      <w:r w:rsidRPr="00970569">
        <w:rPr>
          <w:rFonts w:eastAsia="Helvetica Neue"/>
          <w:b/>
        </w:rPr>
        <w:t>‘A Practical Guide for Creating Trauma- Informed Disability, Domestic Violence and Sexual Assault Organization’</w:t>
      </w:r>
      <w:r w:rsidRPr="00970569">
        <w:rPr>
          <w:rFonts w:eastAsia="Helvetica Neue"/>
        </w:rPr>
        <w:t>. The guide covers positive trauma-informed conditions and values that survivors/victims with disabilities prioritize for safety and healing.</w:t>
      </w:r>
      <w:r w:rsidRPr="002D0897">
        <w:rPr>
          <w:rFonts w:eastAsia="Helvetica Neue"/>
          <w:vertAlign w:val="superscript"/>
        </w:rPr>
        <w:endnoteReference w:id="358"/>
      </w:r>
      <w:r w:rsidRPr="00970569">
        <w:rPr>
          <w:rFonts w:eastAsia="Helvetica Neue"/>
        </w:rPr>
        <w:t xml:space="preserve"> </w:t>
      </w:r>
    </w:p>
    <w:p w14:paraId="2727B4C1" w14:textId="77777777" w:rsidR="00952028" w:rsidRPr="00970569" w:rsidRDefault="00952028" w:rsidP="006E6012">
      <w:pPr>
        <w:pStyle w:val="ListParagraph"/>
        <w:numPr>
          <w:ilvl w:val="0"/>
          <w:numId w:val="77"/>
        </w:numPr>
        <w:rPr>
          <w:rFonts w:eastAsia="Helvetica Neue"/>
          <w:u w:val="single"/>
        </w:rPr>
      </w:pPr>
      <w:r w:rsidRPr="00970569">
        <w:rPr>
          <w:rFonts w:eastAsia="Helvetica Neue"/>
        </w:rPr>
        <w:t xml:space="preserve">Train mental health service providers on the specific skills required for counselling for women and young persons with various disabilities, particularly persons with intellectual disabilities, communication difficulties, or acute mental health disabilities. Training should include services beyond talk therapy. </w:t>
      </w:r>
    </w:p>
    <w:p w14:paraId="394E1280" w14:textId="77777777" w:rsidR="00952028" w:rsidRPr="00970569" w:rsidRDefault="00952028" w:rsidP="006E6012">
      <w:pPr>
        <w:pStyle w:val="ListParagraph"/>
        <w:numPr>
          <w:ilvl w:val="0"/>
          <w:numId w:val="77"/>
        </w:numPr>
        <w:rPr>
          <w:rFonts w:eastAsia="Helvetica Neue"/>
          <w:u w:val="single"/>
        </w:rPr>
      </w:pPr>
      <w:r w:rsidRPr="00970569">
        <w:rPr>
          <w:rFonts w:eastAsia="Helvetica Neue"/>
        </w:rPr>
        <w:t>Create programmes and resources to help a woman or young person with a disability gain control over their financial assets and separate themselves financially from an abuser who previously held financial control.</w:t>
      </w:r>
    </w:p>
    <w:p w14:paraId="462129AD" w14:textId="6B6A4F5A" w:rsidR="00952028" w:rsidRPr="00970569" w:rsidRDefault="00952028" w:rsidP="006E6012">
      <w:pPr>
        <w:pStyle w:val="ListParagraph"/>
        <w:numPr>
          <w:ilvl w:val="0"/>
          <w:numId w:val="77"/>
        </w:numPr>
        <w:rPr>
          <w:rFonts w:eastAsia="Helvetica Neue"/>
        </w:rPr>
      </w:pPr>
      <w:r w:rsidRPr="00970569">
        <w:rPr>
          <w:rFonts w:eastAsia="Helvetica Neue"/>
        </w:rPr>
        <w:t>Train case coordinators on unpacking specific considerations for women and young persons with disabilities and good management, advocacy, communication, and other soft skills. Case coordinators are crucial to helping victims/survivors navigate the different services available.</w:t>
      </w:r>
    </w:p>
    <w:p w14:paraId="00F9D341" w14:textId="514A935A" w:rsidR="00970569" w:rsidRPr="00970569" w:rsidRDefault="00A34370" w:rsidP="00CD00E1">
      <w:pPr>
        <w:pStyle w:val="Heading4"/>
        <w:ind w:hanging="90"/>
        <w:rPr>
          <w:rFonts w:eastAsia="Helvetica Neue"/>
          <w:iCs/>
        </w:rPr>
      </w:pPr>
      <w:r w:rsidRPr="00A6697D">
        <w:rPr>
          <w:noProof/>
        </w:rPr>
        <w:lastRenderedPageBreak/>
        <mc:AlternateContent>
          <mc:Choice Requires="wps">
            <w:drawing>
              <wp:inline distT="0" distB="0" distL="0" distR="0" wp14:anchorId="56A7E593" wp14:editId="472E2F09">
                <wp:extent cx="5943600" cy="0"/>
                <wp:effectExtent l="0" t="38100" r="25400" b="38100"/>
                <wp:docPr id="33" name="Straight Connector 33" descr="Text box follows"/>
                <wp:cNvGraphicFramePr/>
                <a:graphic xmlns:a="http://schemas.openxmlformats.org/drawingml/2006/main">
                  <a:graphicData uri="http://schemas.microsoft.com/office/word/2010/wordprocessingShape">
                    <wps:wsp>
                      <wps:cNvCnPr/>
                      <wps:spPr>
                        <a:xfrm>
                          <a:off x="0" y="0"/>
                          <a:ext cx="5943600" cy="0"/>
                        </a:xfrm>
                        <a:prstGeom prst="line">
                          <a:avLst/>
                        </a:prstGeom>
                        <a:ln w="76200">
                          <a:solidFill>
                            <a:schemeClr val="bg2">
                              <a:lumMod val="50000"/>
                            </a:schemeClr>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3886140B" id="Straight Connector 33" o:spid="_x0000_s1026" alt="Text box foll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" strokecolor="#938953 [1614]" strokeweight="6pt">
                <w10:anchorlock/>
              </v:line>
            </w:pict>
          </mc:Fallback>
        </mc:AlternateContent>
      </w:r>
      <w:r>
        <w:rPr>
          <w:rFonts w:eastAsia="Helvetica Neue"/>
          <w:iCs/>
          <w:color w:val="943634" w:themeColor="accent2" w:themeShade="BF"/>
          <w:sz w:val="32"/>
          <w:szCs w:val="32"/>
        </w:rPr>
        <w:br/>
      </w:r>
      <w:r w:rsidRPr="00A34370">
        <w:rPr>
          <w:rFonts w:eastAsia="Helvetica Neue"/>
          <w:iCs/>
          <w:color w:val="943634" w:themeColor="accent2" w:themeShade="BF"/>
          <w:sz w:val="16"/>
          <w:szCs w:val="16"/>
        </w:rPr>
        <w:br/>
      </w:r>
      <w:r w:rsidR="00952028" w:rsidRPr="00CD00E1">
        <w:rPr>
          <w:rFonts w:eastAsia="Helvetica Neue"/>
          <w:iCs/>
          <w:color w:val="948A54" w:themeColor="background2" w:themeShade="80"/>
          <w:sz w:val="32"/>
          <w:szCs w:val="32"/>
        </w:rPr>
        <w:t>Putting it into Practice</w:t>
      </w:r>
      <w:r w:rsidR="00CE152F">
        <w:rPr>
          <w:rFonts w:eastAsia="Helvetica Neue"/>
          <w:iCs/>
          <w:color w:val="948A54" w:themeColor="background2" w:themeShade="80"/>
          <w:sz w:val="32"/>
          <w:szCs w:val="32"/>
        </w:rPr>
        <w:t xml:space="preserve">: </w:t>
      </w:r>
      <w:r w:rsidR="00952028" w:rsidRPr="00CD00E1">
        <w:rPr>
          <w:rFonts w:eastAsia="Helvetica Neue"/>
          <w:iCs/>
          <w:color w:val="948A54" w:themeColor="background2" w:themeShade="80"/>
          <w:sz w:val="32"/>
          <w:szCs w:val="32"/>
        </w:rPr>
        <w:t>Tools and resources for working with victims/survivors with disabilities</w:t>
      </w:r>
    </w:p>
    <w:p w14:paraId="59DE7F68" w14:textId="34E64535" w:rsidR="00952028" w:rsidRPr="00A64CBE" w:rsidRDefault="00952028" w:rsidP="00970569">
      <w:pPr>
        <w:rPr>
          <w:rFonts w:eastAsia="Helvetica Neue"/>
        </w:rPr>
      </w:pPr>
      <w:r w:rsidRPr="00A64CBE">
        <w:rPr>
          <w:rFonts w:eastAsia="Helvetica Neue"/>
        </w:rPr>
        <w:t xml:space="preserve">The Women’s Refugee Commission and the International Rescue Committee’s </w:t>
      </w:r>
      <w:r w:rsidRPr="0018197A">
        <w:rPr>
          <w:rFonts w:eastAsia="Helvetica Neue"/>
        </w:rPr>
        <w:t>‘</w:t>
      </w:r>
      <w:r w:rsidRPr="00970569">
        <w:rPr>
          <w:rFonts w:eastAsia="Helvetica Neue"/>
          <w:b/>
          <w:bCs/>
        </w:rPr>
        <w:t>Building Capacity for Disability Inclusion in Gender-Based Violence Programming in Humanitarian Settings: A Toolkit for GBV Practitioners’</w:t>
      </w:r>
      <w:r w:rsidRPr="00A64CBE">
        <w:rPr>
          <w:rFonts w:eastAsia="Helvetica Neue"/>
          <w:vertAlign w:val="superscript"/>
        </w:rPr>
        <w:endnoteReference w:id="359"/>
      </w:r>
      <w:r w:rsidRPr="00A64CBE">
        <w:rPr>
          <w:rFonts w:eastAsia="Helvetica Neue"/>
        </w:rPr>
        <w:t xml:space="preserve"> offers important guidance and practical tools for GBV case coordinators working with victims/survivors with disabilities. Although these documents are written for the humanitarian context, they offer useful guidance for service providers and support staff in all settings, especially low-resource settings. </w:t>
      </w:r>
    </w:p>
    <w:p w14:paraId="446178A0" w14:textId="77777777" w:rsidR="00952028" w:rsidRPr="00A64CBE" w:rsidRDefault="00952028" w:rsidP="006E6012">
      <w:pPr>
        <w:pStyle w:val="ListParagraph"/>
        <w:numPr>
          <w:ilvl w:val="0"/>
          <w:numId w:val="78"/>
        </w:numPr>
      </w:pPr>
      <w:r w:rsidRPr="00970569">
        <w:rPr>
          <w:rFonts w:eastAsia="Helvetica Neue"/>
        </w:rPr>
        <w:t xml:space="preserve">Applying guiding principles when working with victims/survivors of disabilities—This tool has been developed to support GBV case coordinators to uphold a survivor-centred approach to working with gender-based violence victims/survivors with disabilities. It summarizes guiding principles for working with GBV victims/survivors and highlights adaptations relating to communication and caregiver involvement that should be considered throughout the case-management process. </w:t>
      </w:r>
    </w:p>
    <w:p w14:paraId="6A5D77F3" w14:textId="7229B3B1" w:rsidR="00952028" w:rsidRPr="00A64CBE" w:rsidRDefault="00952028" w:rsidP="006E6012">
      <w:pPr>
        <w:pStyle w:val="ListParagraph"/>
        <w:numPr>
          <w:ilvl w:val="0"/>
          <w:numId w:val="78"/>
        </w:numPr>
      </w:pPr>
      <w:r w:rsidRPr="00970569">
        <w:rPr>
          <w:rFonts w:eastAsia="Helvetica Neue"/>
        </w:rPr>
        <w:t xml:space="preserve">Guidance on communicating with </w:t>
      </w:r>
      <w:r w:rsidR="00814A44">
        <w:rPr>
          <w:rFonts w:eastAsia="Helvetica Neue"/>
        </w:rPr>
        <w:t>persons</w:t>
      </w:r>
      <w:r w:rsidR="00814A44" w:rsidRPr="00970569">
        <w:rPr>
          <w:rFonts w:eastAsia="Helvetica Neue"/>
        </w:rPr>
        <w:t xml:space="preserve"> </w:t>
      </w:r>
      <w:r w:rsidRPr="00970569">
        <w:rPr>
          <w:rFonts w:eastAsia="Helvetica Neue"/>
        </w:rPr>
        <w:t xml:space="preserve">with disabilities—This tool provides simple tips and advice for GBV practitioners on interacting and communicating with people with different types of impairments. </w:t>
      </w:r>
    </w:p>
    <w:p w14:paraId="1ECF9FB6" w14:textId="77777777" w:rsidR="00952028" w:rsidRPr="00A64CBE" w:rsidRDefault="00952028" w:rsidP="007B7686">
      <w:pPr>
        <w:pStyle w:val="ListParagraph"/>
        <w:numPr>
          <w:ilvl w:val="0"/>
          <w:numId w:val="78"/>
        </w:numPr>
        <w:ind w:right="-540"/>
      </w:pPr>
      <w:r w:rsidRPr="00970569">
        <w:rPr>
          <w:rFonts w:eastAsia="Helvetica Neue"/>
        </w:rPr>
        <w:t xml:space="preserve">Informed consent process with adult victims/survivors with disabilities—This tool outlines steps to take in the informed consent process with adult victims/survivors and strategies to try when communication methods or understanding and comprehension are difficult to determine. </w:t>
      </w:r>
    </w:p>
    <w:p w14:paraId="1E2EDB51" w14:textId="77777777" w:rsidR="00952028" w:rsidRPr="00A64CBE" w:rsidRDefault="00952028" w:rsidP="006E6012">
      <w:pPr>
        <w:pStyle w:val="ListParagraph"/>
        <w:numPr>
          <w:ilvl w:val="0"/>
          <w:numId w:val="78"/>
        </w:numPr>
      </w:pPr>
      <w:r w:rsidRPr="00970569">
        <w:rPr>
          <w:rFonts w:eastAsia="Helvetica Neue"/>
        </w:rPr>
        <w:t xml:space="preserve">Working with caregivers of victims/survivors with disabilities—This tool offers guidance on how to approach working with caregivers of victims/survivors with disabilities to ensure the rights of the victim/survivor are respected, and that positive relationships are strengthened. </w:t>
      </w:r>
    </w:p>
    <w:p w14:paraId="1C76C1A2" w14:textId="12EF31DB" w:rsidR="00A34370" w:rsidRPr="00A87A9E" w:rsidRDefault="00A34370" w:rsidP="00CE152F">
      <w:pPr>
        <w:ind w:hanging="90"/>
      </w:pPr>
      <w:r w:rsidRPr="00A6697D">
        <w:rPr>
          <w:noProof/>
        </w:rPr>
        <mc:AlternateContent>
          <mc:Choice Requires="wps">
            <w:drawing>
              <wp:inline distT="0" distB="0" distL="0" distR="0" wp14:anchorId="7D585567" wp14:editId="0CC65C26">
                <wp:extent cx="5943600" cy="0"/>
                <wp:effectExtent l="0" t="12700" r="25400" b="25400"/>
                <wp:docPr id="45" name="Straight Connector 45" descr="Text box ends"/>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chemeClr val="bg2">
                              <a:lumMod val="50000"/>
                            </a:schemeClr>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610DDE05" id="Straight Connector 45" o:spid="_x0000_s1026" alt="Text box end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" strokecolor="#938953 [1614]" strokeweight="3pt">
                <w10:anchorlock/>
              </v:line>
            </w:pict>
          </mc:Fallback>
        </mc:AlternateContent>
      </w:r>
    </w:p>
    <w:p w14:paraId="4EF65C14" w14:textId="766BE916" w:rsidR="00952028" w:rsidRPr="00970569" w:rsidRDefault="00952028" w:rsidP="00970569">
      <w:pPr>
        <w:pStyle w:val="Heading4"/>
        <w:spacing w:before="480"/>
        <w:rPr>
          <w:rFonts w:eastAsia="Helvetica Neue"/>
        </w:rPr>
      </w:pPr>
      <w:r w:rsidRPr="00970569">
        <w:rPr>
          <w:rFonts w:eastAsia="Helvetica Neue"/>
        </w:rPr>
        <w:t xml:space="preserve">Guidelines for Action: Quality </w:t>
      </w:r>
    </w:p>
    <w:p w14:paraId="5C37555D" w14:textId="77777777" w:rsidR="00952028" w:rsidRPr="00970569" w:rsidRDefault="00952028" w:rsidP="006E6012">
      <w:pPr>
        <w:pStyle w:val="ListParagraph"/>
        <w:numPr>
          <w:ilvl w:val="0"/>
          <w:numId w:val="79"/>
        </w:numPr>
        <w:rPr>
          <w:rFonts w:eastAsia="Helvetica Neue"/>
        </w:rPr>
      </w:pPr>
      <w:r w:rsidRPr="00970569">
        <w:rPr>
          <w:rFonts w:eastAsia="Helvetica Neue"/>
        </w:rPr>
        <w:t>Ensure that service providers are trained to identify the level and type of harm an incoming victim/survivor has experienced and assess their capacity to offer the appropriate rehabilitation services for the level and type of harm suffered. Effective referrals must be available where a provider cannot offer the level of services required. Develop robust referral networks to make appropriate referrals.</w:t>
      </w:r>
    </w:p>
    <w:p w14:paraId="51D2B26A" w14:textId="14F5AC10" w:rsidR="00952028" w:rsidRPr="00970569" w:rsidRDefault="00952028" w:rsidP="006E6012">
      <w:pPr>
        <w:pStyle w:val="ListParagraph"/>
        <w:numPr>
          <w:ilvl w:val="0"/>
          <w:numId w:val="79"/>
        </w:numPr>
        <w:rPr>
          <w:rFonts w:eastAsia="Helvetica Neue"/>
          <w:u w:val="single"/>
        </w:rPr>
      </w:pPr>
      <w:r w:rsidRPr="00970569">
        <w:rPr>
          <w:rFonts w:eastAsia="Helvetica Neue"/>
        </w:rPr>
        <w:t>Facilitate and offer support needed to access</w:t>
      </w:r>
      <w:r w:rsidRPr="00970569">
        <w:rPr>
          <w:rFonts w:eastAsia="Helvetica Neue"/>
          <w:b/>
        </w:rPr>
        <w:t xml:space="preserve"> </w:t>
      </w:r>
      <w:r w:rsidRPr="00970569">
        <w:rPr>
          <w:rFonts w:eastAsia="Helvetica Neue"/>
        </w:rPr>
        <w:t xml:space="preserve">justice mechanisms. Counsellors and psychologists should be knowledgeable about these processes and prepared to offer expert opinions in any judicial proceedings, as needed. For more information, see </w:t>
      </w:r>
      <w:hyperlink w:anchor="GBVjustice" w:history="1">
        <w:r w:rsidRPr="00970569">
          <w:rPr>
            <w:rStyle w:val="Hyperlink"/>
            <w:rFonts w:eastAsia="Helvetica Neue"/>
          </w:rPr>
          <w:t>Justice and Policing Services (Section 3.5).</w:t>
        </w:r>
      </w:hyperlink>
      <w:r w:rsidRPr="00970569">
        <w:rPr>
          <w:rFonts w:eastAsia="Helvetica Neue"/>
          <w:b/>
          <w:color w:val="000000" w:themeColor="text1"/>
        </w:rPr>
        <w:t xml:space="preserve"> </w:t>
      </w:r>
    </w:p>
    <w:p w14:paraId="1B138059" w14:textId="77777777" w:rsidR="00952028" w:rsidRPr="00970569" w:rsidRDefault="00952028" w:rsidP="006E6012">
      <w:pPr>
        <w:pStyle w:val="ListParagraph"/>
        <w:numPr>
          <w:ilvl w:val="0"/>
          <w:numId w:val="79"/>
        </w:numPr>
        <w:rPr>
          <w:rFonts w:eastAsia="Helvetica Neue"/>
        </w:rPr>
      </w:pPr>
      <w:r w:rsidRPr="00970569">
        <w:rPr>
          <w:rFonts w:eastAsia="Helvetica Neue"/>
        </w:rPr>
        <w:t>Where resources allow, ensure that women and young persons with disabilities have access to a minimum number of support or counselling sessions, recognizing that people with communication or intellectual disabilities may require additional or extended sessions.</w:t>
      </w:r>
      <w:r w:rsidRPr="00A64CBE">
        <w:rPr>
          <w:rFonts w:eastAsia="Helvetica Neue"/>
          <w:vertAlign w:val="superscript"/>
        </w:rPr>
        <w:endnoteReference w:id="360"/>
      </w:r>
      <w:r w:rsidRPr="00970569">
        <w:rPr>
          <w:rFonts w:eastAsia="Helvetica Neue"/>
        </w:rPr>
        <w:t xml:space="preserve"> </w:t>
      </w:r>
    </w:p>
    <w:p w14:paraId="562FA920" w14:textId="77777777" w:rsidR="00952028" w:rsidRPr="00970569" w:rsidRDefault="00952028" w:rsidP="006E6012">
      <w:pPr>
        <w:pStyle w:val="ListParagraph"/>
        <w:numPr>
          <w:ilvl w:val="0"/>
          <w:numId w:val="79"/>
        </w:numPr>
        <w:rPr>
          <w:rFonts w:eastAsia="Helvetica Neue"/>
        </w:rPr>
      </w:pPr>
      <w:r w:rsidRPr="00970569">
        <w:rPr>
          <w:rFonts w:eastAsia="Helvetica Neue"/>
        </w:rPr>
        <w:lastRenderedPageBreak/>
        <w:t>Where possible, offer continued support for holistic recovery</w:t>
      </w:r>
      <w:r w:rsidRPr="00970569">
        <w:rPr>
          <w:rFonts w:eastAsia="Helvetica Neue"/>
          <w:b/>
        </w:rPr>
        <w:t xml:space="preserve"> </w:t>
      </w:r>
      <w:r w:rsidRPr="00970569">
        <w:rPr>
          <w:rFonts w:eastAsia="Helvetica Neue"/>
        </w:rPr>
        <w:t>for a minimum of six months.</w:t>
      </w:r>
      <w:r w:rsidRPr="00A64CBE">
        <w:rPr>
          <w:rFonts w:eastAsia="Helvetica Neue"/>
          <w:vertAlign w:val="superscript"/>
        </w:rPr>
        <w:endnoteReference w:id="361"/>
      </w:r>
    </w:p>
    <w:p w14:paraId="02D1D2E9" w14:textId="3D2FEC55" w:rsidR="00A87A9E" w:rsidRDefault="00A34370" w:rsidP="00CE152F">
      <w:pPr>
        <w:pStyle w:val="Heading4"/>
        <w:spacing w:before="480"/>
        <w:ind w:hanging="90"/>
        <w:rPr>
          <w:rFonts w:eastAsia="Helvetica Neue"/>
        </w:rPr>
      </w:pPr>
      <w:r w:rsidRPr="00A6697D">
        <w:rPr>
          <w:noProof/>
        </w:rPr>
        <mc:AlternateContent>
          <mc:Choice Requires="wps">
            <w:drawing>
              <wp:inline distT="0" distB="0" distL="0" distR="0" wp14:anchorId="73BC1A9C" wp14:editId="728A47A0">
                <wp:extent cx="5943600" cy="0"/>
                <wp:effectExtent l="0" t="38100" r="25400" b="38100"/>
                <wp:docPr id="46" name="Straight Connector 46" descr="Text box follows"/>
                <wp:cNvGraphicFramePr/>
                <a:graphic xmlns:a="http://schemas.openxmlformats.org/drawingml/2006/main">
                  <a:graphicData uri="http://schemas.microsoft.com/office/word/2010/wordprocessingShape">
                    <wps:wsp>
                      <wps:cNvCnPr/>
                      <wps:spPr>
                        <a:xfrm>
                          <a:off x="0" y="0"/>
                          <a:ext cx="5943600" cy="0"/>
                        </a:xfrm>
                        <a:prstGeom prst="line">
                          <a:avLst/>
                        </a:prstGeom>
                        <a:ln w="76200">
                          <a:solidFill>
                            <a:schemeClr val="bg2">
                              <a:lumMod val="50000"/>
                            </a:schemeClr>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1C7F7E84" id="Straight Connector 46" o:spid="_x0000_s1026" alt="Text box foll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" strokecolor="#938953 [1614]" strokeweight="6pt">
                <w10:anchorlock/>
              </v:line>
            </w:pict>
          </mc:Fallback>
        </mc:AlternateContent>
      </w:r>
      <w:r>
        <w:rPr>
          <w:rFonts w:eastAsia="Helvetica Neue"/>
          <w:color w:val="943634" w:themeColor="accent2" w:themeShade="BF"/>
          <w:sz w:val="32"/>
          <w:szCs w:val="32"/>
        </w:rPr>
        <w:br/>
      </w:r>
      <w:r w:rsidRPr="00A34370">
        <w:rPr>
          <w:rFonts w:eastAsia="Helvetica Neue"/>
          <w:color w:val="943634" w:themeColor="accent2" w:themeShade="BF"/>
          <w:sz w:val="16"/>
          <w:szCs w:val="16"/>
        </w:rPr>
        <w:br/>
      </w:r>
      <w:r w:rsidR="00952028" w:rsidRPr="00CE152F">
        <w:rPr>
          <w:rFonts w:eastAsia="Helvetica Neue"/>
          <w:color w:val="948A54" w:themeColor="background2" w:themeShade="80"/>
          <w:sz w:val="32"/>
          <w:szCs w:val="32"/>
        </w:rPr>
        <w:t>Putting it into Practice</w:t>
      </w:r>
      <w:r w:rsidR="00CE152F" w:rsidRPr="00CE152F">
        <w:rPr>
          <w:rFonts w:eastAsia="Helvetica Neue"/>
          <w:color w:val="948A54" w:themeColor="background2" w:themeShade="80"/>
          <w:sz w:val="32"/>
          <w:szCs w:val="32"/>
        </w:rPr>
        <w:t xml:space="preserve">: </w:t>
      </w:r>
      <w:r w:rsidR="00952028" w:rsidRPr="00CE152F">
        <w:rPr>
          <w:rFonts w:eastAsia="Helvetica Neue"/>
          <w:color w:val="948A54" w:themeColor="background2" w:themeShade="80"/>
          <w:sz w:val="32"/>
          <w:szCs w:val="32"/>
        </w:rPr>
        <w:t>IASC Guidelines on Mental Health and Psychosocial Support in Emergency Settings</w:t>
      </w:r>
      <w:r w:rsidR="00952028" w:rsidRPr="00CE152F">
        <w:rPr>
          <w:rFonts w:eastAsia="Helvetica Neue"/>
          <w:color w:val="948A54" w:themeColor="background2" w:themeShade="80"/>
        </w:rPr>
        <w:t xml:space="preserve"> </w:t>
      </w:r>
    </w:p>
    <w:p w14:paraId="054F79B4" w14:textId="675D56A5" w:rsidR="00952028" w:rsidRPr="00A64CBE" w:rsidRDefault="00952028" w:rsidP="00A87A9E">
      <w:pPr>
        <w:rPr>
          <w:rFonts w:eastAsia="Helvetica Neue"/>
        </w:rPr>
      </w:pPr>
      <w:r w:rsidRPr="00986F3B">
        <w:rPr>
          <w:rFonts w:eastAsia="Helvetica Neue"/>
        </w:rPr>
        <w:t>This provides important guidance for both emergency and non-emergency</w:t>
      </w:r>
      <w:r w:rsidRPr="00A64CBE">
        <w:rPr>
          <w:rFonts w:eastAsia="Helvetica Neue"/>
        </w:rPr>
        <w:t xml:space="preserve"> settings on the provision of quality mental health and psychosocial support. The guidelines visually explain how service providers and support staff can understand the psychosocial needs of GBV victims/survivors when developing their programming.</w:t>
      </w:r>
      <w:r w:rsidRPr="00A64CBE">
        <w:rPr>
          <w:rFonts w:eastAsia="Helvetica Neue"/>
          <w:vertAlign w:val="superscript"/>
        </w:rPr>
        <w:endnoteReference w:id="362"/>
      </w:r>
      <w:r w:rsidRPr="00A64CBE">
        <w:rPr>
          <w:rFonts w:eastAsia="Helvetica Neue"/>
        </w:rPr>
        <w:t xml:space="preserve"> </w:t>
      </w:r>
    </w:p>
    <w:p w14:paraId="54FC9979" w14:textId="77777777" w:rsidR="00952028" w:rsidRPr="00A64CBE" w:rsidRDefault="00952028" w:rsidP="00952028">
      <w:pPr>
        <w:pBdr>
          <w:top w:val="nil"/>
          <w:left w:val="nil"/>
          <w:bottom w:val="nil"/>
          <w:right w:val="nil"/>
          <w:between w:val="nil"/>
        </w:pBdr>
        <w:jc w:val="center"/>
        <w:rPr>
          <w:rFonts w:ascii="Arial" w:eastAsia="Helvetica Neue" w:hAnsi="Arial" w:cs="Arial"/>
          <w:b/>
          <w:color w:val="000000"/>
        </w:rPr>
      </w:pPr>
      <w:r w:rsidRPr="00A64CBE">
        <w:rPr>
          <w:rFonts w:ascii="Arial" w:eastAsia="Helvetica Neue" w:hAnsi="Arial" w:cs="Arial"/>
          <w:b/>
          <w:noProof/>
          <w:color w:val="000000"/>
        </w:rPr>
        <w:drawing>
          <wp:inline distT="0" distB="0" distL="0" distR="0" wp14:anchorId="4105BDD3" wp14:editId="7227F251">
            <wp:extent cx="5621725" cy="2806995"/>
            <wp:effectExtent l="0" t="0" r="4445" b="0"/>
            <wp:docPr id="7" name="image20.png" descr="A triangle labeled Intervention Pyramid with 4 labeled layers and an example for each layer to the right. All labels are included in the following paragraph."/>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5640897" cy="2816568"/>
                    </a:xfrm>
                    <a:prstGeom prst="rect">
                      <a:avLst/>
                    </a:prstGeom>
                    <a:ln/>
                  </pic:spPr>
                </pic:pic>
              </a:graphicData>
            </a:graphic>
          </wp:inline>
        </w:drawing>
      </w:r>
    </w:p>
    <w:p w14:paraId="1A806F11" w14:textId="4115CD43" w:rsidR="00A34370" w:rsidRPr="009D6503" w:rsidRDefault="00952028" w:rsidP="009D6503">
      <w:pPr>
        <w:rPr>
          <w:rFonts w:eastAsia="Helvetica Neue"/>
          <w:b/>
        </w:rPr>
      </w:pPr>
      <w:r w:rsidRPr="00A64CBE">
        <w:rPr>
          <w:rFonts w:eastAsia="Helvetica Neue"/>
        </w:rPr>
        <w:t>The image of a four-level pyramid identifies the service needs of GBV victims/survivors and provides examples. The base of the pyramid consists of “social considerations in basic services and security,” and includes the example of “advocacy for basic services that are safe, socially a</w:t>
      </w:r>
      <w:r>
        <w:rPr>
          <w:rFonts w:eastAsia="Helvetica Neue"/>
        </w:rPr>
        <w:t>ppropriate, and protect dignity</w:t>
      </w:r>
      <w:r w:rsidRPr="00A64CBE">
        <w:rPr>
          <w:rFonts w:eastAsia="Helvetica Neue"/>
        </w:rPr>
        <w:t>”</w:t>
      </w:r>
      <w:r>
        <w:rPr>
          <w:rFonts w:eastAsia="Helvetica Neue"/>
        </w:rPr>
        <w:t>.</w:t>
      </w:r>
      <w:r w:rsidRPr="00A64CBE">
        <w:rPr>
          <w:rFonts w:eastAsia="Helvetica Neue"/>
        </w:rPr>
        <w:t xml:space="preserve"> The second level consists of “strengthening community and family supports,” and provides the examples of “activating social networks,” “communal traditional supports,” and “s</w:t>
      </w:r>
      <w:r>
        <w:rPr>
          <w:rFonts w:eastAsia="Helvetica Neue"/>
        </w:rPr>
        <w:t>upportive child-friendly spaces</w:t>
      </w:r>
      <w:r w:rsidRPr="00A64CBE">
        <w:rPr>
          <w:rFonts w:eastAsia="Helvetica Neue"/>
        </w:rPr>
        <w:t>”</w:t>
      </w:r>
      <w:r>
        <w:rPr>
          <w:rFonts w:eastAsia="Helvetica Neue"/>
        </w:rPr>
        <w:t>.</w:t>
      </w:r>
      <w:r w:rsidRPr="00A64CBE">
        <w:rPr>
          <w:rFonts w:eastAsia="Helvetica Neue"/>
        </w:rPr>
        <w:t xml:space="preserve"> The third level consists of “focused (person-to-person) non-specialized supports,” and includes the examples of “basic mental health care by (primary health care) doctors”, and “basic emotional and practical support by community workers”. The fourth level at the point of the pyramid consists of “specialized services,” and provides the example of “mental health care by mental health specialists (psychiatric nurse, ps</w:t>
      </w:r>
      <w:r>
        <w:rPr>
          <w:rFonts w:eastAsia="Helvetica Neue"/>
        </w:rPr>
        <w:t>ychologist, psychiatrist, etc.)</w:t>
      </w:r>
      <w:r w:rsidRPr="00A64CBE">
        <w:rPr>
          <w:rFonts w:eastAsia="Helvetica Neue"/>
        </w:rPr>
        <w:t>”</w:t>
      </w:r>
      <w:r>
        <w:rPr>
          <w:rFonts w:eastAsia="Helvetica Neue"/>
        </w:rPr>
        <w:t>.</w:t>
      </w:r>
      <w:r w:rsidRPr="00A64CBE">
        <w:rPr>
          <w:rFonts w:eastAsia="Helvetica Neue"/>
          <w:vertAlign w:val="superscript"/>
        </w:rPr>
        <w:endnoteReference w:id="363"/>
      </w:r>
    </w:p>
    <w:p w14:paraId="60B0E46C" w14:textId="77777777" w:rsidR="00A34370" w:rsidRDefault="00A34370" w:rsidP="00A34370">
      <w:r w:rsidRPr="00A6697D">
        <w:rPr>
          <w:noProof/>
        </w:rPr>
        <mc:AlternateContent>
          <mc:Choice Requires="wps">
            <w:drawing>
              <wp:inline distT="0" distB="0" distL="0" distR="0" wp14:anchorId="1C4C716D" wp14:editId="4999A6E3">
                <wp:extent cx="5943600" cy="0"/>
                <wp:effectExtent l="0" t="12700" r="25400" b="25400"/>
                <wp:docPr id="54" name="Straight Connector 54" descr="Text box ends"/>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chemeClr val="bg2">
                              <a:lumMod val="50000"/>
                            </a:schemeClr>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34090996" id="Straight Connector 54" o:spid="_x0000_s1026" alt="Text box end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" strokecolor="#938953 [1614]" strokeweight="3pt">
                <w10:anchorlock/>
              </v:line>
            </w:pict>
          </mc:Fallback>
        </mc:AlternateContent>
      </w:r>
    </w:p>
    <w:p w14:paraId="3C196D8F" w14:textId="0A4A5523" w:rsidR="00952028" w:rsidRPr="00A64CBE" w:rsidRDefault="00952028" w:rsidP="00A34370">
      <w:pPr>
        <w:pStyle w:val="Heading3"/>
      </w:pPr>
      <w:r w:rsidRPr="00A64CBE">
        <w:t xml:space="preserve">3.7.3 </w:t>
      </w:r>
      <w:r w:rsidRPr="00A64CBE">
        <w:tab/>
        <w:t xml:space="preserve">Indicators </w:t>
      </w:r>
    </w:p>
    <w:p w14:paraId="54D7DFB8" w14:textId="77777777" w:rsidR="00952028" w:rsidRPr="00A64CBE" w:rsidRDefault="00952028" w:rsidP="00D26517">
      <w:pPr>
        <w:rPr>
          <w:rFonts w:eastAsia="Helvetica Neue"/>
        </w:rPr>
      </w:pPr>
      <w:r w:rsidRPr="00A64CBE">
        <w:rPr>
          <w:rFonts w:eastAsia="Helvetica Neue"/>
        </w:rPr>
        <w:t xml:space="preserve">The following are illustrative of indicators that can be used to monitor and evaluate progress in the provision of rights-based rehabilitation services for women and young </w:t>
      </w:r>
      <w:r>
        <w:rPr>
          <w:rFonts w:eastAsia="Helvetica Neue"/>
        </w:rPr>
        <w:t>persons</w:t>
      </w:r>
      <w:r w:rsidRPr="00A64CBE">
        <w:rPr>
          <w:rFonts w:eastAsia="Helvetica Neue"/>
        </w:rPr>
        <w:t xml:space="preserve"> with </w:t>
      </w:r>
      <w:r w:rsidRPr="00A64CBE">
        <w:rPr>
          <w:rFonts w:eastAsia="Helvetica Neue"/>
        </w:rPr>
        <w:lastRenderedPageBreak/>
        <w:t>disabilities. This is not an exhaustive list, but rather a few examples demonstrating the level of specificity, subjects, and form that indicators for rehabilitation service provision should take. Service providers should tailor the indicators to appropriately fit their programme settings and levels, including by specifying at which level and by whom indicator data should be collected. </w:t>
      </w:r>
    </w:p>
    <w:p w14:paraId="581071F5" w14:textId="77777777" w:rsidR="00952028" w:rsidRPr="00D26517" w:rsidRDefault="00952028" w:rsidP="006E6012">
      <w:pPr>
        <w:pStyle w:val="ListParagraph"/>
        <w:numPr>
          <w:ilvl w:val="0"/>
          <w:numId w:val="80"/>
        </w:numPr>
        <w:rPr>
          <w:b/>
          <w:u w:val="single"/>
        </w:rPr>
      </w:pPr>
      <w:r w:rsidRPr="00D26517">
        <w:rPr>
          <w:rFonts w:eastAsia="Helvetica Neue"/>
        </w:rPr>
        <w:t xml:space="preserve">Percentage of mental health service providers trained to provide mental health services to women and young persons with disabilities who have experienced violence. </w:t>
      </w:r>
    </w:p>
    <w:p w14:paraId="09F0BBF8" w14:textId="77777777" w:rsidR="00952028" w:rsidRPr="00D26517" w:rsidRDefault="00952028" w:rsidP="006E6012">
      <w:pPr>
        <w:pStyle w:val="ListParagraph"/>
        <w:numPr>
          <w:ilvl w:val="0"/>
          <w:numId w:val="80"/>
        </w:numPr>
        <w:rPr>
          <w:b/>
          <w:u w:val="single"/>
        </w:rPr>
      </w:pPr>
      <w:r w:rsidRPr="00D26517">
        <w:rPr>
          <w:rFonts w:eastAsia="Helvetica Neue"/>
        </w:rPr>
        <w:t xml:space="preserve">Service provider has a standard operating procedure that includes procedures for provision of rehabilitation services for women and young persons with disabilities. </w:t>
      </w:r>
    </w:p>
    <w:p w14:paraId="6F033B83" w14:textId="6FEB029E" w:rsidR="00952028" w:rsidRPr="00D26517" w:rsidRDefault="00952028" w:rsidP="006E6012">
      <w:pPr>
        <w:pStyle w:val="ListParagraph"/>
        <w:numPr>
          <w:ilvl w:val="0"/>
          <w:numId w:val="80"/>
        </w:numPr>
        <w:rPr>
          <w:b/>
          <w:u w:val="single"/>
        </w:rPr>
      </w:pPr>
      <w:r w:rsidRPr="00D26517">
        <w:rPr>
          <w:rFonts w:eastAsia="Helvetica Neue"/>
        </w:rPr>
        <w:t>Agency’s policies allow sufficient flexibility to promote full participation and meet needs of victims/survivors of disabilities (e.g., by allowing staff to meet victims/survivors at accessible locations, allowing non-offending personal assistants to accompany victims/survivors).</w:t>
      </w:r>
      <w:r w:rsidRPr="00A64CBE">
        <w:rPr>
          <w:rFonts w:eastAsia="Helvetica Neue"/>
          <w:vertAlign w:val="superscript"/>
        </w:rPr>
        <w:endnoteReference w:id="364"/>
      </w:r>
      <w:r w:rsidRPr="00D26517">
        <w:rPr>
          <w:rFonts w:eastAsia="Helvetica Neue"/>
        </w:rPr>
        <w:t xml:space="preserve"> </w:t>
      </w:r>
    </w:p>
    <w:p w14:paraId="5CDC2652" w14:textId="25D05060" w:rsidR="00952028" w:rsidRPr="00D26517" w:rsidRDefault="00952028" w:rsidP="00321F69">
      <w:pPr>
        <w:pStyle w:val="Heading2"/>
        <w:spacing w:before="480" w:after="120"/>
        <w:ind w:left="547" w:right="-180" w:hanging="547"/>
      </w:pPr>
      <w:bookmarkStart w:id="18" w:name="GBVinstitute"/>
      <w:r w:rsidRPr="00A64CBE">
        <w:t>3.8</w:t>
      </w:r>
      <w:r w:rsidRPr="00A64CBE">
        <w:tab/>
      </w:r>
      <w:bookmarkEnd w:id="18"/>
      <w:r w:rsidRPr="00A64CBE">
        <w:t xml:space="preserve">GBV Services for Women and Young </w:t>
      </w:r>
      <w:r>
        <w:t>Persons</w:t>
      </w:r>
      <w:r w:rsidRPr="00A64CBE">
        <w:t xml:space="preserve"> with Disabilities Living in Institutional Settings</w:t>
      </w:r>
    </w:p>
    <w:p w14:paraId="04B71021" w14:textId="77777777" w:rsidR="00952028" w:rsidRPr="00A64CBE" w:rsidRDefault="00952028" w:rsidP="00D26517">
      <w:pPr>
        <w:pStyle w:val="Heading3"/>
      </w:pPr>
      <w:r w:rsidRPr="00A64CBE">
        <w:t xml:space="preserve">3.8.1 </w:t>
      </w:r>
      <w:r w:rsidRPr="00A64CBE">
        <w:tab/>
        <w:t xml:space="preserve">Issue Overview </w:t>
      </w:r>
    </w:p>
    <w:p w14:paraId="57ED7AC8" w14:textId="77777777" w:rsidR="00952028" w:rsidRPr="00A64CBE" w:rsidRDefault="00952028" w:rsidP="00D26517">
      <w:pPr>
        <w:rPr>
          <w:rFonts w:eastAsia="Helvetica Neue"/>
        </w:rPr>
      </w:pPr>
      <w:r>
        <w:rPr>
          <w:rFonts w:eastAsia="Helvetica Neue"/>
        </w:rPr>
        <w:t>Persons</w:t>
      </w:r>
      <w:r w:rsidRPr="00A64CBE">
        <w:rPr>
          <w:rFonts w:eastAsia="Helvetica Neue"/>
        </w:rPr>
        <w:t xml:space="preserve"> with disabilities receive care, services, and support from a variety of institutions. Women and young </w:t>
      </w:r>
      <w:r>
        <w:rPr>
          <w:rFonts w:eastAsia="Helvetica Neue"/>
        </w:rPr>
        <w:t>persons</w:t>
      </w:r>
      <w:r w:rsidRPr="00A64CBE">
        <w:rPr>
          <w:rFonts w:eastAsia="Helvetica Neue"/>
        </w:rPr>
        <w:t xml:space="preserve"> with disabilities, particularly those with psychosocial or intellectual disabilities, regularly still live in large institutions, hospitals, or nursing homes. Children with disabilities are often placed in what are known as ‘custodial facilities’ such as orphanages and other institutional settings. Others may live in the community but reside in group homes, which are generally residences administered by a third party with multiple residents. Other institutions women and young </w:t>
      </w:r>
      <w:r>
        <w:rPr>
          <w:rFonts w:eastAsia="Helvetica Neue"/>
        </w:rPr>
        <w:t>persons</w:t>
      </w:r>
      <w:r w:rsidRPr="00A64CBE">
        <w:rPr>
          <w:rFonts w:eastAsia="Helvetica Neue"/>
        </w:rPr>
        <w:t xml:space="preserve"> with disabilities engage with include day programmes, youth programmes, and sometimes prisons and jails. This range of institutions share one or more of the following characteristics: they are certified by the State or a State agency; are subject to State rules and regulation; are subject to monitoring; are staffed by caregivers unrelated to the person with a disability; do not give the person with the disability the power to hire and terminate caregiving staff; and/or restrict the person with the disability’s freedom of choice and independence while residing in the institution.</w:t>
      </w:r>
    </w:p>
    <w:p w14:paraId="3B3DC152" w14:textId="77777777" w:rsidR="00952028" w:rsidRPr="00A64CBE" w:rsidRDefault="00952028" w:rsidP="00D26517">
      <w:pPr>
        <w:rPr>
          <w:rFonts w:eastAsia="Helvetica Neue"/>
        </w:rPr>
      </w:pPr>
      <w:r w:rsidRPr="00A64CBE">
        <w:rPr>
          <w:rFonts w:eastAsia="Helvetica Neue"/>
        </w:rPr>
        <w:t xml:space="preserve">Women and young </w:t>
      </w:r>
      <w:r>
        <w:rPr>
          <w:rFonts w:eastAsia="Helvetica Neue"/>
        </w:rPr>
        <w:t>persons</w:t>
      </w:r>
      <w:r w:rsidRPr="00A64CBE">
        <w:rPr>
          <w:rFonts w:eastAsia="Helvetica Neue"/>
        </w:rPr>
        <w:t xml:space="preserve"> with disabilities living in institutions have the same right to be free from </w:t>
      </w:r>
      <w:r>
        <w:rPr>
          <w:rFonts w:eastAsia="Helvetica Neue"/>
        </w:rPr>
        <w:t>GBV</w:t>
      </w:r>
      <w:r w:rsidRPr="00A64CBE">
        <w:rPr>
          <w:rFonts w:eastAsia="Helvetica Neue"/>
        </w:rPr>
        <w:t xml:space="preserve"> as individuals with and without disabilities living outside of institutions. Yet, </w:t>
      </w:r>
      <w:r>
        <w:rPr>
          <w:rFonts w:eastAsia="Helvetica Neue"/>
        </w:rPr>
        <w:t>persons</w:t>
      </w:r>
      <w:r w:rsidRPr="00A64CBE">
        <w:rPr>
          <w:rFonts w:eastAsia="Helvetica Neue"/>
        </w:rPr>
        <w:t xml:space="preserve"> with disabilities living in institutions are frequently isolated, increasing their vulnerability to violence.</w:t>
      </w:r>
      <w:r w:rsidRPr="00A64CBE">
        <w:rPr>
          <w:rFonts w:eastAsia="Helvetica Neue"/>
          <w:vertAlign w:val="superscript"/>
        </w:rPr>
        <w:endnoteReference w:id="365"/>
      </w:r>
      <w:r w:rsidRPr="00A64CBE">
        <w:rPr>
          <w:rFonts w:eastAsia="Helvetica Neue"/>
        </w:rPr>
        <w:t xml:space="preserve"> Women and young </w:t>
      </w:r>
      <w:r>
        <w:rPr>
          <w:rFonts w:eastAsia="Helvetica Neue"/>
        </w:rPr>
        <w:t>persons</w:t>
      </w:r>
      <w:r w:rsidRPr="00A64CBE">
        <w:rPr>
          <w:rFonts w:eastAsia="Helvetica Neue"/>
        </w:rPr>
        <w:t xml:space="preserve"> with intellectual disabilities are particularly at risk. </w:t>
      </w:r>
      <w:r w:rsidRPr="00AB2BF9">
        <w:rPr>
          <w:rFonts w:eastAsia="Helvetica Neue"/>
        </w:rPr>
        <w:t>One report from the European Parliament found that almost 80 per cent of wom</w:t>
      </w:r>
      <w:r>
        <w:rPr>
          <w:rFonts w:eastAsia="Helvetica Neue"/>
        </w:rPr>
        <w:t>e</w:t>
      </w:r>
      <w:r w:rsidRPr="00AB2BF9">
        <w:rPr>
          <w:rFonts w:eastAsia="Helvetica Neue"/>
        </w:rPr>
        <w:t>n with disabilities had been victims of violence, the majority of whom lived in institutions, and that women with disabilities were up to four times more at risk of sexual violence than their peers without disabilities.</w:t>
      </w:r>
      <w:r w:rsidRPr="00AB2BF9">
        <w:rPr>
          <w:rFonts w:eastAsia="Helvetica Neue"/>
          <w:vertAlign w:val="superscript"/>
        </w:rPr>
        <w:endnoteReference w:id="366"/>
      </w:r>
      <w:r w:rsidRPr="00AB2BF9">
        <w:rPr>
          <w:rFonts w:eastAsia="Helvetica Neue"/>
        </w:rPr>
        <w:t xml:space="preserve"> The report also found that for women living in institutions, violence was often perpetrated by staff and caregivers.</w:t>
      </w:r>
      <w:r w:rsidRPr="00AB2BF9">
        <w:rPr>
          <w:rFonts w:eastAsia="Helvetica Neue"/>
          <w:vertAlign w:val="superscript"/>
        </w:rPr>
        <w:endnoteReference w:id="367"/>
      </w:r>
      <w:r w:rsidRPr="00A64CBE">
        <w:rPr>
          <w:rFonts w:eastAsia="Helvetica Neue"/>
        </w:rPr>
        <w:t xml:space="preserve"> Given the unique power dynamics and special circumstances in institutional settings, there are additional human rights obligations to ensure independent and effective monitoring of these institutions.</w:t>
      </w:r>
      <w:r w:rsidRPr="00A64CBE">
        <w:rPr>
          <w:rFonts w:eastAsia="Helvetica Neue"/>
          <w:vertAlign w:val="superscript"/>
        </w:rPr>
        <w:endnoteReference w:id="368"/>
      </w:r>
    </w:p>
    <w:p w14:paraId="48A5EFD5" w14:textId="77777777" w:rsidR="00952028" w:rsidRPr="00A64CBE" w:rsidRDefault="00952028" w:rsidP="00D26517">
      <w:pPr>
        <w:rPr>
          <w:rFonts w:eastAsia="Helvetica Neue"/>
        </w:rPr>
      </w:pPr>
      <w:r w:rsidRPr="00A64CBE">
        <w:rPr>
          <w:rFonts w:eastAsia="Helvetica Neue"/>
        </w:rPr>
        <w:lastRenderedPageBreak/>
        <w:t xml:space="preserve">Children and young </w:t>
      </w:r>
      <w:r>
        <w:rPr>
          <w:rFonts w:eastAsia="Helvetica Neue"/>
        </w:rPr>
        <w:t>persons</w:t>
      </w:r>
      <w:r w:rsidRPr="00A64CBE">
        <w:rPr>
          <w:rFonts w:eastAsia="Helvetica Neue"/>
        </w:rPr>
        <w:t xml:space="preserve"> in alternative care, particularly those with disabilities, are especially vulnerable to violence.</w:t>
      </w:r>
      <w:r w:rsidRPr="00A64CBE">
        <w:rPr>
          <w:rFonts w:eastAsia="Helvetica Neue"/>
          <w:vertAlign w:val="superscript"/>
        </w:rPr>
        <w:endnoteReference w:id="369"/>
      </w:r>
      <w:r w:rsidRPr="00A64CBE">
        <w:rPr>
          <w:rFonts w:eastAsia="Helvetica Neue"/>
        </w:rPr>
        <w:t xml:space="preserve"> Factors that increase this vulnerability include </w:t>
      </w:r>
      <w:r w:rsidRPr="00AE424F">
        <w:rPr>
          <w:rFonts w:eastAsia="Helvetica Neue"/>
        </w:rPr>
        <w:t xml:space="preserve">lack of legal protections, community prejudices against </w:t>
      </w:r>
      <w:r>
        <w:rPr>
          <w:rFonts w:eastAsia="Helvetica Neue"/>
        </w:rPr>
        <w:t>persons</w:t>
      </w:r>
      <w:r w:rsidRPr="00AE424F">
        <w:rPr>
          <w:rFonts w:eastAsia="Helvetica Neue"/>
        </w:rPr>
        <w:t xml:space="preserve"> with disabilities, lack of research, and impunity for perpetrators.</w:t>
      </w:r>
      <w:r w:rsidRPr="00A64CBE">
        <w:rPr>
          <w:rFonts w:eastAsia="Helvetica Neue"/>
        </w:rPr>
        <w:t xml:space="preserve"> Increasingly, institutionalization of children with and without disabilities is being recognized as a human rights violation. UNICEF and other UN agencies have called for an end to institutionalization of children. The UN Special Rapporteur on Torture published a report documenting the torture and ill-treatment of children in institutions.</w:t>
      </w:r>
      <w:r w:rsidRPr="00A64CBE">
        <w:rPr>
          <w:rFonts w:eastAsia="Helvetica Neue"/>
          <w:vertAlign w:val="superscript"/>
        </w:rPr>
        <w:endnoteReference w:id="370"/>
      </w:r>
      <w:r w:rsidRPr="00A64CBE">
        <w:rPr>
          <w:rFonts w:eastAsia="Helvetica Neue"/>
        </w:rPr>
        <w:t xml:space="preserve"> </w:t>
      </w:r>
    </w:p>
    <w:p w14:paraId="7CA2EA64" w14:textId="44DF8EB4" w:rsidR="00952028" w:rsidRPr="00A64CBE" w:rsidRDefault="00952028" w:rsidP="00D26517">
      <w:pPr>
        <w:pStyle w:val="Heading3"/>
      </w:pPr>
      <w:r w:rsidRPr="00A64CBE">
        <w:t xml:space="preserve">3.8.2 </w:t>
      </w:r>
      <w:r w:rsidRPr="00A64CBE">
        <w:tab/>
        <w:t xml:space="preserve">Guidelines on Providing Rights-Based GBV Services for Women and Young </w:t>
      </w:r>
      <w:r w:rsidR="00814A44">
        <w:t>Persons</w:t>
      </w:r>
      <w:r w:rsidR="00814A44" w:rsidRPr="00A64CBE">
        <w:t xml:space="preserve"> </w:t>
      </w:r>
      <w:r w:rsidRPr="00A64CBE">
        <w:t>in Institutions</w:t>
      </w:r>
    </w:p>
    <w:p w14:paraId="5442BA72" w14:textId="77777777" w:rsidR="00952028" w:rsidRPr="00A64CBE" w:rsidRDefault="00952028" w:rsidP="00D26517">
      <w:pPr>
        <w:rPr>
          <w:rFonts w:eastAsia="Helvetica Neue"/>
          <w:b/>
        </w:rPr>
      </w:pPr>
      <w:r w:rsidRPr="00A64CBE">
        <w:rPr>
          <w:rFonts w:eastAsia="Helvetica Neue"/>
        </w:rPr>
        <w:t xml:space="preserve">The key considerations enumerated here identify common issues encountered by women and young </w:t>
      </w:r>
      <w:r>
        <w:rPr>
          <w:rFonts w:eastAsia="Helvetica Neue"/>
        </w:rPr>
        <w:t>persons</w:t>
      </w:r>
      <w:r w:rsidRPr="00A64CBE">
        <w:rPr>
          <w:rFonts w:eastAsia="Helvetica Neue"/>
        </w:rPr>
        <w:t xml:space="preserve"> with disabilities residing in institutional settings. The guidelines for action offer guidance for ensuring that rights-based services tailored to the specific needs and experiences of women and young </w:t>
      </w:r>
      <w:r>
        <w:rPr>
          <w:rFonts w:eastAsia="Helvetica Neue"/>
        </w:rPr>
        <w:t>persons</w:t>
      </w:r>
      <w:r w:rsidRPr="00A64CBE">
        <w:rPr>
          <w:rFonts w:eastAsia="Helvetica Neue"/>
        </w:rPr>
        <w:t xml:space="preserve"> with disabilities living in institutions are available, accessible, acceptable, and of good quality. These guidelines for action build on the Foundational Guidelines for Action identified in </w:t>
      </w:r>
      <w:r w:rsidRPr="00AE424F">
        <w:rPr>
          <w:rFonts w:eastAsia="Helvetica Neue"/>
          <w:b/>
        </w:rPr>
        <w:t>Chapter 2</w:t>
      </w:r>
      <w:r w:rsidRPr="00A64CBE">
        <w:rPr>
          <w:rFonts w:eastAsia="Helvetica Neue"/>
        </w:rPr>
        <w:t xml:space="preserve"> and are not exhaustive but provide a starting point for developing disability-inclusive services and programmes.</w:t>
      </w:r>
    </w:p>
    <w:p w14:paraId="198DBC1F" w14:textId="77777777" w:rsidR="00952028" w:rsidRPr="00A64CBE" w:rsidRDefault="00952028" w:rsidP="003C6133">
      <w:pPr>
        <w:pStyle w:val="Heading4"/>
        <w:spacing w:before="480"/>
        <w:rPr>
          <w:rFonts w:eastAsia="Helvetica Neue"/>
        </w:rPr>
      </w:pPr>
      <w:r w:rsidRPr="00A64CBE">
        <w:rPr>
          <w:rFonts w:eastAsia="Helvetica Neue"/>
        </w:rPr>
        <w:t>Key Considerations</w:t>
      </w:r>
    </w:p>
    <w:p w14:paraId="6D76BA3D" w14:textId="4F725D8A" w:rsidR="00952028" w:rsidRPr="00F409EC" w:rsidRDefault="00952028" w:rsidP="007B7686">
      <w:pPr>
        <w:pStyle w:val="ListParagraph"/>
        <w:numPr>
          <w:ilvl w:val="0"/>
          <w:numId w:val="81"/>
        </w:numPr>
        <w:rPr>
          <w:b/>
          <w:u w:val="single"/>
        </w:rPr>
      </w:pPr>
      <w:r w:rsidRPr="00814A44">
        <w:rPr>
          <w:rFonts w:eastAsia="Helvetica Neue"/>
        </w:rPr>
        <w:t xml:space="preserve">Women and young persons with disabilities who experience violence in institutions may behave in violent or aggressive ways </w:t>
      </w:r>
      <w:r w:rsidRPr="0078371A">
        <w:rPr>
          <w:rFonts w:eastAsia="Helvetica Neue"/>
        </w:rPr>
        <w:t xml:space="preserve">themselves as a result. Service providers and support staff who do not associate </w:t>
      </w:r>
      <w:r w:rsidR="00814A44" w:rsidRPr="0078371A">
        <w:rPr>
          <w:rFonts w:eastAsia="Helvetica Neue"/>
        </w:rPr>
        <w:t xml:space="preserve">persons </w:t>
      </w:r>
      <w:r w:rsidRPr="007D735C">
        <w:rPr>
          <w:rFonts w:eastAsia="Helvetica Neue"/>
        </w:rPr>
        <w:t xml:space="preserve">with disabilities as being victims/survivors of </w:t>
      </w:r>
      <w:r w:rsidRPr="00F409EC">
        <w:rPr>
          <w:rFonts w:eastAsia="Helvetica Neue"/>
        </w:rPr>
        <w:t xml:space="preserve">GBV may fail to recognize this as a sign of being a victim/survivor. Thus, violence may go undetected and institutionalized women and young persons with disabilities excluded from essential health, justice and policing, protective, and rehabilitative GBV services. </w:t>
      </w:r>
    </w:p>
    <w:p w14:paraId="7ED3B336" w14:textId="77777777" w:rsidR="00952028" w:rsidRPr="00D26517" w:rsidRDefault="00952028" w:rsidP="006E6012">
      <w:pPr>
        <w:pStyle w:val="ListParagraph"/>
        <w:numPr>
          <w:ilvl w:val="0"/>
          <w:numId w:val="81"/>
        </w:numPr>
        <w:rPr>
          <w:b/>
          <w:u w:val="single"/>
        </w:rPr>
      </w:pPr>
      <w:r w:rsidRPr="00D26517">
        <w:rPr>
          <w:rFonts w:eastAsia="Helvetica Neue"/>
        </w:rPr>
        <w:t>Policies and certification requirements are not effectively enforced or monitored by independent bodies,</w:t>
      </w:r>
      <w:r w:rsidRPr="00A64CBE">
        <w:rPr>
          <w:rFonts w:eastAsia="Helvetica Neue"/>
          <w:vertAlign w:val="superscript"/>
        </w:rPr>
        <w:endnoteReference w:id="371"/>
      </w:r>
      <w:r w:rsidRPr="00D26517">
        <w:rPr>
          <w:rFonts w:eastAsia="Helvetica Neue"/>
        </w:rPr>
        <w:t xml:space="preserve"> which means institutions are left to monitor themselves. Given that most violence in institutions is perpetrated by internal caregivers, inadequate external independent monitoring can lead to impunity and inaction. </w:t>
      </w:r>
    </w:p>
    <w:p w14:paraId="1A8F24F7" w14:textId="77777777" w:rsidR="00952028" w:rsidRPr="00D26517" w:rsidRDefault="00952028" w:rsidP="006E6012">
      <w:pPr>
        <w:pStyle w:val="ListParagraph"/>
        <w:numPr>
          <w:ilvl w:val="0"/>
          <w:numId w:val="81"/>
        </w:numPr>
        <w:rPr>
          <w:b/>
          <w:u w:val="single"/>
        </w:rPr>
      </w:pPr>
      <w:r w:rsidRPr="00D26517">
        <w:rPr>
          <w:rFonts w:eastAsia="Helvetica Neue"/>
        </w:rPr>
        <w:t>Monitoring visits and inspections of institutions are generally ineffective at identifying and responding to violence.</w:t>
      </w:r>
      <w:r w:rsidRPr="00A64CBE">
        <w:rPr>
          <w:rFonts w:eastAsia="Helvetica Neue"/>
          <w:vertAlign w:val="superscript"/>
        </w:rPr>
        <w:endnoteReference w:id="372"/>
      </w:r>
      <w:r w:rsidRPr="00D26517">
        <w:rPr>
          <w:rFonts w:eastAsia="Helvetica Neue"/>
        </w:rPr>
        <w:t xml:space="preserve"> This contributes to perpetrator impunity and increases the isolation of women and young persons experiencing GBV. </w:t>
      </w:r>
    </w:p>
    <w:p w14:paraId="0089E56F" w14:textId="77777777" w:rsidR="00952028" w:rsidRPr="00D26517" w:rsidRDefault="00952028" w:rsidP="006E6012">
      <w:pPr>
        <w:pStyle w:val="ListParagraph"/>
        <w:numPr>
          <w:ilvl w:val="0"/>
          <w:numId w:val="81"/>
        </w:numPr>
        <w:rPr>
          <w:b/>
          <w:u w:val="single"/>
        </w:rPr>
      </w:pPr>
      <w:r w:rsidRPr="00D26517">
        <w:rPr>
          <w:rFonts w:eastAsia="Helvetica Neue"/>
        </w:rPr>
        <w:t xml:space="preserve">Laws and policies often promote or fail to prevent forced institutionalization of women and young persons with disabilities. </w:t>
      </w:r>
    </w:p>
    <w:p w14:paraId="453394A9" w14:textId="77777777" w:rsidR="00952028" w:rsidRPr="00D26517" w:rsidRDefault="00952028" w:rsidP="006E6012">
      <w:pPr>
        <w:pStyle w:val="ListParagraph"/>
        <w:numPr>
          <w:ilvl w:val="0"/>
          <w:numId w:val="81"/>
        </w:numPr>
        <w:rPr>
          <w:b/>
          <w:u w:val="single"/>
        </w:rPr>
      </w:pPr>
      <w:r w:rsidRPr="00D26517">
        <w:rPr>
          <w:rFonts w:eastAsia="Helvetica Neue"/>
        </w:rPr>
        <w:t>Peer-to-peer violence can occur in institutional settings, particularly where there is overcrowding, or staff are ill-equipped to support a person’s disability.</w:t>
      </w:r>
      <w:r w:rsidRPr="00A64CBE">
        <w:rPr>
          <w:rFonts w:eastAsia="Helvetica Neue"/>
          <w:vertAlign w:val="superscript"/>
        </w:rPr>
        <w:endnoteReference w:id="373"/>
      </w:r>
      <w:r w:rsidRPr="00D26517">
        <w:rPr>
          <w:rFonts w:eastAsia="Helvetica Neue"/>
        </w:rPr>
        <w:t xml:space="preserve"> This violence can result in both people being traumatized, with neither person receiving the services they require. </w:t>
      </w:r>
    </w:p>
    <w:p w14:paraId="66DB0038" w14:textId="77777777" w:rsidR="00952028" w:rsidRPr="00D26517" w:rsidRDefault="00952028" w:rsidP="006E6012">
      <w:pPr>
        <w:pStyle w:val="ListParagraph"/>
        <w:numPr>
          <w:ilvl w:val="0"/>
          <w:numId w:val="81"/>
        </w:numPr>
        <w:rPr>
          <w:b/>
          <w:u w:val="single"/>
        </w:rPr>
      </w:pPr>
      <w:r w:rsidRPr="00D26517">
        <w:rPr>
          <w:rFonts w:eastAsia="Helvetica Neue"/>
        </w:rPr>
        <w:t xml:space="preserve">Institutional staff often lack the time or capacity to educate, recognize, or provide GBV services or information about gender-based violence to persons with disabilities in </w:t>
      </w:r>
      <w:r w:rsidRPr="00D26517">
        <w:rPr>
          <w:rFonts w:eastAsia="Helvetica Neue"/>
        </w:rPr>
        <w:lastRenderedPageBreak/>
        <w:t xml:space="preserve">institutions. This is particularly so for young men with disabilities, because of the lack of awareness and understanding of GBV against men. </w:t>
      </w:r>
    </w:p>
    <w:p w14:paraId="7AA44E10" w14:textId="77777777" w:rsidR="00952028" w:rsidRPr="00D26517" w:rsidRDefault="00952028" w:rsidP="006E6012">
      <w:pPr>
        <w:pStyle w:val="ListParagraph"/>
        <w:numPr>
          <w:ilvl w:val="0"/>
          <w:numId w:val="81"/>
        </w:numPr>
        <w:rPr>
          <w:b/>
        </w:rPr>
      </w:pPr>
      <w:r w:rsidRPr="00D26517">
        <w:rPr>
          <w:rFonts w:eastAsia="Helvetica Neue"/>
        </w:rPr>
        <w:t>Isolation in institutional settings increases the vulnerability of women and young persons with disabilities to violence and obstructs access to GBV services.</w:t>
      </w:r>
      <w:r w:rsidRPr="00A64CBE">
        <w:rPr>
          <w:rFonts w:eastAsia="Helvetica Neue"/>
          <w:vertAlign w:val="superscript"/>
        </w:rPr>
        <w:endnoteReference w:id="374"/>
      </w:r>
    </w:p>
    <w:p w14:paraId="0C53C755" w14:textId="77777777" w:rsidR="00952028" w:rsidRPr="00A64CBE" w:rsidRDefault="00952028" w:rsidP="006E6012">
      <w:pPr>
        <w:pStyle w:val="ListParagraph"/>
        <w:numPr>
          <w:ilvl w:val="0"/>
          <w:numId w:val="81"/>
        </w:numPr>
      </w:pPr>
      <w:r w:rsidRPr="00D26517">
        <w:rPr>
          <w:rFonts w:eastAsia="Helvetica Neue"/>
        </w:rPr>
        <w:t xml:space="preserve">Certain institutional settings, such as prisons, schools, religious institutions, and armed services, can introduce young men with and without disabilities to violence, which perpetuate GBV. </w:t>
      </w:r>
    </w:p>
    <w:p w14:paraId="0512C3C0" w14:textId="77777777" w:rsidR="00952028" w:rsidRPr="00D26517" w:rsidRDefault="00952028" w:rsidP="006E6012">
      <w:pPr>
        <w:pStyle w:val="ListParagraph"/>
        <w:numPr>
          <w:ilvl w:val="0"/>
          <w:numId w:val="81"/>
        </w:numPr>
        <w:rPr>
          <w:u w:val="single"/>
        </w:rPr>
      </w:pPr>
      <w:r w:rsidRPr="00D26517">
        <w:rPr>
          <w:rFonts w:eastAsia="Helvetica Neue"/>
        </w:rPr>
        <w:t>Women and young persons with disabilities in institutions face increased barriers to communicating the violence they are experiencing because they lack access to a private phone, do not have the opportunity to be alone or away from a perpetrator who is staff person at the facility, or are illiterate.</w:t>
      </w:r>
      <w:r w:rsidRPr="00A64CBE">
        <w:rPr>
          <w:rFonts w:eastAsia="Helvetica Neue"/>
          <w:vertAlign w:val="superscript"/>
        </w:rPr>
        <w:endnoteReference w:id="375"/>
      </w:r>
      <w:r w:rsidRPr="00D26517">
        <w:rPr>
          <w:rFonts w:eastAsia="Helvetica Neue"/>
        </w:rPr>
        <w:t xml:space="preserve"> </w:t>
      </w:r>
    </w:p>
    <w:p w14:paraId="3BEC553F" w14:textId="77777777" w:rsidR="00952028" w:rsidRPr="00A64CBE" w:rsidRDefault="00952028" w:rsidP="006E6012">
      <w:pPr>
        <w:pStyle w:val="ListParagraph"/>
        <w:numPr>
          <w:ilvl w:val="0"/>
          <w:numId w:val="81"/>
        </w:numPr>
      </w:pPr>
      <w:r w:rsidRPr="00D26517">
        <w:rPr>
          <w:rFonts w:eastAsia="Helvetica Neue"/>
        </w:rPr>
        <w:t xml:space="preserve">GBV services for women and young persons with disabilities in institutions can face barriers to funding, as service providers may be fearful of diverting general GBV resources to specialized services. This is particularly the case relating to services for men. </w:t>
      </w:r>
    </w:p>
    <w:p w14:paraId="334E1317" w14:textId="77777777" w:rsidR="00952028" w:rsidRPr="00D26517" w:rsidRDefault="00952028" w:rsidP="00D26517">
      <w:pPr>
        <w:pStyle w:val="Heading4"/>
        <w:spacing w:before="480"/>
        <w:rPr>
          <w:rFonts w:eastAsia="Helvetica Neue"/>
        </w:rPr>
      </w:pPr>
      <w:r w:rsidRPr="00D26517">
        <w:rPr>
          <w:rFonts w:eastAsia="Helvetica Neue"/>
        </w:rPr>
        <w:t xml:space="preserve">Guidelines for Action: Availability </w:t>
      </w:r>
    </w:p>
    <w:p w14:paraId="553F1A51" w14:textId="77777777" w:rsidR="00952028" w:rsidRPr="00D84281" w:rsidRDefault="00952028" w:rsidP="006E6012">
      <w:pPr>
        <w:pStyle w:val="ListParagraph"/>
        <w:numPr>
          <w:ilvl w:val="0"/>
          <w:numId w:val="83"/>
        </w:numPr>
        <w:rPr>
          <w:rFonts w:eastAsia="Helvetica Neue"/>
          <w:u w:val="single"/>
        </w:rPr>
      </w:pPr>
      <w:r w:rsidRPr="00D84281">
        <w:rPr>
          <w:rFonts w:eastAsia="Helvetica Neue"/>
        </w:rPr>
        <w:t xml:space="preserve">Develop training and support programmes to empower families and caregivers of women and young persons with disabilities to care for them in community-based homes or in their own home to reduce reliance on institutionalization. Diverting institutionalization of persons with disabilities should be a priority. </w:t>
      </w:r>
    </w:p>
    <w:p w14:paraId="70E181C5" w14:textId="77777777" w:rsidR="00952028" w:rsidRPr="00D84281" w:rsidRDefault="00952028" w:rsidP="006E6012">
      <w:pPr>
        <w:pStyle w:val="ListParagraph"/>
        <w:numPr>
          <w:ilvl w:val="0"/>
          <w:numId w:val="83"/>
        </w:numPr>
        <w:rPr>
          <w:rFonts w:eastAsia="Helvetica Neue"/>
          <w:u w:val="single"/>
        </w:rPr>
      </w:pPr>
      <w:r w:rsidRPr="00D84281">
        <w:rPr>
          <w:rFonts w:eastAsia="Helvetica Neue"/>
        </w:rPr>
        <w:t>Create programmes that support women and young persons with disabilities to build relationships, friendships, and community-based support networks. In one survey in the UK of 1,004 people with a range of disabilities, 53 per cent reported feeling lonely, while 6 per cent reported feeling that they had no friends at all.</w:t>
      </w:r>
      <w:r w:rsidRPr="00A64CBE">
        <w:rPr>
          <w:rFonts w:eastAsia="Helvetica Neue"/>
          <w:vertAlign w:val="superscript"/>
        </w:rPr>
        <w:endnoteReference w:id="376"/>
      </w:r>
      <w:r w:rsidRPr="00D84281">
        <w:rPr>
          <w:rFonts w:eastAsia="Helvetica Neue"/>
        </w:rPr>
        <w:t xml:space="preserve"> For the young persons surveyed, 77 per cent reported feeling lonely.</w:t>
      </w:r>
      <w:r w:rsidRPr="00A64CBE">
        <w:rPr>
          <w:rFonts w:eastAsia="Helvetica Neue"/>
          <w:vertAlign w:val="superscript"/>
        </w:rPr>
        <w:endnoteReference w:id="377"/>
      </w:r>
      <w:r w:rsidRPr="00D84281">
        <w:rPr>
          <w:rFonts w:eastAsia="Helvetica Neue"/>
        </w:rPr>
        <w:t xml:space="preserve"> Unfortunately, many women and young persons with disabilities may not have a supportive family who can provide a foundation for their community-based living, but programmes like these can nurture a support circle of friends.</w:t>
      </w:r>
    </w:p>
    <w:p w14:paraId="163C556F" w14:textId="77777777" w:rsidR="00952028" w:rsidRPr="00B90241" w:rsidRDefault="00952028" w:rsidP="006E6012">
      <w:pPr>
        <w:pStyle w:val="ListParagraph"/>
        <w:numPr>
          <w:ilvl w:val="0"/>
          <w:numId w:val="33"/>
        </w:numPr>
        <w:ind w:left="639" w:hanging="342"/>
        <w:rPr>
          <w:rFonts w:eastAsia="Helvetica Neue"/>
          <w:u w:val="single"/>
        </w:rPr>
      </w:pPr>
      <w:r w:rsidRPr="00B90241">
        <w:rPr>
          <w:rFonts w:eastAsia="Helvetica Neue"/>
          <w:b/>
        </w:rPr>
        <w:t>Example:</w:t>
      </w:r>
      <w:r w:rsidRPr="00B90241">
        <w:rPr>
          <w:rFonts w:eastAsia="Helvetica Neue"/>
        </w:rPr>
        <w:t xml:space="preserve"> The </w:t>
      </w:r>
      <w:r w:rsidRPr="00B90241">
        <w:rPr>
          <w:rFonts w:eastAsia="Helvetica Neue"/>
          <w:b/>
        </w:rPr>
        <w:t>Lao Disabled Women’s Developmental Centre</w:t>
      </w:r>
      <w:r w:rsidRPr="00B90241">
        <w:rPr>
          <w:rFonts w:eastAsia="Helvetica Neue"/>
        </w:rPr>
        <w:t xml:space="preserve"> is a non-profit organization run by and for Lao women with disabilities. Through practical vocational training and employment opportunities, the women create and sell handicraft products while continuing to train new students. The centre both empowers women with disabilities and fosters peer support networks that provide friendship and support.</w:t>
      </w:r>
      <w:r w:rsidRPr="0083506E">
        <w:rPr>
          <w:rFonts w:eastAsia="Helvetica Neue"/>
          <w:vertAlign w:val="superscript"/>
        </w:rPr>
        <w:endnoteReference w:id="378"/>
      </w:r>
      <w:r w:rsidRPr="00B90241">
        <w:rPr>
          <w:rFonts w:eastAsia="Helvetica Neue"/>
        </w:rPr>
        <w:t xml:space="preserve"> </w:t>
      </w:r>
    </w:p>
    <w:p w14:paraId="23A64856" w14:textId="77777777" w:rsidR="00952028" w:rsidRPr="00D84281" w:rsidRDefault="00952028" w:rsidP="006E6012">
      <w:pPr>
        <w:pStyle w:val="ListParagraph"/>
        <w:numPr>
          <w:ilvl w:val="0"/>
          <w:numId w:val="83"/>
        </w:numPr>
        <w:rPr>
          <w:rFonts w:eastAsia="Helvetica Neue"/>
          <w:u w:val="single"/>
        </w:rPr>
      </w:pPr>
      <w:r w:rsidRPr="00D84281">
        <w:rPr>
          <w:rFonts w:eastAsia="Helvetica Neue"/>
        </w:rPr>
        <w:t>Develop programmes to assist women and young persons with moving out of</w:t>
      </w:r>
      <w:r w:rsidRPr="00D84281">
        <w:rPr>
          <w:rFonts w:eastAsia="Helvetica Neue"/>
          <w:b/>
        </w:rPr>
        <w:t xml:space="preserve"> </w:t>
      </w:r>
      <w:r w:rsidRPr="00D84281">
        <w:rPr>
          <w:rFonts w:eastAsia="Helvetica Neue"/>
        </w:rPr>
        <w:t>institutional settings and into community-based homes. Available services should include mechanisms to access community-based care and supports to live as independently as possible in the community and prevent return to institutionalization.</w:t>
      </w:r>
      <w:r w:rsidRPr="0081523A">
        <w:rPr>
          <w:rFonts w:eastAsia="Helvetica Neue"/>
          <w:vertAlign w:val="superscript"/>
        </w:rPr>
        <w:endnoteReference w:id="379"/>
      </w:r>
      <w:r w:rsidRPr="00D84281">
        <w:rPr>
          <w:rFonts w:eastAsia="Helvetica Neue"/>
        </w:rPr>
        <w:t xml:space="preserve"> </w:t>
      </w:r>
    </w:p>
    <w:p w14:paraId="3D31C9E2" w14:textId="77777777" w:rsidR="00952028" w:rsidRPr="00D84281" w:rsidRDefault="00952028" w:rsidP="006E6012">
      <w:pPr>
        <w:pStyle w:val="ListParagraph"/>
        <w:numPr>
          <w:ilvl w:val="0"/>
          <w:numId w:val="83"/>
        </w:numPr>
        <w:rPr>
          <w:rFonts w:eastAsia="Helvetica Neue"/>
          <w:u w:val="single"/>
        </w:rPr>
      </w:pPr>
      <w:r w:rsidRPr="00D84281">
        <w:rPr>
          <w:rFonts w:eastAsia="Helvetica Neue"/>
        </w:rPr>
        <w:t>Develop training programmes targeted at women and young persons in institutional settings to assist them with learning about their rights and about available GBV services. These trainings should:</w:t>
      </w:r>
    </w:p>
    <w:p w14:paraId="3A1AB73F" w14:textId="77777777" w:rsidR="00952028" w:rsidRPr="00D84281" w:rsidRDefault="00952028" w:rsidP="006E6012">
      <w:pPr>
        <w:pStyle w:val="ListParagraph"/>
        <w:numPr>
          <w:ilvl w:val="1"/>
          <w:numId w:val="83"/>
        </w:numPr>
        <w:rPr>
          <w:u w:val="single"/>
        </w:rPr>
      </w:pPr>
      <w:r w:rsidRPr="00D84281">
        <w:rPr>
          <w:rFonts w:eastAsia="Helvetica Neue"/>
        </w:rPr>
        <w:t>Provide accessible information about the right to be free from GBV, SRHR, and other fundamental human rights.</w:t>
      </w:r>
    </w:p>
    <w:p w14:paraId="2DF4C50E" w14:textId="77777777" w:rsidR="00952028" w:rsidRPr="00D84281" w:rsidRDefault="00952028" w:rsidP="006E6012">
      <w:pPr>
        <w:pStyle w:val="ListParagraph"/>
        <w:numPr>
          <w:ilvl w:val="1"/>
          <w:numId w:val="83"/>
        </w:numPr>
        <w:rPr>
          <w:u w:val="single"/>
        </w:rPr>
      </w:pPr>
      <w:r w:rsidRPr="00D84281">
        <w:rPr>
          <w:rFonts w:eastAsia="Helvetica Neue"/>
        </w:rPr>
        <w:lastRenderedPageBreak/>
        <w:t xml:space="preserve">Provide accessible information about alternatives to institutional settings and services available to assist a person with finding a community-based home. </w:t>
      </w:r>
    </w:p>
    <w:p w14:paraId="22386369" w14:textId="77777777" w:rsidR="00952028" w:rsidRPr="00D84281" w:rsidRDefault="00952028" w:rsidP="006E6012">
      <w:pPr>
        <w:pStyle w:val="ListParagraph"/>
        <w:numPr>
          <w:ilvl w:val="1"/>
          <w:numId w:val="83"/>
        </w:numPr>
        <w:rPr>
          <w:u w:val="single"/>
        </w:rPr>
      </w:pPr>
      <w:r w:rsidRPr="00D84281">
        <w:rPr>
          <w:rFonts w:eastAsia="Helvetica Neue"/>
        </w:rPr>
        <w:t xml:space="preserve">Take place in institutions as much as possible to remove the barrier of transportation and to educate institutional staff about GBV. </w:t>
      </w:r>
    </w:p>
    <w:p w14:paraId="090D9669" w14:textId="20E17906" w:rsidR="00952028" w:rsidRPr="00B90241" w:rsidRDefault="00952028" w:rsidP="006E6012">
      <w:pPr>
        <w:pStyle w:val="ListParagraph"/>
        <w:numPr>
          <w:ilvl w:val="1"/>
          <w:numId w:val="83"/>
        </w:numPr>
        <w:rPr>
          <w:u w:val="single"/>
        </w:rPr>
      </w:pPr>
      <w:r w:rsidRPr="00D84281">
        <w:rPr>
          <w:rFonts w:eastAsia="Helvetica Neue"/>
        </w:rPr>
        <w:t>Offer referral services.</w:t>
      </w:r>
    </w:p>
    <w:p w14:paraId="3CFF400B" w14:textId="0F3287E3" w:rsidR="00952028" w:rsidRPr="00D26517" w:rsidRDefault="00952028" w:rsidP="00B90241">
      <w:pPr>
        <w:pStyle w:val="Heading4"/>
        <w:spacing w:before="480"/>
        <w:rPr>
          <w:rFonts w:eastAsia="Helvetica Neue"/>
        </w:rPr>
      </w:pPr>
      <w:r w:rsidRPr="00D26517">
        <w:rPr>
          <w:rFonts w:eastAsia="Helvetica Neue"/>
        </w:rPr>
        <w:t>Guidelines for Action: Accessibility</w:t>
      </w:r>
    </w:p>
    <w:p w14:paraId="6B380030" w14:textId="77777777" w:rsidR="00D84281" w:rsidRPr="00D84281" w:rsidRDefault="00952028" w:rsidP="006E6012">
      <w:pPr>
        <w:pStyle w:val="ListParagraph"/>
        <w:numPr>
          <w:ilvl w:val="0"/>
          <w:numId w:val="82"/>
        </w:numPr>
        <w:rPr>
          <w:rFonts w:eastAsia="Helvetica Neue"/>
          <w:u w:val="single"/>
        </w:rPr>
      </w:pPr>
      <w:r w:rsidRPr="00D84281">
        <w:rPr>
          <w:rFonts w:eastAsia="Helvetica Neue"/>
        </w:rPr>
        <w:t>Offer free accessible hotlines available to women and young persons with disabilities living in institutions. Develop other creative strategies with the assistance of institutionalized or formerly institutionalized women and young persons with disabilities for how institutionalized women and young persons can report violence and access services.</w:t>
      </w:r>
    </w:p>
    <w:p w14:paraId="4435FA38" w14:textId="19B1C945" w:rsidR="00952028" w:rsidRPr="00B90241" w:rsidRDefault="00952028" w:rsidP="006E6012">
      <w:pPr>
        <w:pStyle w:val="ListParagraph"/>
        <w:numPr>
          <w:ilvl w:val="0"/>
          <w:numId w:val="82"/>
        </w:numPr>
        <w:rPr>
          <w:rFonts w:eastAsia="Helvetica Neue"/>
          <w:u w:val="single"/>
        </w:rPr>
      </w:pPr>
      <w:r w:rsidRPr="00D84281">
        <w:rPr>
          <w:rFonts w:eastAsia="Helvetica Neue"/>
        </w:rPr>
        <w:t>As much as possible, offer GBV services that come to women and young persons with disabilities in institutional settings rather than external services requiring transport.</w:t>
      </w:r>
      <w:r w:rsidRPr="00A64CBE">
        <w:rPr>
          <w:rFonts w:eastAsia="Helvetica Neue"/>
          <w:vertAlign w:val="superscript"/>
        </w:rPr>
        <w:endnoteReference w:id="380"/>
      </w:r>
    </w:p>
    <w:p w14:paraId="0959D113" w14:textId="548328A4" w:rsidR="00952028" w:rsidRPr="00D26517" w:rsidRDefault="00952028" w:rsidP="00B90241">
      <w:pPr>
        <w:pStyle w:val="Heading4"/>
        <w:spacing w:before="480"/>
        <w:rPr>
          <w:rFonts w:eastAsia="Helvetica Neue"/>
        </w:rPr>
      </w:pPr>
      <w:r w:rsidRPr="00D26517">
        <w:rPr>
          <w:rFonts w:eastAsia="Helvetica Neue"/>
        </w:rPr>
        <w:t>Guidelines for Action: Acceptability</w:t>
      </w:r>
    </w:p>
    <w:p w14:paraId="55B67961" w14:textId="77777777" w:rsidR="00952028" w:rsidRPr="00B90241" w:rsidRDefault="00952028" w:rsidP="006E6012">
      <w:pPr>
        <w:pStyle w:val="ListParagraph"/>
        <w:numPr>
          <w:ilvl w:val="0"/>
          <w:numId w:val="84"/>
        </w:numPr>
        <w:rPr>
          <w:rFonts w:eastAsia="Helvetica Neue"/>
          <w:u w:val="single"/>
        </w:rPr>
      </w:pPr>
      <w:r w:rsidRPr="00B90241">
        <w:rPr>
          <w:rFonts w:eastAsia="Helvetica Neue"/>
        </w:rPr>
        <w:t xml:space="preserve">Schedule regular in-person visits to institutions with service providers trained in a variety of communication methods. </w:t>
      </w:r>
    </w:p>
    <w:p w14:paraId="545B4FE9" w14:textId="77777777" w:rsidR="00952028" w:rsidRPr="00B90241" w:rsidRDefault="00952028" w:rsidP="006E6012">
      <w:pPr>
        <w:pStyle w:val="ListParagraph"/>
        <w:numPr>
          <w:ilvl w:val="0"/>
          <w:numId w:val="84"/>
        </w:numPr>
        <w:rPr>
          <w:rFonts w:eastAsia="Helvetica Neue"/>
          <w:u w:val="single"/>
        </w:rPr>
      </w:pPr>
      <w:r w:rsidRPr="00B90241">
        <w:rPr>
          <w:rFonts w:eastAsia="Helvetica Neue"/>
        </w:rPr>
        <w:t>Incorporate services to prevent forced sterilization or contraception into GBV programmes. The sterilization of women with disabilities in institutions as a means of covering up sexual abuse—or preparing for what is viewed as inevitable sexual abuse—has been documented in institutions around the world.</w:t>
      </w:r>
      <w:r w:rsidRPr="00A64CBE">
        <w:rPr>
          <w:rFonts w:eastAsia="Helvetica Neue"/>
          <w:vertAlign w:val="superscript"/>
        </w:rPr>
        <w:endnoteReference w:id="381"/>
      </w:r>
      <w:r w:rsidRPr="00B90241">
        <w:rPr>
          <w:rFonts w:eastAsia="Helvetica Neue"/>
        </w:rPr>
        <w:t xml:space="preserve"> GBV service providers and support staff must understand the scope of this problem and be prepared to provide appropriate services to institutionalized women with disabilities to screen for and protect against forced sterilization and forced contraception. </w:t>
      </w:r>
    </w:p>
    <w:p w14:paraId="4E157709" w14:textId="77777777" w:rsidR="00952028" w:rsidRPr="00B90241" w:rsidRDefault="00952028" w:rsidP="006E6012">
      <w:pPr>
        <w:pStyle w:val="ListParagraph"/>
        <w:numPr>
          <w:ilvl w:val="0"/>
          <w:numId w:val="84"/>
        </w:numPr>
        <w:rPr>
          <w:rFonts w:eastAsia="Helvetica Neue"/>
          <w:u w:val="single"/>
        </w:rPr>
      </w:pPr>
      <w:r w:rsidRPr="00B90241">
        <w:rPr>
          <w:rFonts w:eastAsia="Helvetica Neue"/>
        </w:rPr>
        <w:t>Establish mechanisms that assist woman and young persons with disabilities and their family members and advocates to meaningfully participate in placement decisions.</w:t>
      </w:r>
      <w:r w:rsidRPr="00A64CBE">
        <w:rPr>
          <w:rFonts w:eastAsia="Helvetica Neue"/>
          <w:vertAlign w:val="superscript"/>
        </w:rPr>
        <w:endnoteReference w:id="382"/>
      </w:r>
      <w:r w:rsidRPr="00B90241">
        <w:rPr>
          <w:rFonts w:eastAsia="Helvetica Neue"/>
        </w:rPr>
        <w:t xml:space="preserve"> However, ensure that these programmes include and prioritize community based and independent living situations. </w:t>
      </w:r>
    </w:p>
    <w:p w14:paraId="79C36DE3" w14:textId="4C6FC52B" w:rsidR="00952028" w:rsidRPr="00B90241" w:rsidRDefault="00952028" w:rsidP="006E6012">
      <w:pPr>
        <w:pStyle w:val="ListParagraph"/>
        <w:numPr>
          <w:ilvl w:val="0"/>
          <w:numId w:val="84"/>
        </w:numPr>
        <w:rPr>
          <w:rFonts w:eastAsia="Helvetica Neue"/>
          <w:u w:val="single"/>
        </w:rPr>
      </w:pPr>
      <w:r w:rsidRPr="00B90241">
        <w:rPr>
          <w:rFonts w:eastAsia="Helvetica Neue"/>
        </w:rPr>
        <w:t>Advocate for an independent, confidential and accessible complaint mechanism</w:t>
      </w:r>
      <w:r w:rsidRPr="00B90241">
        <w:rPr>
          <w:rFonts w:eastAsia="Helvetica Neue"/>
          <w:b/>
        </w:rPr>
        <w:t xml:space="preserve"> </w:t>
      </w:r>
      <w:r w:rsidRPr="00B90241">
        <w:rPr>
          <w:rFonts w:eastAsia="Helvetica Neue"/>
        </w:rPr>
        <w:t>to enable institutionalized women and young persons with disabilities to register complaints about GBV in institutions.</w:t>
      </w:r>
      <w:r w:rsidRPr="00A64CBE">
        <w:rPr>
          <w:rFonts w:eastAsia="Helvetica Neue"/>
          <w:vertAlign w:val="superscript"/>
        </w:rPr>
        <w:endnoteReference w:id="383"/>
      </w:r>
    </w:p>
    <w:p w14:paraId="28A8B2DF" w14:textId="46BB0DD8" w:rsidR="00952028" w:rsidRPr="00D26517" w:rsidRDefault="00952028" w:rsidP="00B90241">
      <w:pPr>
        <w:pStyle w:val="Heading4"/>
        <w:spacing w:before="480"/>
        <w:rPr>
          <w:rFonts w:eastAsia="Helvetica Neue"/>
        </w:rPr>
      </w:pPr>
      <w:r w:rsidRPr="00D26517">
        <w:rPr>
          <w:rFonts w:eastAsia="Helvetica Neue"/>
        </w:rPr>
        <w:t xml:space="preserve">Guidelines for Action: Quality </w:t>
      </w:r>
    </w:p>
    <w:p w14:paraId="6AE2D11A" w14:textId="77777777" w:rsidR="00952028" w:rsidRPr="00B90241" w:rsidRDefault="00952028" w:rsidP="006E6012">
      <w:pPr>
        <w:pStyle w:val="ListParagraph"/>
        <w:numPr>
          <w:ilvl w:val="0"/>
          <w:numId w:val="85"/>
        </w:numPr>
        <w:rPr>
          <w:rFonts w:eastAsia="Helvetica Neue"/>
          <w:u w:val="single"/>
        </w:rPr>
      </w:pPr>
      <w:r w:rsidRPr="00B90241">
        <w:rPr>
          <w:rFonts w:eastAsia="Helvetica Neue"/>
        </w:rPr>
        <w:t>Collect data on women and young persons receiving care in institutional settings.</w:t>
      </w:r>
      <w:r w:rsidRPr="00A64CBE">
        <w:rPr>
          <w:rFonts w:eastAsia="Helvetica Neue"/>
          <w:vertAlign w:val="superscript"/>
        </w:rPr>
        <w:endnoteReference w:id="384"/>
      </w:r>
      <w:r w:rsidRPr="00B90241">
        <w:rPr>
          <w:rFonts w:eastAsia="Helvetica Neue"/>
          <w:vertAlign w:val="superscript"/>
        </w:rPr>
        <w:t xml:space="preserve"> </w:t>
      </w:r>
      <w:r w:rsidRPr="00B90241">
        <w:rPr>
          <w:rFonts w:eastAsia="Helvetica Neue"/>
        </w:rPr>
        <w:t>This information is critical to improving and designing systems that minimize the risk of violence and ensure that GBV services reach those who need them.</w:t>
      </w:r>
      <w:r w:rsidRPr="00B90241">
        <w:rPr>
          <w:rFonts w:eastAsia="Helvetica Neue"/>
          <w:u w:val="single"/>
        </w:rPr>
        <w:t xml:space="preserve"> </w:t>
      </w:r>
    </w:p>
    <w:p w14:paraId="1A7CC636" w14:textId="25763442" w:rsidR="00952028" w:rsidRPr="00B90241" w:rsidRDefault="00952028" w:rsidP="006E6012">
      <w:pPr>
        <w:pStyle w:val="ListParagraph"/>
        <w:numPr>
          <w:ilvl w:val="0"/>
          <w:numId w:val="85"/>
        </w:numPr>
        <w:rPr>
          <w:rFonts w:eastAsia="Helvetica Neue"/>
          <w:u w:val="single"/>
        </w:rPr>
      </w:pPr>
      <w:r w:rsidRPr="00B90241">
        <w:rPr>
          <w:rFonts w:eastAsia="Helvetica Neue"/>
        </w:rPr>
        <w:t>Develop and administer programmes for institutional service providers and support staff designed to improve quality of care and reduce the risk</w:t>
      </w:r>
      <w:r w:rsidRPr="00B90241">
        <w:rPr>
          <w:rFonts w:eastAsia="Helvetica Neue"/>
          <w:b/>
        </w:rPr>
        <w:t xml:space="preserve"> </w:t>
      </w:r>
      <w:r w:rsidRPr="00B90241">
        <w:rPr>
          <w:rFonts w:eastAsia="Helvetica Neue"/>
        </w:rPr>
        <w:t xml:space="preserve">of GBV for institutionalized women and young </w:t>
      </w:r>
      <w:r w:rsidR="005E4518">
        <w:rPr>
          <w:rFonts w:eastAsia="Helvetica Neue"/>
        </w:rPr>
        <w:t>persons</w:t>
      </w:r>
      <w:r w:rsidR="005E4518" w:rsidRPr="00B90241">
        <w:rPr>
          <w:rFonts w:eastAsia="Helvetica Neue"/>
        </w:rPr>
        <w:t xml:space="preserve"> </w:t>
      </w:r>
      <w:r w:rsidRPr="00B90241">
        <w:rPr>
          <w:rFonts w:eastAsia="Helvetica Neue"/>
        </w:rPr>
        <w:t xml:space="preserve">with disabilities. Quality of care is directly linked to the vulnerability of </w:t>
      </w:r>
      <w:r w:rsidRPr="00B90241">
        <w:rPr>
          <w:rFonts w:eastAsia="Helvetica Neue"/>
        </w:rPr>
        <w:lastRenderedPageBreak/>
        <w:t xml:space="preserve">women and young </w:t>
      </w:r>
      <w:r w:rsidR="005E4518">
        <w:rPr>
          <w:rFonts w:eastAsia="Helvetica Neue"/>
        </w:rPr>
        <w:t>persons</w:t>
      </w:r>
      <w:r w:rsidR="005E4518" w:rsidRPr="00B90241">
        <w:rPr>
          <w:rFonts w:eastAsia="Helvetica Neue"/>
        </w:rPr>
        <w:t xml:space="preserve"> </w:t>
      </w:r>
      <w:r w:rsidRPr="00B90241">
        <w:rPr>
          <w:rFonts w:eastAsia="Helvetica Neue"/>
        </w:rPr>
        <w:t>with disabilities to violence.</w:t>
      </w:r>
      <w:r w:rsidRPr="00A64CBE">
        <w:rPr>
          <w:rFonts w:eastAsia="Helvetica Neue"/>
          <w:vertAlign w:val="superscript"/>
        </w:rPr>
        <w:endnoteReference w:id="385"/>
      </w:r>
      <w:r w:rsidRPr="00B90241">
        <w:rPr>
          <w:rFonts w:eastAsia="Helvetica Neue"/>
        </w:rPr>
        <w:t xml:space="preserve"> Training should be conducted in whole or part by persons with disabilities. Specifically, training should address:</w:t>
      </w:r>
    </w:p>
    <w:p w14:paraId="3FCCD185" w14:textId="77777777" w:rsidR="00952028" w:rsidRPr="00B90241" w:rsidRDefault="00952028" w:rsidP="006E6012">
      <w:pPr>
        <w:pStyle w:val="ListParagraph"/>
        <w:numPr>
          <w:ilvl w:val="1"/>
          <w:numId w:val="85"/>
        </w:numPr>
        <w:rPr>
          <w:u w:val="single"/>
        </w:rPr>
      </w:pPr>
      <w:r w:rsidRPr="00B90241">
        <w:rPr>
          <w:rFonts w:eastAsia="Helvetica Neue"/>
        </w:rPr>
        <w:t>The intersectional needs and experiences of each individual.</w:t>
      </w:r>
    </w:p>
    <w:p w14:paraId="2F8EB53B" w14:textId="77777777" w:rsidR="00952028" w:rsidRPr="00B90241" w:rsidRDefault="00952028" w:rsidP="006E6012">
      <w:pPr>
        <w:pStyle w:val="ListParagraph"/>
        <w:numPr>
          <w:ilvl w:val="1"/>
          <w:numId w:val="85"/>
        </w:numPr>
        <w:rPr>
          <w:u w:val="single"/>
        </w:rPr>
      </w:pPr>
      <w:r w:rsidRPr="00B90241">
        <w:rPr>
          <w:rFonts w:eastAsia="Helvetica Neue"/>
        </w:rPr>
        <w:t xml:space="preserve">The risks facing men. </w:t>
      </w:r>
    </w:p>
    <w:p w14:paraId="10CB7114" w14:textId="77777777" w:rsidR="00952028" w:rsidRPr="00B90241" w:rsidRDefault="00952028" w:rsidP="006E6012">
      <w:pPr>
        <w:pStyle w:val="ListParagraph"/>
        <w:numPr>
          <w:ilvl w:val="1"/>
          <w:numId w:val="85"/>
        </w:numPr>
        <w:rPr>
          <w:u w:val="single"/>
        </w:rPr>
      </w:pPr>
      <w:r w:rsidRPr="00B90241">
        <w:rPr>
          <w:rFonts w:eastAsia="Helvetica Neue"/>
        </w:rPr>
        <w:t>Alternatives to institutionalization.</w:t>
      </w:r>
    </w:p>
    <w:p w14:paraId="67BDBB2B" w14:textId="77777777" w:rsidR="00952028" w:rsidRPr="00B90241" w:rsidRDefault="00952028" w:rsidP="006E6012">
      <w:pPr>
        <w:pStyle w:val="ListParagraph"/>
        <w:numPr>
          <w:ilvl w:val="0"/>
          <w:numId w:val="85"/>
        </w:numPr>
        <w:rPr>
          <w:rFonts w:eastAsia="Helvetica Neue"/>
          <w:u w:val="single"/>
        </w:rPr>
      </w:pPr>
      <w:r w:rsidRPr="00B90241">
        <w:rPr>
          <w:rFonts w:eastAsia="Helvetica Neue"/>
        </w:rPr>
        <w:t>Build the capacity of independent monitoring bodies, such as an ombudsperson or a dedicated oversight agency or organization, to identify GBV among institutionalized women and young persons with disabilities and to provide services or referrals to GBV victims/survivors with disabilities. Advocate for quality and transparent State-sponsored monitoring, as appropriate. Service providers and support staff can look to guidelines such as the ‘Guidelines for the Alternative Care of Children,’ promulgated by the UN General Assembly for standards for residential care.</w:t>
      </w:r>
      <w:r w:rsidRPr="00A64CBE">
        <w:rPr>
          <w:rFonts w:eastAsia="Helvetica Neue"/>
          <w:vertAlign w:val="superscript"/>
        </w:rPr>
        <w:endnoteReference w:id="386"/>
      </w:r>
      <w:r w:rsidRPr="00B90241">
        <w:rPr>
          <w:rFonts w:eastAsia="Helvetica Neue"/>
        </w:rPr>
        <w:t xml:space="preserve"> </w:t>
      </w:r>
    </w:p>
    <w:p w14:paraId="74C25595" w14:textId="77777777" w:rsidR="00952028" w:rsidRPr="00B90241" w:rsidRDefault="00952028" w:rsidP="006E6012">
      <w:pPr>
        <w:pStyle w:val="ListParagraph"/>
        <w:numPr>
          <w:ilvl w:val="0"/>
          <w:numId w:val="33"/>
        </w:numPr>
        <w:ind w:left="684" w:hanging="396"/>
        <w:rPr>
          <w:rFonts w:eastAsia="Helvetica Neue"/>
          <w:u w:val="single"/>
        </w:rPr>
      </w:pPr>
      <w:r w:rsidRPr="00B90241">
        <w:rPr>
          <w:rFonts w:eastAsia="Helvetica Neue"/>
          <w:b/>
        </w:rPr>
        <w:t>Example:</w:t>
      </w:r>
      <w:r w:rsidRPr="00B90241">
        <w:rPr>
          <w:rFonts w:eastAsia="Helvetica Neue"/>
        </w:rPr>
        <w:t xml:space="preserve"> In Moldova, the UN Partnership to Promote the Rights of Persons with Disabilities (UNPRPD) led a project to support the creation of the</w:t>
      </w:r>
      <w:r w:rsidRPr="00B90241">
        <w:rPr>
          <w:rFonts w:eastAsia="Helvetica Neue"/>
          <w:b/>
        </w:rPr>
        <w:t xml:space="preserve"> Office of the Ombudsperson for Psychiatric Hospitals, </w:t>
      </w:r>
      <w:r w:rsidRPr="00B90241">
        <w:rPr>
          <w:rFonts w:eastAsia="Helvetica Neue"/>
        </w:rPr>
        <w:t>an independent complaint mechanism. Tasked with visiting psychiatric institutions and long-stay mental hospitals to investigate allegations of mistreatment and forced detention, the ombudsperson received more than 12,000 complaints from 3,665 people over three years. The ombudsperson is mandated to carry out regular monitoring visits and has unhindered access to all patients who want to approach the ombudsperson for a confidential discussion. The ombudsperson has significantly enhanced access to justice for Moldovans with mental and intellectual disabilities living in institutions.</w:t>
      </w:r>
      <w:r w:rsidRPr="0083506E">
        <w:rPr>
          <w:rFonts w:eastAsia="Helvetica Neue"/>
          <w:vertAlign w:val="superscript"/>
        </w:rPr>
        <w:endnoteReference w:id="387"/>
      </w:r>
      <w:r w:rsidRPr="00B90241">
        <w:rPr>
          <w:rFonts w:eastAsia="Helvetica Neue"/>
        </w:rPr>
        <w:t xml:space="preserve"> </w:t>
      </w:r>
    </w:p>
    <w:p w14:paraId="5E5A23B9" w14:textId="77777777" w:rsidR="00952028" w:rsidRPr="00B90241" w:rsidRDefault="00952028" w:rsidP="006E6012">
      <w:pPr>
        <w:pStyle w:val="ListParagraph"/>
        <w:numPr>
          <w:ilvl w:val="0"/>
          <w:numId w:val="85"/>
        </w:numPr>
        <w:rPr>
          <w:rFonts w:eastAsia="Helvetica Neue"/>
          <w:u w:val="single"/>
        </w:rPr>
      </w:pPr>
      <w:r w:rsidRPr="00B90241">
        <w:rPr>
          <w:rFonts w:eastAsia="Helvetica Neue"/>
        </w:rPr>
        <w:t>Advocate for behavioural health courts and other specialized courts. Offer training for officials involved in the justice system to educate officials about alternatives to institutionalization and</w:t>
      </w:r>
      <w:r w:rsidRPr="00B90241">
        <w:rPr>
          <w:rFonts w:eastAsia="Helvetica Neue"/>
          <w:b/>
        </w:rPr>
        <w:t xml:space="preserve"> </w:t>
      </w:r>
      <w:r w:rsidRPr="00B90241">
        <w:rPr>
          <w:rFonts w:eastAsia="Helvetica Neue"/>
        </w:rPr>
        <w:t>incarceration of women and young persons with disabilities.</w:t>
      </w:r>
    </w:p>
    <w:p w14:paraId="43194DF1" w14:textId="77777777" w:rsidR="00952028" w:rsidRPr="00B90241" w:rsidRDefault="00952028" w:rsidP="006E6012">
      <w:pPr>
        <w:pStyle w:val="ListParagraph"/>
        <w:numPr>
          <w:ilvl w:val="0"/>
          <w:numId w:val="85"/>
        </w:numPr>
        <w:rPr>
          <w:rFonts w:eastAsia="Helvetica Neue"/>
          <w:u w:val="single"/>
        </w:rPr>
      </w:pPr>
      <w:r w:rsidRPr="00B90241">
        <w:rPr>
          <w:rFonts w:eastAsia="Helvetica Neue"/>
        </w:rPr>
        <w:t xml:space="preserve">Engage family members of people in institutions (unless the person with the disability opposes the involvement of their family member). Services providers and support staff should offer or refer family members to services to assist them with helping their family member with a disability navigate the GBV system, as needed and requested. </w:t>
      </w:r>
    </w:p>
    <w:p w14:paraId="119C0E9D" w14:textId="767CB66C" w:rsidR="00952028" w:rsidRPr="00A87A9E" w:rsidRDefault="00952028" w:rsidP="006E6012">
      <w:pPr>
        <w:pStyle w:val="ListParagraph"/>
        <w:numPr>
          <w:ilvl w:val="0"/>
          <w:numId w:val="85"/>
        </w:numPr>
        <w:rPr>
          <w:rFonts w:eastAsia="Helvetica Neue"/>
        </w:rPr>
      </w:pPr>
      <w:r w:rsidRPr="00B90241">
        <w:rPr>
          <w:rFonts w:eastAsia="Helvetica Neue"/>
        </w:rPr>
        <w:t>Assess the laws and policies that contribute to institutionalization and develop strategies to advocate for legal and policy changes, including advocating as necessary against forced institutionalization.</w:t>
      </w:r>
      <w:r w:rsidRPr="00A64CBE">
        <w:rPr>
          <w:rFonts w:eastAsia="Helvetica Neue"/>
          <w:vertAlign w:val="superscript"/>
        </w:rPr>
        <w:endnoteReference w:id="388"/>
      </w:r>
      <w:r w:rsidRPr="00B90241">
        <w:rPr>
          <w:rFonts w:eastAsia="Helvetica Neue"/>
        </w:rPr>
        <w:t xml:space="preserve"> </w:t>
      </w:r>
    </w:p>
    <w:p w14:paraId="54F055AE" w14:textId="296F4EC9" w:rsidR="00952028" w:rsidRPr="00A87A9E" w:rsidRDefault="00952028" w:rsidP="00A87A9E">
      <w:pPr>
        <w:pStyle w:val="Heading3"/>
      </w:pPr>
      <w:r w:rsidRPr="00A64CBE">
        <w:t xml:space="preserve">3.8.3 </w:t>
      </w:r>
      <w:r w:rsidRPr="00A64CBE">
        <w:tab/>
        <w:t xml:space="preserve">Indicators </w:t>
      </w:r>
    </w:p>
    <w:p w14:paraId="4DE80B73" w14:textId="42BF8232" w:rsidR="00952028" w:rsidRPr="00A87A9E" w:rsidRDefault="00952028" w:rsidP="00A87A9E">
      <w:pPr>
        <w:rPr>
          <w:rFonts w:eastAsia="Helvetica Neue"/>
          <w:highlight w:val="white"/>
        </w:rPr>
      </w:pPr>
      <w:r w:rsidRPr="00A64CBE">
        <w:rPr>
          <w:rFonts w:eastAsia="Helvetica Neue"/>
          <w:highlight w:val="white"/>
        </w:rPr>
        <w:t xml:space="preserve">The following are illustrative of indicators that can be used to monitor and evaluate progress in the provision of rights-based GBV services for women and young </w:t>
      </w:r>
      <w:r w:rsidR="005E4518">
        <w:rPr>
          <w:rFonts w:eastAsia="Helvetica Neue"/>
          <w:highlight w:val="white"/>
        </w:rPr>
        <w:t>persons</w:t>
      </w:r>
      <w:r w:rsidR="005E4518" w:rsidRPr="00A64CBE">
        <w:rPr>
          <w:rFonts w:eastAsia="Helvetica Neue"/>
          <w:highlight w:val="white"/>
        </w:rPr>
        <w:t xml:space="preserve"> </w:t>
      </w:r>
      <w:r w:rsidRPr="00A64CBE">
        <w:rPr>
          <w:rFonts w:eastAsia="Helvetica Neue"/>
          <w:highlight w:val="white"/>
        </w:rPr>
        <w:t xml:space="preserve">with disabilities living in institutions. This is not an exhaustive list, but rather a few examples demonstrating the level of specificity, subjects, and form that indicators should take for GBV services in institutional settings. </w:t>
      </w:r>
      <w:r w:rsidRPr="00A64CBE">
        <w:rPr>
          <w:rFonts w:eastAsia="Helvetica Neue"/>
        </w:rPr>
        <w:t>Service providers should tailor the indicators to fit their programme settings and levels, including by specifying at which level and by whom indicator data should be collected.</w:t>
      </w:r>
      <w:r w:rsidRPr="00A64CBE">
        <w:rPr>
          <w:rFonts w:eastAsia="Helvetica Neue"/>
          <w:highlight w:val="white"/>
        </w:rPr>
        <w:t> </w:t>
      </w:r>
    </w:p>
    <w:p w14:paraId="5A0C1464" w14:textId="77777777" w:rsidR="00952028" w:rsidRPr="00A64CBE" w:rsidRDefault="00952028" w:rsidP="006E6012">
      <w:pPr>
        <w:pStyle w:val="ListParagraph"/>
        <w:numPr>
          <w:ilvl w:val="0"/>
          <w:numId w:val="88"/>
        </w:numPr>
      </w:pPr>
      <w:r w:rsidRPr="00A87A9E">
        <w:rPr>
          <w:rFonts w:eastAsia="Helvetica Neue"/>
        </w:rPr>
        <w:t xml:space="preserve">Percentage of women or young persons with disabilities living in community-based homes. </w:t>
      </w:r>
    </w:p>
    <w:p w14:paraId="1C772376" w14:textId="77777777" w:rsidR="00952028" w:rsidRPr="00A87A9E" w:rsidRDefault="00952028" w:rsidP="006E6012">
      <w:pPr>
        <w:pStyle w:val="ListParagraph"/>
        <w:numPr>
          <w:ilvl w:val="0"/>
          <w:numId w:val="88"/>
        </w:numPr>
        <w:rPr>
          <w:u w:val="single"/>
        </w:rPr>
      </w:pPr>
      <w:r w:rsidRPr="00A87A9E">
        <w:rPr>
          <w:rFonts w:eastAsia="Helvetica Neue"/>
        </w:rPr>
        <w:lastRenderedPageBreak/>
        <w:t xml:space="preserve">Percentage of institutional service providers offering accessible training on the rights of institutionalized persons every six months. The training includes information about SRHR, the right to be free from GBV (including explanation of different forms of violence), and education on healthy sexuality and relationships. </w:t>
      </w:r>
    </w:p>
    <w:p w14:paraId="21982542" w14:textId="77777777" w:rsidR="00952028" w:rsidRPr="00A87A9E" w:rsidRDefault="00952028" w:rsidP="006E6012">
      <w:pPr>
        <w:pStyle w:val="ListParagraph"/>
        <w:numPr>
          <w:ilvl w:val="0"/>
          <w:numId w:val="88"/>
        </w:numPr>
        <w:rPr>
          <w:u w:val="single"/>
        </w:rPr>
      </w:pPr>
      <w:r w:rsidRPr="00A87A9E">
        <w:rPr>
          <w:rFonts w:eastAsia="Helvetica Neue"/>
        </w:rPr>
        <w:t>Percentage of institutional service providers and support staff with resources to help them provide crisis intervention services when they learn of sexual violence against women and young persons with disabilities living in the institution.</w:t>
      </w:r>
    </w:p>
    <w:p w14:paraId="1F5A2F96" w14:textId="3A3B48BD" w:rsidR="00952028" w:rsidRPr="00A87A9E" w:rsidRDefault="00952028" w:rsidP="006E6012">
      <w:pPr>
        <w:pStyle w:val="ListParagraph"/>
        <w:numPr>
          <w:ilvl w:val="0"/>
          <w:numId w:val="88"/>
        </w:numPr>
        <w:rPr>
          <w:u w:val="single"/>
        </w:rPr>
      </w:pPr>
      <w:r w:rsidRPr="00A87A9E">
        <w:rPr>
          <w:rFonts w:eastAsia="Helvetica Neue"/>
        </w:rPr>
        <w:t>Percentage of GBV incidents investigated by a facility-monitoring body and found to be unsubstantiated and the percentage of GBV incidents investigated and found to be substantiated.</w:t>
      </w:r>
    </w:p>
    <w:p w14:paraId="61E04A8F" w14:textId="15BCB2F9" w:rsidR="00952028" w:rsidRPr="00A64CBE" w:rsidRDefault="00952028" w:rsidP="00321F69">
      <w:pPr>
        <w:pStyle w:val="Heading2"/>
        <w:spacing w:before="480" w:after="120"/>
        <w:ind w:left="547" w:right="-180" w:hanging="547"/>
      </w:pPr>
      <w:bookmarkStart w:id="19" w:name="GBVyouth"/>
      <w:r w:rsidRPr="00A64CBE">
        <w:t xml:space="preserve">3.9 </w:t>
      </w:r>
      <w:bookmarkEnd w:id="19"/>
      <w:r w:rsidR="009B3286">
        <w:tab/>
      </w:r>
      <w:r w:rsidRPr="00A64CBE">
        <w:t xml:space="preserve">Access </w:t>
      </w:r>
      <w:r w:rsidRPr="009B3286">
        <w:t>to</w:t>
      </w:r>
      <w:r w:rsidRPr="00A64CBE">
        <w:t xml:space="preserve"> GBV Services for Adolescents and Youth with Disabilities </w:t>
      </w:r>
    </w:p>
    <w:p w14:paraId="44E05A79" w14:textId="13553F03" w:rsidR="00952028" w:rsidRPr="009B3286" w:rsidRDefault="00952028" w:rsidP="009B3286">
      <w:pPr>
        <w:pStyle w:val="Heading3"/>
      </w:pPr>
      <w:r w:rsidRPr="00A64CBE">
        <w:t xml:space="preserve">3.9.1 </w:t>
      </w:r>
      <w:r w:rsidRPr="00A64CBE">
        <w:tab/>
        <w:t xml:space="preserve">Issue Overview </w:t>
      </w:r>
    </w:p>
    <w:p w14:paraId="6BA61883" w14:textId="1A679895" w:rsidR="00952028" w:rsidRPr="009B3286" w:rsidRDefault="00952028" w:rsidP="009B3286">
      <w:pPr>
        <w:rPr>
          <w:rFonts w:eastAsia="Helvetica Neue"/>
        </w:rPr>
      </w:pPr>
      <w:r w:rsidRPr="00A64CBE">
        <w:rPr>
          <w:rFonts w:eastAsia="Helvetica Neue"/>
        </w:rPr>
        <w:t xml:space="preserve">The period between ages 10 and 24 is a pivotal time of development for any person, and no less so for those with disabilities. During that period, girls and boys experience puberty and go through significant physical, mental, and emotional changes. Throughout this development period, young </w:t>
      </w:r>
      <w:r>
        <w:rPr>
          <w:rFonts w:eastAsia="Helvetica Neue"/>
        </w:rPr>
        <w:t>persons</w:t>
      </w:r>
      <w:r w:rsidRPr="00A64CBE">
        <w:rPr>
          <w:rFonts w:eastAsia="Helvetica Neue"/>
        </w:rPr>
        <w:t xml:space="preserve"> with disabilities are just as likely to become sexually active as their peers without disabilities and to form intimate relationships. Yet, young </w:t>
      </w:r>
      <w:r>
        <w:rPr>
          <w:rFonts w:eastAsia="Helvetica Neue"/>
        </w:rPr>
        <w:t>persons</w:t>
      </w:r>
      <w:r w:rsidRPr="00A64CBE">
        <w:rPr>
          <w:rFonts w:eastAsia="Helvetica Neue"/>
        </w:rPr>
        <w:t xml:space="preserve"> with disabilities are often excluded from comprehensive sexuality education or other educational programmes that can empower them to develop healthy relationships or to recognize and </w:t>
      </w:r>
      <w:r>
        <w:rPr>
          <w:rFonts w:eastAsia="Helvetica Neue"/>
        </w:rPr>
        <w:t>GBV</w:t>
      </w:r>
      <w:r w:rsidRPr="00A64CBE">
        <w:rPr>
          <w:rFonts w:eastAsia="Helvetica Neue"/>
        </w:rPr>
        <w:t xml:space="preserve">. Moreover, young </w:t>
      </w:r>
      <w:r>
        <w:rPr>
          <w:rFonts w:eastAsia="Helvetica Neue"/>
        </w:rPr>
        <w:t>persons</w:t>
      </w:r>
      <w:r w:rsidRPr="00A64CBE">
        <w:rPr>
          <w:rFonts w:eastAsia="Helvetica Neue"/>
        </w:rPr>
        <w:t xml:space="preserve"> with disabilities </w:t>
      </w:r>
      <w:r>
        <w:rPr>
          <w:rFonts w:eastAsia="Helvetica Neue"/>
        </w:rPr>
        <w:t>are more</w:t>
      </w:r>
      <w:r w:rsidRPr="00A64CBE">
        <w:rPr>
          <w:rFonts w:eastAsia="Helvetica Neue"/>
        </w:rPr>
        <w:t xml:space="preserve"> likely to be isolated in homes or institutions than adults with disabilities. These factors </w:t>
      </w:r>
      <w:r>
        <w:rPr>
          <w:rFonts w:eastAsia="Helvetica Neue"/>
        </w:rPr>
        <w:t>make</w:t>
      </w:r>
      <w:r w:rsidRPr="00A64CBE">
        <w:rPr>
          <w:rFonts w:eastAsia="Helvetica Neue"/>
        </w:rPr>
        <w:t xml:space="preserve"> young </w:t>
      </w:r>
      <w:r>
        <w:rPr>
          <w:rFonts w:eastAsia="Helvetica Neue"/>
        </w:rPr>
        <w:t>persons</w:t>
      </w:r>
      <w:r w:rsidRPr="00A64CBE">
        <w:rPr>
          <w:rFonts w:eastAsia="Helvetica Neue"/>
        </w:rPr>
        <w:t xml:space="preserve"> with disabilities </w:t>
      </w:r>
      <w:r>
        <w:rPr>
          <w:rFonts w:eastAsia="Helvetica Neue"/>
        </w:rPr>
        <w:t>uniquely</w:t>
      </w:r>
      <w:r w:rsidRPr="00A64CBE">
        <w:rPr>
          <w:rFonts w:eastAsia="Helvetica Neue"/>
        </w:rPr>
        <w:t xml:space="preserve"> vulnerab</w:t>
      </w:r>
      <w:r>
        <w:rPr>
          <w:rFonts w:eastAsia="Helvetica Neue"/>
        </w:rPr>
        <w:t>le</w:t>
      </w:r>
      <w:r w:rsidRPr="00A64CBE">
        <w:rPr>
          <w:rFonts w:eastAsia="Helvetica Neue"/>
        </w:rPr>
        <w:t xml:space="preserve"> to violence. </w:t>
      </w:r>
    </w:p>
    <w:p w14:paraId="57DC3738" w14:textId="032AC22B" w:rsidR="00952028" w:rsidRPr="009B3286" w:rsidRDefault="00952028" w:rsidP="009B3286">
      <w:pPr>
        <w:rPr>
          <w:rFonts w:eastAsia="Helvetica Neue"/>
        </w:rPr>
      </w:pPr>
      <w:r w:rsidRPr="00A64CBE">
        <w:rPr>
          <w:rFonts w:eastAsia="Helvetica Neue"/>
        </w:rPr>
        <w:t xml:space="preserve">It is essential to tailor GBV prevention strategies to the specific vulnerabilities that young </w:t>
      </w:r>
      <w:r>
        <w:rPr>
          <w:rFonts w:eastAsia="Helvetica Neue"/>
        </w:rPr>
        <w:t>persons</w:t>
      </w:r>
      <w:r w:rsidRPr="00A64CBE">
        <w:rPr>
          <w:rFonts w:eastAsia="Helvetica Neue"/>
        </w:rPr>
        <w:t xml:space="preserve"> with disabilities face and to ensure that young </w:t>
      </w:r>
      <w:r>
        <w:rPr>
          <w:rFonts w:eastAsia="Helvetica Neue"/>
        </w:rPr>
        <w:t>persons</w:t>
      </w:r>
      <w:r w:rsidRPr="00A64CBE">
        <w:rPr>
          <w:rFonts w:eastAsia="Helvetica Neue"/>
        </w:rPr>
        <w:t xml:space="preserve"> with disabilities, both those living in the community and those in institutional settings, have access to essential GBV services, including health services, justice and policing services, protection services, and rehabilitation services. </w:t>
      </w:r>
    </w:p>
    <w:p w14:paraId="366704DF" w14:textId="485F0705" w:rsidR="00952028" w:rsidRPr="009B3286" w:rsidRDefault="00952028" w:rsidP="00CE152F">
      <w:pPr>
        <w:pStyle w:val="Heading3"/>
        <w:ind w:left="720" w:hanging="720"/>
      </w:pPr>
      <w:r w:rsidRPr="00A64CBE">
        <w:t xml:space="preserve">3.9.2 </w:t>
      </w:r>
      <w:r w:rsidRPr="00A64CBE">
        <w:tab/>
        <w:t xml:space="preserve">Guidelines on Providing Adolescent- and Youth-Friendly Rights-Based GBV Services to Young </w:t>
      </w:r>
      <w:r>
        <w:t>Persons</w:t>
      </w:r>
      <w:r w:rsidRPr="00A64CBE">
        <w:t xml:space="preserve"> with Disabilities</w:t>
      </w:r>
    </w:p>
    <w:p w14:paraId="2932ADD7" w14:textId="77777777" w:rsidR="00952028" w:rsidRPr="00A64CBE" w:rsidRDefault="00952028" w:rsidP="009B3286">
      <w:pPr>
        <w:rPr>
          <w:rFonts w:eastAsia="Helvetica Neue"/>
        </w:rPr>
      </w:pPr>
      <w:r w:rsidRPr="00A64CBE">
        <w:rPr>
          <w:rFonts w:eastAsia="Helvetica Neue"/>
        </w:rPr>
        <w:t xml:space="preserve">The key considerations enumerated here identify common barriers that young </w:t>
      </w:r>
      <w:r>
        <w:rPr>
          <w:rFonts w:eastAsia="Helvetica Neue"/>
        </w:rPr>
        <w:t>persons</w:t>
      </w:r>
      <w:r w:rsidRPr="00A64CBE">
        <w:rPr>
          <w:rFonts w:eastAsia="Helvetica Neue"/>
        </w:rPr>
        <w:t xml:space="preserve"> with disabilities encounter in accessing essential GBV services. The guidelines for action offer guidance for ensuring that rights-based GBV services tailored to the specific needs and considerations of young </w:t>
      </w:r>
      <w:r>
        <w:rPr>
          <w:rFonts w:eastAsia="Helvetica Neue"/>
        </w:rPr>
        <w:t>persons</w:t>
      </w:r>
      <w:r w:rsidRPr="00A64CBE">
        <w:rPr>
          <w:rFonts w:eastAsia="Helvetica Neue"/>
        </w:rPr>
        <w:t xml:space="preserve"> with disabilities are available, accessible, acceptable, and of good quality. These guidelines for action build on the Foundational Guidelines for Action identified in </w:t>
      </w:r>
      <w:r w:rsidRPr="00E33D5B">
        <w:rPr>
          <w:rFonts w:eastAsia="Helvetica Neue"/>
          <w:b/>
        </w:rPr>
        <w:t>Chapter 2</w:t>
      </w:r>
      <w:r w:rsidRPr="00A64CBE">
        <w:rPr>
          <w:rFonts w:eastAsia="Helvetica Neue"/>
        </w:rPr>
        <w:t xml:space="preserve"> and are not exhaustive but provide a starting point for developing disability-inclusive services and programmes.</w:t>
      </w:r>
    </w:p>
    <w:p w14:paraId="4386B5B2" w14:textId="77777777" w:rsidR="00DB2DC5" w:rsidRDefault="00DB2DC5">
      <w:pPr>
        <w:spacing w:before="0" w:after="0"/>
        <w:rPr>
          <w:rFonts w:eastAsia="Helvetica Neue"/>
          <w:b/>
          <w:sz w:val="28"/>
          <w:lang w:val="en-GB"/>
        </w:rPr>
      </w:pPr>
      <w:r>
        <w:rPr>
          <w:rFonts w:eastAsia="Helvetica Neue"/>
        </w:rPr>
        <w:br w:type="page"/>
      </w:r>
    </w:p>
    <w:p w14:paraId="7B57D41B" w14:textId="2A2E0BC8" w:rsidR="00952028" w:rsidRPr="00A64CBE" w:rsidRDefault="00952028" w:rsidP="00A524AA">
      <w:pPr>
        <w:pStyle w:val="Heading4"/>
        <w:spacing w:before="480"/>
        <w:rPr>
          <w:rFonts w:eastAsia="Helvetica Neue"/>
        </w:rPr>
      </w:pPr>
      <w:r w:rsidRPr="00A64CBE">
        <w:rPr>
          <w:rFonts w:eastAsia="Helvetica Neue"/>
        </w:rPr>
        <w:lastRenderedPageBreak/>
        <w:t>Key Considerations</w:t>
      </w:r>
    </w:p>
    <w:p w14:paraId="73711A0C" w14:textId="77777777" w:rsidR="00952028" w:rsidRPr="009B3286" w:rsidRDefault="00952028" w:rsidP="006E6012">
      <w:pPr>
        <w:pStyle w:val="ListParagraph"/>
        <w:numPr>
          <w:ilvl w:val="0"/>
          <w:numId w:val="87"/>
        </w:numPr>
        <w:rPr>
          <w:b/>
        </w:rPr>
      </w:pPr>
      <w:r w:rsidRPr="009B3286">
        <w:rPr>
          <w:rFonts w:eastAsia="Helvetica Neue"/>
        </w:rPr>
        <w:t>Lack of participation by young persons with disabilities in the development of national plans, policies, and programmes on GBV services result in plans, policies, and programmes that effectively exclude young persons with disabilities.</w:t>
      </w:r>
    </w:p>
    <w:p w14:paraId="55014382" w14:textId="77777777" w:rsidR="00952028" w:rsidRPr="009B3286" w:rsidRDefault="00952028" w:rsidP="006E6012">
      <w:pPr>
        <w:pStyle w:val="ListParagraph"/>
        <w:numPr>
          <w:ilvl w:val="0"/>
          <w:numId w:val="87"/>
        </w:numPr>
        <w:rPr>
          <w:b/>
        </w:rPr>
      </w:pPr>
      <w:r w:rsidRPr="009B3286">
        <w:rPr>
          <w:rFonts w:eastAsia="Helvetica Neue"/>
        </w:rPr>
        <w:t>Young persons with disabilities are at heightened risk for harmful practices, such as child marriage and virgin rape.</w:t>
      </w:r>
      <w:r w:rsidRPr="00A64CBE">
        <w:rPr>
          <w:rFonts w:eastAsia="Helvetica Neue"/>
          <w:vertAlign w:val="superscript"/>
        </w:rPr>
        <w:endnoteReference w:id="389"/>
      </w:r>
      <w:r w:rsidRPr="009B3286">
        <w:rPr>
          <w:rFonts w:eastAsia="Helvetica Neue"/>
        </w:rPr>
        <w:t xml:space="preserve"> Inadequate laws and policies aimed at preventing GBV, protecting young persons with disabilities from sexual and GBV, and punishing perpetrators contribute to impunity and exacerbate these risks.</w:t>
      </w:r>
    </w:p>
    <w:p w14:paraId="2C87A386" w14:textId="77777777" w:rsidR="00952028" w:rsidRPr="009B3286" w:rsidRDefault="00952028" w:rsidP="006E6012">
      <w:pPr>
        <w:pStyle w:val="ListParagraph"/>
        <w:numPr>
          <w:ilvl w:val="0"/>
          <w:numId w:val="87"/>
        </w:numPr>
        <w:rPr>
          <w:b/>
          <w:u w:val="single"/>
        </w:rPr>
      </w:pPr>
      <w:r w:rsidRPr="009B3286">
        <w:rPr>
          <w:rFonts w:eastAsia="Helvetica Neue"/>
        </w:rPr>
        <w:t>Parents, guardians, or other caregivers can be overprotective and may not want young persons with disabilities who are in their care to participate in comprehensive sexuality education programmes for fear it will increase their sexual activity. This type of gatekeeping denies young persons with disabilities the opportunity to learn how to develop healthy relationships, understand what constitutes appropriate touch, and learn to avoid, recognize, and report instances of exploitation, violence, and abuse.</w:t>
      </w:r>
    </w:p>
    <w:p w14:paraId="6A992897" w14:textId="77777777" w:rsidR="00952028" w:rsidRPr="009B3286" w:rsidRDefault="00952028" w:rsidP="006E6012">
      <w:pPr>
        <w:pStyle w:val="ListParagraph"/>
        <w:numPr>
          <w:ilvl w:val="0"/>
          <w:numId w:val="87"/>
        </w:numPr>
        <w:rPr>
          <w:b/>
          <w:u w:val="single"/>
        </w:rPr>
      </w:pPr>
      <w:r w:rsidRPr="009B3286">
        <w:rPr>
          <w:rFonts w:eastAsia="Helvetica Neue"/>
        </w:rPr>
        <w:t>Stereotypes or misperceptions that young persons with disabilities are asexual or that they do not have intimate relationships can prevent service providers and support staff from identifying them as having needs relating to GBV.</w:t>
      </w:r>
    </w:p>
    <w:p w14:paraId="10B70BB0" w14:textId="77777777" w:rsidR="00952028" w:rsidRPr="009B3286" w:rsidRDefault="00952028" w:rsidP="006E6012">
      <w:pPr>
        <w:pStyle w:val="ListParagraph"/>
        <w:numPr>
          <w:ilvl w:val="0"/>
          <w:numId w:val="87"/>
        </w:numPr>
        <w:rPr>
          <w:b/>
          <w:u w:val="single"/>
        </w:rPr>
      </w:pPr>
      <w:r w:rsidRPr="009B3286">
        <w:rPr>
          <w:rFonts w:eastAsia="Helvetica Neue"/>
        </w:rPr>
        <w:t>Young persons with disabilities are often isolated in their homes or in institutions, where families or caregivers can act as gatekeepers to services, including opportunities to be screened for GBV.</w:t>
      </w:r>
    </w:p>
    <w:p w14:paraId="594828D1" w14:textId="77777777" w:rsidR="00952028" w:rsidRPr="009B3286" w:rsidRDefault="00952028" w:rsidP="006E6012">
      <w:pPr>
        <w:pStyle w:val="ListParagraph"/>
        <w:numPr>
          <w:ilvl w:val="0"/>
          <w:numId w:val="87"/>
        </w:numPr>
        <w:rPr>
          <w:b/>
          <w:u w:val="single"/>
        </w:rPr>
      </w:pPr>
      <w:r w:rsidRPr="009B3286">
        <w:rPr>
          <w:rFonts w:eastAsia="Helvetica Neue"/>
        </w:rPr>
        <w:t>Inadequate training, counselling, financial support, and respite care for families and caregivers of young persons with disabilities can exacerbate risks of violence.</w:t>
      </w:r>
    </w:p>
    <w:p w14:paraId="4052B783" w14:textId="77777777" w:rsidR="00952028" w:rsidRPr="009B3286" w:rsidRDefault="00952028" w:rsidP="006E6012">
      <w:pPr>
        <w:pStyle w:val="ListParagraph"/>
        <w:numPr>
          <w:ilvl w:val="0"/>
          <w:numId w:val="87"/>
        </w:numPr>
        <w:rPr>
          <w:b/>
          <w:u w:val="single"/>
        </w:rPr>
      </w:pPr>
      <w:r w:rsidRPr="009B3286">
        <w:rPr>
          <w:rFonts w:eastAsia="Helvetica Neue"/>
        </w:rPr>
        <w:t xml:space="preserve">Young persons with disabilities may fear institutionalization if they report abuse by family members or caregivers, which can deter them from reporting violence. </w:t>
      </w:r>
    </w:p>
    <w:p w14:paraId="4056F169" w14:textId="77777777" w:rsidR="00952028" w:rsidRPr="00A64CBE" w:rsidRDefault="00952028" w:rsidP="006E6012">
      <w:pPr>
        <w:pStyle w:val="ListParagraph"/>
        <w:numPr>
          <w:ilvl w:val="0"/>
          <w:numId w:val="87"/>
        </w:numPr>
      </w:pPr>
      <w:r w:rsidRPr="009B3286">
        <w:rPr>
          <w:rFonts w:eastAsia="Helvetica Neue"/>
        </w:rPr>
        <w:t>Young persons with disabilities often lack a way to communicate privately with GBV service providers and support staff</w:t>
      </w:r>
      <w:r w:rsidRPr="009B3286" w:rsidDel="001949AC">
        <w:rPr>
          <w:rFonts w:eastAsia="Helvetica Neue"/>
        </w:rPr>
        <w:t xml:space="preserve"> </w:t>
      </w:r>
      <w:r w:rsidRPr="009B3286">
        <w:rPr>
          <w:rFonts w:eastAsia="Helvetica Neue"/>
        </w:rPr>
        <w:t xml:space="preserve">and may have concerns about the confidentiality of their conversations. </w:t>
      </w:r>
    </w:p>
    <w:p w14:paraId="33AF8891" w14:textId="69E719C8" w:rsidR="00952028" w:rsidRPr="00321F69" w:rsidRDefault="00952028" w:rsidP="006E6012">
      <w:pPr>
        <w:pStyle w:val="ListParagraph"/>
        <w:numPr>
          <w:ilvl w:val="0"/>
          <w:numId w:val="87"/>
        </w:numPr>
      </w:pPr>
      <w:r w:rsidRPr="009B3286">
        <w:rPr>
          <w:rFonts w:eastAsia="Helvetica Neue"/>
        </w:rPr>
        <w:t>Adolescents, especially marginalized adolescents like those with disabilities, are at increased risk of GBV during humanitarian emergencies due to the increased risk of sexual exploitation and abuse, lack of SRHR services, and disruption of SRHR services during humanitarian emergencies.</w:t>
      </w:r>
      <w:r w:rsidRPr="00A64CBE">
        <w:rPr>
          <w:rFonts w:eastAsia="Helvetica Neue"/>
          <w:vertAlign w:val="superscript"/>
        </w:rPr>
        <w:endnoteReference w:id="390"/>
      </w:r>
    </w:p>
    <w:p w14:paraId="3D2162C8" w14:textId="4EC6A117" w:rsidR="00952028" w:rsidRPr="00A524AA" w:rsidRDefault="00952028" w:rsidP="00A524AA">
      <w:pPr>
        <w:pStyle w:val="Heading4"/>
        <w:spacing w:before="480"/>
        <w:rPr>
          <w:rFonts w:eastAsia="Helvetica Neue"/>
        </w:rPr>
      </w:pPr>
      <w:r w:rsidRPr="00A524AA">
        <w:rPr>
          <w:rFonts w:eastAsia="Helvetica Neue"/>
        </w:rPr>
        <w:t xml:space="preserve">Guidelines for Action: Availability </w:t>
      </w:r>
    </w:p>
    <w:p w14:paraId="44D75E1C" w14:textId="2022655C" w:rsidR="00952028" w:rsidRPr="00A524AA" w:rsidRDefault="00952028" w:rsidP="006E6012">
      <w:pPr>
        <w:pStyle w:val="ListParagraph"/>
        <w:numPr>
          <w:ilvl w:val="0"/>
          <w:numId w:val="89"/>
        </w:numPr>
        <w:rPr>
          <w:rFonts w:eastAsia="Helvetica Neue"/>
        </w:rPr>
      </w:pPr>
      <w:r w:rsidRPr="00A524AA">
        <w:rPr>
          <w:rFonts w:eastAsia="Helvetica Neue"/>
        </w:rPr>
        <w:t>Advocate for and implement GBV laws and policies that specifically address and incorporate young persons with disabilities and their experiences.</w:t>
      </w:r>
      <w:r w:rsidRPr="00A64CBE">
        <w:rPr>
          <w:rFonts w:eastAsia="Helvetica Neue"/>
          <w:vertAlign w:val="superscript"/>
        </w:rPr>
        <w:endnoteReference w:id="391"/>
      </w:r>
    </w:p>
    <w:p w14:paraId="15422EA4" w14:textId="77777777" w:rsidR="00952028" w:rsidRPr="00A524AA" w:rsidRDefault="00952028" w:rsidP="006E6012">
      <w:pPr>
        <w:pStyle w:val="ListParagraph"/>
        <w:numPr>
          <w:ilvl w:val="0"/>
          <w:numId w:val="89"/>
        </w:numPr>
        <w:rPr>
          <w:rFonts w:eastAsia="Helvetica Neue"/>
        </w:rPr>
      </w:pPr>
      <w:r w:rsidRPr="00A524AA">
        <w:rPr>
          <w:rFonts w:eastAsia="Helvetica Neue"/>
        </w:rPr>
        <w:t>Offer programmes to support, educate, and provide respite care for parents, families and other caregivers of young persons with disabilities.</w:t>
      </w:r>
      <w:r w:rsidRPr="00A64CBE">
        <w:rPr>
          <w:rFonts w:eastAsia="Helvetica Neue"/>
          <w:vertAlign w:val="superscript"/>
        </w:rPr>
        <w:endnoteReference w:id="392"/>
      </w:r>
    </w:p>
    <w:p w14:paraId="27041495" w14:textId="77777777" w:rsidR="00952028" w:rsidRPr="00A524AA" w:rsidRDefault="00952028" w:rsidP="006E6012">
      <w:pPr>
        <w:pStyle w:val="ListParagraph"/>
        <w:numPr>
          <w:ilvl w:val="0"/>
          <w:numId w:val="89"/>
        </w:numPr>
        <w:rPr>
          <w:rFonts w:eastAsia="Helvetica Neue"/>
        </w:rPr>
      </w:pPr>
      <w:r w:rsidRPr="00A524AA">
        <w:rPr>
          <w:rFonts w:eastAsia="Helvetica Neue"/>
        </w:rPr>
        <w:t xml:space="preserve">Develop programmes to train teachers, school officials, police, and other figures of authority who encounter young persons with disabilities to understand the risk of violence they face and to recognize and report GBV where it occurs. </w:t>
      </w:r>
    </w:p>
    <w:p w14:paraId="62966B26" w14:textId="77777777" w:rsidR="00952028" w:rsidRPr="00A524AA" w:rsidRDefault="00952028" w:rsidP="006E6012">
      <w:pPr>
        <w:pStyle w:val="ListParagraph"/>
        <w:numPr>
          <w:ilvl w:val="0"/>
          <w:numId w:val="89"/>
        </w:numPr>
        <w:rPr>
          <w:rFonts w:eastAsia="Helvetica Neue"/>
        </w:rPr>
      </w:pPr>
      <w:r w:rsidRPr="00A524AA">
        <w:rPr>
          <w:rFonts w:eastAsia="Helvetica Neue"/>
        </w:rPr>
        <w:lastRenderedPageBreak/>
        <w:t>Advocate for the appointment of a public official specializing in harmful practices.</w:t>
      </w:r>
      <w:r w:rsidRPr="00A64CBE">
        <w:rPr>
          <w:rFonts w:eastAsia="Helvetica Neue"/>
          <w:vertAlign w:val="superscript"/>
        </w:rPr>
        <w:endnoteReference w:id="393"/>
      </w:r>
      <w:r w:rsidRPr="00A524AA">
        <w:rPr>
          <w:rFonts w:eastAsia="Helvetica Neue"/>
        </w:rPr>
        <w:t xml:space="preserve"> Educate public officials about harmful practices and how they affect young persons with disabilities. </w:t>
      </w:r>
    </w:p>
    <w:p w14:paraId="3F997489" w14:textId="77777777" w:rsidR="00952028" w:rsidRPr="00A524AA" w:rsidRDefault="00952028" w:rsidP="006E6012">
      <w:pPr>
        <w:pStyle w:val="ListParagraph"/>
        <w:numPr>
          <w:ilvl w:val="0"/>
          <w:numId w:val="89"/>
        </w:numPr>
        <w:rPr>
          <w:rFonts w:eastAsia="Helvetica Neue"/>
        </w:rPr>
      </w:pPr>
      <w:r w:rsidRPr="00A524AA">
        <w:rPr>
          <w:rFonts w:eastAsia="Helvetica Neue"/>
        </w:rPr>
        <w:t>Make community services and leaders available to intervene and provide mediation, education, and support to young persons with disabilities and their families when a young person with a disability is at risk of a harmful practice.</w:t>
      </w:r>
      <w:r w:rsidRPr="00A64CBE">
        <w:rPr>
          <w:rFonts w:eastAsia="Helvetica Neue"/>
          <w:vertAlign w:val="superscript"/>
        </w:rPr>
        <w:endnoteReference w:id="394"/>
      </w:r>
    </w:p>
    <w:p w14:paraId="7D187C8A" w14:textId="77777777" w:rsidR="00952028" w:rsidRPr="00A524AA" w:rsidRDefault="00952028" w:rsidP="006E6012">
      <w:pPr>
        <w:pStyle w:val="ListParagraph"/>
        <w:numPr>
          <w:ilvl w:val="0"/>
          <w:numId w:val="89"/>
        </w:numPr>
        <w:rPr>
          <w:rFonts w:eastAsia="Helvetica Neue"/>
        </w:rPr>
      </w:pPr>
      <w:r w:rsidRPr="00A524AA">
        <w:rPr>
          <w:rFonts w:eastAsia="Helvetica Neue"/>
        </w:rPr>
        <w:t>Develop protection services that specifically cater to young persons with disabilities experiencing GBV.</w:t>
      </w:r>
      <w:r w:rsidRPr="00A64CBE">
        <w:rPr>
          <w:rFonts w:eastAsia="Helvetica Neue"/>
          <w:vertAlign w:val="superscript"/>
        </w:rPr>
        <w:endnoteReference w:id="395"/>
      </w:r>
      <w:r w:rsidRPr="00A524AA">
        <w:rPr>
          <w:rFonts w:eastAsia="Helvetica Neue"/>
        </w:rPr>
        <w:t xml:space="preserve"> For example, ensure that emergency shelters and other safe housing are designed to accommodate young persons with disabilities and their educational and developmental needs.</w:t>
      </w:r>
    </w:p>
    <w:p w14:paraId="2F6EB2FE" w14:textId="77777777" w:rsidR="00952028" w:rsidRPr="00A524AA" w:rsidRDefault="00952028" w:rsidP="006E6012">
      <w:pPr>
        <w:pStyle w:val="ListParagraph"/>
        <w:numPr>
          <w:ilvl w:val="0"/>
          <w:numId w:val="89"/>
        </w:numPr>
        <w:rPr>
          <w:rFonts w:eastAsia="Helvetica Neue"/>
        </w:rPr>
      </w:pPr>
      <w:r w:rsidRPr="00A524AA">
        <w:rPr>
          <w:rFonts w:eastAsia="Helvetica Neue"/>
        </w:rPr>
        <w:t>Prioritize programmes aimed at securing the safety of children with disabilities during humanitarian emergencies, particularly those living in institutions.</w:t>
      </w:r>
      <w:r w:rsidRPr="00A524AA">
        <w:rPr>
          <w:rFonts w:eastAsia="Helvetica Neue"/>
          <w:vertAlign w:val="superscript"/>
        </w:rPr>
        <w:t xml:space="preserve"> </w:t>
      </w:r>
      <w:r w:rsidRPr="00A64CBE">
        <w:rPr>
          <w:rFonts w:eastAsia="Helvetica Neue"/>
          <w:vertAlign w:val="superscript"/>
        </w:rPr>
        <w:endnoteReference w:id="396"/>
      </w:r>
    </w:p>
    <w:p w14:paraId="0CDBC54E" w14:textId="351EC081" w:rsidR="00952028" w:rsidRPr="00A524AA" w:rsidRDefault="00952028" w:rsidP="00A524AA">
      <w:pPr>
        <w:pStyle w:val="Heading4"/>
        <w:spacing w:before="480"/>
        <w:rPr>
          <w:rFonts w:eastAsia="Helvetica Neue"/>
        </w:rPr>
      </w:pPr>
      <w:r w:rsidRPr="00A524AA">
        <w:rPr>
          <w:rFonts w:eastAsia="Helvetica Neue"/>
        </w:rPr>
        <w:t>Guidelines for Action: Accessibility</w:t>
      </w:r>
    </w:p>
    <w:p w14:paraId="662CE6F3" w14:textId="77777777" w:rsidR="00952028" w:rsidRPr="00A524AA" w:rsidRDefault="00952028" w:rsidP="006E6012">
      <w:pPr>
        <w:pStyle w:val="ListParagraph"/>
        <w:numPr>
          <w:ilvl w:val="0"/>
          <w:numId w:val="90"/>
        </w:numPr>
        <w:rPr>
          <w:rFonts w:eastAsia="Helvetica Neue"/>
          <w:u w:val="single"/>
        </w:rPr>
      </w:pPr>
      <w:r w:rsidRPr="00A524AA">
        <w:rPr>
          <w:rFonts w:eastAsia="Helvetica Neue"/>
        </w:rPr>
        <w:t>Distribute accessible GBV information for young persons with disabilities through social media platforms and other forms of technology.</w:t>
      </w:r>
    </w:p>
    <w:p w14:paraId="63A4D928" w14:textId="77777777" w:rsidR="00952028" w:rsidRPr="00A524AA" w:rsidRDefault="00952028" w:rsidP="006E6012">
      <w:pPr>
        <w:pStyle w:val="ListParagraph"/>
        <w:numPr>
          <w:ilvl w:val="1"/>
          <w:numId w:val="90"/>
        </w:numPr>
        <w:rPr>
          <w:rFonts w:eastAsia="Helvetica Neue"/>
          <w:u w:val="single"/>
        </w:rPr>
      </w:pPr>
      <w:r w:rsidRPr="00A524AA">
        <w:rPr>
          <w:rFonts w:eastAsia="Helvetica Neue"/>
          <w:b/>
        </w:rPr>
        <w:t>Example:</w:t>
      </w:r>
      <w:r w:rsidRPr="00A524AA">
        <w:rPr>
          <w:rFonts w:eastAsia="Helvetica Neue"/>
        </w:rPr>
        <w:t xml:space="preserve"> UNICEF has successfully utilized technology to spread information and empower young persons using </w:t>
      </w:r>
      <w:r w:rsidRPr="00A524AA">
        <w:rPr>
          <w:rFonts w:eastAsia="Helvetica Neue"/>
          <w:b/>
        </w:rPr>
        <w:t>U-Report</w:t>
      </w:r>
      <w:r w:rsidRPr="00A524AA">
        <w:rPr>
          <w:rFonts w:eastAsia="Helvetica Neue"/>
        </w:rPr>
        <w:t xml:space="preserve"> in Uganda. U-Report is a free SMS social monitoring tool designed to engage users in issues they care about. For example, one female user in Uganda reported that she used the platform to share her experience of being raped with other U-Reporters, which allowed the girl and her peers on the platform to encourage one another and offer support. U-Report has also been used to improve access for girls with disabilities to education, to promote self-acceptance, and to create peer networks between young persons with and without disabilities.</w:t>
      </w:r>
      <w:r w:rsidRPr="00E33D5B">
        <w:rPr>
          <w:rFonts w:eastAsia="Helvetica Neue"/>
          <w:vertAlign w:val="superscript"/>
        </w:rPr>
        <w:endnoteReference w:id="397"/>
      </w:r>
      <w:r w:rsidRPr="00A524AA">
        <w:rPr>
          <w:rFonts w:eastAsia="Helvetica Neue"/>
        </w:rPr>
        <w:t xml:space="preserve"> </w:t>
      </w:r>
    </w:p>
    <w:p w14:paraId="462BCE6A" w14:textId="77777777" w:rsidR="00952028" w:rsidRPr="00A524AA" w:rsidRDefault="00952028" w:rsidP="006E6012">
      <w:pPr>
        <w:pStyle w:val="ListParagraph"/>
        <w:numPr>
          <w:ilvl w:val="0"/>
          <w:numId w:val="90"/>
        </w:numPr>
        <w:rPr>
          <w:rFonts w:eastAsia="Helvetica Neue"/>
        </w:rPr>
      </w:pPr>
      <w:r w:rsidRPr="00A524AA">
        <w:rPr>
          <w:rFonts w:eastAsia="Helvetica Neue"/>
        </w:rPr>
        <w:t>Actively engage young persons with disabilities in the design, implementation and evaluation of GBV programmes to ensure accessibility.</w:t>
      </w:r>
      <w:r w:rsidRPr="00A64CBE">
        <w:rPr>
          <w:rFonts w:eastAsia="Helvetica Neue"/>
          <w:vertAlign w:val="superscript"/>
        </w:rPr>
        <w:endnoteReference w:id="398"/>
      </w:r>
      <w:r w:rsidRPr="00A524AA">
        <w:rPr>
          <w:rFonts w:eastAsia="Helvetica Neue"/>
        </w:rPr>
        <w:t xml:space="preserve"> For example, ensure that easy read versions are available and understandable to young persons with intellectual disabilities. </w:t>
      </w:r>
    </w:p>
    <w:p w14:paraId="199A8E27" w14:textId="77777777" w:rsidR="00952028" w:rsidRPr="00A524AA" w:rsidRDefault="00952028" w:rsidP="006E6012">
      <w:pPr>
        <w:pStyle w:val="ListParagraph"/>
        <w:numPr>
          <w:ilvl w:val="0"/>
          <w:numId w:val="90"/>
        </w:numPr>
        <w:rPr>
          <w:rFonts w:eastAsia="Helvetica Neue"/>
          <w:u w:val="single"/>
        </w:rPr>
      </w:pPr>
      <w:r w:rsidRPr="00A524AA">
        <w:rPr>
          <w:rFonts w:eastAsia="Helvetica Neue"/>
        </w:rPr>
        <w:t>Offer services in the home or another safe, accessible space within the community, rather than depending on families or caregivers to bring a young person with a disability to a facility or clinic to receive services.</w:t>
      </w:r>
    </w:p>
    <w:p w14:paraId="594C393F" w14:textId="77777777" w:rsidR="00952028" w:rsidRPr="00A524AA" w:rsidRDefault="00952028" w:rsidP="006E6012">
      <w:pPr>
        <w:pStyle w:val="ListParagraph"/>
        <w:numPr>
          <w:ilvl w:val="0"/>
          <w:numId w:val="90"/>
        </w:numPr>
        <w:rPr>
          <w:rFonts w:eastAsia="Helvetica Neue"/>
          <w:u w:val="single"/>
        </w:rPr>
      </w:pPr>
      <w:r w:rsidRPr="00A524AA">
        <w:rPr>
          <w:rFonts w:eastAsia="Helvetica Neue"/>
        </w:rPr>
        <w:t xml:space="preserve">Foster participation of young persons with disabilities in community-based programme development. </w:t>
      </w:r>
    </w:p>
    <w:p w14:paraId="5C3CFFE0" w14:textId="77777777" w:rsidR="00952028" w:rsidRPr="00A524AA" w:rsidRDefault="00952028" w:rsidP="006E6012">
      <w:pPr>
        <w:pStyle w:val="ListParagraph"/>
        <w:numPr>
          <w:ilvl w:val="1"/>
          <w:numId w:val="90"/>
        </w:numPr>
        <w:rPr>
          <w:rFonts w:eastAsia="Helvetica Neue"/>
          <w:u w:val="single"/>
        </w:rPr>
      </w:pPr>
      <w:r w:rsidRPr="00A524AA">
        <w:rPr>
          <w:rFonts w:eastAsia="Helvetica Neue"/>
          <w:b/>
        </w:rPr>
        <w:t>Example:</w:t>
      </w:r>
      <w:r w:rsidRPr="00A524AA">
        <w:rPr>
          <w:rFonts w:eastAsia="Helvetica Neue"/>
        </w:rPr>
        <w:t xml:space="preserve"> The Women’s Refugee Commission and </w:t>
      </w:r>
      <w:proofErr w:type="spellStart"/>
      <w:r w:rsidRPr="00A524AA">
        <w:rPr>
          <w:rFonts w:eastAsia="Helvetica Neue"/>
        </w:rPr>
        <w:t>ChildFund’s</w:t>
      </w:r>
      <w:proofErr w:type="spellEnd"/>
      <w:r w:rsidRPr="00A524AA">
        <w:rPr>
          <w:rFonts w:eastAsia="Helvetica Neue"/>
        </w:rPr>
        <w:t xml:space="preserve"> </w:t>
      </w:r>
      <w:r w:rsidRPr="00A524AA">
        <w:rPr>
          <w:rFonts w:eastAsia="Helvetica Neue"/>
          <w:b/>
        </w:rPr>
        <w:t>‘Toolkit for Child Protection Actors’</w:t>
      </w:r>
      <w:r w:rsidRPr="00A524AA">
        <w:rPr>
          <w:rFonts w:eastAsia="Helvetica Neue"/>
        </w:rPr>
        <w:t xml:space="preserve"> was designed for humanitarian and development staff to strengthen capacity in disability inclusion, identify GBV needs, and engage children with and without disabilities in programme planning, implementation, and monitoring. It includes a participatory process, which facilitates informed consent and risk mitigation, and a Communication Toolbox which children and youth can use, combine, and adapt to collect and convey information about GBV risks and programming strategies to decision-makers.</w:t>
      </w:r>
      <w:r w:rsidRPr="00E33D5B">
        <w:rPr>
          <w:rFonts w:eastAsia="Helvetica Neue"/>
          <w:vertAlign w:val="superscript"/>
        </w:rPr>
        <w:endnoteReference w:id="399"/>
      </w:r>
    </w:p>
    <w:p w14:paraId="14D87BB2" w14:textId="26D52DC4" w:rsidR="00952028" w:rsidRPr="00A524AA" w:rsidRDefault="00952028" w:rsidP="006E6012">
      <w:pPr>
        <w:pStyle w:val="ListParagraph"/>
        <w:numPr>
          <w:ilvl w:val="0"/>
          <w:numId w:val="90"/>
        </w:numPr>
        <w:rPr>
          <w:rFonts w:eastAsia="Helvetica Neue"/>
          <w:u w:val="single"/>
        </w:rPr>
      </w:pPr>
      <w:r w:rsidRPr="00A524AA">
        <w:rPr>
          <w:rFonts w:eastAsia="Helvetica Neue"/>
        </w:rPr>
        <w:lastRenderedPageBreak/>
        <w:t>Raise awareness among young persons with disabilities, along with their families, caregivers and health personnel, about the rights of young persons to be free from GBV, including harmful practices, and the availability of essential services.</w:t>
      </w:r>
      <w:r w:rsidRPr="00A64CBE">
        <w:rPr>
          <w:rFonts w:eastAsia="Helvetica Neue"/>
          <w:vertAlign w:val="superscript"/>
        </w:rPr>
        <w:endnoteReference w:id="400"/>
      </w:r>
    </w:p>
    <w:p w14:paraId="4A869A49" w14:textId="77CBE3D6" w:rsidR="00952028" w:rsidRPr="00A524AA" w:rsidRDefault="00952028" w:rsidP="00A524AA">
      <w:pPr>
        <w:pStyle w:val="Heading4"/>
        <w:spacing w:before="480"/>
        <w:rPr>
          <w:rFonts w:eastAsia="Helvetica Neue"/>
        </w:rPr>
      </w:pPr>
      <w:r w:rsidRPr="00A524AA">
        <w:rPr>
          <w:rFonts w:eastAsia="Helvetica Neue"/>
        </w:rPr>
        <w:t>Guidelines for Action: Acceptability</w:t>
      </w:r>
    </w:p>
    <w:p w14:paraId="28D9D204" w14:textId="77777777" w:rsidR="00952028" w:rsidRPr="00A524AA" w:rsidRDefault="00952028" w:rsidP="006E6012">
      <w:pPr>
        <w:pStyle w:val="ListParagraph"/>
        <w:numPr>
          <w:ilvl w:val="0"/>
          <w:numId w:val="91"/>
        </w:numPr>
        <w:rPr>
          <w:rFonts w:eastAsia="Helvetica Neue"/>
        </w:rPr>
      </w:pPr>
      <w:r w:rsidRPr="00A524AA">
        <w:rPr>
          <w:rFonts w:eastAsia="Helvetica Neue"/>
        </w:rPr>
        <w:t>Offer training about young persons with disabilities to GBV service providers and support staff and the community in general.</w:t>
      </w:r>
      <w:r w:rsidRPr="00A64CBE">
        <w:rPr>
          <w:rFonts w:eastAsia="Helvetica Neue"/>
          <w:vertAlign w:val="superscript"/>
        </w:rPr>
        <w:endnoteReference w:id="401"/>
      </w:r>
      <w:r w:rsidRPr="00A524AA">
        <w:rPr>
          <w:rFonts w:eastAsia="Helvetica Neue"/>
        </w:rPr>
        <w:t xml:space="preserve"> Include young persons with disabilities as presenters as much as possible. </w:t>
      </w:r>
    </w:p>
    <w:p w14:paraId="475AA1B8" w14:textId="77777777" w:rsidR="00952028" w:rsidRPr="00A524AA" w:rsidRDefault="00952028" w:rsidP="006E6012">
      <w:pPr>
        <w:pStyle w:val="ListParagraph"/>
        <w:numPr>
          <w:ilvl w:val="0"/>
          <w:numId w:val="91"/>
        </w:numPr>
        <w:rPr>
          <w:rFonts w:eastAsia="Helvetica Neue"/>
        </w:rPr>
      </w:pPr>
      <w:r w:rsidRPr="00A524AA">
        <w:rPr>
          <w:rFonts w:eastAsia="Helvetica Neue"/>
        </w:rPr>
        <w:t>Treat young persons with disabilities who are seeking services with respect and protect their confidentiality. Young persons worldwide have identified this treatment as essential to making services adolescent and youth friendly.</w:t>
      </w:r>
      <w:r w:rsidRPr="00A64CBE">
        <w:rPr>
          <w:rFonts w:eastAsia="Helvetica Neue"/>
          <w:vertAlign w:val="superscript"/>
        </w:rPr>
        <w:endnoteReference w:id="402"/>
      </w:r>
    </w:p>
    <w:p w14:paraId="7AFAE782" w14:textId="77777777" w:rsidR="00952028" w:rsidRPr="00A524AA" w:rsidRDefault="00952028" w:rsidP="006E6012">
      <w:pPr>
        <w:pStyle w:val="ListParagraph"/>
        <w:numPr>
          <w:ilvl w:val="0"/>
          <w:numId w:val="91"/>
        </w:numPr>
        <w:rPr>
          <w:rFonts w:eastAsia="Helvetica Neue"/>
        </w:rPr>
      </w:pPr>
      <w:r w:rsidRPr="00A524AA">
        <w:rPr>
          <w:rFonts w:eastAsia="Helvetica Neue"/>
        </w:rPr>
        <w:t xml:space="preserve">Mentor and develop young persons with disabilities to become peer educators to share GBV information with other young persons with disabilities. </w:t>
      </w:r>
    </w:p>
    <w:p w14:paraId="06905400" w14:textId="77777777" w:rsidR="00952028" w:rsidRPr="00A524AA" w:rsidRDefault="00952028" w:rsidP="006E6012">
      <w:pPr>
        <w:pStyle w:val="ListParagraph"/>
        <w:numPr>
          <w:ilvl w:val="0"/>
          <w:numId w:val="91"/>
        </w:numPr>
        <w:rPr>
          <w:rFonts w:eastAsia="Helvetica Neue"/>
        </w:rPr>
      </w:pPr>
      <w:r w:rsidRPr="00A524AA">
        <w:rPr>
          <w:rFonts w:eastAsia="Helvetica Neue"/>
        </w:rPr>
        <w:t>Train service providers and support staff on how to identify and recognize signs of GBV against young persons with disabilities, particularly relating to potential GBV from a caregiver. Programmes should directly address the power dynamics between young persons with disabilities and caregivers.</w:t>
      </w:r>
    </w:p>
    <w:p w14:paraId="69F33B85" w14:textId="6B304243" w:rsidR="00952028" w:rsidRPr="00A524AA" w:rsidRDefault="00952028" w:rsidP="006E6012">
      <w:pPr>
        <w:pStyle w:val="ListParagraph"/>
        <w:numPr>
          <w:ilvl w:val="0"/>
          <w:numId w:val="91"/>
        </w:numPr>
        <w:rPr>
          <w:rFonts w:eastAsia="Helvetica Neue"/>
        </w:rPr>
      </w:pPr>
      <w:r w:rsidRPr="00A524AA">
        <w:rPr>
          <w:rFonts w:eastAsia="Helvetica Neue"/>
        </w:rPr>
        <w:t xml:space="preserve">Develop relationships with comprehensive sexuality education service providers. Train educators on teaching students with disabilities about healthy relationships and GBV, including how to give and receive consent for sexual contact. GBV service providers can also play an important role in helping to teach young persons with disabilities about how to develop healthy relationships, understand what an appropriate touch is, understand consent, recognize and report GBV, and understand and access available GBV services. For more information, see </w:t>
      </w:r>
      <w:hyperlink w:anchor="SRHRcse" w:history="1">
        <w:r w:rsidRPr="00A524AA">
          <w:rPr>
            <w:rStyle w:val="Hyperlink"/>
            <w:rFonts w:eastAsia="Helvetica Neue"/>
          </w:rPr>
          <w:t>Comprehensive Sexuality Education for Women and Young Persons with Disabilities (Section 4.5)</w:t>
        </w:r>
      </w:hyperlink>
      <w:r w:rsidRPr="00A524AA">
        <w:rPr>
          <w:rStyle w:val="Hyperlink"/>
          <w:rFonts w:eastAsia="Helvetica Neue"/>
        </w:rPr>
        <w:t>.</w:t>
      </w:r>
    </w:p>
    <w:p w14:paraId="766C2B36" w14:textId="297150B6" w:rsidR="00B21D6C" w:rsidRPr="00DB2DC5" w:rsidRDefault="00952028" w:rsidP="00DB2DC5">
      <w:pPr>
        <w:pStyle w:val="ListParagraph"/>
        <w:numPr>
          <w:ilvl w:val="0"/>
          <w:numId w:val="91"/>
        </w:numPr>
        <w:rPr>
          <w:rFonts w:eastAsia="Helvetica Neue"/>
        </w:rPr>
      </w:pPr>
      <w:r w:rsidRPr="00A524AA">
        <w:rPr>
          <w:rFonts w:eastAsia="Helvetica Neue"/>
        </w:rPr>
        <w:t>Create campaigns and programmes that improve understanding and visibility of GBV against young persons with disabilities. These should address misconceptions about sexuality and disabilities, such as the myth that persons with disabilities are asexual or cannot develop intimate relationships.</w:t>
      </w:r>
      <w:r w:rsidRPr="00A64CBE">
        <w:rPr>
          <w:rFonts w:eastAsia="Helvetica Neue"/>
          <w:vertAlign w:val="superscript"/>
        </w:rPr>
        <w:endnoteReference w:id="403"/>
      </w:r>
      <w:r w:rsidRPr="00A524AA">
        <w:rPr>
          <w:rFonts w:eastAsia="Helvetica Neue"/>
        </w:rPr>
        <w:t xml:space="preserve"> Incorporate young persons with disabilities into campaigns for adolescents and youth with and without disabilities. </w:t>
      </w:r>
    </w:p>
    <w:p w14:paraId="7D641D39" w14:textId="5FAC775E" w:rsidR="00952028" w:rsidRPr="00E33D5B" w:rsidRDefault="00952028" w:rsidP="00A524AA">
      <w:pPr>
        <w:pStyle w:val="Heading4"/>
        <w:spacing w:before="480"/>
        <w:rPr>
          <w:rFonts w:eastAsia="Helvetica Neue"/>
        </w:rPr>
      </w:pPr>
      <w:r w:rsidRPr="00A64CBE">
        <w:rPr>
          <w:rFonts w:eastAsia="Helvetica Neue"/>
        </w:rPr>
        <w:t>Guidelines for Action:</w:t>
      </w:r>
      <w:r w:rsidR="00CE4AE7">
        <w:rPr>
          <w:rFonts w:eastAsia="Helvetica Neue"/>
        </w:rPr>
        <w:t xml:space="preserve"> </w:t>
      </w:r>
      <w:r w:rsidRPr="00E33D5B">
        <w:rPr>
          <w:rFonts w:eastAsia="Helvetica Neue"/>
        </w:rPr>
        <w:t xml:space="preserve">Quality </w:t>
      </w:r>
    </w:p>
    <w:p w14:paraId="04C205E7" w14:textId="77777777" w:rsidR="00952028" w:rsidRPr="00A524AA" w:rsidRDefault="00952028" w:rsidP="006E6012">
      <w:pPr>
        <w:pStyle w:val="ListParagraph"/>
        <w:numPr>
          <w:ilvl w:val="0"/>
          <w:numId w:val="92"/>
        </w:numPr>
        <w:rPr>
          <w:rFonts w:eastAsia="Helvetica Neue"/>
        </w:rPr>
      </w:pPr>
      <w:r w:rsidRPr="00A524AA">
        <w:rPr>
          <w:rFonts w:eastAsia="Helvetica Neue"/>
        </w:rPr>
        <w:t>Ensure that adolescent- and youth-friendly GBV services include age-appropriate social services, counselling, information, and referrals to help young persons with disabilities cope with the violence and break the cycle of violence.</w:t>
      </w:r>
      <w:r w:rsidRPr="00A64CBE">
        <w:rPr>
          <w:rFonts w:eastAsia="Helvetica Neue"/>
          <w:vertAlign w:val="superscript"/>
        </w:rPr>
        <w:endnoteReference w:id="404"/>
      </w:r>
    </w:p>
    <w:p w14:paraId="22691B81" w14:textId="77777777" w:rsidR="00952028" w:rsidRPr="00A524AA" w:rsidRDefault="00952028" w:rsidP="006E6012">
      <w:pPr>
        <w:pStyle w:val="ListParagraph"/>
        <w:numPr>
          <w:ilvl w:val="0"/>
          <w:numId w:val="92"/>
        </w:numPr>
        <w:rPr>
          <w:rFonts w:eastAsia="Helvetica Neue"/>
        </w:rPr>
      </w:pPr>
      <w:r w:rsidRPr="00A524AA">
        <w:rPr>
          <w:rFonts w:eastAsia="Helvetica Neue"/>
        </w:rPr>
        <w:t>Develop, support, and engage organizations led by young persons with disabilities and peer support groups. Programmes like these are critical partners for disseminating information about GBV and connecting young persons with disabilities with services. Members with and without disabilities should be encouraged to join and develop peer networks. Engagement should focus on understanding and addressing the social and structural discrimination young persons with disabilities face in accessing services.</w:t>
      </w:r>
      <w:r w:rsidRPr="00A64CBE">
        <w:rPr>
          <w:rFonts w:eastAsia="Helvetica Neue"/>
          <w:vertAlign w:val="superscript"/>
        </w:rPr>
        <w:endnoteReference w:id="405"/>
      </w:r>
    </w:p>
    <w:p w14:paraId="3550DA43" w14:textId="77777777" w:rsidR="00952028" w:rsidRPr="00A524AA" w:rsidRDefault="00952028" w:rsidP="006E6012">
      <w:pPr>
        <w:pStyle w:val="ListParagraph"/>
        <w:numPr>
          <w:ilvl w:val="0"/>
          <w:numId w:val="92"/>
        </w:numPr>
        <w:rPr>
          <w:rFonts w:eastAsia="Helvetica Neue"/>
        </w:rPr>
      </w:pPr>
      <w:r w:rsidRPr="00A524AA">
        <w:rPr>
          <w:rFonts w:eastAsia="Helvetica Neue"/>
        </w:rPr>
        <w:lastRenderedPageBreak/>
        <w:t>Develop safeguards with medical service providers to ensure that children with disabilities are registered at birth. Young persons without birth certificates are more vulnerable to harmful practices, and children with disabilities are often not registered.</w:t>
      </w:r>
      <w:r w:rsidRPr="00A64CBE">
        <w:rPr>
          <w:rFonts w:eastAsia="Helvetica Neue"/>
          <w:vertAlign w:val="superscript"/>
        </w:rPr>
        <w:endnoteReference w:id="406"/>
      </w:r>
    </w:p>
    <w:p w14:paraId="79D2113B" w14:textId="77777777" w:rsidR="00952028" w:rsidRPr="00A524AA" w:rsidRDefault="00952028" w:rsidP="006E6012">
      <w:pPr>
        <w:pStyle w:val="ListParagraph"/>
        <w:numPr>
          <w:ilvl w:val="0"/>
          <w:numId w:val="92"/>
        </w:numPr>
        <w:rPr>
          <w:rFonts w:eastAsia="Helvetica Neue"/>
          <w:u w:val="single"/>
        </w:rPr>
      </w:pPr>
      <w:r w:rsidRPr="00A524AA">
        <w:rPr>
          <w:rFonts w:eastAsia="Helvetica Neue"/>
        </w:rPr>
        <w:t xml:space="preserve">Offer accessible GBV crisis hotlines tailored for young persons with disabilities to receive effective referrals, including options for callers who are Deaf, have communication difficulties, or have an intellectual disability. </w:t>
      </w:r>
    </w:p>
    <w:p w14:paraId="0AEBFCEC" w14:textId="77777777" w:rsidR="00952028" w:rsidRPr="00A524AA" w:rsidRDefault="00952028" w:rsidP="006E6012">
      <w:pPr>
        <w:pStyle w:val="ListParagraph"/>
        <w:numPr>
          <w:ilvl w:val="0"/>
          <w:numId w:val="92"/>
        </w:numPr>
        <w:rPr>
          <w:rFonts w:eastAsia="Helvetica Neue"/>
        </w:rPr>
      </w:pPr>
      <w:r w:rsidRPr="00A524AA">
        <w:rPr>
          <w:rFonts w:eastAsia="Helvetica Neue"/>
        </w:rPr>
        <w:t>Advocate for mandatory training about harmful practices and the rights of young persons with disabilities for health care service providers and religious, customary, community and traditional leaders.</w:t>
      </w:r>
      <w:r w:rsidRPr="00A64CBE">
        <w:rPr>
          <w:rFonts w:eastAsia="Helvetica Neue"/>
          <w:vertAlign w:val="superscript"/>
        </w:rPr>
        <w:endnoteReference w:id="407"/>
      </w:r>
    </w:p>
    <w:p w14:paraId="6ED8ED1D" w14:textId="379B66B5" w:rsidR="00952028" w:rsidRPr="00A524AA" w:rsidRDefault="00952028" w:rsidP="006E6012">
      <w:pPr>
        <w:pStyle w:val="ListParagraph"/>
        <w:numPr>
          <w:ilvl w:val="0"/>
          <w:numId w:val="92"/>
        </w:numPr>
        <w:rPr>
          <w:rFonts w:eastAsia="Helvetica Neue"/>
        </w:rPr>
      </w:pPr>
      <w:r w:rsidRPr="00A524AA">
        <w:rPr>
          <w:rFonts w:eastAsia="Helvetica Neue"/>
        </w:rPr>
        <w:t>Conduct further research and collect data about GBV experienced by young persons with disabilities.</w:t>
      </w:r>
      <w:r w:rsidRPr="00A64CBE">
        <w:rPr>
          <w:rFonts w:eastAsia="Helvetica Neue"/>
          <w:vertAlign w:val="superscript"/>
        </w:rPr>
        <w:endnoteReference w:id="408"/>
      </w:r>
    </w:p>
    <w:p w14:paraId="130D65E7" w14:textId="77777777" w:rsidR="00952028" w:rsidRPr="00A64CBE" w:rsidRDefault="00952028" w:rsidP="00A524AA">
      <w:pPr>
        <w:pStyle w:val="Heading3"/>
        <w:spacing w:before="480"/>
      </w:pPr>
      <w:r w:rsidRPr="00A64CBE">
        <w:t xml:space="preserve">3.9.3 </w:t>
      </w:r>
      <w:r w:rsidRPr="00A64CBE">
        <w:tab/>
        <w:t xml:space="preserve">Indicators </w:t>
      </w:r>
    </w:p>
    <w:p w14:paraId="35EBE86A" w14:textId="77777777" w:rsidR="00952028" w:rsidRPr="00A64CBE" w:rsidRDefault="00952028" w:rsidP="00A524AA">
      <w:pPr>
        <w:rPr>
          <w:rFonts w:eastAsia="Helvetica Neue"/>
        </w:rPr>
      </w:pPr>
      <w:r w:rsidRPr="00A64CBE">
        <w:rPr>
          <w:rFonts w:eastAsia="Helvetica Neue"/>
        </w:rPr>
        <w:t xml:space="preserve">The following are illustrative of indicators that can be used to monitor and evaluate progress in the provision of rights-based services for young </w:t>
      </w:r>
      <w:r>
        <w:rPr>
          <w:rFonts w:eastAsia="Helvetica Neue"/>
        </w:rPr>
        <w:t>persons</w:t>
      </w:r>
      <w:r w:rsidRPr="00A64CBE">
        <w:rPr>
          <w:rFonts w:eastAsia="Helvetica Neue"/>
        </w:rPr>
        <w:t xml:space="preserve"> with disabilities. This is not an exhaustive list, but rather a few examples demonstrating the level of specificity, subjects, and form that should be taken for indicators around </w:t>
      </w:r>
      <w:r>
        <w:rPr>
          <w:rFonts w:eastAsia="Helvetica Neue"/>
        </w:rPr>
        <w:t>youth</w:t>
      </w:r>
      <w:r w:rsidRPr="00A64CBE">
        <w:rPr>
          <w:rFonts w:eastAsia="Helvetica Neue"/>
        </w:rPr>
        <w:t xml:space="preserve">-friendly </w:t>
      </w:r>
      <w:r>
        <w:rPr>
          <w:rFonts w:eastAsia="Helvetica Neue"/>
        </w:rPr>
        <w:t>GBV</w:t>
      </w:r>
      <w:r w:rsidRPr="00A64CBE">
        <w:rPr>
          <w:rFonts w:eastAsia="Helvetica Neue"/>
        </w:rPr>
        <w:t xml:space="preserve"> services should take. Service providers should tailor the indicators to fit their programme settings and levels, including by specifying at which level and by whom indicator data should be collected.</w:t>
      </w:r>
    </w:p>
    <w:p w14:paraId="513898E6" w14:textId="77777777" w:rsidR="00952028" w:rsidRPr="00A64CBE" w:rsidRDefault="00952028" w:rsidP="006E6012">
      <w:pPr>
        <w:pStyle w:val="ListParagraph"/>
        <w:numPr>
          <w:ilvl w:val="0"/>
          <w:numId w:val="93"/>
        </w:numPr>
      </w:pPr>
      <w:r w:rsidRPr="00CA267A">
        <w:rPr>
          <w:rFonts w:eastAsia="Helvetica Neue"/>
        </w:rPr>
        <w:t>Percentage of girls, boys, young women, and young men with disabilities (ages 10-24) who know their rights and entitlements.</w:t>
      </w:r>
      <w:r w:rsidRPr="00A64CBE">
        <w:rPr>
          <w:rFonts w:eastAsia="Helvetica Neue"/>
          <w:vertAlign w:val="superscript"/>
        </w:rPr>
        <w:endnoteReference w:id="409"/>
      </w:r>
    </w:p>
    <w:p w14:paraId="034E9922" w14:textId="77777777" w:rsidR="00952028" w:rsidRPr="00A64CBE" w:rsidRDefault="00952028" w:rsidP="006E6012">
      <w:pPr>
        <w:pStyle w:val="ListParagraph"/>
        <w:numPr>
          <w:ilvl w:val="0"/>
          <w:numId w:val="93"/>
        </w:numPr>
      </w:pPr>
      <w:r w:rsidRPr="00CA267A">
        <w:rPr>
          <w:rFonts w:eastAsia="Helvetica Neue"/>
        </w:rPr>
        <w:t>Percentage of available places for young persons with disabilities (ages 10-24) in shelters and refuges per 1,000 population (urban and rural).</w:t>
      </w:r>
      <w:r w:rsidRPr="00A64CBE">
        <w:rPr>
          <w:rFonts w:eastAsia="Helvetica Neue"/>
          <w:vertAlign w:val="superscript"/>
        </w:rPr>
        <w:endnoteReference w:id="410"/>
      </w:r>
    </w:p>
    <w:p w14:paraId="79555E34" w14:textId="77777777" w:rsidR="00952028" w:rsidRPr="00CA267A" w:rsidRDefault="00952028" w:rsidP="006E6012">
      <w:pPr>
        <w:pStyle w:val="ListParagraph"/>
        <w:numPr>
          <w:ilvl w:val="0"/>
          <w:numId w:val="93"/>
        </w:numPr>
        <w:rPr>
          <w:b/>
        </w:rPr>
      </w:pPr>
      <w:r w:rsidRPr="00CA267A">
        <w:rPr>
          <w:rFonts w:eastAsia="Helvetica Neue"/>
        </w:rPr>
        <w:t>Percentage of young persons with disabilities (ages 10-24) who participate in comprehensive sexuality education or life skills programmes that address healthy relationships and GBV.</w:t>
      </w:r>
      <w:r w:rsidRPr="00A64CBE">
        <w:rPr>
          <w:rFonts w:eastAsia="Helvetica Neue"/>
          <w:vertAlign w:val="superscript"/>
        </w:rPr>
        <w:endnoteReference w:id="411"/>
      </w:r>
      <w:r w:rsidRPr="00CA267A">
        <w:rPr>
          <w:rFonts w:eastAsia="Helvetica Neue"/>
        </w:rPr>
        <w:t xml:space="preserve"> </w:t>
      </w:r>
    </w:p>
    <w:p w14:paraId="373D40F1" w14:textId="73158043" w:rsidR="00952028" w:rsidRPr="004B4BB2" w:rsidRDefault="00952028" w:rsidP="006E6012">
      <w:pPr>
        <w:pStyle w:val="ListParagraph"/>
        <w:widowControl w:val="0"/>
        <w:numPr>
          <w:ilvl w:val="0"/>
          <w:numId w:val="93"/>
        </w:numPr>
        <w:pBdr>
          <w:top w:val="nil"/>
          <w:left w:val="nil"/>
          <w:bottom w:val="nil"/>
          <w:right w:val="nil"/>
          <w:between w:val="nil"/>
        </w:pBdr>
        <w:rPr>
          <w:rFonts w:ascii="Arial" w:eastAsia="Helvetica Neue" w:hAnsi="Arial" w:cs="Arial"/>
          <w:b/>
          <w:color w:val="000000"/>
          <w:u w:val="single"/>
        </w:rPr>
      </w:pPr>
      <w:r w:rsidRPr="00CA267A">
        <w:rPr>
          <w:rFonts w:eastAsia="Helvetica Neue"/>
        </w:rPr>
        <w:t xml:space="preserve">Legislation prohibits harmful practices (e.g. female genital mutilation and cutting; child and forced marriage). </w:t>
      </w:r>
    </w:p>
    <w:p w14:paraId="26C9DB2F" w14:textId="3805F0A4" w:rsidR="0081626D" w:rsidRPr="004B4BB2" w:rsidRDefault="0081626D" w:rsidP="007F42CB">
      <w:pPr>
        <w:rPr>
          <w:rFonts w:ascii="Arial" w:eastAsia="Helvetica Neue" w:hAnsi="Arial" w:cs="Arial"/>
          <w:b/>
          <w:color w:val="000000"/>
          <w:u w:val="single"/>
        </w:rPr>
        <w:sectPr w:rsidR="0081626D" w:rsidRPr="004B4BB2" w:rsidSect="0060005C">
          <w:endnotePr>
            <w:numFmt w:val="decimal"/>
          </w:endnotePr>
          <w:pgSz w:w="12240" w:h="15840"/>
          <w:pgMar w:top="945" w:right="1440" w:bottom="1440" w:left="1440" w:header="0" w:footer="576" w:gutter="0"/>
          <w:pgNumType w:start="1"/>
          <w:cols w:space="720"/>
          <w:docGrid w:linePitch="326"/>
        </w:sectPr>
      </w:pPr>
      <w:r w:rsidRPr="004B4BB2">
        <w:rPr>
          <w:rFonts w:ascii="Arial" w:eastAsia="Helvetica Neue" w:hAnsi="Arial" w:cs="Arial"/>
          <w:b/>
          <w:color w:val="000000"/>
          <w:u w:val="single"/>
        </w:rPr>
        <w:br w:type="page"/>
      </w:r>
    </w:p>
    <w:p w14:paraId="62CCCF6B" w14:textId="47F2972C" w:rsidR="00BC14E7" w:rsidRPr="00CA267A" w:rsidRDefault="00CA267A" w:rsidP="00CA267A">
      <w:pPr>
        <w:pStyle w:val="Heading1"/>
      </w:pPr>
      <w:bookmarkStart w:id="20" w:name="SRHR"/>
      <w:r w:rsidRPr="00CA267A">
        <w:lastRenderedPageBreak/>
        <w:t>Chapter 4</w:t>
      </w:r>
      <w:bookmarkEnd w:id="20"/>
      <w:r w:rsidRPr="00CA267A">
        <w:t xml:space="preserve">: Sexual </w:t>
      </w:r>
      <w:r>
        <w:t>a</w:t>
      </w:r>
      <w:r w:rsidRPr="00CA267A">
        <w:t xml:space="preserve">nd Reproductive Health </w:t>
      </w:r>
      <w:r>
        <w:t>a</w:t>
      </w:r>
      <w:r w:rsidRPr="00CA267A">
        <w:t xml:space="preserve">nd Rights Services </w:t>
      </w:r>
      <w:r>
        <w:t>f</w:t>
      </w:r>
      <w:r w:rsidRPr="00CA267A">
        <w:t xml:space="preserve">or Women </w:t>
      </w:r>
      <w:r>
        <w:t>a</w:t>
      </w:r>
      <w:r w:rsidRPr="00CA267A">
        <w:t xml:space="preserve">nd Young </w:t>
      </w:r>
      <w:r w:rsidR="005E4518">
        <w:t>Persons</w:t>
      </w:r>
      <w:r w:rsidR="005E4518" w:rsidRPr="00CA267A">
        <w:t xml:space="preserve"> </w:t>
      </w:r>
      <w:r>
        <w:t>w</w:t>
      </w:r>
      <w:r w:rsidRPr="00CA267A">
        <w:t>ith Disabilities</w:t>
      </w:r>
    </w:p>
    <w:p w14:paraId="7C401A52" w14:textId="3889090A" w:rsidR="00BC14E7" w:rsidRPr="00A64CBE" w:rsidRDefault="00BC14E7" w:rsidP="005B7432">
      <w:pPr>
        <w:pStyle w:val="Heading2"/>
        <w:spacing w:before="480" w:after="120"/>
        <w:ind w:left="547" w:right="-180" w:hanging="547"/>
      </w:pPr>
      <w:bookmarkStart w:id="21" w:name="SRHRback"/>
      <w:r w:rsidRPr="00A64CBE">
        <w:t>4.1</w:t>
      </w:r>
      <w:bookmarkEnd w:id="21"/>
      <w:r w:rsidR="00CE4AE7">
        <w:t xml:space="preserve"> </w:t>
      </w:r>
      <w:r w:rsidRPr="00A64CBE">
        <w:t>Background</w:t>
      </w:r>
    </w:p>
    <w:p w14:paraId="7C572A16" w14:textId="409E591D" w:rsidR="00BC14E7" w:rsidRPr="00A64CBE" w:rsidRDefault="00BC14E7" w:rsidP="00CE4AE7">
      <w:pPr>
        <w:rPr>
          <w:rFonts w:eastAsia="Helvetica Neue"/>
          <w:vertAlign w:val="superscript"/>
        </w:rPr>
      </w:pPr>
      <w:r w:rsidRPr="00A64CBE">
        <w:rPr>
          <w:rFonts w:eastAsia="Helvetica Neue"/>
        </w:rPr>
        <w:t xml:space="preserve">Women and young </w:t>
      </w:r>
      <w:r>
        <w:rPr>
          <w:rFonts w:eastAsia="Helvetica Neue"/>
        </w:rPr>
        <w:t>persons</w:t>
      </w:r>
      <w:r w:rsidRPr="00A64CBE">
        <w:rPr>
          <w:rFonts w:eastAsia="Helvetica Neue"/>
        </w:rPr>
        <w:t xml:space="preserve"> with disabilities have the same right to reproductive and sexual health as </w:t>
      </w:r>
      <w:r w:rsidR="005E4518">
        <w:rPr>
          <w:rFonts w:eastAsia="Helvetica Neue"/>
        </w:rPr>
        <w:t>persons</w:t>
      </w:r>
      <w:r w:rsidR="005E4518" w:rsidRPr="00A64CBE">
        <w:rPr>
          <w:rFonts w:eastAsia="Helvetica Neue"/>
        </w:rPr>
        <w:t xml:space="preserve"> </w:t>
      </w:r>
      <w:r w:rsidRPr="00A64CBE">
        <w:rPr>
          <w:rFonts w:eastAsia="Helvetica Neue"/>
        </w:rPr>
        <w:t xml:space="preserve">without disabilities, but they are regularly excluded from services necessary to achieve their reproductive and sexual health because of a variety of factors. </w:t>
      </w:r>
      <w:r w:rsidRPr="006047B0">
        <w:rPr>
          <w:rFonts w:eastAsia="Helvetica Neue"/>
        </w:rPr>
        <w:t>Reproductive health refers to the “state of complete physical, mental and social well-being, not merely the absence of disease or infirmity, in all matters relating to the reproductive system and to its functions and processes. Reproductive health therefore implies that people are able to have a satisfying and safe sex life and that they have the capacity to reproduce and the freedom to decide if, when and how often to do so. Implicit in this last condition are: the rights of men and women to be informed, have access to safe, effective, affordable, and acceptable methods of family planning, including methods for regulation of fertility, which are not against the law, and the right of access to appropriate healthcare services to enable women to have a safe pregnancy and childbirth and provide couples with the best chance of having a healthy infant”.</w:t>
      </w:r>
      <w:r w:rsidRPr="006047B0">
        <w:rPr>
          <w:rFonts w:eastAsia="Helvetica Neue"/>
          <w:vertAlign w:val="superscript"/>
        </w:rPr>
        <w:endnoteReference w:id="412"/>
      </w:r>
      <w:r w:rsidRPr="006047B0">
        <w:rPr>
          <w:rFonts w:eastAsia="Helvetica Neue"/>
        </w:rPr>
        <w:t xml:space="preserve"> Sexual health, which is also a component of reproductive rights, comprises of “the enhancement of life and personal relations, not merely counselling and care related to reproduction and sexually transmitted infections. It refers to the integration of the somatic, emotional, intellectual and social aspects of sexual being in ways that are positively enriching and that enhance personality, communication and love”</w:t>
      </w:r>
      <w:r w:rsidRPr="00BE1593">
        <w:rPr>
          <w:rFonts w:eastAsia="Helvetica Neue"/>
        </w:rPr>
        <w:t>.</w:t>
      </w:r>
      <w:r w:rsidRPr="00A64CBE">
        <w:rPr>
          <w:rFonts w:eastAsia="Helvetica Neue"/>
          <w:vertAlign w:val="superscript"/>
        </w:rPr>
        <w:endnoteReference w:id="413"/>
      </w:r>
    </w:p>
    <w:p w14:paraId="4DC13AF8" w14:textId="4CEB1158" w:rsidR="00CE4AE7" w:rsidRDefault="00A34370" w:rsidP="00CE152F">
      <w:pPr>
        <w:pStyle w:val="Heading4"/>
        <w:spacing w:before="480" w:line="276" w:lineRule="auto"/>
        <w:ind w:hanging="90"/>
      </w:pPr>
      <w:r w:rsidRPr="00A6697D">
        <w:rPr>
          <w:noProof/>
        </w:rPr>
        <mc:AlternateContent>
          <mc:Choice Requires="wps">
            <w:drawing>
              <wp:inline distT="0" distB="0" distL="0" distR="0" wp14:anchorId="71054125" wp14:editId="3BE477FB">
                <wp:extent cx="5943600" cy="0"/>
                <wp:effectExtent l="0" t="38100" r="25400" b="38100"/>
                <wp:docPr id="55" name="Straight Connector 55" descr="Text box follows"/>
                <wp:cNvGraphicFramePr/>
                <a:graphic xmlns:a="http://schemas.openxmlformats.org/drawingml/2006/main">
                  <a:graphicData uri="http://schemas.microsoft.com/office/word/2010/wordprocessingShape">
                    <wps:wsp>
                      <wps:cNvCnPr/>
                      <wps:spPr>
                        <a:xfrm>
                          <a:off x="0" y="0"/>
                          <a:ext cx="5943600" cy="0"/>
                        </a:xfrm>
                        <a:prstGeom prst="line">
                          <a:avLst/>
                        </a:prstGeom>
                        <a:ln w="76200">
                          <a:solidFill>
                            <a:schemeClr val="bg2">
                              <a:lumMod val="50000"/>
                            </a:schemeClr>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2D129621" id="Straight Connector 55" o:spid="_x0000_s1026" alt="Text box foll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" strokecolor="#938953 [1614]" strokeweight="6pt">
                <w10:anchorlock/>
              </v:line>
            </w:pict>
          </mc:Fallback>
        </mc:AlternateContent>
      </w:r>
      <w:r w:rsidR="00BC14E7" w:rsidRPr="00A34370">
        <w:rPr>
          <w:color w:val="948A54" w:themeColor="background2" w:themeShade="80"/>
          <w:sz w:val="32"/>
          <w:szCs w:val="32"/>
        </w:rPr>
        <w:t xml:space="preserve">Key SRHR </w:t>
      </w:r>
      <w:r w:rsidR="00BC14E7" w:rsidRPr="00A34370">
        <w:rPr>
          <w:rFonts w:eastAsia="Helvetica Neue"/>
          <w:color w:val="948A54" w:themeColor="background2" w:themeShade="80"/>
          <w:sz w:val="32"/>
          <w:szCs w:val="32"/>
        </w:rPr>
        <w:t>Guidance</w:t>
      </w:r>
    </w:p>
    <w:p w14:paraId="2D6BF276" w14:textId="0ED99F4E" w:rsidR="00BC14E7" w:rsidRPr="0018197A" w:rsidRDefault="00BC14E7" w:rsidP="00306F2B">
      <w:pPr>
        <w:rPr>
          <w:rFonts w:eastAsia="Helvetica Neue"/>
          <w:color w:val="000000"/>
        </w:rPr>
      </w:pPr>
      <w:r w:rsidRPr="00A64CBE">
        <w:rPr>
          <w:rFonts w:eastAsia="Helvetica Neue"/>
          <w:color w:val="000000"/>
        </w:rPr>
        <w:t xml:space="preserve">These Guidelines should be read in tandem with and complimentary to the influential 2018 </w:t>
      </w:r>
      <w:r w:rsidRPr="0018197A">
        <w:rPr>
          <w:lang w:val="en-GB"/>
        </w:rPr>
        <w:t>Guttmacher–Lancet Commission report</w:t>
      </w:r>
      <w:r w:rsidRPr="00A64CBE">
        <w:rPr>
          <w:rFonts w:eastAsia="Helvetica Neue"/>
          <w:color w:val="000000"/>
        </w:rPr>
        <w:t xml:space="preserve">, </w:t>
      </w:r>
      <w:r w:rsidRPr="006047B0">
        <w:rPr>
          <w:rFonts w:eastAsia="Helvetica Neue"/>
          <w:b/>
          <w:i/>
          <w:color w:val="000000"/>
        </w:rPr>
        <w:t>‘</w:t>
      </w:r>
      <w:r w:rsidRPr="006047B0">
        <w:rPr>
          <w:b/>
          <w:i/>
          <w:lang w:val="en-GB"/>
        </w:rPr>
        <w:t>Accelerate Progress - Sexual and Reproductive Health and Rights for All: Report of the Guttmacher–Lancet Commission</w:t>
      </w:r>
      <w:r w:rsidRPr="006047B0">
        <w:rPr>
          <w:b/>
          <w:i/>
        </w:rPr>
        <w:t>’</w:t>
      </w:r>
      <w:r>
        <w:rPr>
          <w:b/>
        </w:rPr>
        <w:t>.</w:t>
      </w:r>
      <w:r w:rsidRPr="00714E4C">
        <w:rPr>
          <w:rStyle w:val="EndnoteReference"/>
        </w:rPr>
        <w:endnoteReference w:id="414"/>
      </w:r>
      <w:r w:rsidRPr="00A64CBE">
        <w:t xml:space="preserve"> </w:t>
      </w:r>
      <w:r w:rsidRPr="0018197A">
        <w:rPr>
          <w:rFonts w:eastAsia="Helvetica Neue"/>
          <w:color w:val="000000"/>
        </w:rPr>
        <w:t>The report from the Commission</w:t>
      </w:r>
      <w:r>
        <w:rPr>
          <w:rFonts w:eastAsia="Helvetica Neue"/>
          <w:color w:val="000000"/>
        </w:rPr>
        <w:t>—</w:t>
      </w:r>
      <w:r w:rsidRPr="00A64CBE">
        <w:rPr>
          <w:rFonts w:eastAsia="Helvetica Neue"/>
          <w:color w:val="000000"/>
        </w:rPr>
        <w:t xml:space="preserve">a commission </w:t>
      </w:r>
      <w:r w:rsidRPr="0018197A">
        <w:rPr>
          <w:rFonts w:eastAsia="Helvetica Neue"/>
          <w:color w:val="000000"/>
        </w:rPr>
        <w:t>made up of global health, development and human rights experts from around the world</w:t>
      </w:r>
      <w:r>
        <w:rPr>
          <w:rFonts w:eastAsia="Helvetica Neue"/>
          <w:color w:val="000000"/>
        </w:rPr>
        <w:t>—</w:t>
      </w:r>
      <w:r w:rsidRPr="0018197A">
        <w:rPr>
          <w:rFonts w:eastAsia="Helvetica Neue"/>
          <w:color w:val="000000"/>
        </w:rPr>
        <w:t>lays out an agenda for national governments, international agencies, donors, civil society groups and other key stakeholders to achieve universal access to</w:t>
      </w:r>
      <w:r>
        <w:rPr>
          <w:rFonts w:eastAsia="Helvetica Neue"/>
          <w:color w:val="000000"/>
        </w:rPr>
        <w:t xml:space="preserve"> SRHR</w:t>
      </w:r>
      <w:r w:rsidRPr="0018197A">
        <w:rPr>
          <w:rFonts w:eastAsia="Helvetica Neue"/>
          <w:color w:val="000000"/>
        </w:rPr>
        <w:t xml:space="preserve">, explicitly including </w:t>
      </w:r>
      <w:r>
        <w:rPr>
          <w:rFonts w:eastAsia="Helvetica Neue"/>
          <w:color w:val="000000"/>
        </w:rPr>
        <w:t>persons</w:t>
      </w:r>
      <w:r w:rsidRPr="0018197A">
        <w:rPr>
          <w:rFonts w:eastAsia="Helvetica Neue"/>
          <w:color w:val="000000"/>
        </w:rPr>
        <w:t xml:space="preserve"> with disabilities.</w:t>
      </w:r>
      <w:r w:rsidRPr="00A64CBE">
        <w:rPr>
          <w:rFonts w:eastAsia="Helvetica Neue"/>
          <w:color w:val="000000"/>
        </w:rPr>
        <w:t xml:space="preserve"> </w:t>
      </w:r>
      <w:r w:rsidRPr="0018197A">
        <w:rPr>
          <w:rFonts w:eastAsia="Helvetica Neue"/>
          <w:color w:val="000000"/>
        </w:rPr>
        <w:t xml:space="preserve">The report highlights the </w:t>
      </w:r>
      <w:r w:rsidRPr="00A64CBE">
        <w:rPr>
          <w:rFonts w:eastAsia="Helvetica Neue"/>
          <w:color w:val="000000"/>
        </w:rPr>
        <w:t xml:space="preserve">importance of considering </w:t>
      </w:r>
      <w:r w:rsidRPr="0018197A">
        <w:rPr>
          <w:rFonts w:eastAsia="Helvetica Neue"/>
          <w:color w:val="000000"/>
        </w:rPr>
        <w:t xml:space="preserve">the particular SRHR needs of </w:t>
      </w:r>
      <w:r>
        <w:rPr>
          <w:rFonts w:eastAsia="Helvetica Neue"/>
          <w:color w:val="000000"/>
        </w:rPr>
        <w:t>persons</w:t>
      </w:r>
      <w:r w:rsidRPr="0018197A">
        <w:rPr>
          <w:rFonts w:eastAsia="Helvetica Neue"/>
          <w:color w:val="000000"/>
        </w:rPr>
        <w:t xml:space="preserve"> with disabilities and the dearth of substantive research and data on the SRHR of </w:t>
      </w:r>
      <w:r>
        <w:rPr>
          <w:rFonts w:eastAsia="Helvetica Neue"/>
          <w:color w:val="000000"/>
        </w:rPr>
        <w:t>persons</w:t>
      </w:r>
      <w:r w:rsidRPr="0018197A">
        <w:rPr>
          <w:rFonts w:eastAsia="Helvetica Neue"/>
          <w:color w:val="000000"/>
        </w:rPr>
        <w:t xml:space="preserve"> with disabilities.</w:t>
      </w:r>
      <w:r w:rsidRPr="00B1674C">
        <w:rPr>
          <w:rStyle w:val="EndnoteReference"/>
          <w:rFonts w:eastAsia="Helvetica Neue"/>
        </w:rPr>
        <w:endnoteReference w:id="415"/>
      </w:r>
      <w:r w:rsidRPr="0018197A">
        <w:rPr>
          <w:rFonts w:eastAsia="Helvetica Neue"/>
          <w:color w:val="000000"/>
        </w:rPr>
        <w:t xml:space="preserve"> </w:t>
      </w:r>
      <w:r w:rsidRPr="00A64CBE">
        <w:rPr>
          <w:rFonts w:eastAsia="Helvetica Neue"/>
          <w:color w:val="000000"/>
        </w:rPr>
        <w:t xml:space="preserve">For example: </w:t>
      </w:r>
      <w:r w:rsidRPr="0018197A">
        <w:rPr>
          <w:rFonts w:eastAsia="Helvetica Neue"/>
          <w:color w:val="000000"/>
        </w:rPr>
        <w:t>“People living with disabilities are another underserved</w:t>
      </w:r>
      <w:r w:rsidRPr="00A64CBE">
        <w:rPr>
          <w:rFonts w:eastAsia="Helvetica Neue"/>
          <w:color w:val="000000"/>
        </w:rPr>
        <w:t xml:space="preserve"> </w:t>
      </w:r>
      <w:r w:rsidRPr="0018197A">
        <w:rPr>
          <w:rFonts w:eastAsia="Helvetica Neue"/>
          <w:color w:val="000000"/>
        </w:rPr>
        <w:t>population subjected to</w:t>
      </w:r>
      <w:r w:rsidRPr="00A64CBE">
        <w:rPr>
          <w:rFonts w:eastAsia="Helvetica Neue"/>
          <w:color w:val="000000"/>
        </w:rPr>
        <w:t xml:space="preserve"> harmful stereotypes and myths. </w:t>
      </w:r>
      <w:r w:rsidRPr="0018197A">
        <w:rPr>
          <w:rFonts w:eastAsia="Helvetica Neue"/>
          <w:color w:val="000000"/>
        </w:rPr>
        <w:t>They have similar SRHR needs as able-bodied people;</w:t>
      </w:r>
      <w:r w:rsidRPr="00A64CBE">
        <w:rPr>
          <w:rFonts w:eastAsia="Helvetica Neue"/>
          <w:color w:val="000000"/>
        </w:rPr>
        <w:t xml:space="preserve"> </w:t>
      </w:r>
      <w:r w:rsidRPr="0018197A">
        <w:rPr>
          <w:rFonts w:eastAsia="Helvetica Neue"/>
          <w:color w:val="000000"/>
        </w:rPr>
        <w:t>however, they are much more likely to be victims</w:t>
      </w:r>
      <w:r w:rsidRPr="00A64CBE">
        <w:rPr>
          <w:rFonts w:eastAsia="Helvetica Neue"/>
          <w:color w:val="000000"/>
        </w:rPr>
        <w:t xml:space="preserve"> of </w:t>
      </w:r>
      <w:r w:rsidRPr="0018197A">
        <w:rPr>
          <w:rFonts w:eastAsia="Helvetica Neue"/>
          <w:color w:val="000000"/>
        </w:rPr>
        <w:t>physical and sexua</w:t>
      </w:r>
      <w:r w:rsidRPr="00A64CBE">
        <w:rPr>
          <w:rFonts w:eastAsia="Helvetica Neue"/>
          <w:color w:val="000000"/>
        </w:rPr>
        <w:t xml:space="preserve">l abuse and rape, even by their </w:t>
      </w:r>
      <w:r w:rsidRPr="0018197A">
        <w:rPr>
          <w:rFonts w:eastAsia="Helvetica Neue"/>
          <w:color w:val="000000"/>
        </w:rPr>
        <w:t>caretakers in some situation</w:t>
      </w:r>
      <w:r w:rsidRPr="00A64CBE">
        <w:rPr>
          <w:rFonts w:eastAsia="Helvetica Neue"/>
          <w:color w:val="000000"/>
        </w:rPr>
        <w:t xml:space="preserve">s. They are also more likely to </w:t>
      </w:r>
      <w:r w:rsidRPr="0018197A">
        <w:rPr>
          <w:rFonts w:eastAsia="Helvetica Neue"/>
          <w:color w:val="000000"/>
        </w:rPr>
        <w:t>be subjected to forced</w:t>
      </w:r>
      <w:r w:rsidRPr="00A64CBE">
        <w:rPr>
          <w:rFonts w:eastAsia="Helvetica Neue"/>
          <w:color w:val="000000"/>
        </w:rPr>
        <w:t xml:space="preserve"> or coerced procedures, such as </w:t>
      </w:r>
      <w:proofErr w:type="spellStart"/>
      <w:r w:rsidRPr="0018197A">
        <w:rPr>
          <w:rFonts w:eastAsia="Helvetica Neue"/>
          <w:color w:val="000000"/>
        </w:rPr>
        <w:t>sterilisation</w:t>
      </w:r>
      <w:proofErr w:type="spellEnd"/>
      <w:r w:rsidRPr="0018197A">
        <w:rPr>
          <w:rFonts w:eastAsia="Helvetica Neue"/>
          <w:color w:val="000000"/>
        </w:rPr>
        <w:t xml:space="preserve">, abortion, and contraception. </w:t>
      </w:r>
      <w:r w:rsidRPr="00A64CBE">
        <w:rPr>
          <w:rFonts w:eastAsia="Helvetica Neue"/>
          <w:color w:val="000000"/>
        </w:rPr>
        <w:t xml:space="preserve">Inadequate </w:t>
      </w:r>
      <w:r w:rsidRPr="0018197A">
        <w:rPr>
          <w:rFonts w:eastAsia="Helvetica Neue"/>
          <w:color w:val="000000"/>
        </w:rPr>
        <w:t>information and a paucity of t</w:t>
      </w:r>
      <w:r w:rsidRPr="00A64CBE">
        <w:rPr>
          <w:rFonts w:eastAsia="Helvetica Neue"/>
          <w:color w:val="000000"/>
        </w:rPr>
        <w:t xml:space="preserve">argeted resources contribute </w:t>
      </w:r>
      <w:r w:rsidRPr="0018197A">
        <w:rPr>
          <w:rFonts w:eastAsia="Helvetica Neue"/>
          <w:color w:val="000000"/>
        </w:rPr>
        <w:t>to this group’s vulnerabi</w:t>
      </w:r>
      <w:r w:rsidRPr="00A64CBE">
        <w:rPr>
          <w:rFonts w:eastAsia="Helvetica Neue"/>
          <w:color w:val="000000"/>
        </w:rPr>
        <w:t xml:space="preserve">lity; these disadvantages begin </w:t>
      </w:r>
      <w:r w:rsidRPr="0018197A">
        <w:rPr>
          <w:rFonts w:eastAsia="Helvetica Neue"/>
          <w:color w:val="000000"/>
        </w:rPr>
        <w:t>early in life and continue in adulthood”</w:t>
      </w:r>
      <w:r>
        <w:rPr>
          <w:rFonts w:eastAsia="Helvetica Neue"/>
          <w:color w:val="000000"/>
        </w:rPr>
        <w:t>.</w:t>
      </w:r>
      <w:r w:rsidRPr="00B1674C">
        <w:rPr>
          <w:rStyle w:val="EndnoteReference"/>
          <w:rFonts w:eastAsia="Helvetica Neue"/>
        </w:rPr>
        <w:endnoteReference w:id="416"/>
      </w:r>
    </w:p>
    <w:p w14:paraId="3757D862" w14:textId="4014F00F" w:rsidR="00A34370" w:rsidRDefault="00A34370" w:rsidP="00CE152F">
      <w:pPr>
        <w:ind w:hanging="90"/>
        <w:rPr>
          <w:rFonts w:eastAsia="Helvetica Neue"/>
        </w:rPr>
      </w:pPr>
      <w:r w:rsidRPr="00A6697D">
        <w:rPr>
          <w:noProof/>
        </w:rPr>
        <mc:AlternateContent>
          <mc:Choice Requires="wps">
            <w:drawing>
              <wp:inline distT="0" distB="0" distL="0" distR="0" wp14:anchorId="7E4A3BB9" wp14:editId="1E48453F">
                <wp:extent cx="5943600" cy="0"/>
                <wp:effectExtent l="0" t="12700" r="25400" b="25400"/>
                <wp:docPr id="56" name="Straight Connector 56" descr="Text box ends"/>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chemeClr val="bg2">
                              <a:lumMod val="50000"/>
                            </a:schemeClr>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2A706982" id="Straight Connector 56" o:spid="_x0000_s1026" alt="Text box end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" strokecolor="#938953 [1614]" strokeweight="3pt">
                <w10:anchorlock/>
              </v:line>
            </w:pict>
          </mc:Fallback>
        </mc:AlternateContent>
      </w:r>
    </w:p>
    <w:p w14:paraId="318C2CA5" w14:textId="6F33F556" w:rsidR="00BC14E7" w:rsidRPr="00A64CBE" w:rsidRDefault="00BC14E7" w:rsidP="003C6133">
      <w:pPr>
        <w:pStyle w:val="Heading4"/>
        <w:spacing w:before="480"/>
      </w:pPr>
      <w:r w:rsidRPr="003C6133">
        <w:rPr>
          <w:rFonts w:eastAsia="Helvetica Neue"/>
        </w:rPr>
        <w:lastRenderedPageBreak/>
        <w:t>Barriers</w:t>
      </w:r>
      <w:r w:rsidRPr="00A64CBE">
        <w:t xml:space="preserve"> </w:t>
      </w:r>
    </w:p>
    <w:p w14:paraId="3F736844" w14:textId="77777777" w:rsidR="00BC14E7" w:rsidRPr="00A64CBE" w:rsidRDefault="00BC14E7" w:rsidP="00306F2B">
      <w:pPr>
        <w:rPr>
          <w:rFonts w:eastAsia="Helvetica Neue"/>
        </w:rPr>
      </w:pPr>
      <w:r w:rsidRPr="00A64CBE">
        <w:rPr>
          <w:rFonts w:eastAsia="Helvetica Neue"/>
        </w:rPr>
        <w:t xml:space="preserve">Women and young </w:t>
      </w:r>
      <w:r>
        <w:rPr>
          <w:rFonts w:eastAsia="Helvetica Neue"/>
        </w:rPr>
        <w:t>persons</w:t>
      </w:r>
      <w:r w:rsidRPr="00A64CBE">
        <w:rPr>
          <w:rFonts w:eastAsia="Helvetica Neue"/>
        </w:rPr>
        <w:t xml:space="preserve"> worldwide, both with and without disabilities, encounter legal and practical barriers to SRHR information and services. These barriers are exacerbated for women and young </w:t>
      </w:r>
      <w:r>
        <w:rPr>
          <w:rFonts w:eastAsia="Helvetica Neue"/>
        </w:rPr>
        <w:t>persons</w:t>
      </w:r>
      <w:r w:rsidRPr="00A64CBE">
        <w:rPr>
          <w:rFonts w:eastAsia="Helvetica Neue"/>
        </w:rPr>
        <w:t xml:space="preserve"> with disabilities. Common barriers include: lack of training or awareness raising among service providers and support staff on how to serve </w:t>
      </w:r>
      <w:r>
        <w:rPr>
          <w:rFonts w:eastAsia="Helvetica Neue"/>
        </w:rPr>
        <w:t>persons</w:t>
      </w:r>
      <w:r w:rsidRPr="00A64CBE">
        <w:rPr>
          <w:rFonts w:eastAsia="Helvetica Neue"/>
        </w:rPr>
        <w:t xml:space="preserve"> with disabilities</w:t>
      </w:r>
      <w:r w:rsidRPr="00A64CBE">
        <w:rPr>
          <w:rFonts w:eastAsia="Helvetica Neue"/>
          <w:vertAlign w:val="superscript"/>
        </w:rPr>
        <w:endnoteReference w:id="417"/>
      </w:r>
      <w:r w:rsidRPr="00A64CBE">
        <w:rPr>
          <w:rFonts w:eastAsia="Helvetica Neue"/>
        </w:rPr>
        <w:t xml:space="preserve"> (for instance, one study in the United States found that 40–50 per cent of gynecologists felt somewhat to completely unprepared to treat adolescents with disabilities</w:t>
      </w:r>
      <w:r>
        <w:rPr>
          <w:rFonts w:eastAsia="Helvetica Neue"/>
        </w:rPr>
        <w:t>);</w:t>
      </w:r>
      <w:r w:rsidRPr="00A64CBE">
        <w:rPr>
          <w:rFonts w:eastAsia="Helvetica Neue"/>
          <w:vertAlign w:val="superscript"/>
        </w:rPr>
        <w:endnoteReference w:id="418"/>
      </w:r>
      <w:r w:rsidRPr="00A64CBE">
        <w:rPr>
          <w:rFonts w:eastAsia="Helvetica Neue"/>
        </w:rPr>
        <w:t xml:space="preserve"> failure to consider disability-related accessibility in developing programmes or building facilities</w:t>
      </w:r>
      <w:r>
        <w:rPr>
          <w:rFonts w:eastAsia="Helvetica Neue"/>
        </w:rPr>
        <w:t>;</w:t>
      </w:r>
      <w:r w:rsidRPr="00A64CBE">
        <w:rPr>
          <w:rFonts w:eastAsia="Helvetica Neue"/>
          <w:vertAlign w:val="superscript"/>
        </w:rPr>
        <w:endnoteReference w:id="419"/>
      </w:r>
      <w:r w:rsidRPr="00A64CBE">
        <w:rPr>
          <w:rFonts w:eastAsia="Helvetica Neue"/>
        </w:rPr>
        <w:t xml:space="preserve"> </w:t>
      </w:r>
      <w:r w:rsidRPr="0018197A">
        <w:rPr>
          <w:rFonts w:eastAsia="Helvetica Neue"/>
        </w:rPr>
        <w:t>poverty/socio-economic marginalization</w:t>
      </w:r>
      <w:r w:rsidRPr="00A64CBE">
        <w:rPr>
          <w:rFonts w:eastAsia="Arial"/>
          <w:sz w:val="22"/>
          <w:szCs w:val="22"/>
        </w:rPr>
        <w:t xml:space="preserve">; </w:t>
      </w:r>
      <w:r w:rsidRPr="00A64CBE">
        <w:rPr>
          <w:rFonts w:eastAsia="Helvetica Neue"/>
        </w:rPr>
        <w:t xml:space="preserve">isolation of women and young </w:t>
      </w:r>
      <w:r>
        <w:rPr>
          <w:rFonts w:eastAsia="Helvetica Neue"/>
        </w:rPr>
        <w:t>persons</w:t>
      </w:r>
      <w:r w:rsidRPr="00A64CBE">
        <w:rPr>
          <w:rFonts w:eastAsia="Helvetica Neue"/>
        </w:rPr>
        <w:t xml:space="preserve"> with disabilities living in institutions, camps, family homes, group homes</w:t>
      </w:r>
      <w:r w:rsidRPr="00A64CBE">
        <w:rPr>
          <w:rFonts w:eastAsia="Helvetica Neue"/>
          <w:vertAlign w:val="superscript"/>
        </w:rPr>
        <w:endnoteReference w:id="420"/>
      </w:r>
      <w:r w:rsidRPr="00A64CBE">
        <w:rPr>
          <w:rFonts w:eastAsia="Helvetica Neue"/>
        </w:rPr>
        <w:t xml:space="preserve"> or who are homeless; and stereotypes about women and young </w:t>
      </w:r>
      <w:r>
        <w:rPr>
          <w:rFonts w:eastAsia="Helvetica Neue"/>
        </w:rPr>
        <w:t>persons</w:t>
      </w:r>
      <w:r w:rsidRPr="00A64CBE">
        <w:rPr>
          <w:rFonts w:eastAsia="Helvetica Neue"/>
        </w:rPr>
        <w:t xml:space="preserve"> with disabilities that lead service providers and support staff to assume women and young </w:t>
      </w:r>
      <w:r>
        <w:rPr>
          <w:rFonts w:eastAsia="Helvetica Neue"/>
        </w:rPr>
        <w:t>persons</w:t>
      </w:r>
      <w:r w:rsidRPr="00A64CBE">
        <w:rPr>
          <w:rFonts w:eastAsia="Helvetica Neue"/>
        </w:rPr>
        <w:t xml:space="preserve"> with disabilities are unable to make their own decisions, are asexual or hypersexual, cannot become pregnant, or are </w:t>
      </w:r>
      <w:r>
        <w:rPr>
          <w:rFonts w:eastAsia="Helvetica Neue"/>
        </w:rPr>
        <w:t>in</w:t>
      </w:r>
      <w:r w:rsidRPr="00A64CBE">
        <w:rPr>
          <w:rFonts w:eastAsia="Helvetica Neue"/>
        </w:rPr>
        <w:t xml:space="preserve">capable of parenting. </w:t>
      </w:r>
    </w:p>
    <w:p w14:paraId="7961472F" w14:textId="77777777" w:rsidR="00BC14E7" w:rsidRPr="00A64CBE" w:rsidRDefault="00BC14E7" w:rsidP="00306F2B">
      <w:pPr>
        <w:rPr>
          <w:rFonts w:eastAsia="Arial"/>
          <w:sz w:val="22"/>
          <w:szCs w:val="22"/>
        </w:rPr>
      </w:pPr>
      <w:r w:rsidRPr="00A64CBE">
        <w:rPr>
          <w:rFonts w:eastAsia="Helvetica Neue"/>
        </w:rPr>
        <w:t xml:space="preserve">Humanitarian emergencies increase these exclusionary factors and exacerbate their impact. Additional demands on the system result in de-prioritization or failure to develop disability-inclusive services, more pronounced accessibility barriers, and increased isolation and vulnerability. The cultural, political, and security climate of the country where the humanitarian aid is taking place can also increase barriers to essential services. </w:t>
      </w:r>
    </w:p>
    <w:p w14:paraId="036E2C4D" w14:textId="77777777" w:rsidR="00BC14E7" w:rsidRPr="00A64CBE" w:rsidRDefault="00BC14E7" w:rsidP="003C6133">
      <w:pPr>
        <w:pStyle w:val="Heading4"/>
        <w:spacing w:before="480"/>
      </w:pPr>
      <w:r w:rsidRPr="003C6133">
        <w:rPr>
          <w:rFonts w:eastAsia="Helvetica Neue"/>
        </w:rPr>
        <w:t>Increased</w:t>
      </w:r>
      <w:r w:rsidRPr="00A64CBE">
        <w:t xml:space="preserve"> Risk </w:t>
      </w:r>
    </w:p>
    <w:p w14:paraId="68D9D83B" w14:textId="77777777" w:rsidR="00BC14E7" w:rsidRPr="00A64CBE" w:rsidRDefault="00BC14E7" w:rsidP="00306F2B">
      <w:pPr>
        <w:rPr>
          <w:rFonts w:eastAsia="Helvetica Neue"/>
        </w:rPr>
      </w:pPr>
      <w:r w:rsidRPr="00A64CBE">
        <w:rPr>
          <w:rFonts w:eastAsia="Helvetica Neue"/>
        </w:rPr>
        <w:t xml:space="preserve">Lack of access to essential SRHR information and services increases the vulnerability of women and young </w:t>
      </w:r>
      <w:r>
        <w:rPr>
          <w:rFonts w:eastAsia="Helvetica Neue"/>
        </w:rPr>
        <w:t>persons</w:t>
      </w:r>
      <w:r w:rsidRPr="00A64CBE">
        <w:rPr>
          <w:rFonts w:eastAsia="Helvetica Neue"/>
        </w:rPr>
        <w:t xml:space="preserve"> with disabilities to sexual abuse, sexually transmitted infections (STIs), unintended pregnancy,</w:t>
      </w:r>
      <w:r w:rsidRPr="00A64CBE">
        <w:rPr>
          <w:rFonts w:eastAsia="Helvetica Neue"/>
          <w:vertAlign w:val="superscript"/>
        </w:rPr>
        <w:endnoteReference w:id="421"/>
      </w:r>
      <w:r w:rsidRPr="00A64CBE">
        <w:rPr>
          <w:rFonts w:eastAsia="Helvetica Neue"/>
        </w:rPr>
        <w:t xml:space="preserve"> and adverse birth outcomes (for mother and baby); it also denies them their right to the highest attainable standard of sexual and reproductive health. In addition to being excluded from these critical health services, women and young </w:t>
      </w:r>
      <w:r>
        <w:rPr>
          <w:rFonts w:eastAsia="Helvetica Neue"/>
        </w:rPr>
        <w:t>persons</w:t>
      </w:r>
      <w:r w:rsidRPr="00A64CBE">
        <w:rPr>
          <w:rFonts w:eastAsia="Helvetica Neue"/>
        </w:rPr>
        <w:t xml:space="preserve"> with disabilities are often subject to coercive healthcare practices and medical procedures, such as forced sterilization, forced abortion, and forced contraception,</w:t>
      </w:r>
      <w:r w:rsidRPr="00A64CBE">
        <w:rPr>
          <w:rFonts w:eastAsia="Helvetica Neue"/>
          <w:vertAlign w:val="superscript"/>
        </w:rPr>
        <w:endnoteReference w:id="422"/>
      </w:r>
      <w:r w:rsidRPr="00A64CBE">
        <w:rPr>
          <w:rFonts w:eastAsia="Helvetica Neue"/>
        </w:rPr>
        <w:t xml:space="preserve"> as well as disrespectful and abusive treatment. Substituted decision-making systems, in particular, have been associated with heightened rates of abuse of </w:t>
      </w:r>
      <w:r>
        <w:rPr>
          <w:rFonts w:eastAsia="Helvetica Neue"/>
        </w:rPr>
        <w:t>persons</w:t>
      </w:r>
      <w:r w:rsidRPr="00A64CBE">
        <w:rPr>
          <w:rFonts w:eastAsia="Helvetica Neue"/>
        </w:rPr>
        <w:t xml:space="preserve"> with disabilities, allowing parents or guardians to subject women and young </w:t>
      </w:r>
      <w:r>
        <w:rPr>
          <w:rFonts w:eastAsia="Helvetica Neue"/>
        </w:rPr>
        <w:t>persons</w:t>
      </w:r>
      <w:r w:rsidRPr="00A64CBE">
        <w:rPr>
          <w:rFonts w:eastAsia="Helvetica Neue"/>
        </w:rPr>
        <w:t xml:space="preserve"> with disabilities to medical procedures against their will.</w:t>
      </w:r>
      <w:r w:rsidRPr="00A64CBE">
        <w:rPr>
          <w:rFonts w:eastAsia="Helvetica Neue"/>
          <w:vertAlign w:val="superscript"/>
        </w:rPr>
        <w:endnoteReference w:id="423"/>
      </w:r>
      <w:r w:rsidRPr="00A64CBE">
        <w:rPr>
          <w:rFonts w:eastAsia="Helvetica Neue"/>
        </w:rPr>
        <w:t xml:space="preserve"> Adolescent girls with disabilities are especially at risk of forced sterilizations and forced abortions,</w:t>
      </w:r>
      <w:r w:rsidRPr="00A64CBE">
        <w:rPr>
          <w:rFonts w:eastAsia="Helvetica Neue"/>
          <w:vertAlign w:val="superscript"/>
        </w:rPr>
        <w:endnoteReference w:id="424"/>
      </w:r>
      <w:r w:rsidRPr="00A64CBE">
        <w:rPr>
          <w:rFonts w:eastAsia="Helvetica Neue"/>
        </w:rPr>
        <w:t xml:space="preserve"> and women and adolescent girls with disabilities are more likely to have hysterectomies at a younger age and for a non-medically necessary reason, including by request of a parent or guardian.</w:t>
      </w:r>
      <w:r w:rsidRPr="00A64CBE">
        <w:rPr>
          <w:rFonts w:eastAsia="Helvetica Neue"/>
          <w:vertAlign w:val="superscript"/>
        </w:rPr>
        <w:endnoteReference w:id="425"/>
      </w:r>
    </w:p>
    <w:p w14:paraId="08493C88" w14:textId="77777777" w:rsidR="00BC14E7" w:rsidRPr="00A64CBE" w:rsidRDefault="00BC14E7" w:rsidP="00BC14E7">
      <w:pPr>
        <w:rPr>
          <w:rFonts w:ascii="Arial" w:eastAsia="Helvetica Neue" w:hAnsi="Arial" w:cs="Arial"/>
          <w:color w:val="000000"/>
        </w:rPr>
      </w:pPr>
    </w:p>
    <w:p w14:paraId="7CA3F2DD" w14:textId="77777777" w:rsidR="00BC14E7" w:rsidRPr="00A64CBE" w:rsidRDefault="00BC14E7" w:rsidP="00306F2B">
      <w:pPr>
        <w:rPr>
          <w:rFonts w:eastAsia="Helvetica Neue"/>
        </w:rPr>
      </w:pPr>
      <w:r w:rsidRPr="00A64CBE">
        <w:rPr>
          <w:rFonts w:eastAsia="Helvetica Neue"/>
        </w:rPr>
        <w:t xml:space="preserve">The guidelines in this section are organized according to different </w:t>
      </w:r>
      <w:r>
        <w:rPr>
          <w:rFonts w:eastAsia="Helvetica Neue"/>
        </w:rPr>
        <w:t>SRHR</w:t>
      </w:r>
      <w:r w:rsidRPr="00A64CBE">
        <w:rPr>
          <w:rFonts w:eastAsia="Helvetica Neue"/>
        </w:rPr>
        <w:t xml:space="preserve"> services that women and young </w:t>
      </w:r>
      <w:r>
        <w:rPr>
          <w:rFonts w:eastAsia="Helvetica Neue"/>
        </w:rPr>
        <w:t>persons</w:t>
      </w:r>
      <w:r w:rsidRPr="00A64CBE">
        <w:rPr>
          <w:rFonts w:eastAsia="Helvetica Neue"/>
        </w:rPr>
        <w:t xml:space="preserve"> with disabilities may require. While not exhaustive, the below subsections address key service areas from which women and young </w:t>
      </w:r>
      <w:r>
        <w:rPr>
          <w:rFonts w:eastAsia="Helvetica Neue"/>
        </w:rPr>
        <w:t>persons</w:t>
      </w:r>
      <w:r w:rsidRPr="00A64CBE">
        <w:rPr>
          <w:rFonts w:eastAsia="Helvetica Neue"/>
        </w:rPr>
        <w:t xml:space="preserve"> with disabilities are regularly excluded. To ensure a continuum of care across all areas of </w:t>
      </w:r>
      <w:r>
        <w:rPr>
          <w:rFonts w:eastAsia="Helvetica Neue"/>
        </w:rPr>
        <w:t>SRHR</w:t>
      </w:r>
      <w:r w:rsidRPr="00A64CBE">
        <w:rPr>
          <w:rFonts w:eastAsia="Helvetica Neue"/>
        </w:rPr>
        <w:t xml:space="preserve"> services for women and young </w:t>
      </w:r>
      <w:r>
        <w:rPr>
          <w:rFonts w:eastAsia="Helvetica Neue"/>
        </w:rPr>
        <w:t>persons</w:t>
      </w:r>
      <w:r w:rsidRPr="00A64CBE">
        <w:rPr>
          <w:rFonts w:eastAsia="Helvetica Neue"/>
        </w:rPr>
        <w:t xml:space="preserve"> with disabilities, each of these service-area subsections should be read in conjunction with the other subsections. </w:t>
      </w:r>
    </w:p>
    <w:p w14:paraId="41035269" w14:textId="16078527" w:rsidR="00306F2B" w:rsidRPr="007B7686" w:rsidRDefault="00B3695D" w:rsidP="00CE152F">
      <w:pPr>
        <w:pStyle w:val="Heading3"/>
        <w:spacing w:line="360" w:lineRule="auto"/>
        <w:ind w:hanging="90"/>
        <w:rPr>
          <w:color w:val="9B4868"/>
          <w:sz w:val="32"/>
          <w:szCs w:val="32"/>
        </w:rPr>
      </w:pPr>
      <w:r w:rsidRPr="006705B0">
        <w:rPr>
          <w:noProof/>
          <w:color w:val="9B4868"/>
          <w:sz w:val="32"/>
          <w:szCs w:val="32"/>
        </w:rPr>
        <w:lastRenderedPageBreak/>
        <mc:AlternateContent>
          <mc:Choice Requires="wps">
            <w:drawing>
              <wp:inline distT="0" distB="0" distL="0" distR="0" wp14:anchorId="398BDDC5" wp14:editId="7909ABA9">
                <wp:extent cx="5943600" cy="0"/>
                <wp:effectExtent l="0" t="38100" r="25400" b="38100"/>
                <wp:docPr id="29" name="Straight Connector 29" descr="Text box follows"/>
                <wp:cNvGraphicFramePr/>
                <a:graphic xmlns:a="http://schemas.openxmlformats.org/drawingml/2006/main">
                  <a:graphicData uri="http://schemas.microsoft.com/office/word/2010/wordprocessingShape">
                    <wps:wsp>
                      <wps:cNvCnPr/>
                      <wps:spPr>
                        <a:xfrm>
                          <a:off x="0" y="0"/>
                          <a:ext cx="5943600" cy="0"/>
                        </a:xfrm>
                        <a:prstGeom prst="line">
                          <a:avLst/>
                        </a:prstGeom>
                        <a:ln w="76200">
                          <a:solidFill>
                            <a:srgbClr val="9B4868"/>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77449E1B" id="Straight Connector 29" o:spid="_x0000_s1026" alt="Text box foll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" strokecolor="#9b4868" strokeweight="6pt">
                <w10:anchorlock/>
              </v:line>
            </w:pict>
          </mc:Fallback>
        </mc:AlternateContent>
      </w:r>
      <w:r w:rsidR="00BC14E7" w:rsidRPr="007B7686">
        <w:rPr>
          <w:color w:val="9B4868"/>
          <w:sz w:val="32"/>
          <w:szCs w:val="32"/>
        </w:rPr>
        <w:t>Humanitarian Emergencies—Key Concept: SRHR Minimum Standards</w:t>
      </w:r>
    </w:p>
    <w:p w14:paraId="44283E3A" w14:textId="06D8AA20" w:rsidR="00BC14E7" w:rsidRPr="00A64CBE" w:rsidRDefault="00BC14E7" w:rsidP="00306F2B">
      <w:pPr>
        <w:rPr>
          <w:rFonts w:eastAsia="Helvetica Neue"/>
        </w:rPr>
      </w:pPr>
      <w:r w:rsidRPr="00A64CBE">
        <w:rPr>
          <w:rFonts w:eastAsia="Helvetica Neue"/>
        </w:rPr>
        <w:t xml:space="preserve">Ensure that minimum standards are followed for all services offered and provided to women and young </w:t>
      </w:r>
      <w:r>
        <w:rPr>
          <w:rFonts w:eastAsia="Helvetica Neue"/>
        </w:rPr>
        <w:t>persons</w:t>
      </w:r>
      <w:r w:rsidRPr="00A64CBE">
        <w:rPr>
          <w:rFonts w:eastAsia="Helvetica Neue"/>
        </w:rPr>
        <w:t xml:space="preserve"> with disabilities. The Inter-Agency Working Group on Reproductive Health in Crises, of which UNFPA is a m</w:t>
      </w:r>
      <w:r>
        <w:rPr>
          <w:rFonts w:eastAsia="Helvetica Neue"/>
        </w:rPr>
        <w:t xml:space="preserve">ember, developed a comprehensive </w:t>
      </w:r>
      <w:r w:rsidRPr="00883B29">
        <w:rPr>
          <w:rFonts w:eastAsia="Helvetica Neue"/>
          <w:bCs/>
        </w:rPr>
        <w:t>Minimum Initial Service Package</w:t>
      </w:r>
      <w:r>
        <w:rPr>
          <w:rFonts w:eastAsia="Helvetica Neue"/>
        </w:rPr>
        <w:t xml:space="preserve"> </w:t>
      </w:r>
      <w:r w:rsidRPr="00A64CBE">
        <w:rPr>
          <w:rFonts w:eastAsia="Helvetica Neue"/>
        </w:rPr>
        <w:t>to respond to reproductive health needs at the onset of a humanitarian crisis.</w:t>
      </w:r>
      <w:r w:rsidRPr="00B1674C">
        <w:rPr>
          <w:rStyle w:val="EndnoteReference"/>
          <w:rFonts w:eastAsia="Helvetica Neue"/>
        </w:rPr>
        <w:endnoteReference w:id="426"/>
      </w:r>
      <w:r w:rsidRPr="00A64CBE">
        <w:rPr>
          <w:rFonts w:eastAsia="Helvetica Neue"/>
        </w:rPr>
        <w:t xml:space="preserve"> These standards are not tailored for </w:t>
      </w:r>
      <w:r>
        <w:rPr>
          <w:rFonts w:eastAsia="Helvetica Neue"/>
        </w:rPr>
        <w:t>persons</w:t>
      </w:r>
      <w:r w:rsidRPr="00A64CBE">
        <w:rPr>
          <w:rFonts w:eastAsia="Helvetica Neue"/>
        </w:rPr>
        <w:t xml:space="preserve"> with disabilities, so service providers should work with women and young </w:t>
      </w:r>
      <w:r>
        <w:rPr>
          <w:rFonts w:eastAsia="Helvetica Neue"/>
        </w:rPr>
        <w:t>persons</w:t>
      </w:r>
      <w:r w:rsidRPr="00A64CBE">
        <w:rPr>
          <w:rFonts w:eastAsia="Helvetica Neue"/>
        </w:rPr>
        <w:t xml:space="preserve"> with disabilities to understand how to implement these standards with the adaptations and accommodations required by women and young </w:t>
      </w:r>
      <w:r>
        <w:rPr>
          <w:rFonts w:eastAsia="Helvetica Neue"/>
        </w:rPr>
        <w:t>persons</w:t>
      </w:r>
      <w:r w:rsidRPr="00A64CBE">
        <w:rPr>
          <w:rFonts w:eastAsia="Helvetica Neue"/>
        </w:rPr>
        <w:t xml:space="preserve"> with disabilities. </w:t>
      </w:r>
    </w:p>
    <w:p w14:paraId="2230918C" w14:textId="77777777" w:rsidR="00BC14E7" w:rsidRPr="00B3695D" w:rsidRDefault="00BC14E7" w:rsidP="00B3695D">
      <w:pPr>
        <w:rPr>
          <w:rFonts w:eastAsia="Helvetica Neue"/>
          <w:b/>
          <w:bCs/>
        </w:rPr>
      </w:pPr>
      <w:r w:rsidRPr="00B3695D">
        <w:rPr>
          <w:rFonts w:eastAsia="Helvetica Neue"/>
          <w:b/>
          <w:bCs/>
        </w:rPr>
        <w:t>UNFPA Minimum Initial Service Package (MISP):</w:t>
      </w:r>
      <w:r w:rsidRPr="00B3695D">
        <w:rPr>
          <w:rFonts w:eastAsia="Helvetica Neue"/>
          <w:b/>
          <w:bCs/>
          <w:vertAlign w:val="superscript"/>
        </w:rPr>
        <w:endnoteReference w:id="427"/>
      </w:r>
      <w:r w:rsidRPr="00B3695D">
        <w:rPr>
          <w:rFonts w:eastAsia="Helvetica Neue"/>
          <w:b/>
          <w:bCs/>
        </w:rPr>
        <w:t xml:space="preserve"> </w:t>
      </w:r>
    </w:p>
    <w:p w14:paraId="5CAB721F" w14:textId="77777777" w:rsidR="00BC14E7" w:rsidRPr="00306F2B" w:rsidRDefault="00BC14E7" w:rsidP="009D6503">
      <w:pPr>
        <w:pStyle w:val="ListParagraph"/>
        <w:numPr>
          <w:ilvl w:val="0"/>
          <w:numId w:val="94"/>
        </w:numPr>
        <w:spacing w:before="60" w:after="60"/>
        <w:ind w:left="450"/>
        <w:rPr>
          <w:rStyle w:val="Bold"/>
        </w:rPr>
      </w:pPr>
      <w:r w:rsidRPr="00306F2B">
        <w:rPr>
          <w:rStyle w:val="Bold"/>
        </w:rPr>
        <w:t>Identify an agency to lead the implementation of the MISP</w:t>
      </w:r>
    </w:p>
    <w:p w14:paraId="3846014E" w14:textId="77777777" w:rsidR="00BC14E7" w:rsidRPr="00306F2B" w:rsidRDefault="00BC14E7" w:rsidP="009D6503">
      <w:pPr>
        <w:pStyle w:val="ListParagraph"/>
        <w:numPr>
          <w:ilvl w:val="1"/>
          <w:numId w:val="94"/>
        </w:numPr>
        <w:spacing w:before="60" w:after="60"/>
        <w:ind w:left="720" w:hanging="270"/>
        <w:rPr>
          <w:rFonts w:eastAsia="Helvetica Neue"/>
        </w:rPr>
      </w:pPr>
      <w:r w:rsidRPr="00306F2B">
        <w:rPr>
          <w:rFonts w:eastAsia="Helvetica Neue"/>
        </w:rPr>
        <w:t>Appoint a reproductive health officer</w:t>
      </w:r>
    </w:p>
    <w:p w14:paraId="70ACD258" w14:textId="77777777" w:rsidR="00BC14E7" w:rsidRPr="00306F2B" w:rsidRDefault="00BC14E7" w:rsidP="009D6503">
      <w:pPr>
        <w:pStyle w:val="ListParagraph"/>
        <w:numPr>
          <w:ilvl w:val="1"/>
          <w:numId w:val="94"/>
        </w:numPr>
        <w:spacing w:before="60" w:after="60"/>
        <w:ind w:left="720" w:hanging="270"/>
        <w:rPr>
          <w:rFonts w:eastAsia="Helvetica Neue"/>
        </w:rPr>
      </w:pPr>
      <w:r w:rsidRPr="00306F2B">
        <w:rPr>
          <w:rFonts w:eastAsia="Helvetica Neue"/>
        </w:rPr>
        <w:t>Coordination of reproductive health services</w:t>
      </w:r>
    </w:p>
    <w:p w14:paraId="310E5EF9" w14:textId="77777777" w:rsidR="00BC14E7" w:rsidRPr="00306F2B" w:rsidRDefault="00BC14E7" w:rsidP="009D6503">
      <w:pPr>
        <w:pStyle w:val="ListParagraph"/>
        <w:numPr>
          <w:ilvl w:val="1"/>
          <w:numId w:val="94"/>
        </w:numPr>
        <w:spacing w:before="60" w:after="60"/>
        <w:ind w:left="720" w:hanging="270"/>
        <w:rPr>
          <w:rFonts w:eastAsia="Helvetica Neue"/>
        </w:rPr>
      </w:pPr>
      <w:r w:rsidRPr="00306F2B">
        <w:rPr>
          <w:rFonts w:eastAsia="Helvetica Neue"/>
        </w:rPr>
        <w:t>Reproductive health officer reports back to health cluster or sector</w:t>
      </w:r>
    </w:p>
    <w:p w14:paraId="0F5E4A9B" w14:textId="77777777" w:rsidR="00BC14E7" w:rsidRPr="00306F2B" w:rsidRDefault="00BC14E7" w:rsidP="009D6503">
      <w:pPr>
        <w:pStyle w:val="ListParagraph"/>
        <w:numPr>
          <w:ilvl w:val="1"/>
          <w:numId w:val="94"/>
        </w:numPr>
        <w:spacing w:before="60" w:after="60"/>
        <w:ind w:left="720" w:hanging="270"/>
        <w:rPr>
          <w:rFonts w:eastAsia="Helvetica Neue"/>
        </w:rPr>
      </w:pPr>
      <w:r w:rsidRPr="00306F2B">
        <w:rPr>
          <w:rFonts w:eastAsia="Helvetica Neue"/>
        </w:rPr>
        <w:t>Reproductive kits and supplies are made available</w:t>
      </w:r>
    </w:p>
    <w:p w14:paraId="2F60CF1C" w14:textId="77777777" w:rsidR="00BC14E7" w:rsidRPr="00306F2B" w:rsidRDefault="00BC14E7" w:rsidP="009D6503">
      <w:pPr>
        <w:pStyle w:val="ListParagraph"/>
        <w:numPr>
          <w:ilvl w:val="0"/>
          <w:numId w:val="94"/>
        </w:numPr>
        <w:spacing w:before="60" w:after="60"/>
        <w:ind w:left="450"/>
        <w:rPr>
          <w:rStyle w:val="Bold"/>
        </w:rPr>
      </w:pPr>
      <w:r w:rsidRPr="00306F2B">
        <w:rPr>
          <w:rStyle w:val="Bold"/>
        </w:rPr>
        <w:t>Prevent and manage the consequence of sexual violence</w:t>
      </w:r>
    </w:p>
    <w:p w14:paraId="2FF644DB" w14:textId="77777777" w:rsidR="00BC14E7" w:rsidRPr="00306F2B" w:rsidRDefault="00BC14E7" w:rsidP="009D6503">
      <w:pPr>
        <w:pStyle w:val="ListParagraph"/>
        <w:numPr>
          <w:ilvl w:val="1"/>
          <w:numId w:val="94"/>
        </w:numPr>
        <w:spacing w:before="60" w:after="60"/>
        <w:ind w:left="720" w:hanging="270"/>
        <w:rPr>
          <w:rFonts w:eastAsia="Helvetica Neue"/>
        </w:rPr>
      </w:pPr>
      <w:r w:rsidRPr="00306F2B">
        <w:rPr>
          <w:rFonts w:eastAsia="Helvetica Neue"/>
        </w:rPr>
        <w:t xml:space="preserve">Protection system in place, especially for women and adolescent girls </w:t>
      </w:r>
    </w:p>
    <w:p w14:paraId="15BC5DAD" w14:textId="77777777" w:rsidR="00BC14E7" w:rsidRPr="00306F2B" w:rsidRDefault="00BC14E7" w:rsidP="009D6503">
      <w:pPr>
        <w:pStyle w:val="ListParagraph"/>
        <w:numPr>
          <w:ilvl w:val="1"/>
          <w:numId w:val="94"/>
        </w:numPr>
        <w:spacing w:before="60" w:after="60"/>
        <w:ind w:left="720" w:hanging="270"/>
        <w:rPr>
          <w:rFonts w:eastAsia="Helvetica Neue"/>
        </w:rPr>
      </w:pPr>
      <w:r w:rsidRPr="00306F2B">
        <w:rPr>
          <w:rFonts w:eastAsia="Helvetica Neue"/>
        </w:rPr>
        <w:t>Medical services and psychological support available for survivors</w:t>
      </w:r>
    </w:p>
    <w:p w14:paraId="766280B3" w14:textId="77777777" w:rsidR="00BC14E7" w:rsidRPr="00306F2B" w:rsidRDefault="00BC14E7" w:rsidP="009D6503">
      <w:pPr>
        <w:pStyle w:val="ListParagraph"/>
        <w:numPr>
          <w:ilvl w:val="1"/>
          <w:numId w:val="94"/>
        </w:numPr>
        <w:spacing w:before="60" w:after="60"/>
        <w:ind w:left="720" w:hanging="270"/>
        <w:rPr>
          <w:rFonts w:eastAsia="Helvetica Neue"/>
        </w:rPr>
      </w:pPr>
      <w:r w:rsidRPr="00306F2B">
        <w:rPr>
          <w:rFonts w:eastAsia="Helvetica Neue"/>
        </w:rPr>
        <w:t>Community aware of services</w:t>
      </w:r>
    </w:p>
    <w:p w14:paraId="3BF03E7A" w14:textId="77777777" w:rsidR="00BC14E7" w:rsidRPr="00306F2B" w:rsidRDefault="00BC14E7" w:rsidP="009D6503">
      <w:pPr>
        <w:pStyle w:val="ListParagraph"/>
        <w:numPr>
          <w:ilvl w:val="0"/>
          <w:numId w:val="94"/>
        </w:numPr>
        <w:spacing w:before="60" w:after="60"/>
        <w:ind w:left="450"/>
        <w:rPr>
          <w:rStyle w:val="Bold"/>
        </w:rPr>
      </w:pPr>
      <w:r w:rsidRPr="00306F2B">
        <w:rPr>
          <w:rStyle w:val="Bold"/>
        </w:rPr>
        <w:t xml:space="preserve">Reduce transmission of HIV </w:t>
      </w:r>
    </w:p>
    <w:p w14:paraId="0A999415" w14:textId="77777777" w:rsidR="00BC14E7" w:rsidRPr="00306F2B" w:rsidRDefault="00BC14E7" w:rsidP="009D6503">
      <w:pPr>
        <w:pStyle w:val="ListParagraph"/>
        <w:numPr>
          <w:ilvl w:val="1"/>
          <w:numId w:val="94"/>
        </w:numPr>
        <w:spacing w:before="60" w:after="60"/>
        <w:ind w:left="720" w:hanging="270"/>
        <w:rPr>
          <w:rFonts w:eastAsia="Helvetica Neue"/>
        </w:rPr>
      </w:pPr>
      <w:r w:rsidRPr="00306F2B">
        <w:rPr>
          <w:rFonts w:eastAsia="Helvetica Neue"/>
        </w:rPr>
        <w:t>Safe blood transfusion available</w:t>
      </w:r>
    </w:p>
    <w:p w14:paraId="40D2A13A" w14:textId="77777777" w:rsidR="00BC14E7" w:rsidRPr="00306F2B" w:rsidRDefault="00BC14E7" w:rsidP="009D6503">
      <w:pPr>
        <w:pStyle w:val="ListParagraph"/>
        <w:numPr>
          <w:ilvl w:val="1"/>
          <w:numId w:val="94"/>
        </w:numPr>
        <w:spacing w:before="60" w:after="60"/>
        <w:ind w:left="720" w:hanging="270"/>
        <w:rPr>
          <w:rFonts w:eastAsia="Helvetica Neue"/>
        </w:rPr>
      </w:pPr>
      <w:r w:rsidRPr="00306F2B">
        <w:rPr>
          <w:rFonts w:eastAsia="Helvetica Neue"/>
        </w:rPr>
        <w:t>Standard precautions practiced</w:t>
      </w:r>
    </w:p>
    <w:p w14:paraId="6B7FFF5D" w14:textId="77777777" w:rsidR="00BC14E7" w:rsidRPr="00306F2B" w:rsidRDefault="00BC14E7" w:rsidP="009D6503">
      <w:pPr>
        <w:pStyle w:val="ListParagraph"/>
        <w:numPr>
          <w:ilvl w:val="1"/>
          <w:numId w:val="94"/>
        </w:numPr>
        <w:spacing w:before="60" w:after="60"/>
        <w:ind w:left="720" w:hanging="270"/>
        <w:rPr>
          <w:rFonts w:eastAsia="Helvetica Neue"/>
        </w:rPr>
      </w:pPr>
      <w:r w:rsidRPr="00306F2B">
        <w:rPr>
          <w:rFonts w:eastAsia="Helvetica Neue"/>
        </w:rPr>
        <w:t>Free condoms available</w:t>
      </w:r>
    </w:p>
    <w:p w14:paraId="28749610" w14:textId="77777777" w:rsidR="00BC14E7" w:rsidRPr="00306F2B" w:rsidRDefault="00BC14E7" w:rsidP="009D6503">
      <w:pPr>
        <w:pStyle w:val="ListParagraph"/>
        <w:numPr>
          <w:ilvl w:val="0"/>
          <w:numId w:val="94"/>
        </w:numPr>
        <w:spacing w:before="60" w:after="60"/>
        <w:ind w:left="450"/>
        <w:rPr>
          <w:rStyle w:val="Bold"/>
        </w:rPr>
      </w:pPr>
      <w:r w:rsidRPr="00306F2B">
        <w:rPr>
          <w:rStyle w:val="Bold"/>
        </w:rPr>
        <w:t xml:space="preserve">Prevent maternal and infant mortality </w:t>
      </w:r>
    </w:p>
    <w:p w14:paraId="1BADA048" w14:textId="77777777" w:rsidR="00BC14E7" w:rsidRPr="00306F2B" w:rsidRDefault="00BC14E7" w:rsidP="009D6503">
      <w:pPr>
        <w:pStyle w:val="ListParagraph"/>
        <w:numPr>
          <w:ilvl w:val="1"/>
          <w:numId w:val="94"/>
        </w:numPr>
        <w:spacing w:before="60" w:after="60"/>
        <w:ind w:left="720" w:hanging="270"/>
        <w:rPr>
          <w:rFonts w:eastAsia="Helvetica Neue"/>
        </w:rPr>
      </w:pPr>
      <w:r w:rsidRPr="00306F2B">
        <w:rPr>
          <w:rFonts w:eastAsia="Helvetica Neue"/>
        </w:rPr>
        <w:t xml:space="preserve">Emergency obstetric and newborn care services available </w:t>
      </w:r>
    </w:p>
    <w:p w14:paraId="6EEAB408" w14:textId="77777777" w:rsidR="00BC14E7" w:rsidRPr="00306F2B" w:rsidRDefault="00BC14E7" w:rsidP="009D6503">
      <w:pPr>
        <w:pStyle w:val="ListParagraph"/>
        <w:numPr>
          <w:ilvl w:val="1"/>
          <w:numId w:val="94"/>
        </w:numPr>
        <w:spacing w:before="60" w:after="60"/>
        <w:ind w:left="720" w:hanging="270"/>
        <w:rPr>
          <w:rFonts w:eastAsia="Helvetica Neue"/>
        </w:rPr>
      </w:pPr>
      <w:r w:rsidRPr="00306F2B">
        <w:rPr>
          <w:rFonts w:eastAsia="Helvetica Neue"/>
        </w:rPr>
        <w:t>24/7 referral system established</w:t>
      </w:r>
    </w:p>
    <w:p w14:paraId="3D099ADB" w14:textId="77777777" w:rsidR="00BC14E7" w:rsidRPr="00306F2B" w:rsidRDefault="00BC14E7" w:rsidP="009D6503">
      <w:pPr>
        <w:pStyle w:val="ListParagraph"/>
        <w:numPr>
          <w:ilvl w:val="1"/>
          <w:numId w:val="94"/>
        </w:numPr>
        <w:spacing w:before="60" w:after="60"/>
        <w:ind w:left="720" w:hanging="270"/>
        <w:rPr>
          <w:rFonts w:eastAsia="Helvetica Neue"/>
        </w:rPr>
      </w:pPr>
      <w:r w:rsidRPr="00306F2B">
        <w:rPr>
          <w:rFonts w:eastAsia="Helvetica Neue"/>
        </w:rPr>
        <w:t>Clean delivery kits provided to skilled birth attendants and visibly pregnant women</w:t>
      </w:r>
    </w:p>
    <w:p w14:paraId="34869874" w14:textId="77777777" w:rsidR="00BC14E7" w:rsidRPr="00306F2B" w:rsidRDefault="00BC14E7" w:rsidP="009D6503">
      <w:pPr>
        <w:pStyle w:val="ListParagraph"/>
        <w:numPr>
          <w:ilvl w:val="1"/>
          <w:numId w:val="94"/>
        </w:numPr>
        <w:spacing w:before="60" w:after="60"/>
        <w:ind w:left="720" w:hanging="270"/>
        <w:rPr>
          <w:rFonts w:eastAsia="Helvetica Neue"/>
        </w:rPr>
      </w:pPr>
      <w:r w:rsidRPr="00306F2B">
        <w:rPr>
          <w:rFonts w:eastAsia="Helvetica Neue"/>
        </w:rPr>
        <w:t>Community aware of services</w:t>
      </w:r>
    </w:p>
    <w:p w14:paraId="2A936C43" w14:textId="77777777" w:rsidR="00BC14E7" w:rsidRPr="00306F2B" w:rsidRDefault="00BC14E7" w:rsidP="009D6503">
      <w:pPr>
        <w:pStyle w:val="ListParagraph"/>
        <w:numPr>
          <w:ilvl w:val="0"/>
          <w:numId w:val="94"/>
        </w:numPr>
        <w:spacing w:before="60" w:after="60"/>
        <w:ind w:left="450"/>
        <w:rPr>
          <w:rStyle w:val="Bold"/>
        </w:rPr>
      </w:pPr>
      <w:r w:rsidRPr="00306F2B">
        <w:rPr>
          <w:rStyle w:val="Bold"/>
        </w:rPr>
        <w:t xml:space="preserve">Plan for comprehensive reproductive health services integrated into primary healthcare </w:t>
      </w:r>
    </w:p>
    <w:p w14:paraId="74AD232C" w14:textId="77777777" w:rsidR="00BC14E7" w:rsidRPr="00306F2B" w:rsidRDefault="00BC14E7" w:rsidP="009D6503">
      <w:pPr>
        <w:pStyle w:val="ListParagraph"/>
        <w:numPr>
          <w:ilvl w:val="1"/>
          <w:numId w:val="94"/>
        </w:numPr>
        <w:spacing w:before="60" w:after="60"/>
        <w:ind w:left="720" w:hanging="270"/>
        <w:rPr>
          <w:rFonts w:eastAsia="Helvetica Neue"/>
        </w:rPr>
      </w:pPr>
      <w:r w:rsidRPr="00306F2B">
        <w:rPr>
          <w:rFonts w:eastAsia="Helvetica Neue"/>
        </w:rPr>
        <w:t>Background data collected</w:t>
      </w:r>
    </w:p>
    <w:p w14:paraId="312B5136" w14:textId="77777777" w:rsidR="00BC14E7" w:rsidRPr="00306F2B" w:rsidRDefault="00BC14E7" w:rsidP="009D6503">
      <w:pPr>
        <w:pStyle w:val="ListParagraph"/>
        <w:numPr>
          <w:ilvl w:val="1"/>
          <w:numId w:val="94"/>
        </w:numPr>
        <w:spacing w:before="60" w:after="60"/>
        <w:ind w:left="720" w:hanging="270"/>
        <w:rPr>
          <w:rFonts w:eastAsia="Helvetica Neue"/>
        </w:rPr>
      </w:pPr>
      <w:r w:rsidRPr="00306F2B">
        <w:rPr>
          <w:rFonts w:eastAsia="Helvetica Neue"/>
        </w:rPr>
        <w:t>Sites identified for future delivery of comprehensive reproductive health</w:t>
      </w:r>
    </w:p>
    <w:p w14:paraId="65D752C4" w14:textId="77777777" w:rsidR="00BC14E7" w:rsidRPr="00306F2B" w:rsidRDefault="00BC14E7" w:rsidP="009D6503">
      <w:pPr>
        <w:pStyle w:val="ListParagraph"/>
        <w:numPr>
          <w:ilvl w:val="1"/>
          <w:numId w:val="94"/>
        </w:numPr>
        <w:spacing w:before="60" w:after="60"/>
        <w:ind w:left="720" w:hanging="270"/>
        <w:rPr>
          <w:rFonts w:eastAsia="Helvetica Neue"/>
        </w:rPr>
      </w:pPr>
      <w:r w:rsidRPr="00306F2B">
        <w:rPr>
          <w:rFonts w:eastAsia="Helvetica Neue"/>
        </w:rPr>
        <w:t>Staff capacity assessed and trainings planned</w:t>
      </w:r>
    </w:p>
    <w:p w14:paraId="108F145B" w14:textId="495840B5" w:rsidR="00BC14E7" w:rsidRDefault="00BC14E7" w:rsidP="009D6503">
      <w:pPr>
        <w:pStyle w:val="ListParagraph"/>
        <w:numPr>
          <w:ilvl w:val="1"/>
          <w:numId w:val="94"/>
        </w:numPr>
        <w:spacing w:before="60" w:after="60"/>
        <w:ind w:left="720" w:hanging="270"/>
        <w:rPr>
          <w:rFonts w:eastAsia="Helvetica Neue"/>
        </w:rPr>
      </w:pPr>
      <w:r w:rsidRPr="00306F2B">
        <w:rPr>
          <w:rFonts w:eastAsia="Helvetica Neue"/>
        </w:rPr>
        <w:t>Reproductive health equipment and supplies ordered</w:t>
      </w:r>
    </w:p>
    <w:p w14:paraId="59B72C68" w14:textId="0F90F7E3" w:rsidR="00B3695D" w:rsidRPr="00B3695D" w:rsidRDefault="00B3695D" w:rsidP="00CE152F">
      <w:pPr>
        <w:ind w:hanging="90"/>
        <w:rPr>
          <w:rFonts w:eastAsia="Helvetica Neue"/>
        </w:rPr>
      </w:pPr>
      <w:r w:rsidRPr="00A6697D">
        <w:rPr>
          <w:noProof/>
        </w:rPr>
        <mc:AlternateContent>
          <mc:Choice Requires="wps">
            <w:drawing>
              <wp:inline distT="0" distB="0" distL="0" distR="0" wp14:anchorId="47826AD9" wp14:editId="030B6809">
                <wp:extent cx="5943600" cy="0"/>
                <wp:effectExtent l="0" t="12700" r="25400" b="25400"/>
                <wp:docPr id="31" name="Straight Connector 31" descr="Text box ends"/>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rgbClr val="9B4868"/>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26EF48BD" id="Straight Connector 31" o:spid="_x0000_s1026" alt="Text box end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" strokecolor="#9b4868" strokeweight="3pt">
                <w10:anchorlock/>
              </v:line>
            </w:pict>
          </mc:Fallback>
        </mc:AlternateContent>
      </w:r>
    </w:p>
    <w:p w14:paraId="634641A7" w14:textId="399F3755" w:rsidR="00BC14E7" w:rsidRPr="00A64CBE" w:rsidRDefault="00BC14E7" w:rsidP="005B7432">
      <w:pPr>
        <w:pStyle w:val="Heading2"/>
        <w:spacing w:before="480" w:after="120"/>
        <w:ind w:left="547" w:right="-180" w:hanging="547"/>
      </w:pPr>
      <w:bookmarkStart w:id="22" w:name="SRHRHRframe"/>
      <w:r w:rsidRPr="00A64CBE">
        <w:lastRenderedPageBreak/>
        <w:t>4.2</w:t>
      </w:r>
      <w:r w:rsidRPr="00A64CBE">
        <w:tab/>
      </w:r>
      <w:bookmarkEnd w:id="22"/>
      <w:r w:rsidRPr="00A64CBE">
        <w:t>SRHR Human Rights Framework</w:t>
      </w:r>
    </w:p>
    <w:p w14:paraId="68BE3993" w14:textId="77777777" w:rsidR="00BC14E7" w:rsidRPr="00A64CBE" w:rsidRDefault="00BC14E7" w:rsidP="00306F2B">
      <w:pPr>
        <w:rPr>
          <w:rFonts w:eastAsia="Helvetica Neue"/>
        </w:rPr>
      </w:pPr>
      <w:r w:rsidRPr="00A64CBE">
        <w:rPr>
          <w:rFonts w:eastAsia="Helvetica Neue"/>
        </w:rPr>
        <w:t>Sexual and reproductive</w:t>
      </w:r>
      <w:r>
        <w:rPr>
          <w:rFonts w:eastAsia="Helvetica Neue"/>
        </w:rPr>
        <w:t xml:space="preserve"> health and</w:t>
      </w:r>
      <w:r w:rsidRPr="00A64CBE">
        <w:rPr>
          <w:rFonts w:eastAsia="Helvetica Neue"/>
        </w:rPr>
        <w:t xml:space="preserve"> rights encompass both freedoms, such as the freedom to make decisions about whether and when to reproduce free from coercion or violence, and entitlements, such as access to the full range of essential SRHR services. These rights are underpinned by the following fundamental human rights:</w:t>
      </w:r>
    </w:p>
    <w:p w14:paraId="64B3A7FF" w14:textId="77777777" w:rsidR="00BC14E7" w:rsidRPr="008B7930" w:rsidRDefault="00BC14E7" w:rsidP="006E6012">
      <w:pPr>
        <w:pStyle w:val="ListParagraph"/>
        <w:numPr>
          <w:ilvl w:val="0"/>
          <w:numId w:val="95"/>
        </w:numPr>
      </w:pPr>
      <w:r w:rsidRPr="00306F2B">
        <w:rPr>
          <w:rFonts w:eastAsia="Helvetica Neue"/>
        </w:rPr>
        <w:t xml:space="preserve">The rights to </w:t>
      </w:r>
      <w:r w:rsidRPr="00306F2B">
        <w:rPr>
          <w:rFonts w:eastAsia="Helvetica Neue"/>
          <w:bCs/>
        </w:rPr>
        <w:t>life</w:t>
      </w:r>
      <w:r w:rsidRPr="00306F2B">
        <w:rPr>
          <w:rFonts w:eastAsia="Helvetica Neue"/>
        </w:rPr>
        <w:t xml:space="preserve"> and </w:t>
      </w:r>
      <w:r w:rsidRPr="00306F2B">
        <w:rPr>
          <w:rFonts w:eastAsia="Helvetica Neue"/>
          <w:bCs/>
        </w:rPr>
        <w:t>health</w:t>
      </w:r>
      <w:r w:rsidRPr="00306F2B">
        <w:rPr>
          <w:rFonts w:eastAsia="Helvetica Neue"/>
        </w:rPr>
        <w:t>, including sexual and reproductive health, protected in the International Covenant on Civil and Political Rights (ICCPR),</w:t>
      </w:r>
      <w:r w:rsidRPr="00A64CBE">
        <w:rPr>
          <w:rFonts w:eastAsia="Helvetica Neue"/>
          <w:vertAlign w:val="superscript"/>
        </w:rPr>
        <w:endnoteReference w:id="428"/>
      </w:r>
      <w:r w:rsidRPr="00306F2B">
        <w:rPr>
          <w:rFonts w:eastAsia="Helvetica Neue"/>
        </w:rPr>
        <w:t xml:space="preserve"> the International Covenant on Economic, Social, and Cultural Rights (ICESCR),</w:t>
      </w:r>
      <w:r w:rsidRPr="00A64CBE">
        <w:rPr>
          <w:rFonts w:eastAsia="Helvetica Neue"/>
          <w:vertAlign w:val="superscript"/>
        </w:rPr>
        <w:endnoteReference w:id="429"/>
      </w:r>
      <w:r w:rsidRPr="00306F2B">
        <w:rPr>
          <w:rFonts w:eastAsia="Helvetica Neue"/>
        </w:rPr>
        <w:t xml:space="preserve"> the Convention on the Rights of Persons with Disabilities (CRPD),</w:t>
      </w:r>
      <w:r w:rsidRPr="00A64CBE">
        <w:rPr>
          <w:rFonts w:eastAsia="Helvetica Neue"/>
          <w:vertAlign w:val="superscript"/>
        </w:rPr>
        <w:endnoteReference w:id="430"/>
      </w:r>
      <w:r w:rsidRPr="00306F2B">
        <w:rPr>
          <w:rFonts w:eastAsia="Helvetica Neue"/>
        </w:rPr>
        <w:t xml:space="preserve"> the Convention on the Elimination of All Forms of Discrimination against Women (CEDAW),</w:t>
      </w:r>
      <w:r w:rsidRPr="00A64CBE">
        <w:rPr>
          <w:rFonts w:eastAsia="Helvetica Neue"/>
          <w:vertAlign w:val="superscript"/>
        </w:rPr>
        <w:endnoteReference w:id="431"/>
      </w:r>
      <w:r w:rsidRPr="00306F2B">
        <w:rPr>
          <w:rFonts w:eastAsia="Helvetica Neue"/>
        </w:rPr>
        <w:t xml:space="preserve"> and the Convention on the Rights of the Child (CRC).</w:t>
      </w:r>
      <w:r w:rsidRPr="00A64CBE">
        <w:rPr>
          <w:rFonts w:eastAsia="Helvetica Neue"/>
          <w:vertAlign w:val="superscript"/>
        </w:rPr>
        <w:endnoteReference w:id="432"/>
      </w:r>
    </w:p>
    <w:p w14:paraId="5B40DB8B" w14:textId="77777777" w:rsidR="00BC14E7" w:rsidRPr="008B7930" w:rsidRDefault="00BC14E7" w:rsidP="006E6012">
      <w:pPr>
        <w:pStyle w:val="ListParagraph"/>
        <w:numPr>
          <w:ilvl w:val="0"/>
          <w:numId w:val="95"/>
        </w:numPr>
      </w:pPr>
      <w:r w:rsidRPr="00306F2B">
        <w:rPr>
          <w:rFonts w:eastAsia="Helvetica Neue"/>
        </w:rPr>
        <w:t>The rights to privacy, liberty and security of the person, and to decide the number and spacing of children, protected in the ICCPR,</w:t>
      </w:r>
      <w:r w:rsidRPr="00A64CBE">
        <w:rPr>
          <w:rFonts w:eastAsia="Helvetica Neue"/>
          <w:vertAlign w:val="superscript"/>
        </w:rPr>
        <w:endnoteReference w:id="433"/>
      </w:r>
      <w:r w:rsidRPr="00306F2B">
        <w:rPr>
          <w:rFonts w:eastAsia="Helvetica Neue"/>
        </w:rPr>
        <w:t xml:space="preserve"> CRPD,</w:t>
      </w:r>
      <w:r w:rsidRPr="00A64CBE">
        <w:rPr>
          <w:rFonts w:eastAsia="Helvetica Neue"/>
          <w:vertAlign w:val="superscript"/>
        </w:rPr>
        <w:endnoteReference w:id="434"/>
      </w:r>
      <w:r w:rsidRPr="00306F2B">
        <w:rPr>
          <w:rFonts w:eastAsia="Helvetica Neue"/>
        </w:rPr>
        <w:t xml:space="preserve"> CEDAW,</w:t>
      </w:r>
      <w:r w:rsidRPr="00A64CBE">
        <w:rPr>
          <w:rFonts w:eastAsia="Helvetica Neue"/>
          <w:vertAlign w:val="superscript"/>
        </w:rPr>
        <w:endnoteReference w:id="435"/>
      </w:r>
      <w:r w:rsidRPr="00306F2B">
        <w:rPr>
          <w:rFonts w:eastAsia="Helvetica Neue"/>
        </w:rPr>
        <w:t xml:space="preserve"> and the CRC.</w:t>
      </w:r>
      <w:r w:rsidRPr="00A64CBE">
        <w:rPr>
          <w:rFonts w:eastAsia="Helvetica Neue"/>
          <w:vertAlign w:val="superscript"/>
        </w:rPr>
        <w:endnoteReference w:id="436"/>
      </w:r>
      <w:r w:rsidRPr="00306F2B">
        <w:rPr>
          <w:rFonts w:eastAsia="Helvetica Neue"/>
        </w:rPr>
        <w:t xml:space="preserve"> </w:t>
      </w:r>
    </w:p>
    <w:p w14:paraId="623351A4" w14:textId="77777777" w:rsidR="00BC14E7" w:rsidRPr="008B7930" w:rsidRDefault="00BC14E7" w:rsidP="006E6012">
      <w:pPr>
        <w:pStyle w:val="ListParagraph"/>
        <w:numPr>
          <w:ilvl w:val="0"/>
          <w:numId w:val="95"/>
        </w:numPr>
      </w:pPr>
      <w:r w:rsidRPr="00306F2B">
        <w:rPr>
          <w:rFonts w:eastAsia="Helvetica Neue"/>
        </w:rPr>
        <w:t xml:space="preserve">The rights to </w:t>
      </w:r>
      <w:r w:rsidRPr="00306F2B">
        <w:rPr>
          <w:rFonts w:eastAsia="Helvetica Neue"/>
          <w:bCs/>
        </w:rPr>
        <w:t>information</w:t>
      </w:r>
      <w:r w:rsidRPr="00306F2B">
        <w:rPr>
          <w:rFonts w:eastAsia="Helvetica Neue"/>
        </w:rPr>
        <w:t xml:space="preserve"> and </w:t>
      </w:r>
      <w:r w:rsidRPr="00306F2B">
        <w:rPr>
          <w:rFonts w:eastAsia="Helvetica Neue"/>
          <w:bCs/>
        </w:rPr>
        <w:t>education</w:t>
      </w:r>
      <w:r w:rsidRPr="00306F2B">
        <w:rPr>
          <w:rFonts w:eastAsia="Helvetica Neue"/>
        </w:rPr>
        <w:t>, including information and education on sexual and reproductive health, protected in the ICESCR,</w:t>
      </w:r>
      <w:r w:rsidRPr="00A64CBE">
        <w:rPr>
          <w:rFonts w:eastAsia="Helvetica Neue"/>
          <w:vertAlign w:val="superscript"/>
        </w:rPr>
        <w:endnoteReference w:id="437"/>
      </w:r>
      <w:r w:rsidRPr="00306F2B">
        <w:rPr>
          <w:rFonts w:eastAsia="Helvetica Neue"/>
        </w:rPr>
        <w:t xml:space="preserve"> CRPD,</w:t>
      </w:r>
      <w:r w:rsidRPr="00A64CBE">
        <w:rPr>
          <w:rFonts w:eastAsia="Helvetica Neue"/>
          <w:vertAlign w:val="superscript"/>
        </w:rPr>
        <w:endnoteReference w:id="438"/>
      </w:r>
      <w:r w:rsidRPr="00306F2B">
        <w:rPr>
          <w:rFonts w:eastAsia="Helvetica Neue"/>
        </w:rPr>
        <w:t xml:space="preserve"> CEDAW,</w:t>
      </w:r>
      <w:r w:rsidRPr="00A64CBE">
        <w:rPr>
          <w:rFonts w:eastAsia="Helvetica Neue"/>
          <w:vertAlign w:val="superscript"/>
        </w:rPr>
        <w:endnoteReference w:id="439"/>
      </w:r>
      <w:r w:rsidRPr="00306F2B">
        <w:rPr>
          <w:rFonts w:eastAsia="Helvetica Neue"/>
        </w:rPr>
        <w:t xml:space="preserve"> and the CRC.</w:t>
      </w:r>
      <w:r w:rsidRPr="00A64CBE">
        <w:rPr>
          <w:rFonts w:eastAsia="Helvetica Neue"/>
          <w:vertAlign w:val="superscript"/>
        </w:rPr>
        <w:endnoteReference w:id="440"/>
      </w:r>
    </w:p>
    <w:p w14:paraId="65CFDADD" w14:textId="77777777" w:rsidR="00BC14E7" w:rsidRPr="008B7930" w:rsidRDefault="00BC14E7" w:rsidP="006E6012">
      <w:pPr>
        <w:pStyle w:val="ListParagraph"/>
        <w:numPr>
          <w:ilvl w:val="0"/>
          <w:numId w:val="95"/>
        </w:numPr>
      </w:pPr>
      <w:r w:rsidRPr="00306F2B">
        <w:rPr>
          <w:rFonts w:eastAsia="Helvetica Neue"/>
        </w:rPr>
        <w:t xml:space="preserve">The right to </w:t>
      </w:r>
      <w:r w:rsidRPr="00306F2B">
        <w:rPr>
          <w:rFonts w:eastAsia="Helvetica Neue"/>
          <w:bCs/>
        </w:rPr>
        <w:t>equality</w:t>
      </w:r>
      <w:r w:rsidRPr="00306F2B">
        <w:rPr>
          <w:rFonts w:eastAsia="Helvetica Neue"/>
        </w:rPr>
        <w:t xml:space="preserve"> and </w:t>
      </w:r>
      <w:r w:rsidRPr="00306F2B">
        <w:rPr>
          <w:rFonts w:eastAsia="Helvetica Neue"/>
          <w:bCs/>
        </w:rPr>
        <w:t>non-discrimination</w:t>
      </w:r>
      <w:r w:rsidRPr="00306F2B">
        <w:rPr>
          <w:rFonts w:eastAsia="Helvetica Neue"/>
        </w:rPr>
        <w:t>, protected in the ICCPR,</w:t>
      </w:r>
      <w:r w:rsidRPr="00A64CBE">
        <w:rPr>
          <w:rFonts w:eastAsia="Helvetica Neue"/>
          <w:vertAlign w:val="superscript"/>
        </w:rPr>
        <w:endnoteReference w:id="441"/>
      </w:r>
      <w:r w:rsidRPr="00306F2B">
        <w:rPr>
          <w:rFonts w:eastAsia="Helvetica Neue"/>
        </w:rPr>
        <w:t xml:space="preserve"> the ICESCR,</w:t>
      </w:r>
      <w:r w:rsidRPr="00A64CBE">
        <w:rPr>
          <w:rFonts w:eastAsia="Helvetica Neue"/>
          <w:vertAlign w:val="superscript"/>
        </w:rPr>
        <w:endnoteReference w:id="442"/>
      </w:r>
      <w:r w:rsidRPr="00306F2B">
        <w:rPr>
          <w:rFonts w:eastAsia="Helvetica Neue"/>
        </w:rPr>
        <w:t xml:space="preserve"> CRPD,</w:t>
      </w:r>
      <w:r w:rsidRPr="00A64CBE">
        <w:rPr>
          <w:rFonts w:eastAsia="Helvetica Neue"/>
          <w:vertAlign w:val="superscript"/>
        </w:rPr>
        <w:endnoteReference w:id="443"/>
      </w:r>
      <w:r w:rsidRPr="00306F2B">
        <w:rPr>
          <w:rFonts w:eastAsia="Helvetica Neue"/>
        </w:rPr>
        <w:t xml:space="preserve"> CEDAW,</w:t>
      </w:r>
      <w:r w:rsidRPr="00A64CBE">
        <w:rPr>
          <w:rFonts w:eastAsia="Helvetica Neue"/>
          <w:vertAlign w:val="superscript"/>
        </w:rPr>
        <w:endnoteReference w:id="444"/>
      </w:r>
      <w:r w:rsidRPr="00306F2B">
        <w:rPr>
          <w:rFonts w:eastAsia="Helvetica Neue"/>
        </w:rPr>
        <w:t xml:space="preserve"> and the CRC.</w:t>
      </w:r>
      <w:r w:rsidRPr="00A64CBE">
        <w:rPr>
          <w:rFonts w:eastAsia="Helvetica Neue"/>
          <w:vertAlign w:val="superscript"/>
        </w:rPr>
        <w:endnoteReference w:id="445"/>
      </w:r>
      <w:r w:rsidRPr="00306F2B">
        <w:rPr>
          <w:rFonts w:eastAsia="Helvetica Neue"/>
        </w:rPr>
        <w:t xml:space="preserve"> </w:t>
      </w:r>
    </w:p>
    <w:p w14:paraId="720C4BC4" w14:textId="77777777" w:rsidR="00BC14E7" w:rsidRPr="008B7930" w:rsidRDefault="00BC14E7" w:rsidP="006E6012">
      <w:pPr>
        <w:pStyle w:val="ListParagraph"/>
        <w:numPr>
          <w:ilvl w:val="0"/>
          <w:numId w:val="95"/>
        </w:numPr>
      </w:pPr>
      <w:r w:rsidRPr="00306F2B">
        <w:rPr>
          <w:rFonts w:eastAsia="Helvetica Neue"/>
        </w:rPr>
        <w:t xml:space="preserve">The right to </w:t>
      </w:r>
      <w:r w:rsidRPr="00306F2B">
        <w:rPr>
          <w:rFonts w:eastAsia="Helvetica Neue"/>
          <w:bCs/>
        </w:rPr>
        <w:t>enjoy the benefit of scientific progress</w:t>
      </w:r>
      <w:r w:rsidRPr="00306F2B">
        <w:rPr>
          <w:rFonts w:eastAsia="Helvetica Neue"/>
        </w:rPr>
        <w:t>, protected in the ICESCR.</w:t>
      </w:r>
      <w:r w:rsidRPr="00A64CBE">
        <w:rPr>
          <w:rFonts w:eastAsia="Helvetica Neue"/>
          <w:vertAlign w:val="superscript"/>
        </w:rPr>
        <w:endnoteReference w:id="446"/>
      </w:r>
      <w:r w:rsidRPr="00306F2B">
        <w:rPr>
          <w:rFonts w:eastAsia="Helvetica Neue"/>
        </w:rPr>
        <w:t xml:space="preserve"> </w:t>
      </w:r>
    </w:p>
    <w:p w14:paraId="5CC3853A" w14:textId="77777777" w:rsidR="00BC14E7" w:rsidRPr="008B7930" w:rsidRDefault="00BC14E7" w:rsidP="006E6012">
      <w:pPr>
        <w:pStyle w:val="ListParagraph"/>
        <w:numPr>
          <w:ilvl w:val="0"/>
          <w:numId w:val="95"/>
        </w:numPr>
      </w:pPr>
      <w:r w:rsidRPr="00306F2B">
        <w:rPr>
          <w:rFonts w:eastAsia="Helvetica Neue"/>
        </w:rPr>
        <w:t xml:space="preserve">The right to be </w:t>
      </w:r>
      <w:r w:rsidRPr="00306F2B">
        <w:rPr>
          <w:rFonts w:eastAsia="Helvetica Neue"/>
          <w:bCs/>
        </w:rPr>
        <w:t xml:space="preserve">free from torture or cruel, inhuman or degrading treatment or punishment </w:t>
      </w:r>
      <w:r w:rsidRPr="00306F2B">
        <w:rPr>
          <w:rFonts w:eastAsia="Helvetica Neue"/>
        </w:rPr>
        <w:t>which is protected in the ICCPR,</w:t>
      </w:r>
      <w:r w:rsidRPr="00A64CBE">
        <w:rPr>
          <w:rFonts w:eastAsia="Helvetica Neue"/>
          <w:vertAlign w:val="superscript"/>
        </w:rPr>
        <w:endnoteReference w:id="447"/>
      </w:r>
      <w:r w:rsidRPr="00306F2B">
        <w:rPr>
          <w:rFonts w:eastAsia="Helvetica Neue"/>
        </w:rPr>
        <w:t xml:space="preserve"> the Convention against Torture and other Cruel, Inhuman, and Degrading Treatment or Punishment (CAT),</w:t>
      </w:r>
      <w:r w:rsidRPr="00A64CBE">
        <w:rPr>
          <w:rFonts w:eastAsia="Helvetica Neue"/>
          <w:vertAlign w:val="superscript"/>
        </w:rPr>
        <w:endnoteReference w:id="448"/>
      </w:r>
      <w:r w:rsidRPr="00306F2B">
        <w:rPr>
          <w:rFonts w:eastAsia="Helvetica Neue"/>
        </w:rPr>
        <w:t xml:space="preserve"> the CRPD,</w:t>
      </w:r>
      <w:r w:rsidRPr="00A64CBE">
        <w:rPr>
          <w:rFonts w:eastAsia="Helvetica Neue"/>
          <w:vertAlign w:val="superscript"/>
        </w:rPr>
        <w:endnoteReference w:id="449"/>
      </w:r>
      <w:r w:rsidRPr="00306F2B">
        <w:rPr>
          <w:rFonts w:eastAsia="Helvetica Neue"/>
        </w:rPr>
        <w:t xml:space="preserve"> and the CRC.</w:t>
      </w:r>
      <w:r w:rsidRPr="00A64CBE">
        <w:rPr>
          <w:rFonts w:eastAsia="Helvetica Neue"/>
          <w:vertAlign w:val="superscript"/>
        </w:rPr>
        <w:endnoteReference w:id="450"/>
      </w:r>
    </w:p>
    <w:p w14:paraId="53DAF8FB" w14:textId="77777777" w:rsidR="00BC14E7" w:rsidRPr="008B7930" w:rsidRDefault="00BC14E7" w:rsidP="006E6012">
      <w:pPr>
        <w:pStyle w:val="ListParagraph"/>
        <w:numPr>
          <w:ilvl w:val="0"/>
          <w:numId w:val="95"/>
        </w:numPr>
      </w:pPr>
      <w:r w:rsidRPr="00306F2B">
        <w:rPr>
          <w:rFonts w:eastAsia="Helvetica Neue"/>
        </w:rPr>
        <w:t xml:space="preserve">The right to </w:t>
      </w:r>
      <w:r w:rsidRPr="00306F2B">
        <w:rPr>
          <w:rFonts w:eastAsia="Helvetica Neue"/>
          <w:bCs/>
        </w:rPr>
        <w:t>consent to marriage</w:t>
      </w:r>
      <w:r w:rsidRPr="00306F2B">
        <w:rPr>
          <w:rFonts w:eastAsia="Helvetica Neue"/>
        </w:rPr>
        <w:t xml:space="preserve"> and to </w:t>
      </w:r>
      <w:r w:rsidRPr="00306F2B">
        <w:rPr>
          <w:rFonts w:eastAsia="Helvetica Neue"/>
          <w:bCs/>
        </w:rPr>
        <w:t>equal rights within marriage</w:t>
      </w:r>
      <w:r w:rsidRPr="00306F2B">
        <w:rPr>
          <w:rFonts w:eastAsia="Helvetica Neue"/>
        </w:rPr>
        <w:t>, protected in the ICCPR,</w:t>
      </w:r>
      <w:r w:rsidRPr="00A64CBE">
        <w:rPr>
          <w:rFonts w:eastAsia="Helvetica Neue"/>
          <w:vertAlign w:val="superscript"/>
        </w:rPr>
        <w:endnoteReference w:id="451"/>
      </w:r>
      <w:r w:rsidRPr="00306F2B">
        <w:rPr>
          <w:rFonts w:eastAsia="Helvetica Neue"/>
        </w:rPr>
        <w:t xml:space="preserve"> the ICESCR,</w:t>
      </w:r>
      <w:r w:rsidRPr="00A64CBE">
        <w:rPr>
          <w:rFonts w:eastAsia="Helvetica Neue"/>
          <w:vertAlign w:val="superscript"/>
        </w:rPr>
        <w:endnoteReference w:id="452"/>
      </w:r>
      <w:r w:rsidRPr="00306F2B">
        <w:rPr>
          <w:rFonts w:eastAsia="Helvetica Neue"/>
        </w:rPr>
        <w:t xml:space="preserve"> CEDAW,</w:t>
      </w:r>
      <w:r w:rsidRPr="00A64CBE">
        <w:rPr>
          <w:rFonts w:eastAsia="Helvetica Neue"/>
          <w:vertAlign w:val="superscript"/>
        </w:rPr>
        <w:endnoteReference w:id="453"/>
      </w:r>
      <w:r w:rsidRPr="00306F2B">
        <w:rPr>
          <w:rFonts w:eastAsia="Helvetica Neue"/>
        </w:rPr>
        <w:t xml:space="preserve"> and the CRPD.</w:t>
      </w:r>
      <w:r w:rsidRPr="00A64CBE">
        <w:rPr>
          <w:rFonts w:eastAsia="Helvetica Neue"/>
          <w:vertAlign w:val="superscript"/>
        </w:rPr>
        <w:endnoteReference w:id="454"/>
      </w:r>
    </w:p>
    <w:p w14:paraId="128E9924" w14:textId="77777777" w:rsidR="00BC14E7" w:rsidRPr="008B7930" w:rsidRDefault="00BC14E7" w:rsidP="006E6012">
      <w:pPr>
        <w:pStyle w:val="ListParagraph"/>
        <w:numPr>
          <w:ilvl w:val="0"/>
          <w:numId w:val="95"/>
        </w:numPr>
      </w:pPr>
      <w:r w:rsidRPr="00306F2B">
        <w:rPr>
          <w:rFonts w:eastAsia="Helvetica Neue"/>
        </w:rPr>
        <w:t xml:space="preserve">The right to </w:t>
      </w:r>
      <w:r w:rsidRPr="00306F2B">
        <w:rPr>
          <w:rFonts w:eastAsia="Helvetica Neue"/>
          <w:bCs/>
        </w:rPr>
        <w:t>accessibility</w:t>
      </w:r>
      <w:r w:rsidRPr="00306F2B">
        <w:rPr>
          <w:rFonts w:eastAsia="Helvetica Neue"/>
        </w:rPr>
        <w:t>, protected in the CRPD.</w:t>
      </w:r>
      <w:r w:rsidRPr="00A64CBE">
        <w:rPr>
          <w:rFonts w:eastAsia="Helvetica Neue"/>
          <w:vertAlign w:val="superscript"/>
        </w:rPr>
        <w:endnoteReference w:id="455"/>
      </w:r>
    </w:p>
    <w:p w14:paraId="21F61DD4" w14:textId="63C4E849" w:rsidR="00BC14E7" w:rsidRPr="00A92920" w:rsidRDefault="00BC14E7" w:rsidP="006E6012">
      <w:pPr>
        <w:pStyle w:val="ListParagraph"/>
        <w:numPr>
          <w:ilvl w:val="0"/>
          <w:numId w:val="95"/>
        </w:numPr>
      </w:pPr>
      <w:r w:rsidRPr="00306F2B">
        <w:rPr>
          <w:rFonts w:eastAsia="Helvetica Neue"/>
        </w:rPr>
        <w:t xml:space="preserve">The right to </w:t>
      </w:r>
      <w:r w:rsidRPr="00306F2B">
        <w:rPr>
          <w:rFonts w:eastAsia="Helvetica Neue"/>
          <w:bCs/>
        </w:rPr>
        <w:t>protection and safety for persons with disabilities in situations of risk</w:t>
      </w:r>
      <w:r w:rsidRPr="00306F2B">
        <w:rPr>
          <w:rFonts w:eastAsia="Helvetica Neue"/>
        </w:rPr>
        <w:t>, including humanitarian emergencies, protected in the CRPD.</w:t>
      </w:r>
      <w:r w:rsidRPr="00A64CBE">
        <w:rPr>
          <w:rFonts w:eastAsia="Helvetica Neue"/>
          <w:vertAlign w:val="superscript"/>
        </w:rPr>
        <w:endnoteReference w:id="456"/>
      </w:r>
      <w:r w:rsidRPr="00306F2B">
        <w:rPr>
          <w:rFonts w:eastAsia="Helvetica Neue"/>
        </w:rPr>
        <w:t xml:space="preserve">The right to </w:t>
      </w:r>
      <w:r w:rsidRPr="00306F2B">
        <w:rPr>
          <w:rFonts w:eastAsia="Helvetica Neue"/>
          <w:bCs/>
        </w:rPr>
        <w:t>reasonable accommodation</w:t>
      </w:r>
      <w:r w:rsidRPr="00306F2B">
        <w:rPr>
          <w:rFonts w:eastAsia="Helvetica Neue"/>
        </w:rPr>
        <w:t xml:space="preserve"> where needed, enumerated in the CRPD.</w:t>
      </w:r>
      <w:r w:rsidRPr="00A64CBE">
        <w:rPr>
          <w:rFonts w:eastAsia="Helvetica Neue"/>
          <w:vertAlign w:val="superscript"/>
        </w:rPr>
        <w:endnoteReference w:id="457"/>
      </w:r>
      <w:r w:rsidRPr="00306F2B">
        <w:rPr>
          <w:rFonts w:eastAsia="Helvetica Neue"/>
        </w:rPr>
        <w:t xml:space="preserve"> </w:t>
      </w:r>
    </w:p>
    <w:p w14:paraId="79E30216" w14:textId="77777777" w:rsidR="00BC14E7" w:rsidRPr="00A64CBE" w:rsidRDefault="00BC14E7" w:rsidP="00306F2B">
      <w:pPr>
        <w:rPr>
          <w:rFonts w:eastAsia="Helvetica Neue"/>
        </w:rPr>
      </w:pPr>
      <w:r w:rsidRPr="00A64CBE">
        <w:rPr>
          <w:rFonts w:eastAsia="Helvetica Neue"/>
        </w:rPr>
        <w:t xml:space="preserve">A key underpinning of the right to health—and accordingly, the right to sexual and reproductive health—is the obligation that health-related information, goods, and services be </w:t>
      </w:r>
      <w:r w:rsidRPr="008B7930">
        <w:rPr>
          <w:rFonts w:eastAsia="Helvetica Neue"/>
          <w:bCs/>
        </w:rPr>
        <w:t>available</w:t>
      </w:r>
      <w:r w:rsidRPr="00A64CBE">
        <w:rPr>
          <w:rFonts w:eastAsia="Helvetica Neue"/>
        </w:rPr>
        <w:t xml:space="preserve">; </w:t>
      </w:r>
      <w:r w:rsidRPr="008B7930">
        <w:rPr>
          <w:rFonts w:eastAsia="Helvetica Neue"/>
          <w:bCs/>
        </w:rPr>
        <w:t>accessible</w:t>
      </w:r>
      <w:r w:rsidRPr="00A64CBE">
        <w:rPr>
          <w:rFonts w:eastAsia="Helvetica Neue"/>
        </w:rPr>
        <w:t xml:space="preserve">; </w:t>
      </w:r>
      <w:r w:rsidRPr="008B7930">
        <w:rPr>
          <w:rFonts w:eastAsia="Helvetica Neue"/>
          <w:bCs/>
        </w:rPr>
        <w:t>acceptable</w:t>
      </w:r>
      <w:r w:rsidRPr="00A64CBE">
        <w:rPr>
          <w:rFonts w:eastAsia="Helvetica Neue"/>
        </w:rPr>
        <w:t xml:space="preserve">; and of good </w:t>
      </w:r>
      <w:r w:rsidRPr="008B7930">
        <w:rPr>
          <w:rFonts w:eastAsia="Helvetica Neue"/>
          <w:bCs/>
        </w:rPr>
        <w:t>quality</w:t>
      </w:r>
      <w:r w:rsidRPr="00A64CBE">
        <w:rPr>
          <w:rFonts w:eastAsia="Helvetica Neue"/>
        </w:rPr>
        <w:t xml:space="preserve">, collectively known as the </w:t>
      </w:r>
      <w:r w:rsidRPr="008B7930">
        <w:rPr>
          <w:rFonts w:eastAsia="Helvetica Neue"/>
          <w:bCs/>
        </w:rPr>
        <w:t>AAAQ framework</w:t>
      </w:r>
      <w:r w:rsidRPr="00A64CBE">
        <w:rPr>
          <w:rFonts w:eastAsia="Helvetica Neue"/>
        </w:rPr>
        <w:t>.</w:t>
      </w:r>
      <w:r w:rsidRPr="00A64CBE">
        <w:rPr>
          <w:rFonts w:eastAsia="Helvetica Neue"/>
          <w:vertAlign w:val="superscript"/>
        </w:rPr>
        <w:endnoteReference w:id="458"/>
      </w:r>
      <w:r w:rsidRPr="00A64CBE">
        <w:rPr>
          <w:rFonts w:eastAsia="Helvetica Neue"/>
        </w:rPr>
        <w:t xml:space="preserve"> The AAAQ framework</w:t>
      </w:r>
      <w:r w:rsidRPr="00A64CBE">
        <w:rPr>
          <w:rFonts w:eastAsia="Helvetica Neue"/>
          <w:b/>
        </w:rPr>
        <w:t xml:space="preserve"> </w:t>
      </w:r>
      <w:r w:rsidRPr="00A64CBE">
        <w:rPr>
          <w:rFonts w:eastAsia="Helvetica Neue"/>
        </w:rPr>
        <w:t xml:space="preserve">describes the requirements for services that States must abide to fulfil their obligations to respect, protect, and fulfil </w:t>
      </w:r>
      <w:r>
        <w:rPr>
          <w:rFonts w:eastAsia="Helvetica Neue"/>
        </w:rPr>
        <w:t>SRHR</w:t>
      </w:r>
      <w:r w:rsidRPr="00A64CBE">
        <w:rPr>
          <w:rFonts w:eastAsia="Helvetica Neue"/>
        </w:rPr>
        <w:t>.</w:t>
      </w:r>
      <w:r w:rsidRPr="00A64CBE">
        <w:rPr>
          <w:rFonts w:eastAsia="Helvetica Neue"/>
          <w:vertAlign w:val="superscript"/>
        </w:rPr>
        <w:endnoteReference w:id="459"/>
      </w:r>
    </w:p>
    <w:p w14:paraId="26600E15" w14:textId="77777777" w:rsidR="00BC14E7" w:rsidRPr="00A64CBE" w:rsidRDefault="00BC14E7" w:rsidP="00306F2B">
      <w:pPr>
        <w:rPr>
          <w:rFonts w:eastAsia="Helvetica Neue"/>
        </w:rPr>
      </w:pPr>
      <w:r w:rsidRPr="00A64CBE">
        <w:rPr>
          <w:rFonts w:eastAsia="Helvetica Neue"/>
        </w:rPr>
        <w:t>The AAAQ framework requires information, goods and services to be:</w:t>
      </w:r>
      <w:r w:rsidRPr="00A64CBE">
        <w:rPr>
          <w:rFonts w:eastAsia="Helvetica Neue"/>
          <w:vertAlign w:val="superscript"/>
        </w:rPr>
        <w:endnoteReference w:id="460"/>
      </w:r>
      <w:r w:rsidRPr="00A64CBE">
        <w:rPr>
          <w:rFonts w:eastAsia="Helvetica Neue"/>
          <w:vertAlign w:val="superscript"/>
        </w:rPr>
        <w:t xml:space="preserve"> </w:t>
      </w:r>
    </w:p>
    <w:p w14:paraId="4895C74C" w14:textId="77777777" w:rsidR="00BC14E7" w:rsidRPr="00A64CBE" w:rsidRDefault="00BC14E7" w:rsidP="006E6012">
      <w:pPr>
        <w:pStyle w:val="ListParagraph"/>
        <w:numPr>
          <w:ilvl w:val="0"/>
          <w:numId w:val="96"/>
        </w:numPr>
      </w:pPr>
      <w:r w:rsidRPr="00306F2B">
        <w:rPr>
          <w:rFonts w:eastAsia="Helvetica Neue"/>
          <w:b/>
        </w:rPr>
        <w:t>Available</w:t>
      </w:r>
      <w:r w:rsidRPr="00306F2B">
        <w:rPr>
          <w:rFonts w:eastAsia="Helvetica Neue"/>
        </w:rPr>
        <w:t xml:space="preserve">, meaning that information, goods, and services exist in sufficient quantity across a country. This includes having enough trained service providers and appropriate healthcare facilities equitably distributed. </w:t>
      </w:r>
    </w:p>
    <w:p w14:paraId="350B9650" w14:textId="77777777" w:rsidR="00BC14E7" w:rsidRPr="00A64CBE" w:rsidRDefault="00BC14E7" w:rsidP="006E6012">
      <w:pPr>
        <w:pStyle w:val="ListParagraph"/>
        <w:numPr>
          <w:ilvl w:val="0"/>
          <w:numId w:val="96"/>
        </w:numPr>
      </w:pPr>
      <w:r w:rsidRPr="00306F2B">
        <w:rPr>
          <w:rFonts w:eastAsia="Helvetica Neue"/>
          <w:b/>
        </w:rPr>
        <w:t>Accessible</w:t>
      </w:r>
      <w:r w:rsidRPr="00306F2B">
        <w:rPr>
          <w:rFonts w:eastAsia="Helvetica Neue"/>
        </w:rPr>
        <w:t xml:space="preserve">, meaning the information, goods, and services can be used by all persons with disabilities. The requirement of accessibility includes physical accessibility, economic accessibility, and information accessibility. </w:t>
      </w:r>
    </w:p>
    <w:p w14:paraId="18923D87" w14:textId="77777777" w:rsidR="00BC14E7" w:rsidRPr="00306F2B" w:rsidRDefault="00BC14E7" w:rsidP="006E6012">
      <w:pPr>
        <w:pStyle w:val="ListParagraph"/>
        <w:numPr>
          <w:ilvl w:val="0"/>
          <w:numId w:val="96"/>
        </w:numPr>
        <w:rPr>
          <w:b/>
        </w:rPr>
      </w:pPr>
      <w:r w:rsidRPr="00306F2B">
        <w:rPr>
          <w:rFonts w:eastAsia="Helvetica Neue"/>
          <w:b/>
        </w:rPr>
        <w:lastRenderedPageBreak/>
        <w:t>Acceptable</w:t>
      </w:r>
      <w:r w:rsidRPr="00306F2B">
        <w:rPr>
          <w:rFonts w:eastAsia="Helvetica Neue"/>
        </w:rPr>
        <w:t xml:space="preserve">, meaning that health information, goods and services conform to ethical standards, are culturally respectful, sensitive to the gender and disability needs of the individual, and respectful of a person’s privacy and confidentiality. </w:t>
      </w:r>
    </w:p>
    <w:p w14:paraId="3D4F1BF1" w14:textId="77777777" w:rsidR="00BC14E7" w:rsidRPr="00A64CBE" w:rsidRDefault="00BC14E7" w:rsidP="006E6012">
      <w:pPr>
        <w:pStyle w:val="ListParagraph"/>
        <w:numPr>
          <w:ilvl w:val="0"/>
          <w:numId w:val="96"/>
        </w:numPr>
      </w:pPr>
      <w:r w:rsidRPr="00306F2B">
        <w:rPr>
          <w:rFonts w:eastAsia="Helvetica Neue"/>
          <w:b/>
        </w:rPr>
        <w:t>Quality</w:t>
      </w:r>
      <w:r w:rsidRPr="00306F2B">
        <w:rPr>
          <w:rFonts w:eastAsia="Helvetica Neue"/>
        </w:rPr>
        <w:t xml:space="preserve">, meaning that health information, goods and services are scientifically and medically appropriate and delivered by trained personnel in a respectful and rights-based manner. </w:t>
      </w:r>
    </w:p>
    <w:p w14:paraId="6CC09CD9" w14:textId="77777777" w:rsidR="00BC14E7" w:rsidRPr="00A64CBE" w:rsidRDefault="00BC14E7" w:rsidP="00306F2B">
      <w:pPr>
        <w:rPr>
          <w:rFonts w:eastAsia="Helvetica Neue"/>
        </w:rPr>
      </w:pPr>
      <w:r w:rsidRPr="00A64CBE">
        <w:rPr>
          <w:rFonts w:eastAsia="Helvetica Neue"/>
        </w:rPr>
        <w:t xml:space="preserve">Furthermore, the Committee on Economic, Social, and Cultural Rights has identified the following minimum </w:t>
      </w:r>
      <w:r w:rsidRPr="008B7930">
        <w:rPr>
          <w:rFonts w:eastAsia="Helvetica Neue"/>
          <w:bCs/>
        </w:rPr>
        <w:t>core obligations</w:t>
      </w:r>
      <w:r w:rsidRPr="00A64CBE">
        <w:rPr>
          <w:rFonts w:eastAsia="Helvetica Neue"/>
        </w:rPr>
        <w:t>:</w:t>
      </w:r>
    </w:p>
    <w:p w14:paraId="328EA820" w14:textId="77777777" w:rsidR="00BC14E7" w:rsidRPr="00A64CBE" w:rsidRDefault="00BC14E7" w:rsidP="006E6012">
      <w:pPr>
        <w:pStyle w:val="ListParagraph"/>
        <w:numPr>
          <w:ilvl w:val="0"/>
          <w:numId w:val="97"/>
        </w:numPr>
      </w:pPr>
      <w:r w:rsidRPr="004772E6">
        <w:rPr>
          <w:rFonts w:eastAsia="Helvetica Neue"/>
        </w:rPr>
        <w:t>“To repeal or eliminate laws, policies and practices that criminalize, obstruct, or undermine access by individuals or a particular group to sexual and reproductive health facilities, services, goods, and information.</w:t>
      </w:r>
    </w:p>
    <w:p w14:paraId="25D4B27C" w14:textId="77777777" w:rsidR="00BC14E7" w:rsidRPr="00A64CBE" w:rsidRDefault="00BC14E7" w:rsidP="006E6012">
      <w:pPr>
        <w:pStyle w:val="ListParagraph"/>
        <w:numPr>
          <w:ilvl w:val="0"/>
          <w:numId w:val="97"/>
        </w:numPr>
      </w:pPr>
      <w:r w:rsidRPr="004772E6">
        <w:rPr>
          <w:rFonts w:eastAsia="Helvetica Neue"/>
        </w:rPr>
        <w:t>To adopt and implement a national strategy and action plan, with adequate budget allocation, on sexual and reproductive health, which is devised, periodically reviewed, and monitored through a participatory and transparent process, disaggregated by prohibited grounds of discrimination.</w:t>
      </w:r>
    </w:p>
    <w:p w14:paraId="6BD0173C" w14:textId="77777777" w:rsidR="00BC14E7" w:rsidRPr="00A64CBE" w:rsidRDefault="00BC14E7" w:rsidP="006E6012">
      <w:pPr>
        <w:pStyle w:val="ListParagraph"/>
        <w:numPr>
          <w:ilvl w:val="0"/>
          <w:numId w:val="97"/>
        </w:numPr>
      </w:pPr>
      <w:r w:rsidRPr="004772E6">
        <w:rPr>
          <w:rFonts w:eastAsia="Helvetica Neue"/>
        </w:rPr>
        <w:t>To guarantee universal and equitable access to affordable, acceptable and quality sexual and reproductive health services, goods and facilities, in particular for women and disadvantaged and marginalized groups.</w:t>
      </w:r>
    </w:p>
    <w:p w14:paraId="291850FC" w14:textId="77777777" w:rsidR="00BC14E7" w:rsidRPr="00A64CBE" w:rsidRDefault="00BC14E7" w:rsidP="006E6012">
      <w:pPr>
        <w:pStyle w:val="ListParagraph"/>
        <w:numPr>
          <w:ilvl w:val="0"/>
          <w:numId w:val="97"/>
        </w:numPr>
      </w:pPr>
      <w:r w:rsidRPr="004772E6">
        <w:rPr>
          <w:rFonts w:eastAsia="Helvetica Neue"/>
        </w:rPr>
        <w:t>To enact and enforce the legal prohibition of harmful practices and gender</w:t>
      </w:r>
      <w:r w:rsidRPr="004772E6">
        <w:rPr>
          <w:rFonts w:ascii="Cambria Math" w:eastAsia="Helvetica Neue" w:hAnsi="Cambria Math" w:cs="Cambria Math"/>
        </w:rPr>
        <w:t>‑</w:t>
      </w:r>
      <w:r w:rsidRPr="004772E6">
        <w:rPr>
          <w:rFonts w:eastAsia="Helvetica Neue"/>
        </w:rPr>
        <w:t>based violence—including female genital mutilation, child marriage and forced marriage, and domestic and sexual violence, including marital rape—while ensuring privacy, confidentiality, and free, informed, and responsible decision-making, without coercion, discrimination, or fear of violence, in relation to the sexual and reproductive needs and behaviours of individuals.</w:t>
      </w:r>
    </w:p>
    <w:p w14:paraId="24E79483" w14:textId="77777777" w:rsidR="00BC14E7" w:rsidRPr="00A64CBE" w:rsidRDefault="00BC14E7" w:rsidP="006E6012">
      <w:pPr>
        <w:pStyle w:val="ListParagraph"/>
        <w:numPr>
          <w:ilvl w:val="0"/>
          <w:numId w:val="97"/>
        </w:numPr>
      </w:pPr>
      <w:r w:rsidRPr="004772E6">
        <w:rPr>
          <w:rFonts w:eastAsia="Helvetica Neue"/>
        </w:rPr>
        <w:t>To take measures to prevent unsafe abortions and to provide post-abortion care and counselling for those in need.</w:t>
      </w:r>
    </w:p>
    <w:p w14:paraId="63392B92" w14:textId="77777777" w:rsidR="00BC14E7" w:rsidRPr="00A64CBE" w:rsidRDefault="00BC14E7" w:rsidP="006E6012">
      <w:pPr>
        <w:pStyle w:val="ListParagraph"/>
        <w:numPr>
          <w:ilvl w:val="0"/>
          <w:numId w:val="97"/>
        </w:numPr>
      </w:pPr>
      <w:r w:rsidRPr="004772E6">
        <w:rPr>
          <w:rFonts w:eastAsia="Helvetica Neue"/>
        </w:rPr>
        <w:t>To ensure all individuals and groups have access to comprehensive sexuality education and information on sexual and reproductive health that are non-discriminatory, non-biased, and evidence-based, and that take into account the evolving capacities of children and adolescents.</w:t>
      </w:r>
    </w:p>
    <w:p w14:paraId="234972E8" w14:textId="77777777" w:rsidR="00BC14E7" w:rsidRPr="00A64CBE" w:rsidRDefault="00BC14E7" w:rsidP="006E6012">
      <w:pPr>
        <w:pStyle w:val="ListParagraph"/>
        <w:numPr>
          <w:ilvl w:val="0"/>
          <w:numId w:val="97"/>
        </w:numPr>
      </w:pPr>
      <w:r w:rsidRPr="004772E6">
        <w:rPr>
          <w:rFonts w:eastAsia="Helvetica Neue"/>
        </w:rPr>
        <w:t>To provide medicines, equipment and technologies essential to sexual and reproductive health, including those based on the WHO Model List of Essential Medicines.[</w:t>
      </w:r>
      <w:r w:rsidRPr="00A64CBE">
        <w:rPr>
          <w:rFonts w:eastAsia="Helvetica Neue"/>
          <w:vertAlign w:val="superscript"/>
        </w:rPr>
        <w:endnoteReference w:id="461"/>
      </w:r>
      <w:r w:rsidRPr="004772E6">
        <w:rPr>
          <w:rFonts w:eastAsia="Helvetica Neue"/>
        </w:rPr>
        <w:t>]</w:t>
      </w:r>
    </w:p>
    <w:p w14:paraId="53C9F337" w14:textId="77777777" w:rsidR="00BC14E7" w:rsidRPr="00A64CBE" w:rsidRDefault="00BC14E7" w:rsidP="006E6012">
      <w:pPr>
        <w:pStyle w:val="ListParagraph"/>
        <w:numPr>
          <w:ilvl w:val="0"/>
          <w:numId w:val="97"/>
        </w:numPr>
      </w:pPr>
      <w:r w:rsidRPr="004772E6">
        <w:rPr>
          <w:rFonts w:eastAsia="Helvetica Neue"/>
        </w:rPr>
        <w:t>To ensure access to effective and transparent remedies and redress, including administrative and judicial ones, for violations of the right to sexual and reproductive health”.</w:t>
      </w:r>
      <w:r w:rsidRPr="00A64CBE">
        <w:rPr>
          <w:rFonts w:eastAsia="Helvetica Neue"/>
          <w:vertAlign w:val="superscript"/>
        </w:rPr>
        <w:endnoteReference w:id="462"/>
      </w:r>
      <w:r w:rsidRPr="004772E6">
        <w:rPr>
          <w:rFonts w:eastAsia="Helvetica Neue"/>
        </w:rPr>
        <w:t xml:space="preserve"> </w:t>
      </w:r>
    </w:p>
    <w:p w14:paraId="42D768B8" w14:textId="77777777" w:rsidR="00BC14E7" w:rsidRPr="00A64CBE" w:rsidRDefault="00BC14E7" w:rsidP="004772E6">
      <w:pPr>
        <w:rPr>
          <w:rFonts w:eastAsia="Helvetica Neue"/>
        </w:rPr>
      </w:pPr>
      <w:r w:rsidRPr="00A64CBE">
        <w:rPr>
          <w:rFonts w:eastAsia="Helvetica Neue"/>
        </w:rPr>
        <w:t xml:space="preserve">The UN Committee on the Rights of Persons with Disabilities has emphasized that States must ensure that women with disabilities can exercise their legal capacity particularly in regard to decisions relating to their </w:t>
      </w:r>
      <w:r>
        <w:rPr>
          <w:rFonts w:eastAsia="Helvetica Neue"/>
        </w:rPr>
        <w:t>SRHR</w:t>
      </w:r>
      <w:r w:rsidRPr="00A64CBE">
        <w:rPr>
          <w:rFonts w:eastAsia="Helvetica Neue"/>
        </w:rPr>
        <w:t>,</w:t>
      </w:r>
      <w:r w:rsidRPr="00A64CBE">
        <w:rPr>
          <w:rFonts w:eastAsia="Helvetica Neue"/>
          <w:vertAlign w:val="superscript"/>
        </w:rPr>
        <w:endnoteReference w:id="463"/>
      </w:r>
      <w:r w:rsidRPr="00A64CBE">
        <w:rPr>
          <w:rFonts w:eastAsia="Helvetica Neue"/>
        </w:rPr>
        <w:t xml:space="preserve"> including their right to found a family and raise their children.</w:t>
      </w:r>
      <w:r w:rsidRPr="00A64CBE">
        <w:rPr>
          <w:rFonts w:eastAsia="Helvetica Neue"/>
          <w:vertAlign w:val="superscript"/>
        </w:rPr>
        <w:endnoteReference w:id="464"/>
      </w:r>
      <w:r w:rsidRPr="00A64CBE">
        <w:rPr>
          <w:rFonts w:eastAsia="Helvetica Neue"/>
        </w:rPr>
        <w:t xml:space="preserve"> </w:t>
      </w:r>
    </w:p>
    <w:p w14:paraId="139EB10F" w14:textId="77777777" w:rsidR="00BC14E7" w:rsidRPr="00A64CBE" w:rsidRDefault="00BC14E7" w:rsidP="004772E6">
      <w:pPr>
        <w:rPr>
          <w:rFonts w:eastAsia="Helvetica Neue"/>
        </w:rPr>
      </w:pPr>
      <w:r w:rsidRPr="00A64CBE">
        <w:rPr>
          <w:rFonts w:eastAsia="Helvetica Neue"/>
        </w:rPr>
        <w:t xml:space="preserve">With regard to the </w:t>
      </w:r>
      <w:r>
        <w:rPr>
          <w:rFonts w:eastAsia="Helvetica Neue"/>
        </w:rPr>
        <w:t>SRHR</w:t>
      </w:r>
      <w:r w:rsidRPr="00A64CBE">
        <w:rPr>
          <w:rFonts w:eastAsia="Helvetica Neue"/>
        </w:rPr>
        <w:t xml:space="preserve"> of adolescents in particular, the UN Committee on the Rights of the Child urges States to: </w:t>
      </w:r>
    </w:p>
    <w:p w14:paraId="49FB52CE" w14:textId="77777777" w:rsidR="00BC14E7" w:rsidRPr="00A64CBE" w:rsidRDefault="00BC14E7" w:rsidP="006E6012">
      <w:pPr>
        <w:pStyle w:val="ListParagraph"/>
        <w:numPr>
          <w:ilvl w:val="0"/>
          <w:numId w:val="98"/>
        </w:numPr>
      </w:pPr>
      <w:r w:rsidRPr="004772E6">
        <w:rPr>
          <w:rFonts w:eastAsia="Helvetica Neue"/>
        </w:rPr>
        <w:lastRenderedPageBreak/>
        <w:t>Adopt “comprehensive gender and sexuality-sensitive sexual and reproductive health policies for adolescents,” particularly for adolescent girls.</w:t>
      </w:r>
      <w:r w:rsidRPr="00A64CBE">
        <w:rPr>
          <w:rFonts w:eastAsia="Helvetica Neue"/>
          <w:vertAlign w:val="superscript"/>
        </w:rPr>
        <w:endnoteReference w:id="465"/>
      </w:r>
    </w:p>
    <w:p w14:paraId="49A4982E" w14:textId="77777777" w:rsidR="00BC14E7" w:rsidRPr="00A64CBE" w:rsidRDefault="00BC14E7" w:rsidP="006E6012">
      <w:pPr>
        <w:pStyle w:val="ListParagraph"/>
        <w:numPr>
          <w:ilvl w:val="0"/>
          <w:numId w:val="98"/>
        </w:numPr>
      </w:pPr>
      <w:r w:rsidRPr="004772E6">
        <w:rPr>
          <w:rFonts w:eastAsia="Helvetica Neue"/>
        </w:rPr>
        <w:t>Provide all adolescents “access to free, confidential, adolescent-responsive, and non-discriminatory sexual and reproductive health services, information, and education, available both online and in person, including on family planning, contraception, including emergency contraception; prevention; care and treatment of sexually transmitted infections; counselling; pre-conception care; maternal health services; and menstrual hygiene”.</w:t>
      </w:r>
      <w:r w:rsidRPr="00A64CBE">
        <w:rPr>
          <w:rFonts w:eastAsia="Helvetica Neue"/>
          <w:vertAlign w:val="superscript"/>
        </w:rPr>
        <w:endnoteReference w:id="466"/>
      </w:r>
    </w:p>
    <w:p w14:paraId="4A6EF367" w14:textId="77777777" w:rsidR="00BC14E7" w:rsidRPr="00A64CBE" w:rsidRDefault="00BC14E7" w:rsidP="006E6012">
      <w:pPr>
        <w:pStyle w:val="ListParagraph"/>
        <w:numPr>
          <w:ilvl w:val="0"/>
          <w:numId w:val="98"/>
        </w:numPr>
      </w:pPr>
      <w:r w:rsidRPr="004772E6">
        <w:rPr>
          <w:rFonts w:eastAsia="Helvetica Neue"/>
        </w:rPr>
        <w:t>Ensure that adolescents, particularly adolescent girls with disabilities, do not face barriers to “commodities, information and counselling on SRHR, such as requirements for third-party consent or authorization”.</w:t>
      </w:r>
      <w:r w:rsidRPr="00A64CBE">
        <w:rPr>
          <w:rFonts w:eastAsia="Helvetica Neue"/>
          <w:vertAlign w:val="superscript"/>
        </w:rPr>
        <w:endnoteReference w:id="467"/>
      </w:r>
      <w:r w:rsidRPr="004772E6">
        <w:rPr>
          <w:rFonts w:eastAsia="Helvetica Neue"/>
        </w:rPr>
        <w:t> </w:t>
      </w:r>
    </w:p>
    <w:p w14:paraId="1D7C9654" w14:textId="77777777" w:rsidR="00BC14E7" w:rsidRPr="00A64CBE" w:rsidRDefault="00BC14E7" w:rsidP="006E6012">
      <w:pPr>
        <w:pStyle w:val="ListParagraph"/>
        <w:numPr>
          <w:ilvl w:val="0"/>
          <w:numId w:val="98"/>
        </w:numPr>
      </w:pPr>
      <w:r w:rsidRPr="004772E6">
        <w:rPr>
          <w:rFonts w:eastAsia="Helvetica Neue"/>
        </w:rPr>
        <w:t>“Review legislation with a view to guaranteeing the best interests of pregnant adolescents and ensure that their views are always heard and respected”.</w:t>
      </w:r>
      <w:r w:rsidRPr="00A64CBE">
        <w:rPr>
          <w:rFonts w:eastAsia="Helvetica Neue"/>
          <w:vertAlign w:val="superscript"/>
        </w:rPr>
        <w:endnoteReference w:id="468"/>
      </w:r>
    </w:p>
    <w:p w14:paraId="4F9FDB2C" w14:textId="77777777" w:rsidR="00BC14E7" w:rsidRPr="00A64CBE" w:rsidRDefault="00BC14E7" w:rsidP="006E6012">
      <w:pPr>
        <w:pStyle w:val="ListParagraph"/>
        <w:numPr>
          <w:ilvl w:val="0"/>
          <w:numId w:val="98"/>
        </w:numPr>
      </w:pPr>
      <w:r w:rsidRPr="004772E6">
        <w:rPr>
          <w:rFonts w:eastAsia="Helvetica Neue"/>
        </w:rPr>
        <w:t>Offer “[a]</w:t>
      </w:r>
      <w:proofErr w:type="spellStart"/>
      <w:r w:rsidRPr="004772E6">
        <w:rPr>
          <w:rFonts w:eastAsia="Helvetica Neue"/>
        </w:rPr>
        <w:t>ge</w:t>
      </w:r>
      <w:proofErr w:type="spellEnd"/>
      <w:r w:rsidRPr="004772E6">
        <w:rPr>
          <w:rFonts w:eastAsia="Helvetica Neue"/>
        </w:rPr>
        <w:t>-appropriate, comprehensive and inclusive sexual and reproductive health education, based on scientific evidence and human rights standards and developed with adolescents…[as] part of the mandatory school curriculum and [should] reach out-of-school adolescents”. Special attention should be given to topics such as gender equality and preventing early pregnancy and sexually transmitted infections. The UN Committee on the Rights of the Child explicitly notes that, “information should be available in alternative formats to ensure accessibility to all adolescents, especially adolescents with disabilities”.</w:t>
      </w:r>
      <w:r w:rsidRPr="00A64CBE">
        <w:rPr>
          <w:rFonts w:eastAsia="Helvetica Neue"/>
          <w:vertAlign w:val="superscript"/>
        </w:rPr>
        <w:endnoteReference w:id="469"/>
      </w:r>
      <w:r w:rsidRPr="004772E6">
        <w:rPr>
          <w:rFonts w:eastAsia="Helvetica Neue"/>
        </w:rPr>
        <w:t> </w:t>
      </w:r>
    </w:p>
    <w:p w14:paraId="675FF1E6" w14:textId="0617959D" w:rsidR="004772E6" w:rsidRPr="009823CB" w:rsidRDefault="009823CB" w:rsidP="00CE152F">
      <w:pPr>
        <w:pStyle w:val="Heading3"/>
        <w:ind w:hanging="90"/>
        <w:rPr>
          <w:color w:val="C00000"/>
        </w:rPr>
      </w:pPr>
      <w:r w:rsidRPr="00A6697D">
        <w:rPr>
          <w:noProof/>
        </w:rPr>
        <mc:AlternateContent>
          <mc:Choice Requires="wps">
            <w:drawing>
              <wp:inline distT="0" distB="0" distL="0" distR="0" wp14:anchorId="403DADC0" wp14:editId="0D55794B">
                <wp:extent cx="5943600" cy="0"/>
                <wp:effectExtent l="0" t="38100" r="25400" b="38100"/>
                <wp:docPr id="32" name="Straight Connector 32" descr="Text box follows"/>
                <wp:cNvGraphicFramePr/>
                <a:graphic xmlns:a="http://schemas.openxmlformats.org/drawingml/2006/main">
                  <a:graphicData uri="http://schemas.microsoft.com/office/word/2010/wordprocessingShape">
                    <wps:wsp>
                      <wps:cNvCnPr/>
                      <wps:spPr>
                        <a:xfrm>
                          <a:off x="0" y="0"/>
                          <a:ext cx="5943600" cy="0"/>
                        </a:xfrm>
                        <a:prstGeom prst="line">
                          <a:avLst/>
                        </a:prstGeom>
                        <a:ln w="76200">
                          <a:solidFill>
                            <a:srgbClr val="9B4868"/>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4B1C30CA" id="Straight Connector 32" o:spid="_x0000_s1026" alt="Text box foll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" strokecolor="#9b4868" strokeweight="6pt">
                <w10:anchorlock/>
              </v:line>
            </w:pict>
          </mc:Fallback>
        </mc:AlternateContent>
      </w:r>
      <w:r>
        <w:rPr>
          <w:color w:val="C00000"/>
        </w:rPr>
        <w:br/>
      </w:r>
      <w:r w:rsidRPr="009823CB">
        <w:rPr>
          <w:color w:val="C00000"/>
          <w:sz w:val="11"/>
          <w:szCs w:val="11"/>
        </w:rPr>
        <w:br/>
      </w:r>
      <w:r w:rsidR="00BC14E7" w:rsidRPr="007B7686">
        <w:rPr>
          <w:color w:val="9B4868"/>
          <w:sz w:val="32"/>
          <w:szCs w:val="32"/>
        </w:rPr>
        <w:t>Humanitarian Emergencies—Disability and Emergency Risk Management for Health</w:t>
      </w:r>
    </w:p>
    <w:p w14:paraId="43DAFD50" w14:textId="60CB03DC" w:rsidR="00BC14E7" w:rsidRPr="00A64CBE" w:rsidRDefault="00BC14E7" w:rsidP="004772E6">
      <w:pPr>
        <w:rPr>
          <w:rFonts w:eastAsia="Helvetica Neue"/>
        </w:rPr>
      </w:pPr>
      <w:r w:rsidRPr="00A64CBE">
        <w:rPr>
          <w:rFonts w:eastAsia="Helvetica Neue"/>
        </w:rPr>
        <w:t xml:space="preserve">The WHO and partners’ </w:t>
      </w:r>
      <w:r w:rsidRPr="0018197A">
        <w:rPr>
          <w:rFonts w:eastAsia="Helvetica Neue"/>
          <w:b/>
        </w:rPr>
        <w:t>‘</w:t>
      </w:r>
      <w:r w:rsidRPr="00A64CBE">
        <w:rPr>
          <w:rFonts w:eastAsia="Helvetica Neue"/>
          <w:b/>
        </w:rPr>
        <w:t>Guidance Note on Disability and Emergency Risk Management for Health</w:t>
      </w:r>
      <w:r w:rsidRPr="00A64CBE">
        <w:rPr>
          <w:rFonts w:eastAsia="Helvetica Neue"/>
        </w:rPr>
        <w:t>,</w:t>
      </w:r>
      <w:r w:rsidRPr="0018197A">
        <w:rPr>
          <w:rFonts w:eastAsia="Helvetica Neue"/>
          <w:b/>
        </w:rPr>
        <w:t>’</w:t>
      </w:r>
      <w:r w:rsidRPr="00A64CBE">
        <w:rPr>
          <w:rFonts w:eastAsia="Helvetica Neue"/>
          <w:vertAlign w:val="superscript"/>
        </w:rPr>
        <w:endnoteReference w:id="470"/>
      </w:r>
      <w:r w:rsidRPr="00A64CBE">
        <w:rPr>
          <w:rFonts w:eastAsia="Helvetica Neue"/>
        </w:rPr>
        <w:t xml:space="preserve"> enumerates the following principles for designing and implementing all disability-inclusive emergency risk management measures:</w:t>
      </w:r>
    </w:p>
    <w:p w14:paraId="5AD52587" w14:textId="77777777" w:rsidR="00BC14E7" w:rsidRPr="008B7930" w:rsidRDefault="00BC14E7" w:rsidP="006E6012">
      <w:pPr>
        <w:pStyle w:val="ListParagraph"/>
        <w:numPr>
          <w:ilvl w:val="0"/>
          <w:numId w:val="99"/>
        </w:numPr>
      </w:pPr>
      <w:r w:rsidRPr="004772E6">
        <w:rPr>
          <w:rFonts w:eastAsia="Helvetica Neue"/>
        </w:rPr>
        <w:t>Equality and non-discrimination: All measures must be inclusive, particularly for those whose disabilities makes them especially vulnerable.</w:t>
      </w:r>
    </w:p>
    <w:p w14:paraId="3E0D8B34" w14:textId="77777777" w:rsidR="00BC14E7" w:rsidRPr="008B7930" w:rsidRDefault="00BC14E7" w:rsidP="006E6012">
      <w:pPr>
        <w:pStyle w:val="ListParagraph"/>
        <w:numPr>
          <w:ilvl w:val="0"/>
          <w:numId w:val="99"/>
        </w:numPr>
      </w:pPr>
      <w:r w:rsidRPr="004772E6">
        <w:rPr>
          <w:rFonts w:eastAsia="Helvetica Neue"/>
        </w:rPr>
        <w:t xml:space="preserve">Accessibility: Ensure equal access to all physical sites, information, communications, and systems in all areas including urban and rural. </w:t>
      </w:r>
    </w:p>
    <w:p w14:paraId="28A21798" w14:textId="77777777" w:rsidR="00BC14E7" w:rsidRPr="008B7930" w:rsidRDefault="00BC14E7" w:rsidP="006E6012">
      <w:pPr>
        <w:pStyle w:val="ListParagraph"/>
        <w:numPr>
          <w:ilvl w:val="0"/>
          <w:numId w:val="99"/>
        </w:numPr>
      </w:pPr>
      <w:r w:rsidRPr="004772E6">
        <w:rPr>
          <w:rFonts w:eastAsia="Helvetica Neue"/>
        </w:rPr>
        <w:t xml:space="preserve">Participation and dignity: Engage persons with disabilities in the assessment, design, implementation, and monitoring of emergency programmes and enable and respect the participation of persons with disabilities before, during, and after an emergency situation. </w:t>
      </w:r>
    </w:p>
    <w:p w14:paraId="6D6FE38E" w14:textId="77777777" w:rsidR="00BC14E7" w:rsidRPr="008B7930" w:rsidRDefault="00BC14E7" w:rsidP="006E6012">
      <w:pPr>
        <w:pStyle w:val="ListParagraph"/>
        <w:numPr>
          <w:ilvl w:val="0"/>
          <w:numId w:val="99"/>
        </w:numPr>
      </w:pPr>
      <w:r w:rsidRPr="004772E6">
        <w:rPr>
          <w:rFonts w:eastAsia="Helvetica Neue"/>
        </w:rPr>
        <w:t>Resourcefulness and capacity: “Many persons with disabilities have existing resources and capacities to make meaningful contributions to emergency risk management. They also have the right to receive support and assistance to develop the skills, knowledge and capacities required to prepare and protect themselves from hazards, and to maximize their ability for survival and recovery following an emergency”.</w:t>
      </w:r>
      <w:r w:rsidRPr="00A64CBE">
        <w:rPr>
          <w:rFonts w:eastAsia="Helvetica Neue"/>
          <w:vertAlign w:val="superscript"/>
        </w:rPr>
        <w:endnoteReference w:id="471"/>
      </w:r>
    </w:p>
    <w:p w14:paraId="0991741A" w14:textId="56192C2A" w:rsidR="009823CB" w:rsidRDefault="00BC14E7" w:rsidP="009823CB">
      <w:pPr>
        <w:rPr>
          <w:rFonts w:eastAsia="Helvetica Neue"/>
        </w:rPr>
      </w:pPr>
      <w:r w:rsidRPr="00A64CBE">
        <w:rPr>
          <w:rFonts w:eastAsia="Helvetica Neue"/>
        </w:rPr>
        <w:lastRenderedPageBreak/>
        <w:t xml:space="preserve">For additional detailed guidance on practical implementation, refer to the Guidance Note’s annexed guides such as </w:t>
      </w:r>
      <w:r w:rsidRPr="004772E6">
        <w:rPr>
          <w:rFonts w:eastAsia="Helvetica Neue"/>
          <w:b/>
          <w:bCs/>
        </w:rPr>
        <w:t>‘How to make services in health-related sectors inclusive of people with disabilities’</w:t>
      </w:r>
      <w:r w:rsidRPr="00A64CBE">
        <w:rPr>
          <w:rFonts w:eastAsia="Helvetica Neue"/>
          <w:vertAlign w:val="superscript"/>
        </w:rPr>
        <w:endnoteReference w:id="472"/>
      </w:r>
      <w:r w:rsidRPr="00A64CBE">
        <w:rPr>
          <w:rFonts w:eastAsia="Helvetica Neue"/>
        </w:rPr>
        <w:t xml:space="preserve"> and </w:t>
      </w:r>
      <w:r w:rsidRPr="004772E6">
        <w:rPr>
          <w:rFonts w:eastAsia="Helvetica Neue"/>
          <w:b/>
          <w:bCs/>
        </w:rPr>
        <w:t>‘Disability and emergency risk management: checklist of minimum actions required by the health sector’</w:t>
      </w:r>
      <w:r w:rsidRPr="00A64CBE">
        <w:rPr>
          <w:rFonts w:eastAsia="Helvetica Neue"/>
        </w:rPr>
        <w:t>.</w:t>
      </w:r>
      <w:r w:rsidRPr="00A64CBE">
        <w:rPr>
          <w:rFonts w:eastAsia="Helvetica Neue"/>
          <w:vertAlign w:val="superscript"/>
        </w:rPr>
        <w:endnoteReference w:id="473"/>
      </w:r>
      <w:bookmarkStart w:id="23" w:name="SRHRcontracept"/>
    </w:p>
    <w:p w14:paraId="1EC03242" w14:textId="2B59A867" w:rsidR="009823CB" w:rsidRDefault="009823CB" w:rsidP="00CE152F">
      <w:pPr>
        <w:ind w:hanging="90"/>
        <w:rPr>
          <w:rFonts w:eastAsia="Helvetica Neue"/>
        </w:rPr>
      </w:pPr>
      <w:r w:rsidRPr="00A6697D">
        <w:rPr>
          <w:noProof/>
        </w:rPr>
        <mc:AlternateContent>
          <mc:Choice Requires="wps">
            <w:drawing>
              <wp:inline distT="0" distB="0" distL="0" distR="0" wp14:anchorId="299E383C" wp14:editId="231ADC0F">
                <wp:extent cx="5943600" cy="0"/>
                <wp:effectExtent l="0" t="12700" r="25400" b="25400"/>
                <wp:docPr id="34" name="Straight Connector 34" descr="Text box ends"/>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rgbClr val="9B4868"/>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6F2A85AA" id="Straight Connector 34" o:spid="_x0000_s1026" alt="Text box end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" strokecolor="#9b4868" strokeweight="3pt">
                <w10:anchorlock/>
              </v:line>
            </w:pict>
          </mc:Fallback>
        </mc:AlternateContent>
      </w:r>
    </w:p>
    <w:p w14:paraId="010BF4D2" w14:textId="78CDC87E" w:rsidR="00BC14E7" w:rsidRPr="009823CB" w:rsidRDefault="00BC14E7" w:rsidP="003812DB">
      <w:pPr>
        <w:pStyle w:val="Heading2"/>
        <w:spacing w:before="480"/>
        <w:ind w:left="634" w:hanging="634"/>
      </w:pPr>
      <w:r w:rsidRPr="00A64CBE">
        <w:t>4.3.</w:t>
      </w:r>
      <w:bookmarkEnd w:id="23"/>
      <w:r w:rsidR="005B7432">
        <w:tab/>
      </w:r>
      <w:r w:rsidRPr="00A64CBE">
        <w:t xml:space="preserve">Contraceptive Information, Goods, and Services for Women and Young </w:t>
      </w:r>
      <w:r>
        <w:t>Persons</w:t>
      </w:r>
      <w:r w:rsidRPr="00A64CBE">
        <w:t xml:space="preserve"> with Disabilities</w:t>
      </w:r>
    </w:p>
    <w:p w14:paraId="385B2F2D" w14:textId="185B51A5" w:rsidR="00BC14E7" w:rsidRPr="004772E6" w:rsidRDefault="00BC14E7" w:rsidP="004772E6">
      <w:pPr>
        <w:pStyle w:val="Heading3"/>
      </w:pPr>
      <w:r w:rsidRPr="00A64CBE">
        <w:t>4.3.1</w:t>
      </w:r>
      <w:r w:rsidRPr="00A64CBE">
        <w:tab/>
        <w:t xml:space="preserve">Issue Overview </w:t>
      </w:r>
    </w:p>
    <w:p w14:paraId="1D2DAFC2" w14:textId="77777777" w:rsidR="00BC14E7" w:rsidRPr="00A64CBE" w:rsidRDefault="00BC14E7" w:rsidP="004772E6">
      <w:pPr>
        <w:rPr>
          <w:rFonts w:eastAsia="Helvetica Neue"/>
        </w:rPr>
      </w:pPr>
      <w:r w:rsidRPr="00A64CBE">
        <w:rPr>
          <w:rFonts w:eastAsia="Helvetica Neue"/>
        </w:rPr>
        <w:t xml:space="preserve">Access to contraceptive information, goods, and services is one of the fundamental pillars of SRHR services. Contraceptive access helps women and young </w:t>
      </w:r>
      <w:r>
        <w:rPr>
          <w:rFonts w:eastAsia="Helvetica Neue"/>
        </w:rPr>
        <w:t>persons</w:t>
      </w:r>
      <w:r w:rsidRPr="00A64CBE">
        <w:rPr>
          <w:rFonts w:eastAsia="Helvetica Neue"/>
        </w:rPr>
        <w:t xml:space="preserve"> with disabilities decide whether and when to have children, prevent unintended pregnancies (and the attendant risks of maternal/newborn mortality or morbidity), and protect against STIs, including HIV. Women and young </w:t>
      </w:r>
      <w:r>
        <w:rPr>
          <w:rFonts w:eastAsia="Helvetica Neue"/>
        </w:rPr>
        <w:t>persons</w:t>
      </w:r>
      <w:r w:rsidRPr="00A64CBE">
        <w:rPr>
          <w:rFonts w:eastAsia="Helvetica Neue"/>
        </w:rPr>
        <w:t xml:space="preserve"> with disabilities have a right to equal access to voluntary family planning and modern contraceptive methods, as well as counselling on how to safely and effectively use them. This includes access and training on how to use emergency contraceptives. </w:t>
      </w:r>
      <w:r w:rsidRPr="008B7930">
        <w:rPr>
          <w:rFonts w:eastAsia="Helvetica Neue"/>
        </w:rPr>
        <w:t>The full range of modern contraceptive methods to which persons with disabilities should have access includes: barrier methods (male and female condoms, diaphragms), short-acting hormonal methods (the pill, injectables, the vaginal ring), long acting reversible methods (implants, intrauterine devices), permanent methods (male and female voluntary sterilization), and emergency contraception.</w:t>
      </w:r>
      <w:r w:rsidRPr="008B7930">
        <w:rPr>
          <w:rFonts w:eastAsia="Helvetica Neue"/>
          <w:vertAlign w:val="superscript"/>
        </w:rPr>
        <w:endnoteReference w:id="474"/>
      </w:r>
      <w:r w:rsidRPr="00A64CBE">
        <w:rPr>
          <w:rFonts w:eastAsia="Helvetica Neue"/>
        </w:rPr>
        <w:t xml:space="preserve"> Women and young </w:t>
      </w:r>
      <w:r>
        <w:rPr>
          <w:rFonts w:eastAsia="Helvetica Neue"/>
        </w:rPr>
        <w:t>persons</w:t>
      </w:r>
      <w:r w:rsidRPr="00A64CBE">
        <w:rPr>
          <w:rFonts w:eastAsia="Helvetica Neue"/>
        </w:rPr>
        <w:t xml:space="preserve"> with disabilities must also have access to accurate, evidence-based information about family planning methods, including </w:t>
      </w:r>
      <w:r>
        <w:rPr>
          <w:rFonts w:eastAsia="Helvetica Neue"/>
        </w:rPr>
        <w:t xml:space="preserve">the </w:t>
      </w:r>
      <w:r w:rsidRPr="00A64CBE">
        <w:rPr>
          <w:rFonts w:eastAsia="Helvetica Neue"/>
        </w:rPr>
        <w:t>basal temperature method, two day method, and standard day method.</w:t>
      </w:r>
      <w:r w:rsidRPr="00B1674C">
        <w:rPr>
          <w:rStyle w:val="EndnoteReference"/>
          <w:rFonts w:eastAsia="Helvetica Neue"/>
        </w:rPr>
        <w:endnoteReference w:id="475"/>
      </w:r>
      <w:r w:rsidRPr="00A64CBE">
        <w:rPr>
          <w:rFonts w:eastAsia="Helvetica Neue"/>
        </w:rPr>
        <w:t xml:space="preserve"> Women and young </w:t>
      </w:r>
      <w:r>
        <w:rPr>
          <w:rFonts w:eastAsia="Helvetica Neue"/>
        </w:rPr>
        <w:t>persons</w:t>
      </w:r>
      <w:r w:rsidRPr="00A64CBE">
        <w:rPr>
          <w:rFonts w:eastAsia="Helvetica Neue"/>
        </w:rPr>
        <w:t xml:space="preserve"> with disabilities must be allowed and supported to make their own decisions around whether to use contraceptives and which method is best for them. No individual with a disability should undergo sterilization or be given contraception without their voluntary and fully informed consent. Safeguarding women and young </w:t>
      </w:r>
      <w:r>
        <w:rPr>
          <w:rFonts w:eastAsia="Helvetica Neue"/>
        </w:rPr>
        <w:t>persons</w:t>
      </w:r>
      <w:r w:rsidRPr="00A64CBE">
        <w:rPr>
          <w:rFonts w:eastAsia="Helvetica Neue"/>
        </w:rPr>
        <w:t xml:space="preserve"> with disabilities from forced contraception, including forced sterilization, is essential to preserving their right to be free from torture or cruel, inhuman or degrading treatment or punishment.</w:t>
      </w:r>
    </w:p>
    <w:p w14:paraId="3B79E90C" w14:textId="26E38CC1" w:rsidR="004772E6" w:rsidRDefault="00A34370" w:rsidP="00CE152F">
      <w:pPr>
        <w:pStyle w:val="Heading3"/>
        <w:spacing w:line="360" w:lineRule="auto"/>
        <w:ind w:hanging="90"/>
      </w:pPr>
      <w:r w:rsidRPr="00A6697D">
        <w:rPr>
          <w:noProof/>
        </w:rPr>
        <mc:AlternateContent>
          <mc:Choice Requires="wps">
            <w:drawing>
              <wp:inline distT="0" distB="0" distL="0" distR="0" wp14:anchorId="337E6589" wp14:editId="22014C94">
                <wp:extent cx="5943600" cy="0"/>
                <wp:effectExtent l="0" t="38100" r="25400" b="38100"/>
                <wp:docPr id="57" name="Straight Connector 57" descr="Text box follows"/>
                <wp:cNvGraphicFramePr/>
                <a:graphic xmlns:a="http://schemas.openxmlformats.org/drawingml/2006/main">
                  <a:graphicData uri="http://schemas.microsoft.com/office/word/2010/wordprocessingShape">
                    <wps:wsp>
                      <wps:cNvCnPr/>
                      <wps:spPr>
                        <a:xfrm>
                          <a:off x="0" y="0"/>
                          <a:ext cx="5943600" cy="0"/>
                        </a:xfrm>
                        <a:prstGeom prst="line">
                          <a:avLst/>
                        </a:prstGeom>
                        <a:ln w="76200">
                          <a:solidFill>
                            <a:schemeClr val="accent6">
                              <a:lumMod val="75000"/>
                            </a:schemeClr>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20173E7C" id="Straight Connector 57" o:spid="_x0000_s1026" alt="Text box foll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" strokecolor="#e36c0a [2409]" strokeweight="6pt">
                <w10:anchorlock/>
              </v:line>
            </w:pict>
          </mc:Fallback>
        </mc:AlternateContent>
      </w:r>
      <w:r w:rsidR="00CE152F">
        <w:rPr>
          <w:color w:val="E36C0A" w:themeColor="accent6" w:themeShade="BF"/>
          <w:sz w:val="32"/>
          <w:szCs w:val="32"/>
        </w:rPr>
        <w:br/>
      </w:r>
      <w:r w:rsidR="00BC14E7" w:rsidRPr="00CE152F">
        <w:rPr>
          <w:color w:val="E36C0A" w:themeColor="accent6" w:themeShade="BF"/>
          <w:sz w:val="32"/>
          <w:szCs w:val="32"/>
        </w:rPr>
        <w:t>Spotlight Issue—Engaging Men in Family Planning</w:t>
      </w:r>
    </w:p>
    <w:p w14:paraId="65A9A0E4" w14:textId="15A6CFAD" w:rsidR="00BC14E7" w:rsidRPr="00A64CBE" w:rsidRDefault="00BC14E7" w:rsidP="005B7432">
      <w:pPr>
        <w:rPr>
          <w:rFonts w:eastAsia="Helvetica Neue"/>
          <w:b/>
        </w:rPr>
      </w:pPr>
      <w:r w:rsidRPr="00A64CBE">
        <w:rPr>
          <w:rFonts w:eastAsia="Helvetica Neue"/>
        </w:rPr>
        <w:t xml:space="preserve">Engaging men as partners and to address their own SRHR needs is a critical part of improving </w:t>
      </w:r>
      <w:r>
        <w:rPr>
          <w:rFonts w:eastAsia="Helvetica Neue"/>
        </w:rPr>
        <w:t>SRHR</w:t>
      </w:r>
      <w:r w:rsidRPr="00A64CBE">
        <w:rPr>
          <w:rFonts w:eastAsia="Helvetica Neue"/>
        </w:rPr>
        <w:t xml:space="preserve">. With respect to contraceptive information, goods, and services, it is essential that men, including young men and boys with disabilities, be informed about a range of contraceptive methods and how to use them, the importance of condoms to prevent transmission of sexually transmitted infections and unintended pregnancy, and the importance of consistent contraceptive use. Young men and boys with disabilities need to be able to discuss a range of issues around contraceptive use with their sexual partners, including contraceptive methods </w:t>
      </w:r>
      <w:r w:rsidRPr="00A64CBE">
        <w:rPr>
          <w:rFonts w:eastAsia="Helvetica Neue"/>
        </w:rPr>
        <w:lastRenderedPageBreak/>
        <w:t>and cost-sharing to ensure that the economic burden of contraceptive use does not always fall on female sexual partners. Service providers must also be conscious of the form their programming takes and ensure that it is not reliant on harmful gender stereotypes. Rather, programmes should be gender-sensitive or, better yet, gender-transformative. A gender-transformative programme promotes equitable gender-norms, such as a “condom campaign which promotes gender-equal relationships with shared decision-making and respect along with discussion around sexual and reproductive health and fertility intentions</w:t>
      </w:r>
      <w:r>
        <w:rPr>
          <w:rFonts w:eastAsia="Helvetica Neue"/>
        </w:rPr>
        <w:t>.</w:t>
      </w:r>
      <w:r w:rsidRPr="00A64CBE">
        <w:rPr>
          <w:rFonts w:eastAsia="Helvetica Neue"/>
        </w:rPr>
        <w:t>”</w:t>
      </w:r>
      <w:r w:rsidRPr="00A64CBE">
        <w:rPr>
          <w:rFonts w:eastAsia="Helvetica Neue"/>
          <w:vertAlign w:val="superscript"/>
        </w:rPr>
        <w:endnoteReference w:id="476"/>
      </w:r>
      <w:r w:rsidRPr="00A64CBE">
        <w:rPr>
          <w:rFonts w:eastAsia="Helvetica Neue"/>
        </w:rPr>
        <w:t xml:space="preserve"> </w:t>
      </w:r>
    </w:p>
    <w:p w14:paraId="75AE7D4D" w14:textId="2E7A487D" w:rsidR="00A34370" w:rsidRPr="004772E6" w:rsidRDefault="00A34370" w:rsidP="00CE152F">
      <w:pPr>
        <w:ind w:hanging="90"/>
      </w:pPr>
      <w:r w:rsidRPr="00A6697D">
        <w:rPr>
          <w:noProof/>
        </w:rPr>
        <mc:AlternateContent>
          <mc:Choice Requires="wps">
            <w:drawing>
              <wp:inline distT="0" distB="0" distL="0" distR="0" wp14:anchorId="243BA772" wp14:editId="57D59A8D">
                <wp:extent cx="5943600" cy="0"/>
                <wp:effectExtent l="0" t="12700" r="25400" b="25400"/>
                <wp:docPr id="58" name="Straight Connector 58" descr="Text box ends"/>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chemeClr val="accent6">
                              <a:lumMod val="75000"/>
                            </a:schemeClr>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1A4B0F25" id="Straight Connector 58" o:spid="_x0000_s1026" alt="Text box end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" strokecolor="#e36c0a [2409]" strokeweight="3pt">
                <w10:anchorlock/>
              </v:line>
            </w:pict>
          </mc:Fallback>
        </mc:AlternateContent>
      </w:r>
    </w:p>
    <w:p w14:paraId="11E57585" w14:textId="5468507D" w:rsidR="00BC14E7" w:rsidRPr="00A64CBE" w:rsidRDefault="00BC14E7" w:rsidP="00EF7A4E">
      <w:pPr>
        <w:pStyle w:val="Heading3"/>
        <w:spacing w:before="480"/>
        <w:ind w:left="691" w:hanging="691"/>
      </w:pPr>
      <w:r w:rsidRPr="00A64CBE">
        <w:t>4.3.2</w:t>
      </w:r>
      <w:r w:rsidR="005B7432">
        <w:t xml:space="preserve"> </w:t>
      </w:r>
      <w:r w:rsidRPr="00A64CBE">
        <w:t xml:space="preserve">Guidelines for Providing Rights-Based Contraceptive Information, Goods, and Services for Women and Young </w:t>
      </w:r>
      <w:r>
        <w:t>Persons</w:t>
      </w:r>
      <w:r w:rsidRPr="00A64CBE">
        <w:t xml:space="preserve"> with Disabilities</w:t>
      </w:r>
    </w:p>
    <w:p w14:paraId="02D33519" w14:textId="7A0A08DD" w:rsidR="00BC14E7" w:rsidRPr="00A92920" w:rsidRDefault="00BC14E7" w:rsidP="00A92920">
      <w:pPr>
        <w:rPr>
          <w:rFonts w:eastAsia="Helvetica Neue"/>
        </w:rPr>
      </w:pPr>
      <w:r w:rsidRPr="00A64CBE">
        <w:rPr>
          <w:rFonts w:eastAsia="Helvetica Neue"/>
        </w:rPr>
        <w:t xml:space="preserve">The key considerations enumerated here identify common barriers that women and young </w:t>
      </w:r>
      <w:r>
        <w:rPr>
          <w:rFonts w:eastAsia="Helvetica Neue"/>
        </w:rPr>
        <w:t>persons</w:t>
      </w:r>
      <w:r w:rsidRPr="00A64CBE">
        <w:rPr>
          <w:rFonts w:eastAsia="Helvetica Neue"/>
        </w:rPr>
        <w:t xml:space="preserve"> with disabilities face in accessing contraceptive services. The guidelines for action offer guidance for ensuring that rights-based contraceptive services are available, are tailored to the specific needs of women and young </w:t>
      </w:r>
      <w:r>
        <w:rPr>
          <w:rFonts w:eastAsia="Helvetica Neue"/>
        </w:rPr>
        <w:t>persons</w:t>
      </w:r>
      <w:r w:rsidRPr="00A64CBE">
        <w:rPr>
          <w:rFonts w:eastAsia="Helvetica Neue"/>
        </w:rPr>
        <w:t xml:space="preserve"> with disabilities, are accessible, are acceptable, and are of good quality. These guidelines for action build on the Foundational Guidelines for Action identified </w:t>
      </w:r>
      <w:r w:rsidRPr="007A4D05">
        <w:rPr>
          <w:rFonts w:eastAsia="Helvetica Neue"/>
        </w:rPr>
        <w:t xml:space="preserve">in </w:t>
      </w:r>
      <w:r w:rsidRPr="007A4D05">
        <w:rPr>
          <w:rFonts w:eastAsia="Helvetica Neue"/>
          <w:b/>
        </w:rPr>
        <w:t>Chapter 2</w:t>
      </w:r>
      <w:r w:rsidRPr="007A4D05">
        <w:rPr>
          <w:rFonts w:eastAsia="Helvetica Neue"/>
        </w:rPr>
        <w:t xml:space="preserve"> and</w:t>
      </w:r>
      <w:r w:rsidRPr="00A64CBE">
        <w:rPr>
          <w:rFonts w:eastAsia="Helvetica Neue"/>
        </w:rPr>
        <w:t xml:space="preserve"> are not exhaustive but provide a starting point for developing disability-inclusive services and programmes. </w:t>
      </w:r>
    </w:p>
    <w:p w14:paraId="7BA8A46B" w14:textId="77777777" w:rsidR="00BC14E7" w:rsidRPr="00A64CBE" w:rsidRDefault="00BC14E7" w:rsidP="004772E6">
      <w:pPr>
        <w:rPr>
          <w:rFonts w:eastAsia="Helvetica Neue"/>
        </w:rPr>
      </w:pPr>
      <w:r w:rsidRPr="00A64CBE">
        <w:rPr>
          <w:rFonts w:eastAsia="Helvetica Neue"/>
        </w:rPr>
        <w:t xml:space="preserve">The UNFPA and WHO </w:t>
      </w:r>
      <w:r w:rsidRPr="004772E6">
        <w:rPr>
          <w:rStyle w:val="Bold"/>
        </w:rPr>
        <w:t>‘Ensuring Human Rights within Contraceptive Service Delivery: Implementation Guide’</w:t>
      </w:r>
      <w:r w:rsidRPr="00A64CBE">
        <w:rPr>
          <w:rFonts w:eastAsia="Helvetica Neue"/>
          <w:vertAlign w:val="superscript"/>
        </w:rPr>
        <w:endnoteReference w:id="477"/>
      </w:r>
      <w:r w:rsidRPr="00A64CBE">
        <w:rPr>
          <w:rFonts w:eastAsia="Helvetica Neue"/>
        </w:rPr>
        <w:t xml:space="preserve"> and a companion checklist from WHO, </w:t>
      </w:r>
      <w:r w:rsidRPr="0018197A">
        <w:rPr>
          <w:rFonts w:eastAsia="Helvetica Neue"/>
        </w:rPr>
        <w:t>‘</w:t>
      </w:r>
      <w:r w:rsidRPr="004772E6">
        <w:rPr>
          <w:rStyle w:val="Bold"/>
        </w:rPr>
        <w:t>Quality of Care in Contraceptive Information and Services, Based on Human Rights Standards: A Checklist for Health Care Providers,’</w:t>
      </w:r>
      <w:r w:rsidRPr="004772E6">
        <w:rPr>
          <w:rStyle w:val="EndnoteReference"/>
          <w:rFonts w:eastAsia="Helvetica Neue"/>
        </w:rPr>
        <w:endnoteReference w:id="478"/>
      </w:r>
      <w:r w:rsidRPr="00A64CBE">
        <w:rPr>
          <w:rFonts w:eastAsia="Helvetica Neue"/>
        </w:rPr>
        <w:t xml:space="preserve"> offer important guidance on implementation of rights-based contraceptive service delivery. Service providers should engage the expertise of women and young </w:t>
      </w:r>
      <w:r>
        <w:rPr>
          <w:rFonts w:eastAsia="Helvetica Neue"/>
        </w:rPr>
        <w:t>persons</w:t>
      </w:r>
      <w:r w:rsidRPr="00A64CBE">
        <w:rPr>
          <w:rFonts w:eastAsia="Helvetica Neue"/>
        </w:rPr>
        <w:t xml:space="preserve"> with various disabilities to develop and monitor programmes to implement the guidance in an accessible and disability-sensitive manner. The action points in the following section are drawn from the generalized action points contained in the Guide.</w:t>
      </w:r>
    </w:p>
    <w:p w14:paraId="38FBA451" w14:textId="77777777" w:rsidR="00BC14E7" w:rsidRPr="00A64CBE" w:rsidRDefault="00BC14E7" w:rsidP="003C6133">
      <w:pPr>
        <w:pStyle w:val="Heading4"/>
        <w:spacing w:before="480"/>
        <w:rPr>
          <w:rFonts w:eastAsia="Helvetica Neue"/>
        </w:rPr>
      </w:pPr>
      <w:r w:rsidRPr="00A64CBE">
        <w:rPr>
          <w:rFonts w:eastAsia="Helvetica Neue"/>
        </w:rPr>
        <w:t>Key Considerations</w:t>
      </w:r>
    </w:p>
    <w:p w14:paraId="37BAAB81" w14:textId="15CD771E" w:rsidR="00A92920" w:rsidRPr="00A92920" w:rsidRDefault="00BC14E7" w:rsidP="00EF7A4E">
      <w:pPr>
        <w:pStyle w:val="ListParagraph"/>
        <w:numPr>
          <w:ilvl w:val="0"/>
          <w:numId w:val="123"/>
        </w:numPr>
        <w:spacing w:before="160"/>
        <w:rPr>
          <w:b/>
        </w:rPr>
      </w:pPr>
      <w:r w:rsidRPr="00A92920">
        <w:rPr>
          <w:rFonts w:eastAsia="Helvetica Neue"/>
        </w:rPr>
        <w:t xml:space="preserve">Laws and policies that allow parents, guardians, courts, and others to substitute their decision for that of a woman or young person with a disability regarding surgical sterilization, contraceptive use, or use of hormone therapies to regulate fertility, growth, or menstruation, violate the rights of women and young </w:t>
      </w:r>
      <w:r w:rsidR="00023F7F">
        <w:rPr>
          <w:rFonts w:eastAsia="Helvetica Neue"/>
        </w:rPr>
        <w:t>person</w:t>
      </w:r>
      <w:r w:rsidR="00023F7F" w:rsidRPr="00A92920">
        <w:rPr>
          <w:rFonts w:eastAsia="Helvetica Neue"/>
        </w:rPr>
        <w:t xml:space="preserve"> </w:t>
      </w:r>
      <w:r w:rsidRPr="00A92920">
        <w:rPr>
          <w:rFonts w:eastAsia="Helvetica Neue"/>
        </w:rPr>
        <w:t>with disabilities and carry harmful physical, psychological, and emotional consequences. Forced sterilization is widely considered to be a form of torture or ill-treatment.</w:t>
      </w:r>
      <w:r w:rsidRPr="00A64CBE">
        <w:rPr>
          <w:rFonts w:eastAsia="Helvetica Neue"/>
          <w:vertAlign w:val="superscript"/>
        </w:rPr>
        <w:endnoteReference w:id="479"/>
      </w:r>
      <w:r w:rsidRPr="00A92920">
        <w:rPr>
          <w:rFonts w:eastAsia="Helvetica Neue"/>
        </w:rPr>
        <w:t xml:space="preserve"> </w:t>
      </w:r>
    </w:p>
    <w:p w14:paraId="3DC3D865" w14:textId="77777777" w:rsidR="00A92920" w:rsidRPr="00A92920" w:rsidRDefault="00BC14E7" w:rsidP="00EF7A4E">
      <w:pPr>
        <w:pStyle w:val="ListParagraph"/>
        <w:numPr>
          <w:ilvl w:val="0"/>
          <w:numId w:val="123"/>
        </w:numPr>
        <w:spacing w:before="160"/>
        <w:rPr>
          <w:b/>
        </w:rPr>
      </w:pPr>
      <w:r w:rsidRPr="00A92920">
        <w:rPr>
          <w:rFonts w:eastAsia="Helvetica Neue"/>
        </w:rPr>
        <w:t>Substituted decision-making, paternalism, biased counselling, power dynamics, and lack of confidentiality in the provision of care can lead to forced contraception, including forced sterilization, of women and young persons with disabilities, with attendant consequences to their physical and mental health and well-being. Complaints about violations are regularly not taken seriously,</w:t>
      </w:r>
      <w:r w:rsidRPr="00A64CBE">
        <w:rPr>
          <w:rFonts w:eastAsia="Helvetica Neue"/>
          <w:vertAlign w:val="superscript"/>
        </w:rPr>
        <w:endnoteReference w:id="480"/>
      </w:r>
      <w:r w:rsidRPr="00A92920">
        <w:rPr>
          <w:rFonts w:eastAsia="Helvetica Neue"/>
        </w:rPr>
        <w:t xml:space="preserve"> and there are rarely safe mechanisms for individuals to register a complaint. </w:t>
      </w:r>
    </w:p>
    <w:p w14:paraId="0D11E97C" w14:textId="77777777" w:rsidR="00A92920" w:rsidRPr="00A92920" w:rsidRDefault="00BC14E7" w:rsidP="00EF7A4E">
      <w:pPr>
        <w:pStyle w:val="ListParagraph"/>
        <w:numPr>
          <w:ilvl w:val="0"/>
          <w:numId w:val="123"/>
        </w:numPr>
        <w:spacing w:before="160"/>
        <w:rPr>
          <w:b/>
        </w:rPr>
      </w:pPr>
      <w:r w:rsidRPr="00A92920">
        <w:rPr>
          <w:rFonts w:eastAsia="Helvetica Neue"/>
        </w:rPr>
        <w:lastRenderedPageBreak/>
        <w:t xml:space="preserve">Laws and policies that limit access to contraception, such as laws requiring parental or spousal notification or authorization or laws prohibiting the distribution of emergency contraception, create enormous barriers to contraceptive access for women and young persons, and such restrictions can exacerbate the barriers that women and young persons with disabilities face in accessing contraceptive information, goods, and services. Negative attitudes and stereotypes about the sexuality of women and young persons with disabilities, including stereotypes that individuals with disabilities are either hypersexual or asexual, can prevent persons with disabilities from receiving quality and appropriate contraceptive information, goods, and services. Service providers may neglect to share information about contraceptive use and methods with women and young persons with disabilities. </w:t>
      </w:r>
    </w:p>
    <w:p w14:paraId="491E4875" w14:textId="77777777" w:rsidR="00A92920" w:rsidRPr="00A92920" w:rsidRDefault="00BC14E7" w:rsidP="00EF7A4E">
      <w:pPr>
        <w:pStyle w:val="ListParagraph"/>
        <w:numPr>
          <w:ilvl w:val="0"/>
          <w:numId w:val="123"/>
        </w:numPr>
        <w:spacing w:before="160"/>
        <w:rPr>
          <w:b/>
        </w:rPr>
      </w:pPr>
      <w:r w:rsidRPr="00A92920">
        <w:rPr>
          <w:rFonts w:eastAsia="Helvetica Neue"/>
        </w:rPr>
        <w:t>Protocols and guidelines for emergency contraception seldom include provisions for ensuring availability to women and adolescent girls with disabilities, which can place them at increased risk of unintended pregnancy.</w:t>
      </w:r>
    </w:p>
    <w:p w14:paraId="065308EE" w14:textId="065F7B9D" w:rsidR="00A92920" w:rsidRPr="00A92920" w:rsidRDefault="00BC14E7" w:rsidP="00EF7A4E">
      <w:pPr>
        <w:pStyle w:val="ListParagraph"/>
        <w:numPr>
          <w:ilvl w:val="0"/>
          <w:numId w:val="123"/>
        </w:numPr>
        <w:spacing w:before="160"/>
        <w:rPr>
          <w:b/>
        </w:rPr>
      </w:pPr>
      <w:r w:rsidRPr="00A92920">
        <w:rPr>
          <w:rFonts w:eastAsia="Helvetica Neue"/>
        </w:rPr>
        <w:t xml:space="preserve">Caregivers and family members may have negative views about women and young </w:t>
      </w:r>
      <w:r w:rsidR="00023F7F">
        <w:rPr>
          <w:rFonts w:eastAsia="Helvetica Neue"/>
        </w:rPr>
        <w:t>persons</w:t>
      </w:r>
      <w:r w:rsidR="00023F7F" w:rsidRPr="00A92920">
        <w:rPr>
          <w:rFonts w:eastAsia="Helvetica Neue"/>
        </w:rPr>
        <w:t xml:space="preserve"> </w:t>
      </w:r>
      <w:r w:rsidRPr="00A92920">
        <w:rPr>
          <w:rFonts w:eastAsia="Helvetica Neue"/>
        </w:rPr>
        <w:t xml:space="preserve">with disabilities using contraceptives and can act as gatekeepers. </w:t>
      </w:r>
    </w:p>
    <w:p w14:paraId="01CB946F" w14:textId="77777777" w:rsidR="00A92920" w:rsidRPr="00A92920" w:rsidRDefault="00BC14E7" w:rsidP="00EF7A4E">
      <w:pPr>
        <w:pStyle w:val="ListParagraph"/>
        <w:numPr>
          <w:ilvl w:val="0"/>
          <w:numId w:val="123"/>
        </w:numPr>
        <w:spacing w:before="160"/>
        <w:rPr>
          <w:b/>
        </w:rPr>
      </w:pPr>
      <w:r w:rsidRPr="00A92920">
        <w:rPr>
          <w:rFonts w:eastAsia="Helvetica Neue"/>
        </w:rPr>
        <w:t xml:space="preserve">Service providers are often unable to explain the various methods of contraception in an accessible way to women and young persons with disabilities. Not only does this prevent women and young persons from providing their informed consent, but it also deprives a person of the chance to understand and weigh the various pros and cons for different forms of contraceptives. </w:t>
      </w:r>
    </w:p>
    <w:p w14:paraId="653307AC" w14:textId="5D28D04A" w:rsidR="00BC14E7" w:rsidRPr="00A92920" w:rsidRDefault="00BC14E7" w:rsidP="00EF7A4E">
      <w:pPr>
        <w:pStyle w:val="ListParagraph"/>
        <w:numPr>
          <w:ilvl w:val="0"/>
          <w:numId w:val="123"/>
        </w:numPr>
        <w:spacing w:before="160"/>
        <w:rPr>
          <w:b/>
        </w:rPr>
      </w:pPr>
      <w:r w:rsidRPr="00A92920">
        <w:rPr>
          <w:rFonts w:eastAsia="Helvetica Neue"/>
        </w:rPr>
        <w:t xml:space="preserve">Poverty, the physical environment of healthcare facilities, and isolation can prevent women and young persons with disabilities from accessing contraceptive information, goods, and services. </w:t>
      </w:r>
    </w:p>
    <w:p w14:paraId="5EEC9AB7" w14:textId="14598CB2" w:rsidR="005B7432" w:rsidRDefault="00EF7A4E" w:rsidP="00EF7A4E">
      <w:pPr>
        <w:pStyle w:val="Heading4"/>
        <w:ind w:hanging="90"/>
      </w:pPr>
      <w:r w:rsidRPr="00B92BF0">
        <w:rPr>
          <w:noProof/>
          <w:color w:val="943634" w:themeColor="accent2" w:themeShade="BF"/>
        </w:rPr>
        <mc:AlternateContent>
          <mc:Choice Requires="wps">
            <w:drawing>
              <wp:inline distT="0" distB="0" distL="0" distR="0" wp14:anchorId="4A775385" wp14:editId="5ECBE8C4">
                <wp:extent cx="5943600" cy="0"/>
                <wp:effectExtent l="0" t="38100" r="25400" b="38100"/>
                <wp:docPr id="22" name="Straight Connector 22" descr="Text box follows"/>
                <wp:cNvGraphicFramePr/>
                <a:graphic xmlns:a="http://schemas.openxmlformats.org/drawingml/2006/main">
                  <a:graphicData uri="http://schemas.microsoft.com/office/word/2010/wordprocessingShape">
                    <wps:wsp>
                      <wps:cNvCnPr/>
                      <wps:spPr>
                        <a:xfrm>
                          <a:off x="0" y="0"/>
                          <a:ext cx="5943600" cy="0"/>
                        </a:xfrm>
                        <a:prstGeom prst="line">
                          <a:avLst/>
                        </a:prstGeom>
                        <a:ln w="76200">
                          <a:solidFill>
                            <a:schemeClr val="accent6">
                              <a:lumMod val="75000"/>
                            </a:schemeClr>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6FA4F229" id="Straight Connector 22" o:spid="_x0000_s1026" alt="Text box foll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" strokecolor="#e36c0a [2409]" strokeweight="6pt">
                <w10:anchorlock/>
              </v:line>
            </w:pict>
          </mc:Fallback>
        </mc:AlternateContent>
      </w:r>
      <w:r>
        <w:rPr>
          <w:noProof/>
          <w:color w:val="943634" w:themeColor="accent2" w:themeShade="BF"/>
        </w:rPr>
        <w:br/>
      </w:r>
      <w:r w:rsidRPr="008304B7">
        <w:rPr>
          <w:noProof/>
          <w:color w:val="943634" w:themeColor="accent2" w:themeShade="BF"/>
          <w:sz w:val="16"/>
          <w:szCs w:val="16"/>
        </w:rPr>
        <w:br/>
      </w:r>
      <w:r w:rsidRPr="00CE152F">
        <w:rPr>
          <w:noProof/>
          <w:color w:val="E36C0A" w:themeColor="accent6" w:themeShade="BF"/>
          <w:sz w:val="32"/>
          <w:szCs w:val="32"/>
        </w:rPr>
        <w:t>Spotlight Issue—</w:t>
      </w:r>
      <w:r w:rsidR="00BC14E7" w:rsidRPr="00714E4C">
        <w:rPr>
          <w:rStyle w:val="Heading4Char"/>
          <w:b/>
          <w:bCs/>
          <w:color w:val="E36C0A" w:themeColor="accent6" w:themeShade="BF"/>
          <w:sz w:val="32"/>
          <w:szCs w:val="32"/>
        </w:rPr>
        <w:t>Sterilization</w:t>
      </w:r>
    </w:p>
    <w:p w14:paraId="10A3A3BB" w14:textId="029D12F3" w:rsidR="00BC14E7" w:rsidRPr="00A64CBE" w:rsidRDefault="00BC14E7" w:rsidP="005B7432">
      <w:pPr>
        <w:rPr>
          <w:rFonts w:eastAsia="Helvetica Neue"/>
          <w:b/>
          <w:u w:val="single"/>
        </w:rPr>
      </w:pPr>
      <w:r w:rsidRPr="00A64CBE">
        <w:rPr>
          <w:rFonts w:eastAsia="Helvetica Neue"/>
        </w:rPr>
        <w:t xml:space="preserve">Forced sterilization of women and young </w:t>
      </w:r>
      <w:r>
        <w:rPr>
          <w:rFonts w:eastAsia="Helvetica Neue"/>
        </w:rPr>
        <w:t>persons</w:t>
      </w:r>
      <w:r w:rsidRPr="00A64CBE">
        <w:rPr>
          <w:rFonts w:eastAsia="Helvetica Neue"/>
        </w:rPr>
        <w:t xml:space="preserve"> with disabilities has been widely documented.</w:t>
      </w:r>
      <w:r w:rsidRPr="00A64CBE">
        <w:rPr>
          <w:rFonts w:eastAsia="Helvetica Neue"/>
          <w:vertAlign w:val="superscript"/>
        </w:rPr>
        <w:endnoteReference w:id="481"/>
      </w:r>
      <w:r w:rsidRPr="00A64CBE">
        <w:rPr>
          <w:rFonts w:eastAsia="Helvetica Neue"/>
        </w:rPr>
        <w:t xml:space="preserve"> Sterilization is the irreversible “process or act that renders an individual incapable of sexual reproduction”.</w:t>
      </w:r>
      <w:r w:rsidRPr="00A64CBE">
        <w:rPr>
          <w:rFonts w:eastAsia="Helvetica Neue"/>
          <w:vertAlign w:val="superscript"/>
        </w:rPr>
        <w:endnoteReference w:id="482"/>
      </w:r>
      <w:r w:rsidRPr="00A64CBE">
        <w:rPr>
          <w:rFonts w:eastAsia="Helvetica Neue"/>
        </w:rPr>
        <w:t xml:space="preserve"> Forced or coerced sterilization occurs when the surgery is performed without the free and informed consent of the person upon whom the procedure is performed. Forced sterilization also occurs when the procedure is performed without a person’s knowledge or situations where consent is provided by someone other than the person being sterilized. Coerced sterilization can occur whenever consent is obtained by intimidation, misinformation, or coercion. All individuals with disabilities—both female and male—are vulnerable to forced sterilization. Forced sterilization has been widely decried as a human rights abuse that amounts to torture</w:t>
      </w:r>
      <w:r w:rsidRPr="00A64CBE">
        <w:rPr>
          <w:rFonts w:eastAsia="Helvetica Neue"/>
          <w:vertAlign w:val="superscript"/>
        </w:rPr>
        <w:endnoteReference w:id="483"/>
      </w:r>
      <w:r w:rsidRPr="00A64CBE">
        <w:rPr>
          <w:rFonts w:eastAsia="Helvetica Neue"/>
        </w:rPr>
        <w:t xml:space="preserve"> and a particularly pernicious form of </w:t>
      </w:r>
      <w:r>
        <w:rPr>
          <w:rFonts w:eastAsia="Helvetica Neue"/>
        </w:rPr>
        <w:t>GBV</w:t>
      </w:r>
      <w:r w:rsidRPr="00A64CBE">
        <w:rPr>
          <w:rFonts w:eastAsia="Helvetica Neue"/>
        </w:rPr>
        <w:t>.</w:t>
      </w:r>
      <w:r w:rsidRPr="00A64CBE">
        <w:rPr>
          <w:rFonts w:eastAsia="Helvetica Neue"/>
          <w:vertAlign w:val="superscript"/>
        </w:rPr>
        <w:endnoteReference w:id="484"/>
      </w:r>
      <w:r w:rsidRPr="00A64CBE">
        <w:rPr>
          <w:rFonts w:eastAsia="Helvetica Neue"/>
        </w:rPr>
        <w:t xml:space="preserve"> </w:t>
      </w:r>
    </w:p>
    <w:p w14:paraId="002749B8" w14:textId="1815F4FA" w:rsidR="00BC14E7" w:rsidRPr="00A64CBE" w:rsidRDefault="00BC14E7" w:rsidP="005B7432">
      <w:pPr>
        <w:rPr>
          <w:rFonts w:eastAsia="Helvetica Neue"/>
        </w:rPr>
      </w:pPr>
      <w:r w:rsidRPr="00A64CBE">
        <w:rPr>
          <w:rFonts w:eastAsia="Helvetica Neue"/>
        </w:rPr>
        <w:t xml:space="preserve">Research demonstrates that </w:t>
      </w:r>
      <w:r w:rsidR="00023F7F">
        <w:rPr>
          <w:rFonts w:eastAsia="Helvetica Neue"/>
        </w:rPr>
        <w:t>persons</w:t>
      </w:r>
      <w:r w:rsidR="00023F7F" w:rsidRPr="00A64CBE">
        <w:rPr>
          <w:rFonts w:eastAsia="Helvetica Neue"/>
        </w:rPr>
        <w:t xml:space="preserve"> </w:t>
      </w:r>
      <w:r w:rsidRPr="00A64CBE">
        <w:rPr>
          <w:rFonts w:eastAsia="Helvetica Neue"/>
        </w:rPr>
        <w:t xml:space="preserve">with disabilities generally are sterilized for two principle reasons: </w:t>
      </w:r>
    </w:p>
    <w:p w14:paraId="7E43C685" w14:textId="1D63E47A" w:rsidR="00BC14E7" w:rsidRPr="00D91A1B" w:rsidRDefault="00BC14E7" w:rsidP="006E6012">
      <w:pPr>
        <w:pStyle w:val="ListParagraph"/>
        <w:numPr>
          <w:ilvl w:val="0"/>
          <w:numId w:val="100"/>
        </w:numPr>
      </w:pPr>
      <w:r w:rsidRPr="005B7432">
        <w:rPr>
          <w:rFonts w:eastAsia="Helvetica Neue"/>
        </w:rPr>
        <w:t xml:space="preserve">Paternalistic and eugenics-based reasons grounded in the prejudiced belief that </w:t>
      </w:r>
      <w:r w:rsidR="00023F7F">
        <w:rPr>
          <w:rFonts w:eastAsia="Helvetica Neue"/>
        </w:rPr>
        <w:t>persons</w:t>
      </w:r>
      <w:r w:rsidR="00023F7F" w:rsidRPr="005B7432">
        <w:rPr>
          <w:rFonts w:eastAsia="Helvetica Neue"/>
        </w:rPr>
        <w:t xml:space="preserve"> </w:t>
      </w:r>
      <w:r w:rsidRPr="005B7432">
        <w:rPr>
          <w:rFonts w:eastAsia="Helvetica Neue"/>
        </w:rPr>
        <w:t>with disabilities cannot and should not have and raise children</w:t>
      </w:r>
      <w:r w:rsidRPr="00A64CBE">
        <w:rPr>
          <w:rFonts w:eastAsia="Helvetica Neue"/>
          <w:vertAlign w:val="superscript"/>
        </w:rPr>
        <w:endnoteReference w:id="485"/>
      </w:r>
      <w:r w:rsidRPr="005B7432">
        <w:rPr>
          <w:rFonts w:eastAsia="Helvetica Neue"/>
        </w:rPr>
        <w:t xml:space="preserve"> and, relatedly, the belief that persons with disabilities cannot make decisions for themselves. </w:t>
      </w:r>
    </w:p>
    <w:p w14:paraId="0923E2BE" w14:textId="77777777" w:rsidR="00BC14E7" w:rsidRPr="00D91A1B" w:rsidRDefault="00BC14E7" w:rsidP="006E6012">
      <w:pPr>
        <w:pStyle w:val="ListParagraph"/>
        <w:numPr>
          <w:ilvl w:val="0"/>
          <w:numId w:val="100"/>
        </w:numPr>
      </w:pPr>
      <w:r w:rsidRPr="005B7432">
        <w:rPr>
          <w:rFonts w:eastAsia="Helvetica Neue"/>
        </w:rPr>
        <w:lastRenderedPageBreak/>
        <w:t>For the convenience of caregivers and, in some cases, as a precaution to avoid unintended pregnancies because of the perceived inevitable sexual abuse that persons with disabilities are expected to experience.</w:t>
      </w:r>
      <w:r w:rsidRPr="00A64CBE">
        <w:rPr>
          <w:rFonts w:eastAsia="Helvetica Neue"/>
          <w:vertAlign w:val="superscript"/>
        </w:rPr>
        <w:endnoteReference w:id="486"/>
      </w:r>
      <w:r w:rsidRPr="005B7432">
        <w:rPr>
          <w:rFonts w:eastAsia="Helvetica Neue"/>
        </w:rPr>
        <w:t xml:space="preserve"> </w:t>
      </w:r>
    </w:p>
    <w:p w14:paraId="60021E64" w14:textId="77777777" w:rsidR="00BC14E7" w:rsidRPr="00A64CBE" w:rsidRDefault="00BC14E7" w:rsidP="005B7432">
      <w:pPr>
        <w:rPr>
          <w:rFonts w:eastAsia="Helvetica Neue"/>
        </w:rPr>
      </w:pPr>
      <w:r w:rsidRPr="00A64CBE">
        <w:rPr>
          <w:rFonts w:eastAsia="Helvetica Neue"/>
        </w:rPr>
        <w:t>Service providers and support staff</w:t>
      </w:r>
      <w:r w:rsidRPr="00A64CBE" w:rsidDel="00FF4495">
        <w:rPr>
          <w:rFonts w:eastAsia="Helvetica Neue"/>
        </w:rPr>
        <w:t xml:space="preserve"> </w:t>
      </w:r>
      <w:r w:rsidRPr="00A64CBE">
        <w:rPr>
          <w:rFonts w:eastAsia="Helvetica Neue"/>
        </w:rPr>
        <w:t xml:space="preserve">must take the risk of forced sterilization seriously and work with women and young </w:t>
      </w:r>
      <w:r>
        <w:rPr>
          <w:rFonts w:eastAsia="Helvetica Neue"/>
        </w:rPr>
        <w:t>persons</w:t>
      </w:r>
      <w:r w:rsidRPr="00A64CBE">
        <w:rPr>
          <w:rFonts w:eastAsia="Helvetica Neue"/>
        </w:rPr>
        <w:t xml:space="preserve">, medical providers, families, and caregivers to educate them about the fertility rights of </w:t>
      </w:r>
      <w:r>
        <w:rPr>
          <w:rFonts w:eastAsia="Helvetica Neue"/>
        </w:rPr>
        <w:t>persons</w:t>
      </w:r>
      <w:r w:rsidRPr="00A64CBE">
        <w:rPr>
          <w:rFonts w:eastAsia="Helvetica Neue"/>
        </w:rPr>
        <w:t xml:space="preserve"> with disabilities. Service providers should ensure that women and young </w:t>
      </w:r>
      <w:r>
        <w:rPr>
          <w:rFonts w:eastAsia="Helvetica Neue"/>
        </w:rPr>
        <w:t>persons</w:t>
      </w:r>
      <w:r w:rsidRPr="00A64CBE">
        <w:rPr>
          <w:rFonts w:eastAsia="Helvetica Neue"/>
        </w:rPr>
        <w:t xml:space="preserve"> with disabilities who are seeking sterilization have been fully informed in a manner that they can understand about the </w:t>
      </w:r>
      <w:r w:rsidRPr="0018197A">
        <w:rPr>
          <w:rFonts w:eastAsia="Helvetica Neue"/>
        </w:rPr>
        <w:t>risks and benefits</w:t>
      </w:r>
      <w:r w:rsidRPr="00A64CBE">
        <w:rPr>
          <w:rFonts w:eastAsia="Helvetica Neue"/>
        </w:rPr>
        <w:t xml:space="preserve"> of the procedure and alternative long-acting and reversible forms of contraception and that they are provided with the necessary supports to make such a decision. This is necessary for anyone to be able to grant their free and informed consent for such a procedure. At the same time, service providers and support staff must not let safeguards </w:t>
      </w:r>
      <w:r>
        <w:rPr>
          <w:rFonts w:eastAsia="Helvetica Neue"/>
        </w:rPr>
        <w:t>for</w:t>
      </w:r>
      <w:r w:rsidRPr="00A64CBE">
        <w:rPr>
          <w:rFonts w:eastAsia="Helvetica Neue"/>
        </w:rPr>
        <w:t xml:space="preserve"> prevent</w:t>
      </w:r>
      <w:r>
        <w:rPr>
          <w:rFonts w:eastAsia="Helvetica Neue"/>
        </w:rPr>
        <w:t>ing</w:t>
      </w:r>
      <w:r w:rsidRPr="00A64CBE">
        <w:rPr>
          <w:rFonts w:eastAsia="Helvetica Neue"/>
        </w:rPr>
        <w:t xml:space="preserve"> forced sterilization infringe on the rights of a woman or a young person with disability to provide her or his free and informed consent for voluntary sterilization. </w:t>
      </w:r>
    </w:p>
    <w:p w14:paraId="6ED6D4D6" w14:textId="76404636" w:rsidR="00BC14E7" w:rsidRPr="00A64CBE" w:rsidRDefault="00BC14E7" w:rsidP="005B7432">
      <w:pPr>
        <w:rPr>
          <w:rFonts w:eastAsia="Helvetica Neue"/>
          <w:b/>
          <w:color w:val="000000"/>
        </w:rPr>
      </w:pPr>
      <w:r>
        <w:rPr>
          <w:rFonts w:eastAsia="Helvetica Neue"/>
          <w:color w:val="000000"/>
        </w:rPr>
        <w:t>To</w:t>
      </w:r>
      <w:r w:rsidRPr="00A64CBE">
        <w:rPr>
          <w:rFonts w:eastAsia="Helvetica Neue"/>
          <w:color w:val="000000"/>
        </w:rPr>
        <w:t xml:space="preserve"> learn more about free and informed consent, </w:t>
      </w:r>
      <w:r w:rsidRPr="00836BCC">
        <w:rPr>
          <w:rFonts w:eastAsia="Helvetica Neue"/>
        </w:rPr>
        <w:t xml:space="preserve">see </w:t>
      </w:r>
      <w:hyperlink w:anchor="Equal" w:history="1">
        <w:r w:rsidRPr="005B7432">
          <w:rPr>
            <w:rStyle w:val="Hyperlink"/>
            <w:rFonts w:eastAsia="Helvetica Neue"/>
          </w:rPr>
          <w:t>Equal Recognition Before the Law (Section 1.2)</w:t>
        </w:r>
      </w:hyperlink>
      <w:r w:rsidRPr="005B7432">
        <w:rPr>
          <w:rStyle w:val="Hyperlink"/>
          <w:rFonts w:eastAsia="Helvetica Neue"/>
        </w:rPr>
        <w:t xml:space="preserve">. </w:t>
      </w:r>
    </w:p>
    <w:p w14:paraId="56783096" w14:textId="5BECD005" w:rsidR="00A34370" w:rsidRDefault="00A34370" w:rsidP="00714E4C">
      <w:pPr>
        <w:rPr>
          <w:rFonts w:eastAsia="Helvetica Neue"/>
        </w:rPr>
      </w:pPr>
      <w:r w:rsidRPr="00714E4C">
        <w:rPr>
          <w:noProof/>
        </w:rPr>
        <mc:AlternateContent>
          <mc:Choice Requires="wps">
            <w:drawing>
              <wp:inline distT="0" distB="0" distL="0" distR="0" wp14:anchorId="26F52E61" wp14:editId="117E8B93">
                <wp:extent cx="5943600" cy="0"/>
                <wp:effectExtent l="0" t="12700" r="25400" b="25400"/>
                <wp:docPr id="62" name="Straight Connector 62" descr="Text box ends"/>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chemeClr val="accent6">
                              <a:lumMod val="75000"/>
                            </a:schemeClr>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3A4B0E35" id="Straight Connector 62" o:spid="_x0000_s1026" alt="Text box end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" strokecolor="#e36c0a [2409]" strokeweight="3pt">
                <w10:anchorlock/>
              </v:line>
            </w:pict>
          </mc:Fallback>
        </mc:AlternateContent>
      </w:r>
    </w:p>
    <w:p w14:paraId="550C486A" w14:textId="18E64F2D" w:rsidR="00BC14E7" w:rsidRPr="00A64CBE" w:rsidRDefault="00BC14E7" w:rsidP="003C6133">
      <w:pPr>
        <w:pStyle w:val="Heading4"/>
        <w:rPr>
          <w:rFonts w:eastAsia="Helvetica Neue"/>
        </w:rPr>
      </w:pPr>
      <w:r w:rsidRPr="00A64CBE">
        <w:rPr>
          <w:rFonts w:eastAsia="Helvetica Neue"/>
        </w:rPr>
        <w:t xml:space="preserve">Guidelines for Action: Availability </w:t>
      </w:r>
    </w:p>
    <w:p w14:paraId="5CDDAC6D" w14:textId="77777777" w:rsidR="00B1674C" w:rsidRDefault="00BC14E7" w:rsidP="006E6012">
      <w:pPr>
        <w:pStyle w:val="ListParagraph"/>
        <w:numPr>
          <w:ilvl w:val="0"/>
          <w:numId w:val="101"/>
        </w:numPr>
        <w:rPr>
          <w:rFonts w:eastAsia="Helvetica Neue"/>
        </w:rPr>
      </w:pPr>
      <w:r w:rsidRPr="00B1674C">
        <w:rPr>
          <w:rFonts w:eastAsia="Helvetica Neue"/>
        </w:rPr>
        <w:t xml:space="preserve">Establish </w:t>
      </w:r>
      <w:r w:rsidRPr="00B1674C">
        <w:rPr>
          <w:rFonts w:eastAsia="Helvetica Neue"/>
          <w:bCs/>
        </w:rPr>
        <w:t>disability-sensitive protocols and guidelines</w:t>
      </w:r>
      <w:r w:rsidRPr="00B1674C">
        <w:rPr>
          <w:rFonts w:eastAsia="Helvetica Neue"/>
        </w:rPr>
        <w:t xml:space="preserve"> on follow-up visits, management of side effects, and referrals and train service providers to implement the protocols and guidelines effectively. Protocols and guidelines should clearly establish a woman or young person’s right to remove long-acting contraceptives and should also address follow-up procedures for persons living in institutional and isolated settings.</w:t>
      </w:r>
    </w:p>
    <w:p w14:paraId="7D5A78EC" w14:textId="77777777" w:rsidR="00B1674C" w:rsidRDefault="00BC14E7" w:rsidP="006E6012">
      <w:pPr>
        <w:pStyle w:val="ListParagraph"/>
        <w:numPr>
          <w:ilvl w:val="1"/>
          <w:numId w:val="101"/>
        </w:numPr>
        <w:rPr>
          <w:rFonts w:eastAsia="Helvetica Neue"/>
        </w:rPr>
      </w:pPr>
      <w:r w:rsidRPr="00B1674C">
        <w:rPr>
          <w:rFonts w:eastAsia="Helvetica Neue"/>
        </w:rPr>
        <w:t xml:space="preserve">Example: USAID and Handicap International’s guide, </w:t>
      </w:r>
      <w:r w:rsidRPr="00B1674C">
        <w:rPr>
          <w:rFonts w:eastAsia="Helvetica Neue"/>
          <w:b/>
          <w:bCs/>
        </w:rPr>
        <w:t>‘Disability-Inclusive Sexual and Reproductive Health Component: Training of Trainers Manual on Disability—Inclusive HIV and Sexual and Reproductive Health for Health Workers’</w:t>
      </w:r>
      <w:r w:rsidRPr="00B1674C">
        <w:rPr>
          <w:rFonts w:eastAsia="Helvetica Neue"/>
        </w:rPr>
        <w:t>,</w:t>
      </w:r>
      <w:r w:rsidRPr="00A64CBE">
        <w:rPr>
          <w:rFonts w:eastAsia="Helvetica Neue"/>
          <w:vertAlign w:val="superscript"/>
        </w:rPr>
        <w:endnoteReference w:id="487"/>
      </w:r>
      <w:r w:rsidRPr="00B1674C">
        <w:rPr>
          <w:rFonts w:eastAsia="Helvetica Neue"/>
        </w:rPr>
        <w:t xml:space="preserve"> offers a good example of how to train service providers about disability-inclusive family planning, including various contraception methods. The family planning component of this training teaches participants about the benefits and methods of family planning, why women and men with disabilities need family planning, family planning counselling applied to persons with disabilities, and specific considerations for patients with various disabilities. For example, the training teaches participants to better understand the factors influencing a woman’s choice of family planning methods: “Physical disabilities may affect acceptability, safety, and appropriateness of certain methods. Intellectual disabilities may have an effect on informed consent for contraception. Some medications interact with hormonal methods of contraception. … For example, women with circulation or hypertension problems will not be prescribed contraceptive pills”.</w:t>
      </w:r>
      <w:r w:rsidRPr="00A64CBE">
        <w:rPr>
          <w:rFonts w:eastAsia="Helvetica Neue"/>
          <w:vertAlign w:val="superscript"/>
        </w:rPr>
        <w:endnoteReference w:id="488"/>
      </w:r>
      <w:r w:rsidRPr="00B1674C">
        <w:rPr>
          <w:rFonts w:eastAsia="Helvetica Neue"/>
        </w:rPr>
        <w:t xml:space="preserve"> </w:t>
      </w:r>
    </w:p>
    <w:p w14:paraId="28E0F3E9" w14:textId="77777777" w:rsidR="00B1674C" w:rsidRDefault="00BC14E7" w:rsidP="006E6012">
      <w:pPr>
        <w:pStyle w:val="ListParagraph"/>
        <w:numPr>
          <w:ilvl w:val="1"/>
          <w:numId w:val="101"/>
        </w:numPr>
        <w:rPr>
          <w:rFonts w:eastAsia="Helvetica Neue"/>
        </w:rPr>
      </w:pPr>
      <w:r w:rsidRPr="00B1674C">
        <w:rPr>
          <w:rFonts w:eastAsia="Helvetica Neue"/>
          <w:b/>
        </w:rPr>
        <w:t xml:space="preserve">Example: </w:t>
      </w:r>
      <w:r w:rsidRPr="00B1674C">
        <w:rPr>
          <w:rFonts w:eastAsia="Helvetica Neue"/>
        </w:rPr>
        <w:t xml:space="preserve">IPAS’s guide, </w:t>
      </w:r>
      <w:r w:rsidRPr="00B1674C">
        <w:rPr>
          <w:rFonts w:eastAsia="Helvetica Neue"/>
          <w:b/>
        </w:rPr>
        <w:t>‘Access for Everybody: Disability Inclusion in Abortion and Contraceptive Care,’</w:t>
      </w:r>
      <w:r w:rsidRPr="00B1674C">
        <w:rPr>
          <w:rStyle w:val="EndnoteReference"/>
          <w:rFonts w:eastAsia="Helvetica Neue"/>
        </w:rPr>
        <w:endnoteReference w:id="489"/>
      </w:r>
      <w:r w:rsidRPr="00B1674C">
        <w:rPr>
          <w:rFonts w:eastAsia="Helvetica Neue"/>
          <w:b/>
        </w:rPr>
        <w:t xml:space="preserve"> </w:t>
      </w:r>
      <w:r w:rsidRPr="00B1674C">
        <w:rPr>
          <w:rFonts w:eastAsia="Helvetica Neue"/>
        </w:rPr>
        <w:t xml:space="preserve">provides practical guidance for contraceptive programme implementers, managers, and trainers on disability-inclusive policies and service delivery. </w:t>
      </w:r>
    </w:p>
    <w:p w14:paraId="4B3A24D7" w14:textId="77777777" w:rsidR="00B1674C" w:rsidRDefault="00BC14E7" w:rsidP="006E6012">
      <w:pPr>
        <w:pStyle w:val="ListParagraph"/>
        <w:numPr>
          <w:ilvl w:val="0"/>
          <w:numId w:val="101"/>
        </w:numPr>
        <w:rPr>
          <w:rFonts w:eastAsia="Helvetica Neue"/>
        </w:rPr>
      </w:pPr>
      <w:r w:rsidRPr="00B1674C">
        <w:rPr>
          <w:rFonts w:eastAsia="Helvetica Neue"/>
        </w:rPr>
        <w:lastRenderedPageBreak/>
        <w:t xml:space="preserve">Particularly in humanitarian emergency settings, establish </w:t>
      </w:r>
      <w:r w:rsidRPr="00B1674C">
        <w:rPr>
          <w:rFonts w:eastAsia="Helvetica Neue"/>
          <w:bCs/>
        </w:rPr>
        <w:t>easy to navigate mechanisms for replacement of essential medicines and devices</w:t>
      </w:r>
      <w:r w:rsidRPr="00B1674C">
        <w:rPr>
          <w:rFonts w:eastAsia="Helvetica Neue"/>
        </w:rPr>
        <w:t xml:space="preserve">. Integrate replacement of contraceptives with the mechanisms to replace other necessary devices and medicines. </w:t>
      </w:r>
    </w:p>
    <w:p w14:paraId="0D65FFC6" w14:textId="7FA3D548" w:rsidR="00BC14E7" w:rsidRPr="00B1674C" w:rsidRDefault="00BC14E7" w:rsidP="006E6012">
      <w:pPr>
        <w:pStyle w:val="ListParagraph"/>
        <w:numPr>
          <w:ilvl w:val="0"/>
          <w:numId w:val="101"/>
        </w:numPr>
        <w:rPr>
          <w:rFonts w:eastAsia="Helvetica Neue"/>
        </w:rPr>
      </w:pPr>
      <w:r w:rsidRPr="00B1674C">
        <w:rPr>
          <w:rFonts w:eastAsia="Helvetica Neue"/>
        </w:rPr>
        <w:t>Ensure at least five modern contraceptive meth</w:t>
      </w:r>
      <w:r w:rsidRPr="00B1674C">
        <w:rPr>
          <w:rFonts w:eastAsia="Helvetica Neue"/>
          <w:bCs/>
        </w:rPr>
        <w:t>ods</w:t>
      </w:r>
      <w:r w:rsidRPr="00B1674C">
        <w:rPr>
          <w:rFonts w:eastAsia="Helvetica Neue"/>
        </w:rPr>
        <w:t xml:space="preserve"> are available and in sufficient supplies.</w:t>
      </w:r>
      <w:r w:rsidRPr="00A64CBE">
        <w:rPr>
          <w:rFonts w:eastAsia="Helvetica Neue"/>
          <w:vertAlign w:val="superscript"/>
        </w:rPr>
        <w:endnoteReference w:id="490"/>
      </w:r>
      <w:r w:rsidRPr="00B1674C">
        <w:rPr>
          <w:rFonts w:eastAsia="Helvetica Neue"/>
        </w:rPr>
        <w:t xml:space="preserve"> Service providers must offer contraceptive methods in a range of formats, since some disabilities will preclude certain contraception options. For example, a woman without the use of her hands may not be able to utilize a female condom. </w:t>
      </w:r>
    </w:p>
    <w:p w14:paraId="1D11F9CB" w14:textId="77777777" w:rsidR="00BC14E7" w:rsidRPr="00A64CBE" w:rsidRDefault="00BC14E7" w:rsidP="00A34370">
      <w:pPr>
        <w:pStyle w:val="Heading4"/>
        <w:spacing w:before="480"/>
        <w:rPr>
          <w:rFonts w:eastAsia="Helvetica Neue"/>
        </w:rPr>
      </w:pPr>
      <w:r w:rsidRPr="00A64CBE">
        <w:rPr>
          <w:rFonts w:eastAsia="Helvetica Neue"/>
        </w:rPr>
        <w:t>Guidelines for Action: Accessibility</w:t>
      </w:r>
    </w:p>
    <w:p w14:paraId="4FE35F7D" w14:textId="77777777" w:rsidR="00B1674C" w:rsidRPr="00B1674C" w:rsidRDefault="00BC14E7" w:rsidP="006E6012">
      <w:pPr>
        <w:pStyle w:val="ListParagraph"/>
        <w:numPr>
          <w:ilvl w:val="0"/>
          <w:numId w:val="102"/>
        </w:numPr>
        <w:rPr>
          <w:rFonts w:eastAsia="Helvetica Neue"/>
          <w:u w:val="single"/>
        </w:rPr>
      </w:pPr>
      <w:r w:rsidRPr="00B1674C">
        <w:rPr>
          <w:rFonts w:eastAsia="Helvetica Neue"/>
        </w:rPr>
        <w:t xml:space="preserve">Create accessible </w:t>
      </w:r>
      <w:r w:rsidRPr="00B1674C">
        <w:rPr>
          <w:rFonts w:eastAsia="Helvetica Neue"/>
          <w:bCs/>
        </w:rPr>
        <w:t>informational materials</w:t>
      </w:r>
      <w:r w:rsidRPr="00B1674C">
        <w:rPr>
          <w:rFonts w:eastAsia="Helvetica Neue"/>
        </w:rPr>
        <w:t xml:space="preserve"> tailored for women and young persons with different types of disabilities that address the range of contraceptive methods available. </w:t>
      </w:r>
    </w:p>
    <w:p w14:paraId="7A454BE4" w14:textId="1C40E501" w:rsidR="00B1674C" w:rsidRPr="00B1674C" w:rsidRDefault="00BC14E7" w:rsidP="006E6012">
      <w:pPr>
        <w:pStyle w:val="ListParagraph"/>
        <w:numPr>
          <w:ilvl w:val="0"/>
          <w:numId w:val="102"/>
        </w:numPr>
        <w:rPr>
          <w:rFonts w:eastAsia="Helvetica Neue"/>
          <w:u w:val="single"/>
        </w:rPr>
      </w:pPr>
      <w:r w:rsidRPr="00B1674C">
        <w:rPr>
          <w:rFonts w:eastAsia="Helvetica Neue"/>
        </w:rPr>
        <w:t xml:space="preserve">Offer contraceptive information, goods, and services for women and young persons with disabilities in </w:t>
      </w:r>
      <w:r w:rsidRPr="00B1674C">
        <w:rPr>
          <w:rFonts w:eastAsia="Helvetica Neue"/>
          <w:bCs/>
        </w:rPr>
        <w:t>different models of service delivery</w:t>
      </w:r>
      <w:r w:rsidRPr="00B1674C">
        <w:rPr>
          <w:rFonts w:eastAsia="Helvetica Neue"/>
        </w:rPr>
        <w:t xml:space="preserve"> to reach a wider population, including through health facilities, community-based clinics, mobile clinics, community-health-worker programmes, referrals, and through other disability-related service providers.</w:t>
      </w:r>
      <w:r w:rsidRPr="00A64CBE">
        <w:rPr>
          <w:rFonts w:eastAsia="Helvetica Neue"/>
          <w:vertAlign w:val="superscript"/>
        </w:rPr>
        <w:endnoteReference w:id="491"/>
      </w:r>
      <w:r w:rsidRPr="00B1674C">
        <w:rPr>
          <w:rFonts w:eastAsia="Helvetica Neue"/>
        </w:rPr>
        <w:t xml:space="preserve"> Ensure that services are offered in isolated areas where women and young </w:t>
      </w:r>
      <w:r w:rsidR="00023F7F">
        <w:rPr>
          <w:rFonts w:eastAsia="Helvetica Neue"/>
        </w:rPr>
        <w:t>persons</w:t>
      </w:r>
      <w:r w:rsidR="00023F7F" w:rsidRPr="00B1674C">
        <w:rPr>
          <w:rFonts w:eastAsia="Helvetica Neue"/>
        </w:rPr>
        <w:t xml:space="preserve"> </w:t>
      </w:r>
      <w:r w:rsidRPr="00B1674C">
        <w:rPr>
          <w:rFonts w:eastAsia="Helvetica Neue"/>
        </w:rPr>
        <w:t xml:space="preserve">with disabilities reside, which do not require regular doctor visits. For example, train community health workers, especially community health workers with disabilities, to provide home-based contraceptive information and services or to accompany a woman or young person to referral services. </w:t>
      </w:r>
    </w:p>
    <w:p w14:paraId="61BF5E2B" w14:textId="415B5E60" w:rsidR="00BC14E7" w:rsidRPr="00A92920" w:rsidRDefault="00BC14E7" w:rsidP="006E6012">
      <w:pPr>
        <w:pStyle w:val="ListParagraph"/>
        <w:numPr>
          <w:ilvl w:val="0"/>
          <w:numId w:val="102"/>
        </w:numPr>
        <w:rPr>
          <w:rFonts w:eastAsia="Helvetica Neue"/>
          <w:u w:val="single"/>
        </w:rPr>
      </w:pPr>
      <w:r w:rsidRPr="00B1674C">
        <w:rPr>
          <w:rFonts w:eastAsia="Helvetica Neue"/>
        </w:rPr>
        <w:t xml:space="preserve">Where resources allow, </w:t>
      </w:r>
      <w:r w:rsidRPr="00B1674C">
        <w:rPr>
          <w:rFonts w:eastAsia="Helvetica Neue"/>
          <w:bCs/>
        </w:rPr>
        <w:t>subsidize contraceptive goods and services</w:t>
      </w:r>
      <w:r w:rsidRPr="00B1674C">
        <w:rPr>
          <w:rFonts w:eastAsia="Helvetica Neue"/>
        </w:rPr>
        <w:t>, including condoms, so they are free or at a low-cost for all low-income women and young persons, regardless of age, marital status, or disability.</w:t>
      </w:r>
    </w:p>
    <w:p w14:paraId="058C810D" w14:textId="77777777" w:rsidR="00BC14E7" w:rsidRPr="00A64CBE" w:rsidRDefault="00BC14E7" w:rsidP="00A34370">
      <w:pPr>
        <w:pStyle w:val="Heading4"/>
        <w:spacing w:before="480"/>
        <w:rPr>
          <w:rFonts w:eastAsia="Helvetica Neue"/>
        </w:rPr>
      </w:pPr>
      <w:r w:rsidRPr="00A64CBE">
        <w:rPr>
          <w:rFonts w:eastAsia="Helvetica Neue"/>
        </w:rPr>
        <w:t>Guidelines for Action: Acceptability</w:t>
      </w:r>
    </w:p>
    <w:p w14:paraId="4D61FED6" w14:textId="77777777" w:rsidR="00B1674C" w:rsidRPr="00B1674C" w:rsidRDefault="00BC14E7" w:rsidP="006E6012">
      <w:pPr>
        <w:pStyle w:val="ListParagraph"/>
        <w:numPr>
          <w:ilvl w:val="0"/>
          <w:numId w:val="103"/>
        </w:numPr>
        <w:rPr>
          <w:rFonts w:eastAsia="Helvetica Neue"/>
        </w:rPr>
      </w:pPr>
      <w:r w:rsidRPr="00B1674C">
        <w:rPr>
          <w:rFonts w:eastAsia="Helvetica Neue"/>
        </w:rPr>
        <w:t xml:space="preserve">Establish </w:t>
      </w:r>
      <w:r w:rsidRPr="00B1674C">
        <w:rPr>
          <w:rFonts w:eastAsia="Helvetica Neue"/>
          <w:bCs/>
        </w:rPr>
        <w:t>protocols and guidelines</w:t>
      </w:r>
      <w:r w:rsidRPr="00B1674C">
        <w:rPr>
          <w:rFonts w:eastAsia="Helvetica Neue"/>
        </w:rPr>
        <w:t xml:space="preserve"> to respond to GBV for women and young persons with disabilities seeking contraceptive services. Train service providers and support staff to implement these protocols and to understand and recognize the unique forms of GBV that women and young persons with disabilities can experience. For more information, se</w:t>
      </w:r>
      <w:r w:rsidRPr="00B1674C">
        <w:rPr>
          <w:rFonts w:eastAsia="Helvetica Neue"/>
          <w:color w:val="000000" w:themeColor="text1"/>
        </w:rPr>
        <w:t xml:space="preserve">e </w:t>
      </w:r>
      <w:hyperlink w:anchor="GBV" w:history="1">
        <w:r w:rsidRPr="00B1674C">
          <w:rPr>
            <w:rStyle w:val="Hyperlink"/>
            <w:rFonts w:eastAsia="Helvetica Neue"/>
          </w:rPr>
          <w:t>Guidelines for Gender-Based Violence Service Provision</w:t>
        </w:r>
        <w:r w:rsidR="00836BCC" w:rsidRPr="00B1674C">
          <w:rPr>
            <w:rStyle w:val="Hyperlink"/>
            <w:rFonts w:eastAsia="Helvetica Neue"/>
          </w:rPr>
          <w:t xml:space="preserve"> (Chapter 3)</w:t>
        </w:r>
      </w:hyperlink>
      <w:r w:rsidRPr="00B1674C">
        <w:rPr>
          <w:rStyle w:val="Hyperlink"/>
          <w:rFonts w:eastAsia="Helvetica Neue"/>
        </w:rPr>
        <w:t>.</w:t>
      </w:r>
      <w:r w:rsidRPr="00B1674C">
        <w:rPr>
          <w:rFonts w:eastAsia="Helvetica Neue"/>
          <w:color w:val="000000" w:themeColor="text1"/>
        </w:rPr>
        <w:t xml:space="preserve"> </w:t>
      </w:r>
    </w:p>
    <w:p w14:paraId="23CB24D0" w14:textId="77777777" w:rsidR="00B1674C" w:rsidRDefault="00BC14E7" w:rsidP="006E6012">
      <w:pPr>
        <w:pStyle w:val="ListParagraph"/>
        <w:numPr>
          <w:ilvl w:val="0"/>
          <w:numId w:val="103"/>
        </w:numPr>
        <w:rPr>
          <w:rFonts w:eastAsia="Helvetica Neue"/>
        </w:rPr>
      </w:pPr>
      <w:r w:rsidRPr="00B1674C">
        <w:rPr>
          <w:rFonts w:eastAsia="Helvetica Neue"/>
        </w:rPr>
        <w:t xml:space="preserve">Train </w:t>
      </w:r>
      <w:r w:rsidRPr="00B1674C">
        <w:rPr>
          <w:rFonts w:eastAsia="Helvetica Neue"/>
          <w:bCs/>
        </w:rPr>
        <w:t>female community health workers, midwives, nurses, and other women’s health promoters</w:t>
      </w:r>
      <w:r w:rsidRPr="00B1674C">
        <w:rPr>
          <w:rFonts w:eastAsia="Helvetica Neue"/>
        </w:rPr>
        <w:t xml:space="preserve">—especially those with disabilities—to educate about contraceptive use in a manner that is gender-, disability-, age-, and sexual orientation-appropriate and culturally sensitive. </w:t>
      </w:r>
    </w:p>
    <w:p w14:paraId="074888A6" w14:textId="77777777" w:rsidR="00B1674C" w:rsidRDefault="00BC14E7" w:rsidP="006E6012">
      <w:pPr>
        <w:pStyle w:val="ListParagraph"/>
        <w:numPr>
          <w:ilvl w:val="0"/>
          <w:numId w:val="103"/>
        </w:numPr>
        <w:rPr>
          <w:rFonts w:eastAsia="Helvetica Neue"/>
        </w:rPr>
      </w:pPr>
      <w:r w:rsidRPr="00B1674C">
        <w:rPr>
          <w:rFonts w:eastAsia="Helvetica Neue"/>
        </w:rPr>
        <w:t xml:space="preserve">Train service providers to </w:t>
      </w:r>
      <w:r w:rsidRPr="00B1674C">
        <w:rPr>
          <w:rFonts w:eastAsia="Helvetica Neue"/>
          <w:bCs/>
        </w:rPr>
        <w:t>explain the pros and cons</w:t>
      </w:r>
      <w:r w:rsidRPr="00B1674C">
        <w:rPr>
          <w:rFonts w:eastAsia="Helvetica Neue"/>
        </w:rPr>
        <w:t xml:space="preserve"> of various methods of contraceptives to women and young persons with disabilities, particularly people with intellectual disabilities. Service providers should be trained on the WHO’s </w:t>
      </w:r>
      <w:r w:rsidRPr="00B1674C">
        <w:rPr>
          <w:rFonts w:eastAsia="Helvetica Neue"/>
          <w:b/>
        </w:rPr>
        <w:t>‘Medical Eligibility Criteria for Contraceptive Use,’</w:t>
      </w:r>
      <w:r w:rsidRPr="00A64CBE">
        <w:rPr>
          <w:rFonts w:eastAsia="Helvetica Neue"/>
          <w:vertAlign w:val="superscript"/>
        </w:rPr>
        <w:endnoteReference w:id="492"/>
      </w:r>
      <w:r w:rsidRPr="00B1674C">
        <w:rPr>
          <w:rFonts w:eastAsia="Helvetica Neue"/>
        </w:rPr>
        <w:t xml:space="preserve"> to ensure that service providers manage contraceptive methods based on evidence and help women and young persons with disabilities to make a free and informed choice about their contraceptive method. </w:t>
      </w:r>
    </w:p>
    <w:p w14:paraId="21CE9666" w14:textId="77777777" w:rsidR="00B1674C" w:rsidRDefault="00BC14E7" w:rsidP="006E6012">
      <w:pPr>
        <w:pStyle w:val="ListParagraph"/>
        <w:numPr>
          <w:ilvl w:val="0"/>
          <w:numId w:val="103"/>
        </w:numPr>
        <w:rPr>
          <w:rFonts w:eastAsia="Helvetica Neue"/>
        </w:rPr>
      </w:pPr>
      <w:r w:rsidRPr="00B1674C">
        <w:rPr>
          <w:rFonts w:eastAsia="Helvetica Neue"/>
        </w:rPr>
        <w:lastRenderedPageBreak/>
        <w:t xml:space="preserve">Develop </w:t>
      </w:r>
      <w:r w:rsidRPr="00B1674C">
        <w:rPr>
          <w:rFonts w:eastAsia="Helvetica Neue"/>
          <w:bCs/>
        </w:rPr>
        <w:t>awareness-raising campaigns and educational materials</w:t>
      </w:r>
      <w:r w:rsidRPr="00B1674C">
        <w:rPr>
          <w:rFonts w:eastAsia="Helvetica Neue"/>
        </w:rPr>
        <w:t xml:space="preserve"> for caregivers and family members of persons with disabilities, who often serve as gatekeepers to services, to assist them with better understanding the importance of contraceptive use and to generate support for the provision of contraceptive information, goods, and services.</w:t>
      </w:r>
    </w:p>
    <w:p w14:paraId="79474D8B" w14:textId="7195FB17" w:rsidR="00BC14E7" w:rsidRPr="00B1674C" w:rsidRDefault="00BC14E7" w:rsidP="006E6012">
      <w:pPr>
        <w:pStyle w:val="ListParagraph"/>
        <w:numPr>
          <w:ilvl w:val="0"/>
          <w:numId w:val="103"/>
        </w:numPr>
        <w:rPr>
          <w:rFonts w:eastAsia="Helvetica Neue"/>
        </w:rPr>
      </w:pPr>
      <w:r w:rsidRPr="00B1674C">
        <w:rPr>
          <w:rFonts w:eastAsia="Helvetica Neue"/>
        </w:rPr>
        <w:t xml:space="preserve">Ensure that contraceptive information, goods, and services are offered to </w:t>
      </w:r>
      <w:r w:rsidRPr="00B1674C">
        <w:rPr>
          <w:rFonts w:eastAsia="Helvetica Neue"/>
          <w:bCs/>
        </w:rPr>
        <w:t>young men and boys with disabilities.</w:t>
      </w:r>
      <w:r w:rsidRPr="00B1674C">
        <w:rPr>
          <w:rFonts w:eastAsia="Helvetica Neue"/>
        </w:rPr>
        <w:t xml:space="preserve"> Men and boys should also receive information to help them understand the rights of women and adolescent girls with disabilities to use contraceptives. Train service providers to recognize that young men and boys with disabilities also need access to contraceptive information, goods, and services. </w:t>
      </w:r>
    </w:p>
    <w:p w14:paraId="4D228DBD" w14:textId="77777777" w:rsidR="00BC14E7" w:rsidRPr="00A64CBE" w:rsidRDefault="00BC14E7" w:rsidP="00A34370">
      <w:pPr>
        <w:pStyle w:val="Heading4"/>
        <w:spacing w:before="480"/>
        <w:rPr>
          <w:rFonts w:eastAsia="Helvetica Neue"/>
        </w:rPr>
      </w:pPr>
      <w:r w:rsidRPr="00A64CBE">
        <w:rPr>
          <w:rFonts w:eastAsia="Helvetica Neue"/>
        </w:rPr>
        <w:t xml:space="preserve">Guidelines for Action: Quality </w:t>
      </w:r>
    </w:p>
    <w:p w14:paraId="06C096A2" w14:textId="77777777" w:rsidR="00B1674C" w:rsidRDefault="00BC14E7" w:rsidP="006E6012">
      <w:pPr>
        <w:pStyle w:val="ListParagraph"/>
        <w:numPr>
          <w:ilvl w:val="0"/>
          <w:numId w:val="104"/>
        </w:numPr>
        <w:rPr>
          <w:rFonts w:eastAsia="Helvetica Neue"/>
        </w:rPr>
      </w:pPr>
      <w:r w:rsidRPr="00B1674C">
        <w:rPr>
          <w:rFonts w:eastAsia="Helvetica Neue"/>
        </w:rPr>
        <w:t xml:space="preserve">Utilize the WHO, </w:t>
      </w:r>
      <w:r w:rsidRPr="00B1674C">
        <w:rPr>
          <w:rFonts w:eastAsia="Helvetica Neue"/>
          <w:b/>
          <w:bCs/>
        </w:rPr>
        <w:t>‘Quality of Care in Contraceptive Information and Services, Based on Human Rights Standards: A Checklist for Health Care Providers’</w:t>
      </w:r>
      <w:r w:rsidRPr="00B1674C">
        <w:rPr>
          <w:rStyle w:val="EndnoteReference"/>
          <w:rFonts w:eastAsia="Helvetica Neue"/>
        </w:rPr>
        <w:endnoteReference w:id="493"/>
      </w:r>
      <w:r w:rsidRPr="00B1674C">
        <w:rPr>
          <w:rStyle w:val="EndnoteReference"/>
          <w:rFonts w:eastAsia="Helvetica Neue"/>
        </w:rPr>
        <w:t xml:space="preserve"> </w:t>
      </w:r>
      <w:r w:rsidRPr="00B1674C">
        <w:rPr>
          <w:rFonts w:eastAsia="Helvetica Neue"/>
        </w:rPr>
        <w:t xml:space="preserve">to ensure that the provision of services meets quality of care standards. </w:t>
      </w:r>
    </w:p>
    <w:p w14:paraId="108D8F97" w14:textId="77777777" w:rsidR="00B1674C" w:rsidRDefault="00BC14E7" w:rsidP="006E6012">
      <w:pPr>
        <w:pStyle w:val="ListParagraph"/>
        <w:numPr>
          <w:ilvl w:val="0"/>
          <w:numId w:val="104"/>
        </w:numPr>
        <w:rPr>
          <w:rFonts w:eastAsia="Helvetica Neue"/>
        </w:rPr>
      </w:pPr>
      <w:r w:rsidRPr="00B1674C">
        <w:rPr>
          <w:rFonts w:eastAsia="Helvetica Neue"/>
        </w:rPr>
        <w:t xml:space="preserve">Recognize the variety of forms that forced contraception can take, including incentives, disincentives, pressure, biased counselling, and scolding or admonishing women or young persons with disabilities who are or wish to become sexually active or who wish to become parents. Train service providers on the various types of force so they can understand how their actions, words, and power imbalances can affect informed decision-making for service recipients with disabilities. </w:t>
      </w:r>
    </w:p>
    <w:p w14:paraId="58C2C86A" w14:textId="77777777" w:rsidR="00B1674C" w:rsidRDefault="00BC14E7" w:rsidP="006E6012">
      <w:pPr>
        <w:pStyle w:val="ListParagraph"/>
        <w:numPr>
          <w:ilvl w:val="0"/>
          <w:numId w:val="104"/>
        </w:numPr>
        <w:rPr>
          <w:rFonts w:eastAsia="Helvetica Neue"/>
        </w:rPr>
      </w:pPr>
      <w:r w:rsidRPr="00B1674C">
        <w:rPr>
          <w:rFonts w:eastAsia="Helvetica Neue"/>
        </w:rPr>
        <w:t xml:space="preserve">Develop service provision </w:t>
      </w:r>
      <w:r w:rsidRPr="00B1674C">
        <w:rPr>
          <w:rFonts w:eastAsia="Helvetica Neue"/>
          <w:bCs/>
        </w:rPr>
        <w:t>evidence-based protocols</w:t>
      </w:r>
      <w:r w:rsidRPr="00B1674C">
        <w:rPr>
          <w:rFonts w:eastAsia="Helvetica Neue"/>
        </w:rPr>
        <w:t>, along with safeguards, to ensure women and young persons with disabilities can provide informed consent for any contraceptive method, following informed counselling about risks and benefits of each method, including potential side effects and alternative contraceptive methods, and information on their use.</w:t>
      </w:r>
      <w:r w:rsidRPr="00A64CBE">
        <w:rPr>
          <w:rFonts w:eastAsia="Helvetica Neue"/>
          <w:vertAlign w:val="superscript"/>
        </w:rPr>
        <w:endnoteReference w:id="494"/>
      </w:r>
    </w:p>
    <w:p w14:paraId="5D88364B" w14:textId="77777777" w:rsidR="00B1674C" w:rsidRDefault="00BC14E7" w:rsidP="006E6012">
      <w:pPr>
        <w:pStyle w:val="ListParagraph"/>
        <w:numPr>
          <w:ilvl w:val="0"/>
          <w:numId w:val="104"/>
        </w:numPr>
        <w:rPr>
          <w:rFonts w:eastAsia="Helvetica Neue"/>
        </w:rPr>
      </w:pPr>
      <w:r w:rsidRPr="00B1674C">
        <w:rPr>
          <w:rFonts w:eastAsia="Helvetica Neue"/>
        </w:rPr>
        <w:t xml:space="preserve">Translate </w:t>
      </w:r>
      <w:r w:rsidRPr="00B1674C">
        <w:rPr>
          <w:rFonts w:eastAsia="Helvetica Neue"/>
          <w:bCs/>
        </w:rPr>
        <w:t>accurate, evidence-based information</w:t>
      </w:r>
      <w:r w:rsidRPr="00B1674C">
        <w:rPr>
          <w:rFonts w:eastAsia="Helvetica Neue"/>
        </w:rPr>
        <w:t xml:space="preserve"> about contraceptives into languages and formats that women and young persons with a range of disabilities can access and understand. Safeguard their right to access this information in an accessible and comfortable way.</w:t>
      </w:r>
      <w:r w:rsidRPr="00B1674C">
        <w:rPr>
          <w:rStyle w:val="EndnoteReference"/>
          <w:rFonts w:eastAsia="Helvetica Neue"/>
        </w:rPr>
        <w:endnoteReference w:id="495"/>
      </w:r>
      <w:r w:rsidRPr="00B1674C">
        <w:rPr>
          <w:rFonts w:eastAsia="Helvetica Neue"/>
          <w:b/>
        </w:rPr>
        <w:t xml:space="preserve"> </w:t>
      </w:r>
      <w:r w:rsidRPr="00B1674C">
        <w:rPr>
          <w:rFonts w:eastAsia="Helvetica Neue"/>
        </w:rPr>
        <w:t xml:space="preserve"> </w:t>
      </w:r>
    </w:p>
    <w:p w14:paraId="02D16F97" w14:textId="77777777" w:rsidR="00B1674C" w:rsidRDefault="00BC14E7" w:rsidP="006E6012">
      <w:pPr>
        <w:pStyle w:val="ListParagraph"/>
        <w:numPr>
          <w:ilvl w:val="0"/>
          <w:numId w:val="104"/>
        </w:numPr>
        <w:rPr>
          <w:rFonts w:eastAsia="Helvetica Neue"/>
        </w:rPr>
      </w:pPr>
      <w:r w:rsidRPr="00B1674C">
        <w:rPr>
          <w:rFonts w:eastAsia="Helvetica Neue"/>
        </w:rPr>
        <w:t xml:space="preserve">Ensure women and young persons with disabilities have information and access to a </w:t>
      </w:r>
      <w:r w:rsidRPr="00B1674C">
        <w:rPr>
          <w:rFonts w:eastAsia="Helvetica Neue"/>
          <w:bCs/>
        </w:rPr>
        <w:t>range of contraceptive methods</w:t>
      </w:r>
      <w:r w:rsidRPr="00B1674C">
        <w:rPr>
          <w:rFonts w:eastAsia="Helvetica Neue"/>
        </w:rPr>
        <w:t xml:space="preserve"> and that providers are trained to counsel persons with disabilities about the pros and cons of different methods, including as they may relate to the person’s disability.</w:t>
      </w:r>
      <w:r w:rsidRPr="00B1674C">
        <w:rPr>
          <w:rStyle w:val="EndnoteReference"/>
          <w:rFonts w:eastAsia="Helvetica Neue"/>
        </w:rPr>
        <w:endnoteReference w:id="496"/>
      </w:r>
      <w:r w:rsidRPr="00B1674C">
        <w:rPr>
          <w:rFonts w:eastAsia="Helvetica Neue"/>
        </w:rPr>
        <w:t xml:space="preserve">   </w:t>
      </w:r>
    </w:p>
    <w:p w14:paraId="5D9B25DA" w14:textId="08B6876C" w:rsidR="00BC14E7" w:rsidRPr="00B1674C" w:rsidRDefault="00BC14E7" w:rsidP="006E6012">
      <w:pPr>
        <w:pStyle w:val="ListParagraph"/>
        <w:numPr>
          <w:ilvl w:val="0"/>
          <w:numId w:val="104"/>
        </w:numPr>
        <w:rPr>
          <w:rFonts w:eastAsia="Helvetica Neue"/>
        </w:rPr>
      </w:pPr>
      <w:r w:rsidRPr="00B1674C">
        <w:rPr>
          <w:rFonts w:eastAsia="Helvetica Neue"/>
        </w:rPr>
        <w:t xml:space="preserve">Offer </w:t>
      </w:r>
      <w:r w:rsidRPr="00B1674C">
        <w:rPr>
          <w:rFonts w:eastAsia="Helvetica Neue"/>
          <w:bCs/>
        </w:rPr>
        <w:t>continuity of care</w:t>
      </w:r>
      <w:r w:rsidRPr="00B1674C">
        <w:rPr>
          <w:rFonts w:eastAsia="Helvetica Neue"/>
        </w:rPr>
        <w:t xml:space="preserve"> and </w:t>
      </w:r>
      <w:r w:rsidRPr="00B1674C">
        <w:rPr>
          <w:rFonts w:eastAsia="Helvetica Neue"/>
          <w:bCs/>
        </w:rPr>
        <w:t>follow-up</w:t>
      </w:r>
      <w:r w:rsidRPr="00B1674C">
        <w:rPr>
          <w:rFonts w:eastAsia="Helvetica Neue"/>
        </w:rPr>
        <w:t xml:space="preserve"> for women and young persons with disabilities by prioritizing follow-up of the management of potential side effects or efficacy of the chosen method, maintaining an ongoing relationship, integrated and coordinated services, and sharing information between providers. Ensure that service recipients understand how to follow-up after their appointment, if needed.</w:t>
      </w:r>
      <w:r w:rsidRPr="00B1674C">
        <w:rPr>
          <w:rStyle w:val="EndnoteReference"/>
          <w:rFonts w:eastAsia="Helvetica Neue"/>
        </w:rPr>
        <w:endnoteReference w:id="497"/>
      </w:r>
      <w:r w:rsidRPr="00B1674C">
        <w:rPr>
          <w:rFonts w:eastAsia="Helvetica Neue"/>
        </w:rPr>
        <w:t xml:space="preserve"> For example, if a woman with a disability lives in a nursing home, her provider should identify the best way to follow up with her to determine if the method chosen works for her lifestyle, share information with her consent with other providers both at the nursing home and outside of the home, and identify sources of follow-up care close to the home or who can come to the home.</w:t>
      </w:r>
      <w:r w:rsidRPr="00B1674C">
        <w:rPr>
          <w:rStyle w:val="EndnoteReference"/>
          <w:rFonts w:eastAsia="Helvetica Neue"/>
        </w:rPr>
        <w:t xml:space="preserve"> </w:t>
      </w:r>
      <w:r w:rsidRPr="00B1674C">
        <w:rPr>
          <w:rStyle w:val="EndnoteReference"/>
          <w:rFonts w:eastAsia="Helvetica Neue"/>
        </w:rPr>
        <w:endnoteReference w:id="498"/>
      </w:r>
      <w:r w:rsidRPr="00B1674C">
        <w:rPr>
          <w:rFonts w:eastAsia="Helvetica Neue"/>
        </w:rPr>
        <w:t xml:space="preserve">  </w:t>
      </w:r>
    </w:p>
    <w:p w14:paraId="2407FDD4" w14:textId="77777777" w:rsidR="00BC14E7" w:rsidRPr="00A64CBE" w:rsidRDefault="00BC14E7" w:rsidP="00B1674C">
      <w:pPr>
        <w:pStyle w:val="Heading3"/>
      </w:pPr>
      <w:r w:rsidRPr="00A64CBE">
        <w:lastRenderedPageBreak/>
        <w:t xml:space="preserve">4.3.3 </w:t>
      </w:r>
      <w:r w:rsidRPr="00A64CBE">
        <w:tab/>
        <w:t xml:space="preserve">Indicators </w:t>
      </w:r>
    </w:p>
    <w:p w14:paraId="4EF7A6DD" w14:textId="009E1230" w:rsidR="00BC14E7" w:rsidRPr="00A64CBE" w:rsidRDefault="00BC14E7" w:rsidP="007B7686">
      <w:pPr>
        <w:rPr>
          <w:rFonts w:ascii="Arial" w:eastAsia="Helvetica Neue" w:hAnsi="Arial" w:cs="Arial"/>
          <w:b/>
          <w:color w:val="000000"/>
        </w:rPr>
      </w:pPr>
      <w:r w:rsidRPr="00A64CBE">
        <w:rPr>
          <w:rFonts w:eastAsia="Helvetica Neue"/>
        </w:rPr>
        <w:t xml:space="preserve">The following are illustrative of indicators that can be used to monitor and evaluate progress in the provision of rights-based contraceptive services for women and young </w:t>
      </w:r>
      <w:r>
        <w:rPr>
          <w:rFonts w:eastAsia="Helvetica Neue"/>
        </w:rPr>
        <w:t>persons</w:t>
      </w:r>
      <w:r w:rsidRPr="00A64CBE">
        <w:rPr>
          <w:rFonts w:eastAsia="Helvetica Neue"/>
        </w:rPr>
        <w:t xml:space="preserve"> with disabilities. This is not an exhaustive list, but rather a few examples demonstrating the level of specificity, subjects, and form that indicators around contraceptive information, goods, and services should take. Service providers should tailor the indicators to fit their </w:t>
      </w:r>
      <w:proofErr w:type="spellStart"/>
      <w:r w:rsidRPr="00A64CBE">
        <w:rPr>
          <w:rFonts w:eastAsia="Helvetica Neue"/>
        </w:rPr>
        <w:t>programme</w:t>
      </w:r>
      <w:proofErr w:type="spellEnd"/>
      <w:r w:rsidRPr="00A64CBE">
        <w:rPr>
          <w:rFonts w:eastAsia="Helvetica Neue"/>
        </w:rPr>
        <w:t xml:space="preserve"> settings and levels, including by specifying at which level and by whom indicator data should be collected. </w:t>
      </w:r>
    </w:p>
    <w:p w14:paraId="1F6A310B" w14:textId="77777777" w:rsidR="00B1674C" w:rsidRPr="00B1674C" w:rsidRDefault="00BC14E7" w:rsidP="006E6012">
      <w:pPr>
        <w:pStyle w:val="ListParagraph"/>
        <w:numPr>
          <w:ilvl w:val="0"/>
          <w:numId w:val="105"/>
        </w:numPr>
        <w:rPr>
          <w:b/>
        </w:rPr>
      </w:pPr>
      <w:r w:rsidRPr="00B1674C">
        <w:rPr>
          <w:rFonts w:eastAsia="Helvetica Neue"/>
        </w:rPr>
        <w:t>At least five modern contraceptive methods are available, and information about their use is available in accessible formats.</w:t>
      </w:r>
      <w:r w:rsidRPr="00B1674C">
        <w:rPr>
          <w:rStyle w:val="EndnoteReference"/>
          <w:rFonts w:eastAsia="Helvetica Neue"/>
        </w:rPr>
        <w:endnoteReference w:id="499"/>
      </w:r>
    </w:p>
    <w:p w14:paraId="1B466593" w14:textId="77777777" w:rsidR="00B1674C" w:rsidRPr="00B1674C" w:rsidRDefault="00BC14E7" w:rsidP="006E6012">
      <w:pPr>
        <w:pStyle w:val="ListParagraph"/>
        <w:numPr>
          <w:ilvl w:val="0"/>
          <w:numId w:val="105"/>
        </w:numPr>
        <w:rPr>
          <w:b/>
        </w:rPr>
      </w:pPr>
      <w:r w:rsidRPr="00B1674C">
        <w:rPr>
          <w:rFonts w:eastAsia="Helvetica Neue"/>
        </w:rPr>
        <w:t>Emergency contraception and condoms are available to women and young persons with disabilities (disaggregated by number of new users, by method and age).</w:t>
      </w:r>
    </w:p>
    <w:p w14:paraId="379F4F8A" w14:textId="77777777" w:rsidR="00B1674C" w:rsidRPr="00B1674C" w:rsidRDefault="00BC14E7" w:rsidP="006E6012">
      <w:pPr>
        <w:pStyle w:val="ListParagraph"/>
        <w:numPr>
          <w:ilvl w:val="0"/>
          <w:numId w:val="105"/>
        </w:numPr>
        <w:rPr>
          <w:b/>
        </w:rPr>
      </w:pPr>
      <w:r w:rsidRPr="00B1674C">
        <w:rPr>
          <w:rFonts w:eastAsia="Helvetica Neue"/>
        </w:rPr>
        <w:t xml:space="preserve">Percentage of clients who are women with disabilities in need of and receiving contraceptive services (disaggregated by disability, age, and method being used). </w:t>
      </w:r>
    </w:p>
    <w:p w14:paraId="72D51E86" w14:textId="77777777" w:rsidR="00B1674C" w:rsidRPr="00B1674C" w:rsidRDefault="00BC14E7" w:rsidP="006E6012">
      <w:pPr>
        <w:pStyle w:val="ListParagraph"/>
        <w:numPr>
          <w:ilvl w:val="0"/>
          <w:numId w:val="105"/>
        </w:numPr>
        <w:rPr>
          <w:b/>
        </w:rPr>
      </w:pPr>
      <w:r w:rsidRPr="00B1674C">
        <w:rPr>
          <w:rFonts w:eastAsia="Helvetica Neue"/>
        </w:rPr>
        <w:t xml:space="preserve">All service providers and support staff receive training on working with women with disabilities. </w:t>
      </w:r>
    </w:p>
    <w:p w14:paraId="33BBCBB0" w14:textId="77777777" w:rsidR="00B1674C" w:rsidRPr="00B1674C" w:rsidRDefault="00BC14E7" w:rsidP="006E6012">
      <w:pPr>
        <w:pStyle w:val="ListParagraph"/>
        <w:numPr>
          <w:ilvl w:val="0"/>
          <w:numId w:val="105"/>
        </w:numPr>
        <w:rPr>
          <w:b/>
        </w:rPr>
      </w:pPr>
      <w:r w:rsidRPr="00B1674C">
        <w:rPr>
          <w:rFonts w:eastAsia="Helvetica Neue"/>
        </w:rPr>
        <w:t xml:space="preserve">All service providers and support staff receive training on working with young persons with disabilities. </w:t>
      </w:r>
    </w:p>
    <w:p w14:paraId="19CB4A68" w14:textId="49288D26" w:rsidR="00BC14E7" w:rsidRPr="00B1674C" w:rsidRDefault="00BC14E7" w:rsidP="006E6012">
      <w:pPr>
        <w:pStyle w:val="ListParagraph"/>
        <w:numPr>
          <w:ilvl w:val="0"/>
          <w:numId w:val="105"/>
        </w:numPr>
        <w:rPr>
          <w:b/>
        </w:rPr>
      </w:pPr>
      <w:r w:rsidRPr="00B1674C">
        <w:rPr>
          <w:rFonts w:eastAsia="Helvetica Neue"/>
        </w:rPr>
        <w:t xml:space="preserve">Compliance with quality standards for the delivery of contraceptive services to adolescents and youth that include young persons with disabilities. </w:t>
      </w:r>
    </w:p>
    <w:p w14:paraId="35695E04" w14:textId="26249259" w:rsidR="00BC14E7" w:rsidRPr="00A64CBE" w:rsidRDefault="00BC14E7" w:rsidP="005B7432">
      <w:pPr>
        <w:pStyle w:val="Heading2"/>
        <w:spacing w:before="480" w:after="120"/>
        <w:ind w:left="547" w:right="-180" w:hanging="547"/>
      </w:pPr>
      <w:bookmarkStart w:id="25" w:name="SRHRmaternal"/>
      <w:r w:rsidRPr="00A64CBE">
        <w:t xml:space="preserve">4.4 </w:t>
      </w:r>
      <w:r w:rsidRPr="00A64CBE">
        <w:tab/>
      </w:r>
      <w:bookmarkEnd w:id="25"/>
      <w:r w:rsidRPr="00A64CBE">
        <w:t>Maternal and Newborn Health Services for Women and Adolescent Girls with Disabilities</w:t>
      </w:r>
    </w:p>
    <w:p w14:paraId="4B44775F" w14:textId="77777777" w:rsidR="00BC14E7" w:rsidRPr="00A64CBE" w:rsidRDefault="00BC14E7" w:rsidP="00B1674C">
      <w:pPr>
        <w:pStyle w:val="Heading3"/>
      </w:pPr>
      <w:r w:rsidRPr="00A64CBE">
        <w:t xml:space="preserve">4.4.1 </w:t>
      </w:r>
      <w:r w:rsidRPr="00A64CBE">
        <w:tab/>
      </w:r>
      <w:r w:rsidRPr="00B1674C">
        <w:t>Issue</w:t>
      </w:r>
      <w:r w:rsidRPr="00A64CBE">
        <w:t xml:space="preserve"> Overview </w:t>
      </w:r>
    </w:p>
    <w:p w14:paraId="6A1635BB" w14:textId="77777777" w:rsidR="00BC14E7" w:rsidRPr="00A64CBE" w:rsidRDefault="00BC14E7" w:rsidP="00B1674C">
      <w:pPr>
        <w:rPr>
          <w:rFonts w:eastAsia="Helvetica Neue"/>
        </w:rPr>
      </w:pPr>
      <w:r w:rsidRPr="00A64CBE">
        <w:rPr>
          <w:rFonts w:eastAsia="Helvetica Neue"/>
        </w:rPr>
        <w:t xml:space="preserve">Women and adolescent girls with disabilities have a right to access the full range of maternal and newborn health services during the perinatal period, including </w:t>
      </w:r>
      <w:r w:rsidRPr="002F5A51">
        <w:rPr>
          <w:rFonts w:eastAsia="Helvetica Neue"/>
        </w:rPr>
        <w:t>information, goods, and services to prevent unintended pregnancy; post-abortion care; antenatal care; skilled birth attendance; emergency obstetric care; post-partum care; and newborn care.</w:t>
      </w:r>
      <w:r w:rsidRPr="00A64CBE">
        <w:rPr>
          <w:rFonts w:eastAsia="Helvetica Neue"/>
        </w:rPr>
        <w:t xml:space="preserve"> These essential services are critical to ensuring safe pregnancy and delivery for women with disabilities and can also help prevent the majority of maternal and newborn deaths or disability.</w:t>
      </w:r>
      <w:r w:rsidRPr="00B1674C">
        <w:rPr>
          <w:rStyle w:val="EndnoteReference"/>
          <w:rFonts w:eastAsia="Helvetica Neue"/>
        </w:rPr>
        <w:endnoteReference w:id="500"/>
      </w:r>
      <w:r w:rsidRPr="00A64CBE">
        <w:rPr>
          <w:rFonts w:eastAsia="Helvetica Neue"/>
        </w:rPr>
        <w:t xml:space="preserve"> Women and adolescent girls with disabilities must also have access to the components of a healthy pregnancy (e.g. potable water, education, sufficient nutrition, diagnosis and treatment of STIs (including HIV &amp; AIDS, syphilis, HPV, and non-communicable diseases) to promote safe pregnancy and reduce the risk of pregnancy-related death and disability. </w:t>
      </w:r>
    </w:p>
    <w:p w14:paraId="49DE4D5D" w14:textId="77777777" w:rsidR="00BC14E7" w:rsidRPr="00A64CBE" w:rsidRDefault="00BC14E7" w:rsidP="00A34370">
      <w:pPr>
        <w:pStyle w:val="Heading3"/>
        <w:ind w:left="720" w:hanging="720"/>
        <w:rPr>
          <w:u w:val="single"/>
        </w:rPr>
      </w:pPr>
      <w:r w:rsidRPr="00A64CBE">
        <w:lastRenderedPageBreak/>
        <w:t xml:space="preserve">4.4.2 </w:t>
      </w:r>
      <w:r w:rsidRPr="00A64CBE">
        <w:tab/>
      </w:r>
      <w:r w:rsidRPr="00B1674C">
        <w:t>Guidelines</w:t>
      </w:r>
      <w:r w:rsidRPr="00A64CBE">
        <w:t xml:space="preserve"> on Providing Rights-Based Maternal and Newborn Health Services for Women and Adolescent Girls with Disabilities</w:t>
      </w:r>
    </w:p>
    <w:p w14:paraId="7EA64AF7" w14:textId="77777777" w:rsidR="00BC14E7" w:rsidRPr="00A64CBE" w:rsidRDefault="00BC14E7" w:rsidP="004E2A2B">
      <w:pPr>
        <w:rPr>
          <w:rFonts w:eastAsia="Helvetica Neue"/>
        </w:rPr>
      </w:pPr>
      <w:r w:rsidRPr="00A64CBE">
        <w:rPr>
          <w:rFonts w:eastAsia="Helvetica Neue"/>
        </w:rPr>
        <w:t xml:space="preserve">The key considerations enumerated here identify common barriers that women, including adolescent girls, with disabilities face in accessing the full array of maternal and newborn health services. The guidelines for action offer guidance for ensuring that rights-based maternal and newborn health services to women and adolescent girls with disabilities are available, accessible, acceptable, and of good quality. These guidelines for action build on the Foundational Guidelines for Action identified in </w:t>
      </w:r>
      <w:r w:rsidRPr="002F5A51">
        <w:rPr>
          <w:rFonts w:eastAsia="Helvetica Neue"/>
          <w:b/>
        </w:rPr>
        <w:t>Chapter 2</w:t>
      </w:r>
      <w:r w:rsidRPr="00A64CBE">
        <w:rPr>
          <w:rFonts w:eastAsia="Helvetica Neue"/>
        </w:rPr>
        <w:t xml:space="preserve"> and are not exhaustive but provide a starting point for developing disability-inclusive services and programmes.</w:t>
      </w:r>
    </w:p>
    <w:p w14:paraId="55A9406E" w14:textId="0E2E338A" w:rsidR="00BC14E7" w:rsidRPr="00A64CBE" w:rsidRDefault="00BC14E7" w:rsidP="004E2A2B">
      <w:pPr>
        <w:pStyle w:val="Heading4"/>
        <w:rPr>
          <w:rFonts w:eastAsia="Helvetica Neue"/>
        </w:rPr>
      </w:pPr>
      <w:r w:rsidRPr="00A64CBE">
        <w:rPr>
          <w:rFonts w:eastAsia="Helvetica Neue"/>
        </w:rPr>
        <w:t>Key Considerations</w:t>
      </w:r>
    </w:p>
    <w:p w14:paraId="5919A037" w14:textId="77777777" w:rsidR="00BC14E7" w:rsidRPr="00A64CBE" w:rsidRDefault="00BC14E7" w:rsidP="006E6012">
      <w:pPr>
        <w:pStyle w:val="ListParagraph"/>
        <w:numPr>
          <w:ilvl w:val="0"/>
          <w:numId w:val="106"/>
        </w:numPr>
      </w:pPr>
      <w:r w:rsidRPr="004E2A2B">
        <w:rPr>
          <w:rFonts w:eastAsia="Helvetica Neue"/>
        </w:rPr>
        <w:t>Laws and policies that restrict the parental rights of women with disabilities can deter them from accessing maternal and newborn health services. For instance, if women with disabilities fear that they may lose custody of their children, they may refrain from seeking prenatal care or skilled attendance during birth.</w:t>
      </w:r>
    </w:p>
    <w:p w14:paraId="4724392B" w14:textId="77777777" w:rsidR="00BC14E7" w:rsidRPr="00A64CBE" w:rsidRDefault="00BC14E7" w:rsidP="006E6012">
      <w:pPr>
        <w:pStyle w:val="ListParagraph"/>
        <w:numPr>
          <w:ilvl w:val="0"/>
          <w:numId w:val="106"/>
        </w:numPr>
      </w:pPr>
      <w:r w:rsidRPr="004E2A2B">
        <w:rPr>
          <w:rFonts w:eastAsia="Helvetica Neue"/>
        </w:rPr>
        <w:t>Women with disabilities frequently encounter substandard care, including discrimination and abusive treatment, when accessing maternal and newborn health services.</w:t>
      </w:r>
      <w:r w:rsidRPr="00B1674C">
        <w:rPr>
          <w:rStyle w:val="EndnoteReference"/>
          <w:rFonts w:eastAsia="Helvetica Neue"/>
        </w:rPr>
        <w:endnoteReference w:id="501"/>
      </w:r>
      <w:r w:rsidRPr="004E2A2B">
        <w:rPr>
          <w:rFonts w:eastAsia="Helvetica Neue"/>
        </w:rPr>
        <w:t xml:space="preserve"> Negative attitudes about women with disabilities having and raising children can deter them from utilizing these vital services.</w:t>
      </w:r>
    </w:p>
    <w:p w14:paraId="53B202A2" w14:textId="77777777" w:rsidR="00BC14E7" w:rsidRPr="00A64CBE" w:rsidRDefault="00BC14E7" w:rsidP="006E6012">
      <w:pPr>
        <w:pStyle w:val="ListParagraph"/>
        <w:numPr>
          <w:ilvl w:val="0"/>
          <w:numId w:val="106"/>
        </w:numPr>
      </w:pPr>
      <w:r w:rsidRPr="004E2A2B">
        <w:rPr>
          <w:rFonts w:eastAsia="Helvetica Neue"/>
        </w:rPr>
        <w:t>Women with physical disabilities are often told they must give birth by caesarean section, despite the fact that this is not always necessary,</w:t>
      </w:r>
      <w:r w:rsidRPr="00B1674C">
        <w:rPr>
          <w:rStyle w:val="EndnoteReference"/>
          <w:rFonts w:eastAsia="Helvetica Neue"/>
        </w:rPr>
        <w:endnoteReference w:id="502"/>
      </w:r>
      <w:r w:rsidRPr="004E2A2B">
        <w:rPr>
          <w:rFonts w:eastAsia="Helvetica Neue"/>
        </w:rPr>
        <w:t xml:space="preserve"> leading to overuse of surgical procedures.</w:t>
      </w:r>
    </w:p>
    <w:p w14:paraId="6F1BDCC9" w14:textId="77777777" w:rsidR="00BC14E7" w:rsidRPr="00A64CBE" w:rsidRDefault="00BC14E7" w:rsidP="006E6012">
      <w:pPr>
        <w:pStyle w:val="ListParagraph"/>
        <w:numPr>
          <w:ilvl w:val="0"/>
          <w:numId w:val="106"/>
        </w:numPr>
      </w:pPr>
      <w:r w:rsidRPr="004E2A2B">
        <w:rPr>
          <w:rFonts w:eastAsia="Helvetica Neue"/>
        </w:rPr>
        <w:t>Women with disabilities often lack access to information about maternal and newborn healthcare and services. For example, stereotypes that women with disabilities are asexual or that they should not become parents can lead service providers and support staff to overlook their need for counselling on safe pregnancy and on preventing unintended pregnancy.</w:t>
      </w:r>
    </w:p>
    <w:p w14:paraId="1AF2065B" w14:textId="77777777" w:rsidR="00BC14E7" w:rsidRPr="00A64CBE" w:rsidRDefault="00BC14E7" w:rsidP="006E6012">
      <w:pPr>
        <w:pStyle w:val="ListParagraph"/>
        <w:numPr>
          <w:ilvl w:val="0"/>
          <w:numId w:val="106"/>
        </w:numPr>
      </w:pPr>
      <w:r w:rsidRPr="004E2A2B">
        <w:rPr>
          <w:rFonts w:eastAsia="Helvetica Neue"/>
        </w:rPr>
        <w:t>Materials about maternal and newborn health are regularly unavailable in alternative formats that are accessible to women with certain disabilities.</w:t>
      </w:r>
    </w:p>
    <w:p w14:paraId="51EA83EF" w14:textId="77777777" w:rsidR="00BC14E7" w:rsidRPr="00A64CBE" w:rsidRDefault="00BC14E7" w:rsidP="006E6012">
      <w:pPr>
        <w:pStyle w:val="ListParagraph"/>
        <w:numPr>
          <w:ilvl w:val="0"/>
          <w:numId w:val="106"/>
        </w:numPr>
      </w:pPr>
      <w:r w:rsidRPr="004E2A2B">
        <w:rPr>
          <w:rFonts w:eastAsia="Helvetica Neue"/>
        </w:rPr>
        <w:t>Several factors, including disability, gender, language, culture, age, sexuality, and negative attitudes held by service providers and support staff, can contribute to communication barriers.</w:t>
      </w:r>
      <w:r w:rsidRPr="00B1674C">
        <w:rPr>
          <w:rStyle w:val="EndnoteReference"/>
          <w:rFonts w:eastAsia="Helvetica Neue"/>
        </w:rPr>
        <w:endnoteReference w:id="503"/>
      </w:r>
      <w:r w:rsidRPr="004E2A2B">
        <w:rPr>
          <w:rFonts w:eastAsia="Helvetica Neue"/>
        </w:rPr>
        <w:t xml:space="preserve"> Because of these conscious or unconscious biases, a woman may not receive important information for her maternal health or newborn care. </w:t>
      </w:r>
    </w:p>
    <w:p w14:paraId="2CD44E7A" w14:textId="77777777" w:rsidR="00BC14E7" w:rsidRPr="00A64CBE" w:rsidRDefault="00BC14E7" w:rsidP="006E6012">
      <w:pPr>
        <w:pStyle w:val="ListParagraph"/>
        <w:numPr>
          <w:ilvl w:val="0"/>
          <w:numId w:val="106"/>
        </w:numPr>
      </w:pPr>
      <w:r w:rsidRPr="004E2A2B">
        <w:rPr>
          <w:rFonts w:eastAsia="Helvetica Neue"/>
        </w:rPr>
        <w:t>Formal and informal user fees in health facilities, as well as indirect costs for transportation and accommodation, can make accessing quality maternal and newborn health services prohibitively expensive for women with disabilities.</w:t>
      </w:r>
    </w:p>
    <w:p w14:paraId="67D37250" w14:textId="77777777" w:rsidR="00BC14E7" w:rsidRPr="00A64CBE" w:rsidRDefault="00BC14E7" w:rsidP="006E6012">
      <w:pPr>
        <w:pStyle w:val="ListParagraph"/>
        <w:numPr>
          <w:ilvl w:val="0"/>
          <w:numId w:val="106"/>
        </w:numPr>
      </w:pPr>
      <w:r w:rsidRPr="004E2A2B">
        <w:rPr>
          <w:rFonts w:eastAsia="Helvetica Neue"/>
        </w:rPr>
        <w:t>The costs associated with underlying determinants of healthy pregnancy, including good nutrition, clean water, habitation, and sanitation, can also jeopardize the ability of women with disabilities to have safe pregnancies.</w:t>
      </w:r>
    </w:p>
    <w:p w14:paraId="6EB9596D" w14:textId="1AF4D1DE" w:rsidR="004E2A2B" w:rsidRPr="00A34370" w:rsidRDefault="00EF7A4E" w:rsidP="00EF7A4E">
      <w:pPr>
        <w:pStyle w:val="Heading4"/>
        <w:ind w:hanging="90"/>
        <w:rPr>
          <w:sz w:val="32"/>
          <w:szCs w:val="32"/>
        </w:rPr>
      </w:pPr>
      <w:r w:rsidRPr="00B92BF0">
        <w:rPr>
          <w:noProof/>
        </w:rPr>
        <w:lastRenderedPageBreak/>
        <mc:AlternateContent>
          <mc:Choice Requires="wps">
            <w:drawing>
              <wp:inline distT="0" distB="0" distL="0" distR="0" wp14:anchorId="3D23E892" wp14:editId="259E085A">
                <wp:extent cx="5943600" cy="0"/>
                <wp:effectExtent l="0" t="38100" r="25400" b="38100"/>
                <wp:docPr id="9" name="Straight Connector 9" descr="Text box follows"/>
                <wp:cNvGraphicFramePr/>
                <a:graphic xmlns:a="http://schemas.openxmlformats.org/drawingml/2006/main">
                  <a:graphicData uri="http://schemas.microsoft.com/office/word/2010/wordprocessingShape">
                    <wps:wsp>
                      <wps:cNvCnPr/>
                      <wps:spPr>
                        <a:xfrm>
                          <a:off x="0" y="0"/>
                          <a:ext cx="5943600" cy="0"/>
                        </a:xfrm>
                        <a:prstGeom prst="line">
                          <a:avLst/>
                        </a:prstGeom>
                        <a:ln w="76200">
                          <a:solidFill>
                            <a:schemeClr val="accent6">
                              <a:lumMod val="75000"/>
                            </a:schemeClr>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35957A48" id="Straight Connector 9" o:spid="_x0000_s1026" alt="Text box foll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" strokecolor="#e36c0a [2409]" strokeweight="6pt">
                <w10:anchorlock/>
              </v:line>
            </w:pict>
          </mc:Fallback>
        </mc:AlternateContent>
      </w:r>
      <w:r>
        <w:rPr>
          <w:noProof/>
        </w:rPr>
        <w:br/>
      </w:r>
      <w:r w:rsidRPr="008304B7">
        <w:rPr>
          <w:noProof/>
          <w:sz w:val="16"/>
          <w:szCs w:val="16"/>
        </w:rPr>
        <w:br/>
      </w:r>
      <w:r w:rsidRPr="00CE152F">
        <w:rPr>
          <w:noProof/>
          <w:color w:val="E36C0A" w:themeColor="accent6" w:themeShade="BF"/>
          <w:sz w:val="32"/>
          <w:szCs w:val="32"/>
        </w:rPr>
        <w:t>Spotlight Issue—</w:t>
      </w:r>
      <w:r w:rsidR="00BC14E7" w:rsidRPr="00CE152F">
        <w:rPr>
          <w:color w:val="E36C0A" w:themeColor="accent6" w:themeShade="BF"/>
          <w:sz w:val="32"/>
          <w:szCs w:val="32"/>
        </w:rPr>
        <w:t>Obstetric Fistula</w:t>
      </w:r>
    </w:p>
    <w:p w14:paraId="702A08A9" w14:textId="77777777" w:rsidR="00EF7A4E" w:rsidRDefault="00BC14E7" w:rsidP="00EF7A4E">
      <w:pPr>
        <w:rPr>
          <w:rFonts w:eastAsia="Helvetica Neue"/>
          <w:b/>
          <w:u w:val="single"/>
        </w:rPr>
      </w:pPr>
      <w:r w:rsidRPr="002B53C4">
        <w:rPr>
          <w:rFonts w:eastAsia="Helvetica Neue"/>
        </w:rPr>
        <w:t xml:space="preserve">An obstetric fistula is “a hole between the birth canal and bladder or rectum caused by prolonged, obstructed </w:t>
      </w:r>
      <w:r w:rsidRPr="002B53C4">
        <w:rPr>
          <w:rFonts w:eastAsia="Helvetica Neue"/>
          <w:lang w:val="en-GB"/>
        </w:rPr>
        <w:t>labour</w:t>
      </w:r>
      <w:r w:rsidRPr="002B53C4">
        <w:rPr>
          <w:rFonts w:eastAsia="Helvetica Neue"/>
        </w:rPr>
        <w:t>, without access to timely, high-quality medical treatment [e.g. a Caesarean section]”</w:t>
      </w:r>
      <w:r w:rsidRPr="001F6FF2">
        <w:rPr>
          <w:rFonts w:eastAsia="Helvetica Neue"/>
        </w:rPr>
        <w:t>.</w:t>
      </w:r>
      <w:r w:rsidRPr="00B1674C">
        <w:rPr>
          <w:rStyle w:val="EndnoteReference"/>
          <w:rFonts w:eastAsia="Helvetica Neue"/>
        </w:rPr>
        <w:endnoteReference w:id="504"/>
      </w:r>
      <w:r w:rsidRPr="00A64CBE">
        <w:rPr>
          <w:rFonts w:eastAsia="Helvetica Neue"/>
        </w:rPr>
        <w:t xml:space="preserve"> Obstetric fistula is one of the most serious injuries that can occur during childbirth. Women and adolescent girls with disabilities are equally vulnerable to obstetric fistula as women without disabilities. In fact, they may often be more vulnerable due to poverty, physical complications relating to their disability, or structural impediments or complications resulting from their disability, including impaired ability to access health services. While the majority of obstetric fistula cases can be treated through surgery, research suggests that there is a very significant unmet need for fistula treatment. Currently, few healthcare facilities are able to provide high-quality fistula surgery, due to a lack of healthcare professionals with the necessary skills, essential equipment, and life-saving medical supplies. When services are available, many women are not aware of, cannot afford</w:t>
      </w:r>
      <w:r>
        <w:rPr>
          <w:rFonts w:eastAsia="Helvetica Neue"/>
        </w:rPr>
        <w:t>,</w:t>
      </w:r>
      <w:r w:rsidRPr="00A64CBE">
        <w:rPr>
          <w:rFonts w:eastAsia="Helvetica Neue"/>
        </w:rPr>
        <w:t xml:space="preserve"> or</w:t>
      </w:r>
      <w:r>
        <w:rPr>
          <w:rFonts w:eastAsia="Helvetica Neue"/>
        </w:rPr>
        <w:t xml:space="preserve"> are unable to</w:t>
      </w:r>
      <w:r w:rsidRPr="00A64CBE">
        <w:rPr>
          <w:rFonts w:eastAsia="Helvetica Neue"/>
        </w:rPr>
        <w:t xml:space="preserve"> reach these services due to barriers such as transportation costs. Most women who develop fistula will never receive treatment, given the current rate of progress. Additionally, there are some women and adolescent girls with fistula whose cases are deemed inoperable and incurable. </w:t>
      </w:r>
    </w:p>
    <w:p w14:paraId="2F8E4D8C" w14:textId="77777777" w:rsidR="00EF7A4E" w:rsidRDefault="00BC14E7" w:rsidP="00EF7A4E">
      <w:pPr>
        <w:rPr>
          <w:rFonts w:eastAsia="Helvetica Neue"/>
          <w:b/>
          <w:u w:val="single"/>
        </w:rPr>
      </w:pPr>
      <w:r w:rsidRPr="00A64CBE">
        <w:rPr>
          <w:rFonts w:eastAsia="Helvetica Neue"/>
        </w:rPr>
        <w:t xml:space="preserve">A woman with fistula is not only left incontinent but may also experience neurological disorders, </w:t>
      </w:r>
      <w:r w:rsidRPr="00A64CBE">
        <w:rPr>
          <w:rFonts w:eastAsia="Helvetica Neue"/>
          <w:lang w:val="en-GB"/>
        </w:rPr>
        <w:t>orthopaedic</w:t>
      </w:r>
      <w:r w:rsidRPr="00A64CBE">
        <w:rPr>
          <w:rFonts w:eastAsia="Helvetica Neue"/>
        </w:rPr>
        <w:t xml:space="preserve"> injury, bladder infections, painful sores, kidney failure, or infertility. Their isolation may affect their mental health, resulting in depression, low self-esteem and even suicide. The condition can also recur in women whose fistula has been surgically treated but who receive little or no medical follow-up and become pregnant again.</w:t>
      </w:r>
    </w:p>
    <w:p w14:paraId="1BCC0FAD" w14:textId="351CDE70" w:rsidR="00A92920" w:rsidRPr="00EF7A4E" w:rsidRDefault="00BC14E7" w:rsidP="00EF7A4E">
      <w:pPr>
        <w:rPr>
          <w:rFonts w:eastAsia="Helvetica Neue"/>
          <w:b/>
          <w:u w:val="single"/>
        </w:rPr>
      </w:pPr>
      <w:r w:rsidRPr="00A64CBE">
        <w:rPr>
          <w:rFonts w:eastAsia="Helvetica Neue"/>
        </w:rPr>
        <w:t>It should be noted that whether women and adolescent girls with fistula choose to classify themselves as a person with a disability is a personal choice and this choice must be respected accordingly. Service providers and support staff</w:t>
      </w:r>
      <w:r w:rsidRPr="00A64CBE" w:rsidDel="00B25836">
        <w:rPr>
          <w:rFonts w:eastAsia="Helvetica Neue"/>
        </w:rPr>
        <w:t xml:space="preserve"> </w:t>
      </w:r>
      <w:r w:rsidRPr="00A64CBE">
        <w:rPr>
          <w:rFonts w:eastAsia="Helvetica Neue"/>
        </w:rPr>
        <w:t xml:space="preserve">should educate themselves about obstetric fistula to better serve women and adolescent girls with disabilities. The Report of the UN Secretary-General on </w:t>
      </w:r>
      <w:r w:rsidRPr="0018197A">
        <w:rPr>
          <w:rFonts w:eastAsia="Helvetica Neue"/>
          <w:b/>
        </w:rPr>
        <w:t>‘</w:t>
      </w:r>
      <w:r w:rsidRPr="00A64CBE">
        <w:rPr>
          <w:rFonts w:eastAsia="Helvetica Neue"/>
          <w:b/>
        </w:rPr>
        <w:t>Intensifying Efforts to End Obstetric Fistula</w:t>
      </w:r>
      <w:r w:rsidRPr="0018197A">
        <w:rPr>
          <w:rFonts w:eastAsia="Helvetica Neue"/>
          <w:b/>
        </w:rPr>
        <w:t xml:space="preserve">’ </w:t>
      </w:r>
      <w:r w:rsidRPr="00A64CBE">
        <w:rPr>
          <w:rFonts w:eastAsia="Helvetica Neue"/>
        </w:rPr>
        <w:t>provides a comprehensive overview.</w:t>
      </w:r>
      <w:r w:rsidRPr="00B1674C">
        <w:rPr>
          <w:rStyle w:val="EndnoteReference"/>
          <w:rFonts w:eastAsia="Helvetica Neue"/>
        </w:rPr>
        <w:endnoteReference w:id="505"/>
      </w:r>
      <w:r w:rsidRPr="00A64CBE">
        <w:rPr>
          <w:rFonts w:eastAsia="Helvetica Neue"/>
        </w:rPr>
        <w:t xml:space="preserve"> </w:t>
      </w:r>
      <w:r w:rsidRPr="0018197A">
        <w:rPr>
          <w:rFonts w:eastAsia="Helvetica Neue"/>
        </w:rPr>
        <w:t xml:space="preserve">Other important reference documents are WHO’s </w:t>
      </w:r>
      <w:r w:rsidRPr="0018197A">
        <w:rPr>
          <w:rFonts w:eastAsia="Helvetica Neue"/>
          <w:b/>
        </w:rPr>
        <w:t xml:space="preserve">‘Obstetric Fistula: Guiding Principles for Clinical Management and </w:t>
      </w:r>
      <w:proofErr w:type="spellStart"/>
      <w:r w:rsidRPr="0018197A">
        <w:rPr>
          <w:rFonts w:eastAsia="Helvetica Neue"/>
          <w:b/>
        </w:rPr>
        <w:t>Programme</w:t>
      </w:r>
      <w:proofErr w:type="spellEnd"/>
      <w:r w:rsidRPr="0018197A">
        <w:rPr>
          <w:rFonts w:eastAsia="Helvetica Neue"/>
          <w:b/>
        </w:rPr>
        <w:t xml:space="preserve"> Development’</w:t>
      </w:r>
      <w:r w:rsidRPr="00B1674C">
        <w:rPr>
          <w:rStyle w:val="EndnoteReference"/>
          <w:rFonts w:eastAsia="Helvetica Neue"/>
        </w:rPr>
        <w:endnoteReference w:id="506"/>
      </w:r>
      <w:r w:rsidRPr="00A64CBE">
        <w:rPr>
          <w:rFonts w:eastAsia="Helvetica Neue"/>
        </w:rPr>
        <w:t xml:space="preserve"> </w:t>
      </w:r>
      <w:r w:rsidRPr="0018197A">
        <w:rPr>
          <w:rFonts w:eastAsia="Helvetica Neue"/>
        </w:rPr>
        <w:t xml:space="preserve">and </w:t>
      </w:r>
      <w:r w:rsidRPr="00A64CBE">
        <w:rPr>
          <w:rFonts w:eastAsia="Helvetica Neue"/>
        </w:rPr>
        <w:t>FIGO and partner</w:t>
      </w:r>
      <w:r w:rsidRPr="0018197A">
        <w:rPr>
          <w:rFonts w:eastAsia="Helvetica Neue"/>
        </w:rPr>
        <w:t>s</w:t>
      </w:r>
      <w:r w:rsidRPr="00A64CBE">
        <w:rPr>
          <w:rFonts w:eastAsia="Helvetica Neue"/>
        </w:rPr>
        <w:t>’</w:t>
      </w:r>
      <w:r w:rsidRPr="0018197A">
        <w:rPr>
          <w:rFonts w:eastAsia="Helvetica Neue"/>
        </w:rPr>
        <w:t xml:space="preserve"> </w:t>
      </w:r>
      <w:r w:rsidRPr="0018197A">
        <w:rPr>
          <w:rFonts w:eastAsia="Helvetica Neue"/>
          <w:b/>
        </w:rPr>
        <w:t>‘Global Competency-Based Fistula Surgery Training</w:t>
      </w:r>
      <w:r w:rsidRPr="00A64CBE">
        <w:rPr>
          <w:rFonts w:eastAsia="Helvetica Neue"/>
          <w:b/>
        </w:rPr>
        <w:t xml:space="preserve"> Manual</w:t>
      </w:r>
      <w:r w:rsidRPr="0018197A">
        <w:rPr>
          <w:rFonts w:eastAsia="Helvetica Neue"/>
          <w:b/>
        </w:rPr>
        <w:t>’</w:t>
      </w:r>
      <w:r w:rsidRPr="00A64CBE">
        <w:rPr>
          <w:rFonts w:eastAsia="Helvetica Neue"/>
          <w:b/>
        </w:rPr>
        <w:t>.</w:t>
      </w:r>
      <w:r w:rsidRPr="00B1674C">
        <w:rPr>
          <w:rStyle w:val="EndnoteReference"/>
          <w:rFonts w:eastAsia="Helvetica Neue"/>
        </w:rPr>
        <w:endnoteReference w:id="507"/>
      </w:r>
    </w:p>
    <w:p w14:paraId="2722E538" w14:textId="00C054AA" w:rsidR="00A34370" w:rsidRDefault="00A34370" w:rsidP="00CE152F">
      <w:pPr>
        <w:ind w:hanging="90"/>
        <w:rPr>
          <w:rFonts w:eastAsia="Helvetica Neue"/>
        </w:rPr>
      </w:pPr>
      <w:r w:rsidRPr="00A6697D">
        <w:rPr>
          <w:noProof/>
        </w:rPr>
        <mc:AlternateContent>
          <mc:Choice Requires="wps">
            <w:drawing>
              <wp:inline distT="0" distB="0" distL="0" distR="0" wp14:anchorId="6D7C9D86" wp14:editId="7BD8449D">
                <wp:extent cx="5943600" cy="0"/>
                <wp:effectExtent l="0" t="12700" r="25400" b="25400"/>
                <wp:docPr id="64" name="Straight Connector 64" descr="Text box ends"/>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chemeClr val="accent6">
                              <a:lumMod val="75000"/>
                            </a:schemeClr>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1C746D26" id="Straight Connector 64" o:spid="_x0000_s1026" alt="Text box end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" strokecolor="#e36c0a [2409]" strokeweight="3pt">
                <w10:anchorlock/>
              </v:line>
            </w:pict>
          </mc:Fallback>
        </mc:AlternateContent>
      </w:r>
    </w:p>
    <w:p w14:paraId="6C430B9C" w14:textId="65090C1F" w:rsidR="00BC14E7" w:rsidRPr="00A64CBE" w:rsidRDefault="00BC14E7" w:rsidP="00EF7A4E">
      <w:pPr>
        <w:pStyle w:val="Heading4"/>
        <w:spacing w:before="480"/>
        <w:rPr>
          <w:rFonts w:eastAsia="Helvetica Neue"/>
        </w:rPr>
      </w:pPr>
      <w:r w:rsidRPr="00A64CBE">
        <w:rPr>
          <w:rFonts w:eastAsia="Helvetica Neue"/>
        </w:rPr>
        <w:t xml:space="preserve">Guidelines for Action: Availability </w:t>
      </w:r>
    </w:p>
    <w:p w14:paraId="79C7AE04" w14:textId="77777777" w:rsidR="00D0026F" w:rsidRDefault="00BC14E7" w:rsidP="006E6012">
      <w:pPr>
        <w:pStyle w:val="ListParagraph"/>
        <w:numPr>
          <w:ilvl w:val="0"/>
          <w:numId w:val="107"/>
        </w:numPr>
        <w:rPr>
          <w:rFonts w:eastAsia="Helvetica Neue"/>
        </w:rPr>
      </w:pPr>
      <w:r w:rsidRPr="00D0026F">
        <w:rPr>
          <w:rFonts w:eastAsia="Helvetica Neue"/>
        </w:rPr>
        <w:t xml:space="preserve">Ensure that </w:t>
      </w:r>
      <w:r w:rsidRPr="00D0026F">
        <w:rPr>
          <w:rFonts w:eastAsia="Helvetica Neue"/>
          <w:bCs/>
        </w:rPr>
        <w:t xml:space="preserve">essential maternal and </w:t>
      </w:r>
      <w:r w:rsidRPr="00D0026F">
        <w:rPr>
          <w:rFonts w:eastAsia="Helvetica Neue"/>
          <w:bCs/>
          <w:lang w:val="en-US"/>
        </w:rPr>
        <w:t>newborn</w:t>
      </w:r>
      <w:r w:rsidRPr="00D0026F">
        <w:rPr>
          <w:rFonts w:eastAsia="Helvetica Neue"/>
          <w:bCs/>
        </w:rPr>
        <w:t xml:space="preserve"> services</w:t>
      </w:r>
      <w:r w:rsidRPr="00D0026F">
        <w:rPr>
          <w:rFonts w:eastAsia="Helvetica Neue"/>
        </w:rPr>
        <w:t xml:space="preserve"> are available to women and girls with disabilities during pregnancy, childbirth, and the time immediately after birth, as quality care during this period is critical for reducing maternal, </w:t>
      </w:r>
      <w:proofErr w:type="spellStart"/>
      <w:r w:rsidRPr="00D0026F">
        <w:rPr>
          <w:rFonts w:eastAsia="Helvetica Neue"/>
        </w:rPr>
        <w:t>fetal</w:t>
      </w:r>
      <w:proofErr w:type="spellEnd"/>
      <w:r w:rsidRPr="00D0026F">
        <w:rPr>
          <w:rFonts w:eastAsia="Helvetica Neue"/>
        </w:rPr>
        <w:t>, and neonatal death and injuries, and maintaining well-being.</w:t>
      </w:r>
      <w:r w:rsidRPr="00A64CBE">
        <w:rPr>
          <w:rFonts w:eastAsia="Helvetica Neue"/>
          <w:vertAlign w:val="superscript"/>
        </w:rPr>
        <w:endnoteReference w:id="508"/>
      </w:r>
      <w:r w:rsidRPr="00D0026F">
        <w:rPr>
          <w:rFonts w:eastAsia="Helvetica Neue"/>
        </w:rPr>
        <w:t xml:space="preserve"> Services should be in accordance with the following key recommendations tailored to the circumstances of the woman or adolescent and her specific disability:</w:t>
      </w:r>
    </w:p>
    <w:p w14:paraId="4535449C" w14:textId="77777777" w:rsidR="00D0026F" w:rsidRDefault="00BC14E7" w:rsidP="006E6012">
      <w:pPr>
        <w:pStyle w:val="ListParagraph"/>
        <w:numPr>
          <w:ilvl w:val="1"/>
          <w:numId w:val="107"/>
        </w:numPr>
        <w:rPr>
          <w:rFonts w:eastAsia="Helvetica Neue"/>
        </w:rPr>
      </w:pPr>
      <w:r w:rsidRPr="00D0026F">
        <w:rPr>
          <w:rFonts w:eastAsia="Helvetica Neue"/>
          <w:b/>
          <w:bCs/>
        </w:rPr>
        <w:t>‘WHO Recommendations on Maternal Health’</w:t>
      </w:r>
      <w:r w:rsidRPr="00B1674C">
        <w:rPr>
          <w:rStyle w:val="EndnoteReference"/>
          <w:rFonts w:eastAsia="Helvetica Neue"/>
        </w:rPr>
        <w:endnoteReference w:id="509"/>
      </w:r>
      <w:r w:rsidRPr="00D0026F">
        <w:rPr>
          <w:rFonts w:eastAsia="Helvetica Neue"/>
        </w:rPr>
        <w:t xml:space="preserve"> </w:t>
      </w:r>
    </w:p>
    <w:p w14:paraId="7D4FC7EF" w14:textId="77777777" w:rsidR="00D0026F" w:rsidRDefault="00BC14E7" w:rsidP="006E6012">
      <w:pPr>
        <w:pStyle w:val="ListParagraph"/>
        <w:numPr>
          <w:ilvl w:val="1"/>
          <w:numId w:val="107"/>
        </w:numPr>
        <w:rPr>
          <w:rFonts w:eastAsia="Helvetica Neue"/>
        </w:rPr>
      </w:pPr>
      <w:r w:rsidRPr="00D0026F">
        <w:rPr>
          <w:rFonts w:eastAsia="Helvetica Neue"/>
          <w:b/>
          <w:bCs/>
        </w:rPr>
        <w:lastRenderedPageBreak/>
        <w:t xml:space="preserve">‘WHO Recommendations on </w:t>
      </w:r>
      <w:proofErr w:type="spellStart"/>
      <w:r w:rsidRPr="00D0026F">
        <w:rPr>
          <w:rFonts w:eastAsia="Helvetica Neue"/>
          <w:b/>
          <w:bCs/>
        </w:rPr>
        <w:t>Newborn</w:t>
      </w:r>
      <w:proofErr w:type="spellEnd"/>
      <w:r w:rsidRPr="00D0026F">
        <w:rPr>
          <w:rFonts w:eastAsia="Helvetica Neue"/>
          <w:b/>
          <w:bCs/>
        </w:rPr>
        <w:t xml:space="preserve"> Health’</w:t>
      </w:r>
      <w:r w:rsidRPr="00B1674C">
        <w:rPr>
          <w:rStyle w:val="EndnoteReference"/>
          <w:rFonts w:eastAsia="Helvetica Neue"/>
        </w:rPr>
        <w:endnoteReference w:id="510"/>
      </w:r>
      <w:r w:rsidRPr="00D0026F">
        <w:rPr>
          <w:rFonts w:eastAsia="Helvetica Neue"/>
        </w:rPr>
        <w:t xml:space="preserve"> </w:t>
      </w:r>
    </w:p>
    <w:p w14:paraId="7B560F8C" w14:textId="77777777" w:rsidR="00D0026F" w:rsidRDefault="00BC14E7" w:rsidP="006E6012">
      <w:pPr>
        <w:pStyle w:val="ListParagraph"/>
        <w:numPr>
          <w:ilvl w:val="0"/>
          <w:numId w:val="107"/>
        </w:numPr>
        <w:rPr>
          <w:rFonts w:eastAsia="Helvetica Neue"/>
        </w:rPr>
      </w:pPr>
      <w:r w:rsidRPr="00D0026F">
        <w:rPr>
          <w:rFonts w:eastAsia="Helvetica Neue"/>
        </w:rPr>
        <w:t xml:space="preserve">Advocate for comprehensive health insurance and other social protection programmes that ensure the rights of women and young persons’ SRHR, including maternal and </w:t>
      </w:r>
      <w:proofErr w:type="spellStart"/>
      <w:r w:rsidRPr="00D0026F">
        <w:rPr>
          <w:rFonts w:eastAsia="Helvetica Neue"/>
        </w:rPr>
        <w:t>newborn</w:t>
      </w:r>
      <w:proofErr w:type="spellEnd"/>
      <w:r w:rsidRPr="00D0026F">
        <w:rPr>
          <w:rFonts w:eastAsia="Helvetica Neue"/>
        </w:rPr>
        <w:t xml:space="preserve"> health services, and budget accordingly.</w:t>
      </w:r>
      <w:r w:rsidRPr="00B1674C">
        <w:rPr>
          <w:rStyle w:val="EndnoteReference"/>
          <w:rFonts w:eastAsia="Helvetica Neue"/>
        </w:rPr>
        <w:endnoteReference w:id="511"/>
      </w:r>
      <w:r w:rsidRPr="00D0026F">
        <w:rPr>
          <w:rFonts w:eastAsia="Helvetica Neue"/>
        </w:rPr>
        <w:t xml:space="preserve"> </w:t>
      </w:r>
    </w:p>
    <w:p w14:paraId="2D082044" w14:textId="6B7953A3" w:rsidR="00DB2DC5" w:rsidRPr="002772C9" w:rsidRDefault="00BC14E7" w:rsidP="002772C9">
      <w:pPr>
        <w:pStyle w:val="ListParagraph"/>
        <w:numPr>
          <w:ilvl w:val="0"/>
          <w:numId w:val="107"/>
        </w:numPr>
        <w:rPr>
          <w:rFonts w:eastAsia="Helvetica Neue"/>
        </w:rPr>
      </w:pPr>
      <w:r w:rsidRPr="00D0026F">
        <w:rPr>
          <w:rFonts w:eastAsia="Helvetica Neue"/>
        </w:rPr>
        <w:t xml:space="preserve">Ensure </w:t>
      </w:r>
      <w:r w:rsidRPr="00D0026F">
        <w:rPr>
          <w:rFonts w:eastAsia="Helvetica Neue"/>
          <w:bCs/>
        </w:rPr>
        <w:t>maternity waiting homes</w:t>
      </w:r>
      <w:r w:rsidRPr="00D0026F">
        <w:rPr>
          <w:rFonts w:eastAsia="Helvetica Neue"/>
        </w:rPr>
        <w:t xml:space="preserve"> (residential facilities located near medical facilities where women with high-risk pregnancies can reside until their delivery) are available and accessible to women and adolescent girls with disabilities. Maternity waiting homes can help minimize the risk of complications for rural women and adolescent girls with disabilities, especially where accessible transportation is an issue.</w:t>
      </w:r>
    </w:p>
    <w:p w14:paraId="6A5B1289" w14:textId="71C8523F" w:rsidR="00BC14E7" w:rsidRPr="00A64CBE" w:rsidRDefault="00BC14E7" w:rsidP="00A34370">
      <w:pPr>
        <w:pStyle w:val="Heading4"/>
        <w:spacing w:before="480"/>
        <w:rPr>
          <w:rFonts w:eastAsia="Helvetica Neue"/>
        </w:rPr>
      </w:pPr>
      <w:r w:rsidRPr="00A64CBE">
        <w:rPr>
          <w:rFonts w:eastAsia="Helvetica Neue"/>
        </w:rPr>
        <w:t>Guidelines for Action: Accessibility</w:t>
      </w:r>
    </w:p>
    <w:p w14:paraId="127A1BF4" w14:textId="77777777" w:rsidR="00D0026F" w:rsidRDefault="00BC14E7" w:rsidP="006E6012">
      <w:pPr>
        <w:pStyle w:val="ListParagraph"/>
        <w:numPr>
          <w:ilvl w:val="0"/>
          <w:numId w:val="108"/>
        </w:numPr>
        <w:rPr>
          <w:rFonts w:eastAsia="Helvetica Neue"/>
        </w:rPr>
      </w:pPr>
      <w:r w:rsidRPr="00D0026F">
        <w:rPr>
          <w:rFonts w:eastAsia="Helvetica Neue"/>
        </w:rPr>
        <w:t xml:space="preserve">Develop programmes to educate, counsel and empower women and adolescent girls with disabilities about their rights to make </w:t>
      </w:r>
      <w:r w:rsidRPr="00D0026F">
        <w:rPr>
          <w:rFonts w:eastAsia="Helvetica Neue"/>
          <w:bCs/>
        </w:rPr>
        <w:t>informed and voluntary choices around pregnancy and motherhood</w:t>
      </w:r>
      <w:r w:rsidRPr="00D0026F">
        <w:rPr>
          <w:rFonts w:eastAsia="Helvetica Neue"/>
        </w:rPr>
        <w:t>, as well as how to access and navigate maternal health services throughout the perinatal period.</w:t>
      </w:r>
      <w:r w:rsidRPr="00B1674C">
        <w:rPr>
          <w:rStyle w:val="EndnoteReference"/>
          <w:rFonts w:eastAsia="Helvetica Neue"/>
        </w:rPr>
        <w:endnoteReference w:id="512"/>
      </w:r>
      <w:r w:rsidRPr="00D0026F">
        <w:rPr>
          <w:rFonts w:eastAsia="Helvetica Neue"/>
        </w:rPr>
        <w:t xml:space="preserve"> This is especially needed for women and adolescent girls with cognitive disabilities.</w:t>
      </w:r>
      <w:r w:rsidRPr="00B1674C">
        <w:rPr>
          <w:rStyle w:val="EndnoteReference"/>
          <w:rFonts w:eastAsia="Helvetica Neue"/>
        </w:rPr>
        <w:endnoteReference w:id="513"/>
      </w:r>
    </w:p>
    <w:p w14:paraId="4D5758A4" w14:textId="77777777" w:rsidR="00D0026F" w:rsidRDefault="00BC14E7" w:rsidP="006E6012">
      <w:pPr>
        <w:pStyle w:val="ListParagraph"/>
        <w:numPr>
          <w:ilvl w:val="1"/>
          <w:numId w:val="108"/>
        </w:numPr>
        <w:rPr>
          <w:rFonts w:eastAsia="Helvetica Neue"/>
        </w:rPr>
      </w:pPr>
      <w:r w:rsidRPr="00D0026F">
        <w:rPr>
          <w:rFonts w:eastAsia="Helvetica Neue"/>
          <w:b/>
        </w:rPr>
        <w:t>Example:</w:t>
      </w:r>
      <w:r w:rsidRPr="00D0026F">
        <w:rPr>
          <w:rFonts w:eastAsia="Helvetica Neue"/>
        </w:rPr>
        <w:t xml:space="preserve"> ‘</w:t>
      </w:r>
      <w:r w:rsidRPr="00D0026F">
        <w:rPr>
          <w:rFonts w:eastAsia="Helvetica Neue"/>
          <w:b/>
        </w:rPr>
        <w:t>The Disabled Woman’s Guide to Pregnancy and Birth’</w:t>
      </w:r>
      <w:r w:rsidRPr="00D0026F">
        <w:rPr>
          <w:rFonts w:eastAsia="Helvetica Neue"/>
          <w:i/>
        </w:rPr>
        <w:t xml:space="preserve"> </w:t>
      </w:r>
      <w:r w:rsidRPr="00D0026F">
        <w:rPr>
          <w:rFonts w:eastAsia="Helvetica Neue"/>
        </w:rPr>
        <w:t>by Judith Rogers is a comprehensive and practical resource for women with disabilities on how to plan for and have a child. The guide was developed based on interviews with ninety women with a wide range of disabilities who chose to have children. It is also a useful resource for service providers and support staff to better understand the experience of women with disabilities and maternal and newborn healthcare and how to better serve them.</w:t>
      </w:r>
      <w:r w:rsidRPr="00B1674C">
        <w:rPr>
          <w:rStyle w:val="EndnoteReference"/>
          <w:rFonts w:eastAsia="Helvetica Neue"/>
        </w:rPr>
        <w:endnoteReference w:id="514"/>
      </w:r>
      <w:r w:rsidRPr="00D0026F">
        <w:rPr>
          <w:rFonts w:eastAsia="Helvetica Neue"/>
        </w:rPr>
        <w:t xml:space="preserve"> </w:t>
      </w:r>
    </w:p>
    <w:p w14:paraId="06F781CE" w14:textId="77777777" w:rsidR="00D0026F" w:rsidRDefault="00BC14E7" w:rsidP="006E6012">
      <w:pPr>
        <w:pStyle w:val="ListParagraph"/>
        <w:numPr>
          <w:ilvl w:val="0"/>
          <w:numId w:val="108"/>
        </w:numPr>
        <w:rPr>
          <w:rFonts w:eastAsia="Helvetica Neue"/>
        </w:rPr>
      </w:pPr>
      <w:r w:rsidRPr="00D0026F">
        <w:rPr>
          <w:rFonts w:eastAsia="Helvetica Neue"/>
        </w:rPr>
        <w:t xml:space="preserve">Develop culturally-, disability-, and gender-sensitive </w:t>
      </w:r>
      <w:r w:rsidRPr="00D0026F">
        <w:rPr>
          <w:rFonts w:eastAsia="Helvetica Neue"/>
          <w:bCs/>
        </w:rPr>
        <w:t>antenatal classes</w:t>
      </w:r>
      <w:r w:rsidRPr="00D0026F">
        <w:rPr>
          <w:rFonts w:eastAsia="Helvetica Neue"/>
        </w:rPr>
        <w:t xml:space="preserve"> that can be taught by a range of service providers (e.g. midwives, community health workers, doctors, nurses) in all settings (e.g. rural communities, group homes) to address questions and considerations around pregnancy, labour, delivery, and the post-partum period for women and adolescent girls with disabilities.  Classes should cover possible adaptations to assist during labour and delivery and adaptive technologies that can support women and adolescent girls with disabilities through pregnancy, delivery, and parenting and help make these positive experiences.</w:t>
      </w:r>
      <w:r w:rsidRPr="00B1674C">
        <w:rPr>
          <w:rStyle w:val="EndnoteReference"/>
          <w:rFonts w:eastAsia="Helvetica Neue"/>
        </w:rPr>
        <w:endnoteReference w:id="515"/>
      </w:r>
      <w:r w:rsidRPr="00D0026F">
        <w:rPr>
          <w:rFonts w:eastAsia="Helvetica Neue"/>
        </w:rPr>
        <w:t xml:space="preserve"> </w:t>
      </w:r>
    </w:p>
    <w:p w14:paraId="7F1A8482" w14:textId="77777777" w:rsidR="00D0026F" w:rsidRDefault="00BC14E7" w:rsidP="006E6012">
      <w:pPr>
        <w:pStyle w:val="ListParagraph"/>
        <w:numPr>
          <w:ilvl w:val="0"/>
          <w:numId w:val="108"/>
        </w:numPr>
        <w:rPr>
          <w:rFonts w:eastAsia="Helvetica Neue"/>
        </w:rPr>
      </w:pPr>
      <w:r w:rsidRPr="00D0026F">
        <w:rPr>
          <w:rFonts w:eastAsia="Helvetica Neue"/>
        </w:rPr>
        <w:t xml:space="preserve">Create and implement a birth plan that accounts for any necessary accommodations for the woman or girl’s disability. </w:t>
      </w:r>
    </w:p>
    <w:p w14:paraId="0CEB35FA" w14:textId="77777777" w:rsidR="00D0026F" w:rsidRDefault="00BC14E7" w:rsidP="006E6012">
      <w:pPr>
        <w:pStyle w:val="ListParagraph"/>
        <w:numPr>
          <w:ilvl w:val="0"/>
          <w:numId w:val="108"/>
        </w:numPr>
        <w:rPr>
          <w:rFonts w:eastAsia="Helvetica Neue"/>
        </w:rPr>
      </w:pPr>
      <w:r w:rsidRPr="00D0026F">
        <w:rPr>
          <w:rFonts w:eastAsia="Helvetica Neue"/>
        </w:rPr>
        <w:t xml:space="preserve">Allow for a woman or girl’s partner, spouse, parent, personal assistant, or other support person of choice to accompany the woman or girl as a </w:t>
      </w:r>
      <w:r w:rsidRPr="00D0026F">
        <w:rPr>
          <w:rFonts w:eastAsia="Helvetica Neue"/>
          <w:bCs/>
        </w:rPr>
        <w:t>support throughout the process</w:t>
      </w:r>
      <w:r w:rsidRPr="00D0026F">
        <w:rPr>
          <w:rFonts w:eastAsia="Helvetica Neue"/>
        </w:rPr>
        <w:t xml:space="preserve">, both during and after labour and her stay in the health facility/hospital. Ask the woman or girl if she desires such support.  </w:t>
      </w:r>
    </w:p>
    <w:p w14:paraId="2F95B256" w14:textId="77777777" w:rsidR="00D0026F" w:rsidRDefault="00BC14E7" w:rsidP="006E6012">
      <w:pPr>
        <w:pStyle w:val="ListParagraph"/>
        <w:numPr>
          <w:ilvl w:val="0"/>
          <w:numId w:val="108"/>
        </w:numPr>
        <w:rPr>
          <w:rFonts w:eastAsia="Helvetica Neue"/>
        </w:rPr>
      </w:pPr>
      <w:r w:rsidRPr="00D0026F">
        <w:rPr>
          <w:rFonts w:eastAsia="Helvetica Neue"/>
        </w:rPr>
        <w:t xml:space="preserve">Offer alternative birthing positions and supports for women with physical disabilities. </w:t>
      </w:r>
    </w:p>
    <w:p w14:paraId="1CAC3D1B" w14:textId="77777777" w:rsidR="00D0026F" w:rsidRDefault="00BC14E7" w:rsidP="006E6012">
      <w:pPr>
        <w:pStyle w:val="ListParagraph"/>
        <w:numPr>
          <w:ilvl w:val="1"/>
          <w:numId w:val="108"/>
        </w:numPr>
        <w:rPr>
          <w:rFonts w:eastAsia="Helvetica Neue"/>
        </w:rPr>
      </w:pPr>
      <w:r w:rsidRPr="00D0026F">
        <w:rPr>
          <w:rFonts w:eastAsia="Helvetica Neue"/>
          <w:b/>
        </w:rPr>
        <w:t>Example:</w:t>
      </w:r>
      <w:r w:rsidRPr="00D0026F">
        <w:rPr>
          <w:rFonts w:eastAsia="Helvetica Neue"/>
        </w:rPr>
        <w:t xml:space="preserve"> Hesperian’s ‘</w:t>
      </w:r>
      <w:r w:rsidRPr="00D0026F">
        <w:rPr>
          <w:rFonts w:eastAsia="Helvetica Neue"/>
          <w:b/>
        </w:rPr>
        <w:t>A Health Handbook for Women with Disabilities’</w:t>
      </w:r>
      <w:r w:rsidRPr="00D0026F">
        <w:rPr>
          <w:rFonts w:eastAsia="Helvetica Neue"/>
        </w:rPr>
        <w:t xml:space="preserve"> offers a range of practical suggestions for home delivery and low resource settings on how women with a range of disabilities can make the birth process easier. Such as: </w:t>
      </w:r>
    </w:p>
    <w:p w14:paraId="6905988E" w14:textId="77777777" w:rsidR="00D0026F" w:rsidRDefault="00BC14E7" w:rsidP="006E6012">
      <w:pPr>
        <w:pStyle w:val="ListParagraph"/>
        <w:numPr>
          <w:ilvl w:val="2"/>
          <w:numId w:val="108"/>
        </w:numPr>
        <w:rPr>
          <w:rFonts w:eastAsia="Helvetica Neue"/>
        </w:rPr>
      </w:pPr>
      <w:r w:rsidRPr="00D0026F">
        <w:rPr>
          <w:rFonts w:eastAsia="Helvetica Neue"/>
        </w:rPr>
        <w:lastRenderedPageBreak/>
        <w:t>“If you have little or no leg or arm control, you can sit on a lap. Or you can rest on cushions in a half-sitting position.</w:t>
      </w:r>
    </w:p>
    <w:p w14:paraId="24B81CB3" w14:textId="77777777" w:rsidR="00D0026F" w:rsidRDefault="00BC14E7" w:rsidP="006E6012">
      <w:pPr>
        <w:pStyle w:val="ListParagraph"/>
        <w:numPr>
          <w:ilvl w:val="2"/>
          <w:numId w:val="108"/>
        </w:numPr>
        <w:rPr>
          <w:rFonts w:eastAsia="Helvetica Neue"/>
        </w:rPr>
      </w:pPr>
      <w:r w:rsidRPr="00D0026F">
        <w:rPr>
          <w:rFonts w:eastAsia="Helvetica Neue"/>
        </w:rPr>
        <w:t>If you have good arm and hand control, you can use a birthing chair [or] you can use a birthing chair with arm and back support[.]</w:t>
      </w:r>
    </w:p>
    <w:p w14:paraId="4AD6B3F2" w14:textId="77777777" w:rsidR="00D0026F" w:rsidRDefault="00BC14E7" w:rsidP="006E6012">
      <w:pPr>
        <w:pStyle w:val="ListParagraph"/>
        <w:numPr>
          <w:ilvl w:val="2"/>
          <w:numId w:val="108"/>
        </w:numPr>
        <w:rPr>
          <w:rFonts w:eastAsia="Helvetica Neue"/>
        </w:rPr>
      </w:pPr>
      <w:r w:rsidRPr="00D0026F">
        <w:rPr>
          <w:rFonts w:eastAsia="Helvetica Neue"/>
        </w:rPr>
        <w:t>With help, a woman with some leg control can squat or stand. The person or object that supports you must be strong and balanced. You can also hold onto the back of a chair. The squatting or standing positions can help bring the baby down when the birth is slow, or if the mother is having trouble with pushing.</w:t>
      </w:r>
    </w:p>
    <w:p w14:paraId="352CE371" w14:textId="77777777" w:rsidR="00D0026F" w:rsidRDefault="00BC14E7" w:rsidP="006E6012">
      <w:pPr>
        <w:pStyle w:val="ListParagraph"/>
        <w:numPr>
          <w:ilvl w:val="2"/>
          <w:numId w:val="108"/>
        </w:numPr>
        <w:rPr>
          <w:rFonts w:eastAsia="Helvetica Neue"/>
        </w:rPr>
      </w:pPr>
      <w:r w:rsidRPr="00D0026F">
        <w:rPr>
          <w:rFonts w:eastAsia="Helvetica Neue"/>
        </w:rPr>
        <w:t>If you have some leg and arm control, you may want to try the hands-and-knees position. This position sometimes also helps prevent and control muscle spasms.</w:t>
      </w:r>
    </w:p>
    <w:p w14:paraId="56247AE5" w14:textId="77777777" w:rsidR="00D0026F" w:rsidRDefault="00BC14E7" w:rsidP="006E6012">
      <w:pPr>
        <w:pStyle w:val="ListParagraph"/>
        <w:numPr>
          <w:ilvl w:val="2"/>
          <w:numId w:val="108"/>
        </w:numPr>
        <w:rPr>
          <w:rFonts w:eastAsia="Helvetica Neue"/>
        </w:rPr>
      </w:pPr>
      <w:r w:rsidRPr="00D0026F">
        <w:rPr>
          <w:rFonts w:eastAsia="Helvetica Neue"/>
        </w:rPr>
        <w:t>If you have little or no leg control, you can lie on your side while someone holds your top leg, with your legs bent or straight”.</w:t>
      </w:r>
      <w:r w:rsidRPr="00B1674C">
        <w:rPr>
          <w:rStyle w:val="EndnoteReference"/>
          <w:rFonts w:eastAsia="Helvetica Neue"/>
        </w:rPr>
        <w:endnoteReference w:id="516"/>
      </w:r>
    </w:p>
    <w:p w14:paraId="2C53C945" w14:textId="77777777" w:rsidR="00D0026F" w:rsidRDefault="00BC14E7" w:rsidP="006E6012">
      <w:pPr>
        <w:pStyle w:val="ListParagraph"/>
        <w:numPr>
          <w:ilvl w:val="0"/>
          <w:numId w:val="108"/>
        </w:numPr>
        <w:rPr>
          <w:rFonts w:eastAsia="Helvetica Neue"/>
        </w:rPr>
      </w:pPr>
      <w:r w:rsidRPr="00D0026F">
        <w:rPr>
          <w:rFonts w:eastAsia="Helvetica Neue"/>
        </w:rPr>
        <w:t xml:space="preserve">Ensure that all guidelines regarding skin to </w:t>
      </w:r>
      <w:r w:rsidRPr="00D0026F">
        <w:rPr>
          <w:rFonts w:eastAsia="Helvetica Neue"/>
          <w:bCs/>
        </w:rPr>
        <w:t>skin promotion and breast feeding</w:t>
      </w:r>
      <w:r w:rsidRPr="00D0026F">
        <w:rPr>
          <w:rFonts w:eastAsia="Helvetica Neue"/>
        </w:rPr>
        <w:t xml:space="preserve"> are adapted to the woman and her disability-related needs and capabilities.</w:t>
      </w:r>
      <w:r w:rsidRPr="00B1674C">
        <w:rPr>
          <w:rStyle w:val="EndnoteReference"/>
          <w:rFonts w:eastAsia="Helvetica Neue"/>
        </w:rPr>
        <w:endnoteReference w:id="517"/>
      </w:r>
    </w:p>
    <w:p w14:paraId="5C1C23DF" w14:textId="77777777" w:rsidR="00D0026F" w:rsidRDefault="00BC14E7" w:rsidP="006E6012">
      <w:pPr>
        <w:pStyle w:val="ListParagraph"/>
        <w:numPr>
          <w:ilvl w:val="0"/>
          <w:numId w:val="108"/>
        </w:numPr>
        <w:rPr>
          <w:rFonts w:eastAsia="Helvetica Neue"/>
        </w:rPr>
      </w:pPr>
      <w:r w:rsidRPr="00D0026F">
        <w:rPr>
          <w:rFonts w:eastAsia="Helvetica Neue"/>
        </w:rPr>
        <w:t xml:space="preserve">Provide mothers with disabilities with any necessary assistance to </w:t>
      </w:r>
      <w:r w:rsidRPr="00D0026F">
        <w:rPr>
          <w:rFonts w:eastAsia="Helvetica Neue"/>
          <w:bCs/>
        </w:rPr>
        <w:t>register the birth of their child</w:t>
      </w:r>
      <w:r w:rsidRPr="00D0026F">
        <w:rPr>
          <w:rFonts w:eastAsia="Helvetica Neue"/>
        </w:rPr>
        <w:t>, as well as to access any financial, medical, or other post-partum support mechanisms to which new mothers may be entitled.</w:t>
      </w:r>
      <w:r w:rsidRPr="00B1674C">
        <w:rPr>
          <w:rStyle w:val="EndnoteReference"/>
          <w:rFonts w:eastAsia="Helvetica Neue"/>
        </w:rPr>
        <w:endnoteReference w:id="518"/>
      </w:r>
    </w:p>
    <w:p w14:paraId="1CCAC2C6" w14:textId="3A7029B5" w:rsidR="00BC14E7" w:rsidRPr="00D0026F" w:rsidRDefault="00BC14E7" w:rsidP="006E6012">
      <w:pPr>
        <w:pStyle w:val="ListParagraph"/>
        <w:numPr>
          <w:ilvl w:val="0"/>
          <w:numId w:val="108"/>
        </w:numPr>
        <w:rPr>
          <w:rFonts w:eastAsia="Helvetica Neue"/>
        </w:rPr>
      </w:pPr>
      <w:r w:rsidRPr="00D0026F">
        <w:rPr>
          <w:rFonts w:eastAsia="Helvetica Neue"/>
        </w:rPr>
        <w:t xml:space="preserve">Develop </w:t>
      </w:r>
      <w:r w:rsidRPr="00D0026F">
        <w:rPr>
          <w:rFonts w:eastAsia="Helvetica Neue"/>
          <w:bCs/>
        </w:rPr>
        <w:t>parenting programmes</w:t>
      </w:r>
      <w:r w:rsidRPr="00D0026F">
        <w:rPr>
          <w:rFonts w:eastAsia="Helvetica Neue"/>
        </w:rPr>
        <w:t xml:space="preserve"> tailored for persons with disabilities to train new parents on how to care for their newborns with any necessary adaptations or assistance. </w:t>
      </w:r>
    </w:p>
    <w:p w14:paraId="299EF43B" w14:textId="77777777" w:rsidR="00BC14E7" w:rsidRPr="00A64CBE" w:rsidRDefault="00BC14E7" w:rsidP="00A34370">
      <w:pPr>
        <w:pStyle w:val="Heading4"/>
        <w:spacing w:before="480"/>
      </w:pPr>
      <w:r w:rsidRPr="00A64CBE">
        <w:t xml:space="preserve">Guidelines for </w:t>
      </w:r>
      <w:r w:rsidRPr="00D0026F">
        <w:t>Action</w:t>
      </w:r>
      <w:r w:rsidRPr="00A64CBE">
        <w:t xml:space="preserve">: </w:t>
      </w:r>
      <w:r w:rsidRPr="00A34370">
        <w:rPr>
          <w:rFonts w:eastAsia="Helvetica Neue"/>
        </w:rPr>
        <w:t>Acceptability</w:t>
      </w:r>
    </w:p>
    <w:p w14:paraId="581779C0" w14:textId="77777777" w:rsidR="00D0026F" w:rsidRPr="00D0026F" w:rsidRDefault="00BC14E7" w:rsidP="006E6012">
      <w:pPr>
        <w:pStyle w:val="ListParagraph"/>
        <w:numPr>
          <w:ilvl w:val="0"/>
          <w:numId w:val="109"/>
        </w:numPr>
      </w:pPr>
      <w:r w:rsidRPr="00D0026F">
        <w:rPr>
          <w:rFonts w:eastAsia="Helvetica Neue"/>
        </w:rPr>
        <w:t xml:space="preserve">Utilize strategies for long-term </w:t>
      </w:r>
      <w:r w:rsidRPr="00D0026F">
        <w:rPr>
          <w:rFonts w:eastAsia="Helvetica Neue"/>
          <w:bCs/>
        </w:rPr>
        <w:t>community engagement</w:t>
      </w:r>
      <w:r w:rsidRPr="00D0026F">
        <w:rPr>
          <w:rFonts w:eastAsia="Helvetica Neue"/>
        </w:rPr>
        <w:t xml:space="preserve"> through education, partnerships with local religious, traditional or opinion leaders, institutional strengthening, community partnerships, and local advocacy involving persons with disabilities,</w:t>
      </w:r>
      <w:r w:rsidRPr="00B1674C">
        <w:rPr>
          <w:rStyle w:val="EndnoteReference"/>
          <w:rFonts w:eastAsia="Helvetica Neue"/>
        </w:rPr>
        <w:endnoteReference w:id="519"/>
      </w:r>
      <w:r w:rsidRPr="00D0026F">
        <w:rPr>
          <w:rFonts w:eastAsia="Helvetica Neue"/>
        </w:rPr>
        <w:t xml:space="preserve"> to raise awareness about the rights of women with disabilities to become parents and to change attitudes about their ability to raise children.</w:t>
      </w:r>
    </w:p>
    <w:p w14:paraId="085BC10C" w14:textId="77777777" w:rsidR="00D0026F" w:rsidRPr="00D0026F" w:rsidRDefault="00BC14E7" w:rsidP="006E6012">
      <w:pPr>
        <w:pStyle w:val="ListParagraph"/>
        <w:numPr>
          <w:ilvl w:val="0"/>
          <w:numId w:val="109"/>
        </w:numPr>
      </w:pPr>
      <w:r w:rsidRPr="00D0026F">
        <w:rPr>
          <w:rFonts w:eastAsia="Helvetica Neue"/>
        </w:rPr>
        <w:t xml:space="preserve">Create programmes and campaigns to increase awareness about </w:t>
      </w:r>
      <w:r w:rsidRPr="00D0026F">
        <w:rPr>
          <w:rFonts w:eastAsia="Helvetica Neue"/>
          <w:bCs/>
        </w:rPr>
        <w:t>men’s role in</w:t>
      </w:r>
      <w:r w:rsidRPr="00D0026F">
        <w:rPr>
          <w:rFonts w:eastAsia="Helvetica Neue"/>
        </w:rPr>
        <w:t xml:space="preserve"> facilitating access to maternal and newborn health services, as well as care and support during the perinatal period.</w:t>
      </w:r>
      <w:r w:rsidRPr="00B1674C">
        <w:rPr>
          <w:rStyle w:val="EndnoteReference"/>
          <w:rFonts w:eastAsia="Helvetica Neue"/>
        </w:rPr>
        <w:endnoteReference w:id="520"/>
      </w:r>
    </w:p>
    <w:p w14:paraId="07BE3B12" w14:textId="77777777" w:rsidR="00D0026F" w:rsidRPr="00D0026F" w:rsidRDefault="00D0026F" w:rsidP="006E6012">
      <w:pPr>
        <w:pStyle w:val="ListParagraph"/>
        <w:numPr>
          <w:ilvl w:val="0"/>
          <w:numId w:val="109"/>
        </w:numPr>
      </w:pPr>
      <w:r>
        <w:rPr>
          <w:rFonts w:eastAsia="Helvetica Neue"/>
        </w:rPr>
        <w:t>E</w:t>
      </w:r>
      <w:r w:rsidR="00BC14E7" w:rsidRPr="00D0026F">
        <w:rPr>
          <w:rFonts w:eastAsia="Helvetica Neue"/>
        </w:rPr>
        <w:t xml:space="preserve">nsure that users find programme services to be </w:t>
      </w:r>
      <w:r w:rsidR="00BC14E7" w:rsidRPr="00D0026F">
        <w:rPr>
          <w:rFonts w:eastAsia="Helvetica Neue"/>
          <w:bCs/>
        </w:rPr>
        <w:t>respectful</w:t>
      </w:r>
      <w:r w:rsidR="00BC14E7" w:rsidRPr="00D0026F">
        <w:rPr>
          <w:rFonts w:eastAsia="Helvetica Neue"/>
        </w:rPr>
        <w:t xml:space="preserve"> of their rights to become parents, including the right of women and adolescent girls with disabilities to retain their fertility and raise children.</w:t>
      </w:r>
      <w:r w:rsidR="00BC14E7" w:rsidRPr="00B1674C">
        <w:rPr>
          <w:rStyle w:val="EndnoteReference"/>
          <w:rFonts w:eastAsia="Helvetica Neue"/>
        </w:rPr>
        <w:endnoteReference w:id="521"/>
      </w:r>
      <w:r w:rsidR="00BC14E7" w:rsidRPr="00D0026F">
        <w:rPr>
          <w:rFonts w:eastAsia="Helvetica Neue"/>
        </w:rPr>
        <w:t xml:space="preserve"> Train all individuals involved in providing maternal and newborn health services—including administrative staff, doctors, nurses, midwives, community health workers, and any other individuals who engage with a patient, about the rights of persons with disabilities to have and raise children. Trainings should address and combat underlying biases. It is critical that service providers and support staff have mechanisms to assess their biases to ensure that they are not excluding important pieces of information based on assumptions or biases against women and adolescent girls with disabilities as mothers. </w:t>
      </w:r>
    </w:p>
    <w:p w14:paraId="48F40CE5" w14:textId="77777777" w:rsidR="00D0026F" w:rsidRPr="00D0026F" w:rsidRDefault="00BC14E7" w:rsidP="006E6012">
      <w:pPr>
        <w:pStyle w:val="ListParagraph"/>
        <w:numPr>
          <w:ilvl w:val="1"/>
          <w:numId w:val="109"/>
        </w:numPr>
      </w:pPr>
      <w:r w:rsidRPr="00D0026F">
        <w:rPr>
          <w:rFonts w:eastAsia="Helvetica Neue"/>
          <w:b/>
        </w:rPr>
        <w:lastRenderedPageBreak/>
        <w:t xml:space="preserve">Example: </w:t>
      </w:r>
      <w:r w:rsidRPr="00D0026F">
        <w:rPr>
          <w:rFonts w:eastAsia="Helvetica Neue"/>
        </w:rPr>
        <w:t xml:space="preserve">The </w:t>
      </w:r>
      <w:r w:rsidRPr="00D0026F">
        <w:rPr>
          <w:rFonts w:eastAsia="Helvetica Neue"/>
          <w:bCs/>
        </w:rPr>
        <w:t>Disabled Women’s Network and Resource Organization (DWNRO)</w:t>
      </w:r>
      <w:r w:rsidRPr="00D0026F">
        <w:rPr>
          <w:rFonts w:eastAsia="Helvetica Neue"/>
        </w:rPr>
        <w:t xml:space="preserve"> in Uganda developed a programme to target discrimination and barriers pregnant women with disabilities faced in accessing healthcare. Through workshops with doctors and midwives, DWNRO succeeded in making hospital wards more accessible through physical modifications, attitudinal changes, and training midwives in sign language. DWNRO followed up the project with a campaign to educate women with disabilities about the services.</w:t>
      </w:r>
      <w:r w:rsidRPr="00B1674C">
        <w:rPr>
          <w:rStyle w:val="EndnoteReference"/>
          <w:rFonts w:eastAsia="Helvetica Neue"/>
        </w:rPr>
        <w:endnoteReference w:id="522"/>
      </w:r>
      <w:r w:rsidRPr="00D0026F">
        <w:rPr>
          <w:rFonts w:eastAsia="Helvetica Neue"/>
        </w:rPr>
        <w:t xml:space="preserve"> </w:t>
      </w:r>
    </w:p>
    <w:p w14:paraId="0C7DFF3A" w14:textId="77777777" w:rsidR="00D0026F" w:rsidRPr="00D0026F" w:rsidRDefault="00BC14E7" w:rsidP="006E6012">
      <w:pPr>
        <w:pStyle w:val="ListParagraph"/>
        <w:numPr>
          <w:ilvl w:val="0"/>
          <w:numId w:val="109"/>
        </w:numPr>
      </w:pPr>
      <w:r w:rsidRPr="00D0026F">
        <w:rPr>
          <w:rFonts w:eastAsia="Helvetica Neue"/>
        </w:rPr>
        <w:t xml:space="preserve">Offer and foster </w:t>
      </w:r>
      <w:r w:rsidRPr="00D0026F">
        <w:rPr>
          <w:rFonts w:eastAsia="Helvetica Neue"/>
          <w:bCs/>
        </w:rPr>
        <w:t>emotional support</w:t>
      </w:r>
      <w:r w:rsidRPr="00D0026F">
        <w:rPr>
          <w:rFonts w:eastAsia="Helvetica Neue"/>
        </w:rPr>
        <w:t xml:space="preserve"> during pregnancy tailored for women and adolescent girls with disabilities. Community groups, peer support groups, or community counsellors can be a valuable source of support to women and adolescent girls with disabilities throughout their pregnancies. Service providers and support staff can also provide emotional support by creating a comfortable environment, guaranteeing confidentiality and privacy, conveying respect, giving simple and direct answers in plain language, providing comprehensive information for making decisions, practicing good listening skills, and offering follow-up visits as needed.</w:t>
      </w:r>
      <w:r w:rsidRPr="00B1674C">
        <w:rPr>
          <w:rStyle w:val="EndnoteReference"/>
          <w:rFonts w:eastAsia="Helvetica Neue"/>
        </w:rPr>
        <w:endnoteReference w:id="523"/>
      </w:r>
    </w:p>
    <w:p w14:paraId="4029460C" w14:textId="77777777" w:rsidR="00D0026F" w:rsidRPr="00D0026F" w:rsidRDefault="00BC14E7" w:rsidP="006E6012">
      <w:pPr>
        <w:pStyle w:val="ListParagraph"/>
        <w:numPr>
          <w:ilvl w:val="0"/>
          <w:numId w:val="109"/>
        </w:numPr>
      </w:pPr>
      <w:r w:rsidRPr="00D0026F">
        <w:rPr>
          <w:rFonts w:eastAsia="Helvetica Neue"/>
        </w:rPr>
        <w:t>Promote and use intercultural approaches.</w:t>
      </w:r>
      <w:r w:rsidRPr="00D0026F">
        <w:rPr>
          <w:rFonts w:eastAsia="Helvetica Neue"/>
          <w:b/>
        </w:rPr>
        <w:t xml:space="preserve"> </w:t>
      </w:r>
    </w:p>
    <w:p w14:paraId="3ABAA9D6" w14:textId="77777777" w:rsidR="00D0026F" w:rsidRPr="00D0026F" w:rsidRDefault="00BC14E7" w:rsidP="00714E4C">
      <w:pPr>
        <w:pStyle w:val="ListParagraph"/>
        <w:numPr>
          <w:ilvl w:val="1"/>
          <w:numId w:val="109"/>
        </w:numPr>
        <w:ind w:right="-270"/>
      </w:pPr>
      <w:r w:rsidRPr="00D0026F">
        <w:rPr>
          <w:rFonts w:eastAsia="Helvetica Neue"/>
          <w:b/>
        </w:rPr>
        <w:t>Example:</w:t>
      </w:r>
      <w:r w:rsidRPr="00D0026F">
        <w:rPr>
          <w:rFonts w:eastAsia="Helvetica Neue"/>
        </w:rPr>
        <w:t xml:space="preserve"> The UNFPA led project </w:t>
      </w:r>
      <w:r w:rsidRPr="00D0026F">
        <w:rPr>
          <w:rFonts w:eastAsia="Helvetica Neue"/>
          <w:b/>
        </w:rPr>
        <w:t xml:space="preserve">‘Reducing Maternal Mortality Indicators’ </w:t>
      </w:r>
      <w:r w:rsidRPr="00D0026F">
        <w:rPr>
          <w:rFonts w:eastAsia="Helvetica Neue"/>
        </w:rPr>
        <w:t xml:space="preserve">in Mexico aimed to improve maternal health among indigenous people in the State of San Luis Potosi of the </w:t>
      </w:r>
      <w:proofErr w:type="spellStart"/>
      <w:r w:rsidRPr="00D0026F">
        <w:rPr>
          <w:rFonts w:eastAsia="Helvetica Neue"/>
        </w:rPr>
        <w:t>Huasteca</w:t>
      </w:r>
      <w:proofErr w:type="spellEnd"/>
      <w:r w:rsidRPr="00D0026F">
        <w:rPr>
          <w:rFonts w:eastAsia="Helvetica Neue"/>
        </w:rPr>
        <w:t xml:space="preserve"> region. The project utilized the following key strategies for combating maternal mortality: “To promote an intercultural approach through the integration of traditional and institutional medicine; To promote community participation; and, To enhance organizational development in support of the initiative”.</w:t>
      </w:r>
      <w:r w:rsidRPr="00B1674C">
        <w:rPr>
          <w:rStyle w:val="EndnoteReference"/>
          <w:rFonts w:eastAsia="Helvetica Neue"/>
        </w:rPr>
        <w:endnoteReference w:id="524"/>
      </w:r>
      <w:r w:rsidRPr="00D0026F" w:rsidDel="0014106C">
        <w:rPr>
          <w:rFonts w:eastAsia="Helvetica Neue"/>
        </w:rPr>
        <w:t xml:space="preserve"> </w:t>
      </w:r>
      <w:r w:rsidRPr="00D0026F">
        <w:rPr>
          <w:rFonts w:eastAsia="Helvetica Neue"/>
        </w:rPr>
        <w:t>The project successfully increased health coverage for indigenous people in the project area along with knowledge or use of family planning and reduction of maternal health deaths to zero in the area. Upon evaluation, the following factors were identified as contributing to the success of the project: “Enhanced political will and commitment from local authorities; sustained involvement of mass media; participation, coordination and exchange among local authorities and traditional physicians and birth attendants’ organizations; support from the Commission for the Development of Indigenous Peoples (CDI) and the involvement of indigenous authorities; coordination, monitoring and facilitation from COESPO, the State's population committee; clear agreements for community participation that defined the role of each community agent; and, a social audit mechanism aimed at ensuring transparency in the follow-up process”.</w:t>
      </w:r>
      <w:r w:rsidRPr="00B1674C">
        <w:rPr>
          <w:rStyle w:val="EndnoteReference"/>
          <w:rFonts w:eastAsia="Helvetica Neue"/>
        </w:rPr>
        <w:endnoteReference w:id="525"/>
      </w:r>
      <w:r w:rsidRPr="00D0026F">
        <w:rPr>
          <w:rFonts w:eastAsia="Helvetica Neue"/>
        </w:rPr>
        <w:t xml:space="preserve"> </w:t>
      </w:r>
    </w:p>
    <w:p w14:paraId="64BEEAA7" w14:textId="7C03D977" w:rsidR="00BC14E7" w:rsidRPr="00A64CBE" w:rsidRDefault="00BC14E7" w:rsidP="006E6012">
      <w:pPr>
        <w:pStyle w:val="ListParagraph"/>
        <w:numPr>
          <w:ilvl w:val="0"/>
          <w:numId w:val="109"/>
        </w:numPr>
      </w:pPr>
      <w:r w:rsidRPr="00D0026F">
        <w:rPr>
          <w:rFonts w:eastAsia="Helvetica Neue"/>
        </w:rPr>
        <w:t xml:space="preserve">Ensure that women with disabilities can be accompanied by a </w:t>
      </w:r>
      <w:r w:rsidRPr="00D0026F">
        <w:rPr>
          <w:rFonts w:eastAsia="Helvetica Neue"/>
          <w:bCs/>
        </w:rPr>
        <w:t>companion</w:t>
      </w:r>
      <w:r w:rsidRPr="00D0026F">
        <w:rPr>
          <w:rFonts w:eastAsia="Helvetica Neue"/>
        </w:rPr>
        <w:t xml:space="preserve"> of their choice at birth.</w:t>
      </w:r>
      <w:r w:rsidRPr="00D0026F">
        <w:rPr>
          <w:rStyle w:val="EndnoteReference"/>
          <w:rFonts w:eastAsia="Helvetica Neue"/>
        </w:rPr>
        <w:t xml:space="preserve"> </w:t>
      </w:r>
      <w:r w:rsidRPr="00B1674C">
        <w:rPr>
          <w:rStyle w:val="EndnoteReference"/>
          <w:rFonts w:eastAsia="Helvetica Neue"/>
        </w:rPr>
        <w:endnoteReference w:id="526"/>
      </w:r>
      <w:r w:rsidRPr="00D0026F">
        <w:rPr>
          <w:rFonts w:eastAsia="Helvetica Neue"/>
        </w:rPr>
        <w:t xml:space="preserve"> </w:t>
      </w:r>
    </w:p>
    <w:p w14:paraId="3F1CE999" w14:textId="77777777" w:rsidR="00BC14E7" w:rsidRPr="00A64CBE" w:rsidRDefault="00BC14E7" w:rsidP="00A34370">
      <w:pPr>
        <w:pStyle w:val="Heading4"/>
        <w:spacing w:before="480"/>
        <w:rPr>
          <w:rFonts w:eastAsia="Helvetica Neue"/>
        </w:rPr>
      </w:pPr>
      <w:r w:rsidRPr="00A64CBE">
        <w:rPr>
          <w:rFonts w:eastAsia="Helvetica Neue"/>
        </w:rPr>
        <w:t xml:space="preserve">Guidelines for </w:t>
      </w:r>
      <w:r w:rsidRPr="00A92920">
        <w:rPr>
          <w:rFonts w:eastAsia="Helvetica Neue"/>
        </w:rPr>
        <w:t>Action</w:t>
      </w:r>
      <w:r w:rsidRPr="00A64CBE">
        <w:rPr>
          <w:rFonts w:eastAsia="Helvetica Neue"/>
        </w:rPr>
        <w:t xml:space="preserve">: Quality </w:t>
      </w:r>
    </w:p>
    <w:p w14:paraId="0C69BC3F" w14:textId="77777777" w:rsidR="00D0026F" w:rsidRDefault="00BC14E7" w:rsidP="00714E4C">
      <w:pPr>
        <w:pStyle w:val="ListParagraph"/>
        <w:numPr>
          <w:ilvl w:val="0"/>
          <w:numId w:val="110"/>
        </w:numPr>
        <w:ind w:right="-180"/>
        <w:rPr>
          <w:rFonts w:eastAsia="Helvetica Neue"/>
        </w:rPr>
      </w:pPr>
      <w:r w:rsidRPr="00D0026F">
        <w:rPr>
          <w:rFonts w:eastAsia="Helvetica Neue"/>
        </w:rPr>
        <w:t xml:space="preserve">Align services with components of </w:t>
      </w:r>
      <w:r w:rsidRPr="00D0026F">
        <w:rPr>
          <w:rFonts w:eastAsia="Helvetica Neue"/>
          <w:bCs/>
        </w:rPr>
        <w:t>quality of care</w:t>
      </w:r>
      <w:r w:rsidRPr="00D0026F">
        <w:rPr>
          <w:rFonts w:eastAsia="Helvetica Neue"/>
        </w:rPr>
        <w:t xml:space="preserve">, which “for pregnant women and </w:t>
      </w:r>
      <w:proofErr w:type="spellStart"/>
      <w:r w:rsidRPr="00D0026F">
        <w:rPr>
          <w:rFonts w:eastAsia="Helvetica Neue"/>
        </w:rPr>
        <w:t>newborns</w:t>
      </w:r>
      <w:proofErr w:type="spellEnd"/>
      <w:r w:rsidRPr="00D0026F">
        <w:rPr>
          <w:rFonts w:eastAsia="Helvetica Neue"/>
        </w:rPr>
        <w:t xml:space="preserve"> in facilities requires competent and motivated human resources [that can provide standardized midwifery care] and the availability of essential physical resources. Also, evidence-based practices for routine and emergency care, actionable information systems where record-keeping enables review and audit mechanisms, and functional referral systems between levels of care should be in place. Experience of care includes, firstly, effective </w:t>
      </w:r>
      <w:r w:rsidRPr="00D0026F">
        <w:rPr>
          <w:rFonts w:eastAsia="Helvetica Neue"/>
        </w:rPr>
        <w:lastRenderedPageBreak/>
        <w:t>communication—a woman (or her family if required) should feel that she understands what is happening, what to expect, and knows her rights. Secondly, she should receive care with respect and dignity. Thirdly, she should have access to the social and emotional support of her choice”.</w:t>
      </w:r>
      <w:r w:rsidRPr="00A64CBE">
        <w:rPr>
          <w:rFonts w:eastAsia="Helvetica Neue"/>
          <w:vertAlign w:val="superscript"/>
        </w:rPr>
        <w:endnoteReference w:id="527"/>
      </w:r>
      <w:r w:rsidRPr="00A64CBE">
        <w:t xml:space="preserve"> </w:t>
      </w:r>
      <w:r w:rsidRPr="00D0026F">
        <w:rPr>
          <w:rFonts w:eastAsia="Helvetica Neue"/>
        </w:rPr>
        <w:t>Services should be in accordance with the following key recommendations tailored to the circumstances of the woman or girl and her specific disability:</w:t>
      </w:r>
    </w:p>
    <w:p w14:paraId="79F96C3C" w14:textId="77777777" w:rsidR="00D0026F" w:rsidRDefault="00BC14E7" w:rsidP="00714E4C">
      <w:pPr>
        <w:pStyle w:val="ListParagraph"/>
        <w:numPr>
          <w:ilvl w:val="1"/>
          <w:numId w:val="110"/>
        </w:numPr>
        <w:spacing w:before="60" w:after="60"/>
        <w:rPr>
          <w:rFonts w:eastAsia="Helvetica Neue"/>
        </w:rPr>
      </w:pPr>
      <w:r w:rsidRPr="00D0026F">
        <w:rPr>
          <w:rFonts w:eastAsia="Helvetica Neue"/>
        </w:rPr>
        <w:t>‘</w:t>
      </w:r>
      <w:r w:rsidRPr="00211E23">
        <w:rPr>
          <w:rFonts w:eastAsia="Helvetica Neue"/>
          <w:b/>
          <w:bCs/>
        </w:rPr>
        <w:t xml:space="preserve">Quality of Care for Pregnant Women and </w:t>
      </w:r>
      <w:proofErr w:type="spellStart"/>
      <w:r w:rsidRPr="00211E23">
        <w:rPr>
          <w:rFonts w:eastAsia="Helvetica Neue"/>
          <w:b/>
          <w:bCs/>
        </w:rPr>
        <w:t>Newborns</w:t>
      </w:r>
      <w:proofErr w:type="spellEnd"/>
      <w:r w:rsidRPr="00211E23">
        <w:rPr>
          <w:rFonts w:eastAsia="Helvetica Neue"/>
          <w:b/>
          <w:bCs/>
        </w:rPr>
        <w:t>—the WHO Vision;’</w:t>
      </w:r>
      <w:r w:rsidRPr="00A64CBE">
        <w:rPr>
          <w:rFonts w:eastAsia="Helvetica Neue"/>
          <w:vertAlign w:val="superscript"/>
        </w:rPr>
        <w:endnoteReference w:id="528"/>
      </w:r>
    </w:p>
    <w:p w14:paraId="39A88D7C" w14:textId="77777777" w:rsidR="00211E23" w:rsidRDefault="00BC14E7" w:rsidP="00714E4C">
      <w:pPr>
        <w:pStyle w:val="ListParagraph"/>
        <w:numPr>
          <w:ilvl w:val="1"/>
          <w:numId w:val="110"/>
        </w:numPr>
        <w:spacing w:before="60" w:after="60"/>
        <w:rPr>
          <w:rFonts w:eastAsia="Helvetica Neue"/>
        </w:rPr>
      </w:pPr>
      <w:r w:rsidRPr="00211E23">
        <w:rPr>
          <w:rFonts w:eastAsia="Helvetica Neue"/>
          <w:b/>
          <w:bCs/>
        </w:rPr>
        <w:t>‘WHO Recommendations on Antenatal Care for a Positive Pregnancy Experience;’</w:t>
      </w:r>
      <w:r w:rsidRPr="00D0026F">
        <w:rPr>
          <w:rFonts w:eastAsia="Helvetica Neue"/>
          <w:vertAlign w:val="superscript"/>
        </w:rPr>
        <w:t xml:space="preserve"> </w:t>
      </w:r>
      <w:r w:rsidRPr="00A64CBE">
        <w:rPr>
          <w:rFonts w:eastAsia="Helvetica Neue"/>
          <w:vertAlign w:val="superscript"/>
        </w:rPr>
        <w:endnoteReference w:id="529"/>
      </w:r>
      <w:r w:rsidRPr="00D0026F">
        <w:rPr>
          <w:rFonts w:eastAsia="Helvetica Neue"/>
        </w:rPr>
        <w:t xml:space="preserve">  </w:t>
      </w:r>
    </w:p>
    <w:p w14:paraId="312F1E2C" w14:textId="77777777" w:rsidR="00211E23" w:rsidRDefault="00BC14E7" w:rsidP="00714E4C">
      <w:pPr>
        <w:pStyle w:val="ListParagraph"/>
        <w:numPr>
          <w:ilvl w:val="1"/>
          <w:numId w:val="110"/>
        </w:numPr>
        <w:spacing w:before="60" w:after="60"/>
        <w:rPr>
          <w:rFonts w:eastAsia="Helvetica Neue"/>
        </w:rPr>
      </w:pPr>
      <w:r w:rsidRPr="00211E23">
        <w:rPr>
          <w:rFonts w:eastAsia="Helvetica Neue"/>
          <w:b/>
          <w:bCs/>
        </w:rPr>
        <w:t>‘WHO Recommendations Intrapartum Care for a Positive Childbirth Experience’.</w:t>
      </w:r>
      <w:r w:rsidRPr="00211E23">
        <w:rPr>
          <w:rFonts w:eastAsia="Helvetica Neue"/>
        </w:rPr>
        <w:t xml:space="preserve"> </w:t>
      </w:r>
      <w:r w:rsidRPr="00714E4C">
        <w:rPr>
          <w:rStyle w:val="EndnoteReference"/>
          <w:rFonts w:eastAsia="Helvetica Neue"/>
        </w:rPr>
        <w:endnoteReference w:id="530"/>
      </w:r>
      <w:r w:rsidRPr="00211E23">
        <w:rPr>
          <w:rFonts w:eastAsia="Helvetica Neue"/>
        </w:rPr>
        <w:t xml:space="preserve"> </w:t>
      </w:r>
    </w:p>
    <w:p w14:paraId="435D958A" w14:textId="77777777" w:rsidR="00211E23" w:rsidRPr="00211E23" w:rsidRDefault="00BC14E7" w:rsidP="006E6012">
      <w:pPr>
        <w:pStyle w:val="ListParagraph"/>
        <w:numPr>
          <w:ilvl w:val="0"/>
          <w:numId w:val="110"/>
        </w:numPr>
        <w:rPr>
          <w:rFonts w:eastAsia="Helvetica Neue"/>
        </w:rPr>
      </w:pPr>
      <w:r w:rsidRPr="00211E23">
        <w:rPr>
          <w:rFonts w:eastAsia="Arial"/>
        </w:rPr>
        <w:t xml:space="preserve">Ensure that women and girls with disabilities have access to a </w:t>
      </w:r>
      <w:r w:rsidRPr="00211E23">
        <w:rPr>
          <w:rFonts w:eastAsia="Arial"/>
          <w:bCs/>
        </w:rPr>
        <w:t>skilled birth attendant</w:t>
      </w:r>
      <w:r w:rsidRPr="00211E23">
        <w:rPr>
          <w:rFonts w:eastAsia="Arial"/>
        </w:rPr>
        <w:t xml:space="preserve"> that can provide standardised midwifery care. Develop programmes to sensitize and train skilled birth attendants on working with women and girls with disabilities. </w:t>
      </w:r>
    </w:p>
    <w:p w14:paraId="0444448A" w14:textId="77777777" w:rsidR="00211E23" w:rsidRDefault="00BC14E7" w:rsidP="006E6012">
      <w:pPr>
        <w:pStyle w:val="ListParagraph"/>
        <w:numPr>
          <w:ilvl w:val="0"/>
          <w:numId w:val="110"/>
        </w:numPr>
        <w:rPr>
          <w:rFonts w:eastAsia="Helvetica Neue"/>
        </w:rPr>
      </w:pPr>
      <w:r w:rsidRPr="00211E23">
        <w:rPr>
          <w:rFonts w:eastAsia="Helvetica Neue"/>
        </w:rPr>
        <w:t>Strengthen linkages between women, families, communities, health delivery services, disabled persons and women’s organizations, and other service providers to bolster available social support for better maternal health outcomes.</w:t>
      </w:r>
      <w:r w:rsidRPr="00B1674C">
        <w:rPr>
          <w:rStyle w:val="EndnoteReference"/>
          <w:rFonts w:eastAsia="Helvetica Neue"/>
        </w:rPr>
        <w:endnoteReference w:id="531"/>
      </w:r>
      <w:r w:rsidRPr="00211E23">
        <w:rPr>
          <w:rFonts w:eastAsia="Helvetica Neue"/>
        </w:rPr>
        <w:t xml:space="preserve"> </w:t>
      </w:r>
    </w:p>
    <w:p w14:paraId="0DF6FDA0" w14:textId="77777777" w:rsidR="00211E23" w:rsidRDefault="00BC14E7" w:rsidP="006E6012">
      <w:pPr>
        <w:pStyle w:val="ListParagraph"/>
        <w:numPr>
          <w:ilvl w:val="0"/>
          <w:numId w:val="110"/>
        </w:numPr>
        <w:rPr>
          <w:rFonts w:eastAsia="Helvetica Neue"/>
        </w:rPr>
      </w:pPr>
      <w:r w:rsidRPr="00211E23">
        <w:rPr>
          <w:rFonts w:eastAsia="Helvetica Neue"/>
        </w:rPr>
        <w:t xml:space="preserve">Assess whether women and adolescent girls with disabilities are subject to unnecessary and excessive dependence on </w:t>
      </w:r>
      <w:r w:rsidRPr="00211E23">
        <w:rPr>
          <w:rFonts w:eastAsia="Helvetica Neue"/>
          <w:bCs/>
        </w:rPr>
        <w:t>caesarean sections</w:t>
      </w:r>
      <w:r w:rsidRPr="00211E23">
        <w:rPr>
          <w:rFonts w:eastAsia="Helvetica Neue"/>
        </w:rPr>
        <w:t xml:space="preserve"> at health facilities. Train service providers on alternatives to caesarean sections and help service providers to understand when a caesarean section is medically indicated to minimize overuse of caesarean sections for women and adolescent girls with disabilities.</w:t>
      </w:r>
      <w:r w:rsidRPr="00B1674C">
        <w:rPr>
          <w:rStyle w:val="EndnoteReference"/>
          <w:rFonts w:eastAsia="Helvetica Neue"/>
        </w:rPr>
        <w:endnoteReference w:id="532"/>
      </w:r>
      <w:r w:rsidRPr="00211E23">
        <w:rPr>
          <w:rFonts w:eastAsia="Helvetica Neue"/>
        </w:rPr>
        <w:t xml:space="preserve"> </w:t>
      </w:r>
    </w:p>
    <w:p w14:paraId="0AAF007D" w14:textId="77777777" w:rsidR="00211E23" w:rsidRDefault="00BC14E7" w:rsidP="006E6012">
      <w:pPr>
        <w:pStyle w:val="ListParagraph"/>
        <w:numPr>
          <w:ilvl w:val="0"/>
          <w:numId w:val="110"/>
        </w:numPr>
        <w:rPr>
          <w:rFonts w:eastAsia="Helvetica Neue"/>
        </w:rPr>
      </w:pPr>
      <w:r w:rsidRPr="00211E23">
        <w:rPr>
          <w:rFonts w:eastAsia="Helvetica Neue"/>
        </w:rPr>
        <w:t xml:space="preserve">Where resources allow, utilize </w:t>
      </w:r>
      <w:r w:rsidRPr="00211E23">
        <w:rPr>
          <w:rFonts w:eastAsia="Helvetica Neue"/>
          <w:bCs/>
        </w:rPr>
        <w:t>multidisciplinary teams</w:t>
      </w:r>
      <w:r w:rsidRPr="00211E23">
        <w:rPr>
          <w:rFonts w:eastAsia="Helvetica Neue"/>
        </w:rPr>
        <w:t xml:space="preserve"> to improve communication between maternal and newborn service practitioners and mental health practitioners. For example, designate a multidisciplinary perinatal team that include psychologists and social workers in addition to skilled birth attendants.</w:t>
      </w:r>
      <w:r w:rsidRPr="00B1674C">
        <w:rPr>
          <w:rStyle w:val="EndnoteReference"/>
          <w:rFonts w:eastAsia="Helvetica Neue"/>
        </w:rPr>
        <w:endnoteReference w:id="533"/>
      </w:r>
      <w:r w:rsidRPr="00211E23">
        <w:rPr>
          <w:rFonts w:eastAsia="Helvetica Neue"/>
        </w:rPr>
        <w:t xml:space="preserve"> </w:t>
      </w:r>
    </w:p>
    <w:p w14:paraId="1935DDC4" w14:textId="2E122F58" w:rsidR="00BC14E7" w:rsidRPr="00211E23" w:rsidRDefault="00BC14E7" w:rsidP="006E6012">
      <w:pPr>
        <w:pStyle w:val="ListParagraph"/>
        <w:numPr>
          <w:ilvl w:val="0"/>
          <w:numId w:val="110"/>
        </w:numPr>
        <w:rPr>
          <w:rFonts w:eastAsia="Helvetica Neue"/>
        </w:rPr>
      </w:pPr>
      <w:r w:rsidRPr="00211E23">
        <w:rPr>
          <w:rFonts w:eastAsia="Helvetica Neue"/>
        </w:rPr>
        <w:t xml:space="preserve">Ensure that </w:t>
      </w:r>
      <w:r w:rsidRPr="00211E23">
        <w:rPr>
          <w:rFonts w:eastAsia="Helvetica Neue"/>
          <w:bCs/>
        </w:rPr>
        <w:t>feedback mechanisms</w:t>
      </w:r>
      <w:r w:rsidRPr="00211E23">
        <w:rPr>
          <w:rFonts w:eastAsia="Helvetica Neue"/>
        </w:rPr>
        <w:t xml:space="preserve"> are in place to collect feedback on the quality of maternity and newborn health services from the end users themselves to inform future programming. There should also be a system in place to analyse and act upon this feedback. </w:t>
      </w:r>
    </w:p>
    <w:p w14:paraId="2ED342BE" w14:textId="7CABCA57" w:rsidR="00BC14E7" w:rsidRPr="00B1674C" w:rsidRDefault="00BC14E7" w:rsidP="00B1674C">
      <w:pPr>
        <w:pStyle w:val="Heading3"/>
      </w:pPr>
      <w:r w:rsidRPr="00A64CBE">
        <w:t xml:space="preserve">4.4.3 </w:t>
      </w:r>
      <w:r w:rsidRPr="00A64CBE">
        <w:tab/>
        <w:t xml:space="preserve">Indicators </w:t>
      </w:r>
    </w:p>
    <w:p w14:paraId="102D030E" w14:textId="76B273C1" w:rsidR="00BC14E7" w:rsidRPr="00211E23" w:rsidRDefault="00BC14E7" w:rsidP="00211E23">
      <w:pPr>
        <w:rPr>
          <w:rFonts w:eastAsia="Helvetica Neue"/>
        </w:rPr>
      </w:pPr>
      <w:r w:rsidRPr="00A64CBE">
        <w:rPr>
          <w:rFonts w:eastAsia="Helvetica Neue"/>
          <w:highlight w:val="white"/>
        </w:rPr>
        <w:t>The following are illustrative of indicators that can be used to monitor and evaluate progress in the provision of rights-based maternal and newborn health services for women</w:t>
      </w:r>
      <w:r w:rsidRPr="00A64CBE">
        <w:rPr>
          <w:rFonts w:eastAsia="Helvetica Neue"/>
        </w:rPr>
        <w:t xml:space="preserve"> and adolescent girls</w:t>
      </w:r>
      <w:r w:rsidRPr="00A64CBE">
        <w:rPr>
          <w:rFonts w:eastAsia="Helvetica Neue"/>
          <w:highlight w:val="white"/>
        </w:rPr>
        <w:t xml:space="preserve"> with disabilities. This is not an exhaustive list, but rather a few examples demonstrating the level of specificity, subjects, and form that maternal and newborn health services indicators should take. </w:t>
      </w:r>
      <w:r w:rsidRPr="00A64CBE">
        <w:rPr>
          <w:rFonts w:eastAsia="Helvetica Neue"/>
        </w:rPr>
        <w:t>Service providers should tailor the indicators to fit their programme settings and levels, including by specifying at which level and by whom indicator data should be collected.</w:t>
      </w:r>
    </w:p>
    <w:p w14:paraId="04EB4C0C" w14:textId="77777777" w:rsidR="00211E23" w:rsidRPr="00211E23" w:rsidRDefault="00BC14E7" w:rsidP="006E6012">
      <w:pPr>
        <w:pStyle w:val="ListParagraph"/>
        <w:numPr>
          <w:ilvl w:val="0"/>
          <w:numId w:val="111"/>
        </w:numPr>
        <w:rPr>
          <w:rStyle w:val="EndnoteReference"/>
          <w:rFonts w:eastAsia="Helvetica Neue"/>
          <w:vertAlign w:val="baseline"/>
        </w:rPr>
      </w:pPr>
      <w:r w:rsidRPr="00211E23">
        <w:rPr>
          <w:rFonts w:eastAsia="Helvetica Neue"/>
        </w:rPr>
        <w:t>Maternal mortality ratio, disaggregated by disability.</w:t>
      </w:r>
      <w:r w:rsidRPr="00B1674C">
        <w:rPr>
          <w:rStyle w:val="EndnoteReference"/>
          <w:rFonts w:eastAsia="Helvetica Neue"/>
        </w:rPr>
        <w:endnoteReference w:id="534"/>
      </w:r>
      <w:r w:rsidRPr="00211E23">
        <w:rPr>
          <w:rStyle w:val="EndnoteReference"/>
          <w:rFonts w:eastAsia="Helvetica Neue"/>
        </w:rPr>
        <w:t xml:space="preserve"> </w:t>
      </w:r>
    </w:p>
    <w:p w14:paraId="13B4555C" w14:textId="77777777" w:rsidR="00211E23" w:rsidRDefault="00BC14E7" w:rsidP="006E6012">
      <w:pPr>
        <w:pStyle w:val="ListParagraph"/>
        <w:numPr>
          <w:ilvl w:val="0"/>
          <w:numId w:val="111"/>
        </w:numPr>
        <w:rPr>
          <w:rFonts w:eastAsia="Helvetica Neue"/>
        </w:rPr>
      </w:pPr>
      <w:r w:rsidRPr="00211E23">
        <w:rPr>
          <w:rFonts w:eastAsia="Helvetica Neue"/>
        </w:rPr>
        <w:t>Proportion of women with disabilities who receive skilled care (or attendance) at birth.</w:t>
      </w:r>
    </w:p>
    <w:p w14:paraId="16DD4EF6" w14:textId="77777777" w:rsidR="00211E23" w:rsidRDefault="00BC14E7" w:rsidP="006E6012">
      <w:pPr>
        <w:pStyle w:val="ListParagraph"/>
        <w:numPr>
          <w:ilvl w:val="0"/>
          <w:numId w:val="111"/>
        </w:numPr>
        <w:rPr>
          <w:rFonts w:eastAsia="Helvetica Neue"/>
        </w:rPr>
      </w:pPr>
      <w:r w:rsidRPr="00211E23">
        <w:rPr>
          <w:rFonts w:eastAsia="Helvetica Neue"/>
        </w:rPr>
        <w:t>Proportion of pregnant women with disabilities who receive antenatal care (ANC) per the 2016 WHO ANC Model.</w:t>
      </w:r>
      <w:r w:rsidRPr="00B1674C">
        <w:rPr>
          <w:rStyle w:val="EndnoteReference"/>
          <w:rFonts w:eastAsia="Helvetica Neue"/>
        </w:rPr>
        <w:endnoteReference w:id="535"/>
      </w:r>
    </w:p>
    <w:p w14:paraId="0F77A2E5" w14:textId="77777777" w:rsidR="00211E23" w:rsidRDefault="00BC14E7" w:rsidP="006E6012">
      <w:pPr>
        <w:pStyle w:val="ListParagraph"/>
        <w:numPr>
          <w:ilvl w:val="0"/>
          <w:numId w:val="111"/>
        </w:numPr>
        <w:rPr>
          <w:rFonts w:eastAsia="Helvetica Neue"/>
        </w:rPr>
      </w:pPr>
      <w:r w:rsidRPr="00211E23">
        <w:rPr>
          <w:rFonts w:eastAsia="Helvetica Neue"/>
        </w:rPr>
        <w:t>Proportion of women with disabilities who receive at least one postpartum care visit.</w:t>
      </w:r>
    </w:p>
    <w:p w14:paraId="33B74DA8" w14:textId="77777777" w:rsidR="00211E23" w:rsidRDefault="00BC14E7" w:rsidP="006E6012">
      <w:pPr>
        <w:pStyle w:val="ListParagraph"/>
        <w:numPr>
          <w:ilvl w:val="0"/>
          <w:numId w:val="111"/>
        </w:numPr>
        <w:rPr>
          <w:rFonts w:eastAsia="Helvetica Neue"/>
        </w:rPr>
      </w:pPr>
      <w:r w:rsidRPr="00211E23">
        <w:rPr>
          <w:rFonts w:eastAsia="Helvetica Neue"/>
        </w:rPr>
        <w:lastRenderedPageBreak/>
        <w:t>Proportion of pregnant women having a planned caesarean section who have the procedure carried out at or after 39 weeks 0 days, disaggregated by disability.</w:t>
      </w:r>
      <w:r w:rsidRPr="00B1674C">
        <w:rPr>
          <w:rStyle w:val="EndnoteReference"/>
          <w:rFonts w:eastAsia="Helvetica Neue"/>
        </w:rPr>
        <w:endnoteReference w:id="536"/>
      </w:r>
    </w:p>
    <w:p w14:paraId="0A882D8B" w14:textId="43807FE5" w:rsidR="00BC14E7" w:rsidRPr="00211E23" w:rsidRDefault="00BC14E7" w:rsidP="006E6012">
      <w:pPr>
        <w:pStyle w:val="ListParagraph"/>
        <w:numPr>
          <w:ilvl w:val="0"/>
          <w:numId w:val="111"/>
        </w:numPr>
        <w:rPr>
          <w:rFonts w:eastAsia="Helvetica Neue"/>
        </w:rPr>
      </w:pPr>
      <w:r w:rsidRPr="00211E23">
        <w:rPr>
          <w:rFonts w:eastAsia="Helvetica Neue"/>
        </w:rPr>
        <w:t>Number of skilled birth attendants who speak sign language.</w:t>
      </w:r>
    </w:p>
    <w:p w14:paraId="4F527BDD" w14:textId="5A5C3637" w:rsidR="00BC14E7" w:rsidRPr="00B1674C" w:rsidRDefault="00BC14E7" w:rsidP="00B1674C">
      <w:pPr>
        <w:pStyle w:val="Heading2"/>
        <w:spacing w:before="480" w:after="120"/>
        <w:ind w:left="547" w:right="-180" w:hanging="547"/>
      </w:pPr>
      <w:bookmarkStart w:id="26" w:name="SRHRcse"/>
      <w:r w:rsidRPr="00A64CBE">
        <w:t xml:space="preserve">4.5 </w:t>
      </w:r>
      <w:r w:rsidRPr="00A64CBE">
        <w:tab/>
      </w:r>
      <w:bookmarkEnd w:id="26"/>
      <w:r w:rsidRPr="00A64CBE">
        <w:t xml:space="preserve">Comprehensive Sexuality Education and Information for Women and Young </w:t>
      </w:r>
      <w:r>
        <w:t>Persons</w:t>
      </w:r>
      <w:r w:rsidRPr="00A64CBE">
        <w:t xml:space="preserve"> with Disabilities </w:t>
      </w:r>
    </w:p>
    <w:p w14:paraId="413FD01D" w14:textId="5E7F7299" w:rsidR="00BC14E7" w:rsidRPr="00B1674C" w:rsidRDefault="00BC14E7" w:rsidP="00B1674C">
      <w:pPr>
        <w:pStyle w:val="Heading3"/>
      </w:pPr>
      <w:r w:rsidRPr="00A64CBE">
        <w:t xml:space="preserve">4.5.1 </w:t>
      </w:r>
      <w:r w:rsidRPr="00A64CBE">
        <w:tab/>
      </w:r>
      <w:r w:rsidRPr="00B1674C">
        <w:t>Issue</w:t>
      </w:r>
      <w:r w:rsidRPr="00A64CBE">
        <w:t xml:space="preserve"> Overview </w:t>
      </w:r>
    </w:p>
    <w:p w14:paraId="04DE1525" w14:textId="66657D29" w:rsidR="00BC14E7" w:rsidRPr="00A64CBE" w:rsidRDefault="00BC14E7" w:rsidP="00211E23">
      <w:pPr>
        <w:rPr>
          <w:rFonts w:eastAsia="Helvetica Neue"/>
        </w:rPr>
      </w:pPr>
      <w:r w:rsidRPr="00A64CBE">
        <w:rPr>
          <w:rFonts w:eastAsia="Helvetica Neue"/>
        </w:rPr>
        <w:t xml:space="preserve">Comprehensive sexuality education </w:t>
      </w:r>
      <w:r>
        <w:rPr>
          <w:rFonts w:eastAsia="Helvetica Neue"/>
        </w:rPr>
        <w:t xml:space="preserve">(CSE) </w:t>
      </w:r>
      <w:r w:rsidRPr="00A64CBE">
        <w:rPr>
          <w:rFonts w:eastAsia="Helvetica Neue"/>
        </w:rPr>
        <w:t xml:space="preserve">and information is fundamental to empowering all women and young </w:t>
      </w:r>
      <w:r>
        <w:rPr>
          <w:rFonts w:eastAsia="Helvetica Neue"/>
        </w:rPr>
        <w:t>persons</w:t>
      </w:r>
      <w:r w:rsidRPr="00A64CBE">
        <w:rPr>
          <w:rFonts w:eastAsia="Helvetica Neue"/>
        </w:rPr>
        <w:t xml:space="preserve">, including those with disabilities, to understand their bodies and sexual development, </w:t>
      </w:r>
      <w:r>
        <w:rPr>
          <w:rFonts w:eastAsia="Helvetica Neue"/>
        </w:rPr>
        <w:t>SRHR</w:t>
      </w:r>
      <w:r w:rsidRPr="00A64CBE">
        <w:rPr>
          <w:rFonts w:eastAsia="Helvetica Neue"/>
        </w:rPr>
        <w:t>, protect themselves against sexually transmitted infections and unintended pregnancies, form healthy and pleasurable relationships, and make informed choices about their sexuality and reproduction.</w:t>
      </w:r>
      <w:r w:rsidRPr="00B1674C">
        <w:rPr>
          <w:rStyle w:val="EndnoteReference"/>
          <w:rFonts w:eastAsia="Helvetica Neue"/>
        </w:rPr>
        <w:endnoteReference w:id="537"/>
      </w:r>
      <w:r w:rsidRPr="00A64CBE">
        <w:rPr>
          <w:rFonts w:eastAsia="Helvetica Neue"/>
        </w:rPr>
        <w:t xml:space="preserve"> </w:t>
      </w:r>
    </w:p>
    <w:p w14:paraId="1B930D23" w14:textId="25812497" w:rsidR="00BC14E7" w:rsidRPr="00B1674C" w:rsidRDefault="00BC14E7" w:rsidP="00211E23">
      <w:pPr>
        <w:rPr>
          <w:sz w:val="19"/>
          <w:szCs w:val="19"/>
        </w:rPr>
      </w:pPr>
      <w:r w:rsidRPr="00A64CBE">
        <w:rPr>
          <w:rFonts w:eastAsia="Helvetica Neue"/>
        </w:rPr>
        <w:t xml:space="preserve">Comprehensive sexuality education is defined as </w:t>
      </w:r>
      <w:r w:rsidRPr="00A56DE1">
        <w:rPr>
          <w:rFonts w:eastAsia="Helvetica Neue"/>
        </w:rPr>
        <w:t>“</w:t>
      </w:r>
      <w:r w:rsidRPr="00A56DE1">
        <w:rPr>
          <w:rFonts w:eastAsia="Helvetica Neue"/>
          <w:lang w:val="en-GB"/>
        </w:rPr>
        <w:t xml:space="preserve">a curriculum-based process of teaching and learning about the cognitive, emotional, physical and social aspects of sexuality. It aims to equip children and young </w:t>
      </w:r>
      <w:r>
        <w:rPr>
          <w:rFonts w:eastAsia="Helvetica Neue"/>
          <w:lang w:val="en-GB"/>
        </w:rPr>
        <w:t>persons</w:t>
      </w:r>
      <w:r w:rsidRPr="00A56DE1">
        <w:rPr>
          <w:rFonts w:eastAsia="Helvetica Neue"/>
          <w:lang w:val="en-GB"/>
        </w:rPr>
        <w:t xml:space="preserve"> with knowledge, skills, attitudes and values that will empower them to: realize their health, well-being and dignity; develop respectful social and sexual relationships; consider how their choices affect their own well-being and that of others; and, understand and ensure the protection of their rights throughout their lives</w:t>
      </w:r>
      <w:r w:rsidRPr="00A56DE1">
        <w:rPr>
          <w:rFonts w:eastAsia="Helvetica Neue"/>
        </w:rPr>
        <w:t>”.</w:t>
      </w:r>
      <w:r w:rsidRPr="00B1674C">
        <w:rPr>
          <w:rStyle w:val="EndnoteReference"/>
          <w:rFonts w:eastAsia="Helvetica Neue"/>
        </w:rPr>
        <w:endnoteReference w:id="538"/>
      </w:r>
      <w:r w:rsidRPr="00A64CBE">
        <w:rPr>
          <w:rFonts w:eastAsia="Helvetica Neue"/>
        </w:rPr>
        <w:t xml:space="preserve">  Comprehensive sexuality education and information materials and programmes for adults outside the school setting have the same scope and purpose. </w:t>
      </w:r>
      <w:r w:rsidRPr="00A56DE1">
        <w:rPr>
          <w:rFonts w:eastAsia="Helvetica Neue"/>
        </w:rPr>
        <w:t>All comprehensive sexuality education programmes and materials should be scientifically accurate, incremental, age- and developmentally-appropriate, curriculum based, comprehensive, based on a human-rights approach, based on gender equality, culturally relevant and context appropriate, transformative, and assistive in the development of life skills needed to support healthy choices.</w:t>
      </w:r>
      <w:r w:rsidRPr="00B1674C">
        <w:rPr>
          <w:rStyle w:val="EndnoteReference"/>
          <w:rFonts w:eastAsia="Helvetica Neue"/>
        </w:rPr>
        <w:endnoteReference w:id="539"/>
      </w:r>
      <w:r w:rsidRPr="00A56DE1">
        <w:rPr>
          <w:rFonts w:eastAsia="Helvetica Neue"/>
        </w:rPr>
        <w:t xml:space="preserve"> </w:t>
      </w:r>
      <w:r w:rsidRPr="0018197A">
        <w:rPr>
          <w:rFonts w:eastAsia="Helvetica Neue"/>
        </w:rPr>
        <w:t>Information that should be covered in a co</w:t>
      </w:r>
      <w:r w:rsidRPr="00A64CBE">
        <w:rPr>
          <w:rFonts w:eastAsia="Helvetica Neue"/>
        </w:rPr>
        <w:t>mprehensive sexuality education</w:t>
      </w:r>
      <w:r w:rsidRPr="0018197A">
        <w:rPr>
          <w:rFonts w:eastAsia="Helvetica Neue"/>
        </w:rPr>
        <w:t xml:space="preserve"> </w:t>
      </w:r>
      <w:r w:rsidRPr="00A64CBE">
        <w:rPr>
          <w:rFonts w:eastAsia="Helvetica Neue"/>
        </w:rPr>
        <w:t xml:space="preserve">programme and adapted for </w:t>
      </w:r>
      <w:r>
        <w:rPr>
          <w:rFonts w:eastAsia="Helvetica Neue"/>
        </w:rPr>
        <w:t>persons</w:t>
      </w:r>
      <w:r w:rsidRPr="00A64CBE">
        <w:rPr>
          <w:rFonts w:eastAsia="Helvetica Neue"/>
        </w:rPr>
        <w:t xml:space="preserve"> with disabilities </w:t>
      </w:r>
      <w:r w:rsidRPr="0018197A">
        <w:rPr>
          <w:rFonts w:eastAsia="Helvetica Neue"/>
        </w:rPr>
        <w:t>includes, but is not limited to</w:t>
      </w:r>
      <w:r w:rsidRPr="00A64CBE">
        <w:rPr>
          <w:rFonts w:eastAsia="Helvetica Neue"/>
        </w:rPr>
        <w:t>,</w:t>
      </w:r>
      <w:r w:rsidRPr="0018197A">
        <w:rPr>
          <w:rFonts w:eastAsia="Helvetica Neue"/>
        </w:rPr>
        <w:t xml:space="preserve"> “</w:t>
      </w:r>
      <w:r w:rsidRPr="0018197A">
        <w:rPr>
          <w:rFonts w:eastAsia="Helvetica Neue"/>
          <w:lang w:val="en-GB"/>
        </w:rPr>
        <w:t>sexual</w:t>
      </w:r>
      <w:r w:rsidRPr="00A64CBE">
        <w:rPr>
          <w:rFonts w:eastAsia="Helvetica Neue"/>
        </w:rPr>
        <w:t xml:space="preserve"> </w:t>
      </w:r>
      <w:r w:rsidRPr="0018197A">
        <w:rPr>
          <w:rFonts w:eastAsia="Helvetica Neue"/>
          <w:lang w:val="en-GB"/>
        </w:rPr>
        <w:t xml:space="preserve">and reproductive anatomy and physiology; puberty and menstruation; reproduction, modern contraception, pregnancy and childbirth; and STIs, including HIV and AIDS. </w:t>
      </w:r>
      <w:r w:rsidRPr="00A64CBE">
        <w:rPr>
          <w:rFonts w:eastAsia="Helvetica Neue"/>
        </w:rPr>
        <w:t>[Comprehensive sexuality education]</w:t>
      </w:r>
      <w:r w:rsidRPr="0018197A">
        <w:rPr>
          <w:rFonts w:eastAsia="Helvetica Neue"/>
          <w:lang w:val="en-GB"/>
        </w:rPr>
        <w:t xml:space="preserve"> covers the full range of topics that are important for all learners to know, including those that may be challenging in some social and</w:t>
      </w:r>
      <w:r w:rsidRPr="00A64CBE">
        <w:rPr>
          <w:rFonts w:eastAsia="Helvetica Neue"/>
        </w:rPr>
        <w:t xml:space="preserve"> </w:t>
      </w:r>
      <w:r w:rsidRPr="0018197A">
        <w:rPr>
          <w:rFonts w:eastAsia="Helvetica Neue"/>
          <w:lang w:val="en-GB"/>
        </w:rPr>
        <w:t>cultural context</w:t>
      </w:r>
      <w:r w:rsidRPr="00A64CBE">
        <w:rPr>
          <w:rFonts w:eastAsia="Helvetica Neue"/>
        </w:rPr>
        <w:t>s</w:t>
      </w:r>
      <w:r w:rsidRPr="0018197A">
        <w:rPr>
          <w:rFonts w:eastAsia="Helvetica Neue"/>
        </w:rPr>
        <w:t>”</w:t>
      </w:r>
      <w:r w:rsidRPr="00A64CBE">
        <w:rPr>
          <w:rFonts w:eastAsia="Helvetica Neue"/>
        </w:rPr>
        <w:t>.</w:t>
      </w:r>
      <w:r w:rsidRPr="00B1674C">
        <w:rPr>
          <w:rStyle w:val="EndnoteReference"/>
          <w:rFonts w:eastAsia="Helvetica Neue"/>
        </w:rPr>
        <w:endnoteReference w:id="540"/>
      </w:r>
    </w:p>
    <w:p w14:paraId="066213A8" w14:textId="4B2C5F1A" w:rsidR="00BC14E7" w:rsidRPr="00B1674C" w:rsidRDefault="00BC14E7" w:rsidP="00211E23">
      <w:pPr>
        <w:rPr>
          <w:rFonts w:eastAsia="Helvetica Neue"/>
        </w:rPr>
      </w:pPr>
      <w:r w:rsidRPr="00A64CBE">
        <w:rPr>
          <w:rFonts w:eastAsia="Helvetica Neue"/>
        </w:rPr>
        <w:t xml:space="preserve">Comprehensive sexuality education generally refers to education that students receive in school. Women and young </w:t>
      </w:r>
      <w:r>
        <w:rPr>
          <w:rFonts w:eastAsia="Helvetica Neue"/>
        </w:rPr>
        <w:t>persons</w:t>
      </w:r>
      <w:r w:rsidRPr="00A64CBE">
        <w:rPr>
          <w:rFonts w:eastAsia="Helvetica Neue"/>
        </w:rPr>
        <w:t xml:space="preserve"> with disabilities have the same right to participate in sexuality programmes, yet students with disabilities often do not receive comprehensive sexuality education in school or are excluded from such programmes. Accordingly, it is essential that </w:t>
      </w:r>
      <w:r>
        <w:rPr>
          <w:rFonts w:eastAsia="Helvetica Neue"/>
        </w:rPr>
        <w:t>CSE</w:t>
      </w:r>
      <w:r w:rsidRPr="00A64CBE">
        <w:rPr>
          <w:rFonts w:eastAsia="Helvetica Neue"/>
        </w:rPr>
        <w:t xml:space="preserve"> be made available to both adults and young </w:t>
      </w:r>
      <w:r w:rsidR="00023F7F">
        <w:rPr>
          <w:rFonts w:eastAsia="Helvetica Neue"/>
        </w:rPr>
        <w:t>persons</w:t>
      </w:r>
      <w:r w:rsidR="00023F7F" w:rsidRPr="00A64CBE">
        <w:rPr>
          <w:rFonts w:eastAsia="Helvetica Neue"/>
        </w:rPr>
        <w:t xml:space="preserve"> </w:t>
      </w:r>
      <w:r w:rsidRPr="00A64CBE">
        <w:rPr>
          <w:rFonts w:eastAsia="Helvetica Neue"/>
        </w:rPr>
        <w:t xml:space="preserve">with disabilities, including outside of school settings. Consequently, this section addresses provision of traditionally formatted </w:t>
      </w:r>
      <w:r>
        <w:rPr>
          <w:rFonts w:eastAsia="Helvetica Neue"/>
        </w:rPr>
        <w:t>CSE</w:t>
      </w:r>
      <w:r w:rsidRPr="00A64CBE">
        <w:rPr>
          <w:rFonts w:eastAsia="Helvetica Neue"/>
        </w:rPr>
        <w:t xml:space="preserve"> in school settings but also </w:t>
      </w:r>
      <w:r>
        <w:rPr>
          <w:rFonts w:eastAsia="Helvetica Neue"/>
        </w:rPr>
        <w:t>CSE</w:t>
      </w:r>
      <w:r w:rsidRPr="00A64CBE">
        <w:rPr>
          <w:rFonts w:eastAsia="Helvetica Neue"/>
        </w:rPr>
        <w:t xml:space="preserve"> for adults and young </w:t>
      </w:r>
      <w:r>
        <w:rPr>
          <w:rFonts w:eastAsia="Helvetica Neue"/>
        </w:rPr>
        <w:t>persons</w:t>
      </w:r>
      <w:r w:rsidRPr="00A64CBE">
        <w:rPr>
          <w:rFonts w:eastAsia="Helvetica Neue"/>
        </w:rPr>
        <w:t xml:space="preserve"> outside of school settings and education through information sharing rather than traditional education formats. The term comprehensive sexuality education (CSE) is thus used throughout these Guidelines to capture this broader scope. The guidelines detailed below are focused primarily on the content of both </w:t>
      </w:r>
      <w:r w:rsidRPr="00A64CBE">
        <w:rPr>
          <w:rFonts w:eastAsia="Helvetica Neue"/>
        </w:rPr>
        <w:lastRenderedPageBreak/>
        <w:t xml:space="preserve">education programmes or information materials for women and young </w:t>
      </w:r>
      <w:r>
        <w:rPr>
          <w:rFonts w:eastAsia="Helvetica Neue"/>
        </w:rPr>
        <w:t>persons</w:t>
      </w:r>
      <w:r w:rsidRPr="00A64CBE">
        <w:rPr>
          <w:rFonts w:eastAsia="Helvetica Neue"/>
        </w:rPr>
        <w:t xml:space="preserve"> with disabilities. </w:t>
      </w:r>
    </w:p>
    <w:p w14:paraId="7B98BBD1" w14:textId="004953F9" w:rsidR="00BC14E7" w:rsidRPr="00A64CBE" w:rsidRDefault="00BC14E7" w:rsidP="00A34370">
      <w:pPr>
        <w:pStyle w:val="Heading3"/>
        <w:ind w:left="720" w:hanging="720"/>
      </w:pPr>
      <w:r w:rsidRPr="00A64CBE">
        <w:t xml:space="preserve">4.5.2 </w:t>
      </w:r>
      <w:r w:rsidRPr="00A64CBE">
        <w:tab/>
        <w:t xml:space="preserve">Guidelines on Providing CSE for Women and Young </w:t>
      </w:r>
      <w:r w:rsidR="00C74100">
        <w:t>Persons</w:t>
      </w:r>
      <w:r w:rsidR="00C74100" w:rsidRPr="00A64CBE">
        <w:t xml:space="preserve"> </w:t>
      </w:r>
      <w:r w:rsidRPr="00A64CBE">
        <w:t xml:space="preserve">with Disabilities </w:t>
      </w:r>
    </w:p>
    <w:p w14:paraId="5D29A526" w14:textId="77777777" w:rsidR="00BC14E7" w:rsidRPr="00A64CBE" w:rsidRDefault="00BC14E7" w:rsidP="00211E23">
      <w:pPr>
        <w:rPr>
          <w:rFonts w:eastAsia="Helvetica Neue"/>
        </w:rPr>
      </w:pPr>
      <w:r w:rsidRPr="00A64CBE">
        <w:rPr>
          <w:rFonts w:eastAsia="Helvetica Neue"/>
        </w:rPr>
        <w:t xml:space="preserve">The key considerations enumerated here identify common barriers that women and young </w:t>
      </w:r>
      <w:r>
        <w:rPr>
          <w:rFonts w:eastAsia="Helvetica Neue"/>
        </w:rPr>
        <w:t>persons</w:t>
      </w:r>
      <w:r w:rsidRPr="00A64CBE">
        <w:rPr>
          <w:rFonts w:eastAsia="Helvetica Neue"/>
        </w:rPr>
        <w:t xml:space="preserve"> with disabilities face in accessing </w:t>
      </w:r>
      <w:r>
        <w:rPr>
          <w:rFonts w:eastAsia="Helvetica Neue"/>
        </w:rPr>
        <w:t>CSE</w:t>
      </w:r>
      <w:r w:rsidRPr="00A64CBE">
        <w:rPr>
          <w:rFonts w:eastAsia="Helvetica Neue"/>
        </w:rPr>
        <w:t xml:space="preserve">. The guidelines for action offer guidance for ensuring that CSE programmes that are inclusive of women and young </w:t>
      </w:r>
      <w:r>
        <w:rPr>
          <w:rFonts w:eastAsia="Helvetica Neue"/>
        </w:rPr>
        <w:t>persons</w:t>
      </w:r>
      <w:r w:rsidRPr="00A64CBE">
        <w:rPr>
          <w:rFonts w:eastAsia="Helvetica Neue"/>
        </w:rPr>
        <w:t xml:space="preserve"> with disabilities are available, accessible, acceptable, and of good quality. These guidelines for action build on the Foundational Guidelines for Action identified in </w:t>
      </w:r>
      <w:r w:rsidRPr="00A56DE1">
        <w:rPr>
          <w:rFonts w:eastAsia="Helvetica Neue"/>
          <w:b/>
        </w:rPr>
        <w:t>Chapter 2</w:t>
      </w:r>
      <w:r w:rsidRPr="00A56DE1">
        <w:rPr>
          <w:rFonts w:eastAsia="Helvetica Neue"/>
        </w:rPr>
        <w:t xml:space="preserve"> and</w:t>
      </w:r>
      <w:r w:rsidRPr="00A64CBE">
        <w:rPr>
          <w:rFonts w:eastAsia="Helvetica Neue"/>
        </w:rPr>
        <w:t xml:space="preserve"> are not exhaustive but provide a starting point for developing disability-inclusive services and programmes.</w:t>
      </w:r>
    </w:p>
    <w:p w14:paraId="341E140D" w14:textId="7DF4A7B3" w:rsidR="00BC14E7" w:rsidRPr="00A64CBE" w:rsidRDefault="00BC14E7" w:rsidP="00211E23">
      <w:pPr>
        <w:pStyle w:val="Heading4"/>
        <w:rPr>
          <w:rFonts w:eastAsia="Helvetica Neue"/>
        </w:rPr>
      </w:pPr>
      <w:r w:rsidRPr="00A64CBE">
        <w:rPr>
          <w:rFonts w:eastAsia="Helvetica Neue"/>
        </w:rPr>
        <w:t>Key Considerations</w:t>
      </w:r>
    </w:p>
    <w:p w14:paraId="083F1E4E" w14:textId="77777777" w:rsidR="00211E23" w:rsidRPr="00211E23" w:rsidRDefault="00BC14E7" w:rsidP="006E6012">
      <w:pPr>
        <w:pStyle w:val="ListParagraph"/>
        <w:numPr>
          <w:ilvl w:val="0"/>
          <w:numId w:val="112"/>
        </w:numPr>
        <w:rPr>
          <w:b/>
        </w:rPr>
      </w:pPr>
      <w:r w:rsidRPr="00211E23">
        <w:rPr>
          <w:rFonts w:eastAsia="Helvetica Neue"/>
        </w:rPr>
        <w:t xml:space="preserve">All women and young persons have the right to education, but that right is particularly undermined for those with disabilities who are regularly excluded from receiving any form of education and especially sexuality education. Young persons are very likely to be excluded from in-school CSE because the programmes are inaccessible or considered to be unnecessary for students with disabilities. </w:t>
      </w:r>
    </w:p>
    <w:p w14:paraId="4A7EA3EA" w14:textId="77777777" w:rsidR="00211E23" w:rsidRPr="00211E23" w:rsidRDefault="00BC14E7" w:rsidP="006E6012">
      <w:pPr>
        <w:pStyle w:val="ListParagraph"/>
        <w:numPr>
          <w:ilvl w:val="0"/>
          <w:numId w:val="112"/>
        </w:numPr>
        <w:rPr>
          <w:b/>
        </w:rPr>
      </w:pPr>
      <w:r w:rsidRPr="00211E23">
        <w:rPr>
          <w:rFonts w:eastAsia="Helvetica Neue"/>
        </w:rPr>
        <w:t xml:space="preserve">Stigma and harmful stereotypes that persons with disabilities should not be sexually active or that they do not need the type of information covered in CSE can lead to the denial of a woman or a young person with a disability’s right to health, including their right to know about and control their own bodies, along with critical life skills. </w:t>
      </w:r>
    </w:p>
    <w:p w14:paraId="496AB874" w14:textId="77777777" w:rsidR="00211E23" w:rsidRPr="00211E23" w:rsidRDefault="00BC14E7" w:rsidP="006E6012">
      <w:pPr>
        <w:pStyle w:val="ListParagraph"/>
        <w:numPr>
          <w:ilvl w:val="0"/>
          <w:numId w:val="112"/>
        </w:numPr>
        <w:rPr>
          <w:b/>
        </w:rPr>
      </w:pPr>
      <w:r w:rsidRPr="00211E23">
        <w:rPr>
          <w:rFonts w:eastAsia="Helvetica Neue"/>
        </w:rPr>
        <w:t xml:space="preserve">Failure to establish laws and policies that guarantee access to inclusive education can effectively exclude young persons with disabilities from participating in established CSE programmes. </w:t>
      </w:r>
    </w:p>
    <w:p w14:paraId="5266A6DD" w14:textId="77777777" w:rsidR="00211E23" w:rsidRPr="00211E23" w:rsidRDefault="00BC14E7" w:rsidP="006E6012">
      <w:pPr>
        <w:pStyle w:val="ListParagraph"/>
        <w:numPr>
          <w:ilvl w:val="0"/>
          <w:numId w:val="112"/>
        </w:numPr>
        <w:rPr>
          <w:b/>
        </w:rPr>
      </w:pPr>
      <w:r w:rsidRPr="00211E23">
        <w:rPr>
          <w:rFonts w:eastAsia="Helvetica Neue"/>
        </w:rPr>
        <w:t xml:space="preserve">Taboos that prevent people from discussing sex, sexuality, and reproduction in general can exacerbate the barriers that women and young persons with disabilities face in accessing the information offered in CSE, as they are more likely to be isolated and have fewer opportunities to receive CSE in informal settings. </w:t>
      </w:r>
    </w:p>
    <w:p w14:paraId="5A71828D" w14:textId="18272923" w:rsidR="00211E23" w:rsidRPr="00211E23" w:rsidRDefault="00BC14E7" w:rsidP="006E6012">
      <w:pPr>
        <w:pStyle w:val="ListParagraph"/>
        <w:numPr>
          <w:ilvl w:val="0"/>
          <w:numId w:val="112"/>
        </w:numPr>
        <w:rPr>
          <w:b/>
        </w:rPr>
      </w:pPr>
      <w:r w:rsidRPr="00211E23">
        <w:rPr>
          <w:rFonts w:eastAsia="Helvetica Neue"/>
        </w:rPr>
        <w:t xml:space="preserve">There is generally little investment in CSE for young persons, and especially for those with disabilities, because of a misperception that educating young </w:t>
      </w:r>
      <w:r w:rsidR="00C74100">
        <w:rPr>
          <w:rFonts w:eastAsia="Helvetica Neue"/>
        </w:rPr>
        <w:t>persons</w:t>
      </w:r>
      <w:r w:rsidR="00C74100" w:rsidRPr="00211E23">
        <w:rPr>
          <w:rFonts w:eastAsia="Helvetica Neue"/>
        </w:rPr>
        <w:t xml:space="preserve"> </w:t>
      </w:r>
      <w:r w:rsidRPr="00211E23">
        <w:rPr>
          <w:rFonts w:eastAsia="Helvetica Neue"/>
        </w:rPr>
        <w:t>about human sexuality will encourage promiscuous or risky sexual behaviour, or sexual activity generally, which is often considered especially inappropriate for persons with disabilities.</w:t>
      </w:r>
    </w:p>
    <w:p w14:paraId="1A94BF1B" w14:textId="77777777" w:rsidR="00211E23" w:rsidRPr="00211E23" w:rsidRDefault="00BC14E7" w:rsidP="006E6012">
      <w:pPr>
        <w:pStyle w:val="ListParagraph"/>
        <w:numPr>
          <w:ilvl w:val="0"/>
          <w:numId w:val="112"/>
        </w:numPr>
        <w:rPr>
          <w:b/>
        </w:rPr>
      </w:pPr>
      <w:r w:rsidRPr="00211E23">
        <w:rPr>
          <w:rFonts w:eastAsia="Helvetica Neue"/>
        </w:rPr>
        <w:t xml:space="preserve">Low level of </w:t>
      </w:r>
      <w:proofErr w:type="spellStart"/>
      <w:r w:rsidRPr="00211E23">
        <w:rPr>
          <w:rFonts w:eastAsia="Helvetica Neue"/>
        </w:rPr>
        <w:t>enrollment</w:t>
      </w:r>
      <w:proofErr w:type="spellEnd"/>
      <w:r w:rsidRPr="00211E23">
        <w:rPr>
          <w:rFonts w:eastAsia="Helvetica Neue"/>
        </w:rPr>
        <w:t xml:space="preserve"> and participation of persons with disabilities in school, isolation in institutions and homes, and lack of accessible information about formal and informal CSE programmes prevents persons with disabilities accessing CSE even where available. </w:t>
      </w:r>
    </w:p>
    <w:p w14:paraId="68426E3D" w14:textId="77777777" w:rsidR="00211E23" w:rsidRPr="00211E23" w:rsidRDefault="00BC14E7" w:rsidP="006E6012">
      <w:pPr>
        <w:pStyle w:val="ListParagraph"/>
        <w:numPr>
          <w:ilvl w:val="0"/>
          <w:numId w:val="112"/>
        </w:numPr>
        <w:rPr>
          <w:b/>
        </w:rPr>
      </w:pPr>
      <w:r w:rsidRPr="00211E23">
        <w:rPr>
          <w:rFonts w:eastAsia="Helvetica Neue"/>
        </w:rPr>
        <w:t xml:space="preserve">Several factors can make the environments where CSE is provided inaccessible, including the locations of and layout of rooms where CSE programmes are held, the hours when courses take place, and the availability of affordable and accessible transportation. </w:t>
      </w:r>
    </w:p>
    <w:p w14:paraId="1A83AA09" w14:textId="77777777" w:rsidR="00211E23" w:rsidRPr="00211E23" w:rsidRDefault="00BC14E7" w:rsidP="006E6012">
      <w:pPr>
        <w:pStyle w:val="ListParagraph"/>
        <w:numPr>
          <w:ilvl w:val="0"/>
          <w:numId w:val="112"/>
        </w:numPr>
        <w:rPr>
          <w:b/>
        </w:rPr>
      </w:pPr>
      <w:r w:rsidRPr="00211E23">
        <w:rPr>
          <w:rFonts w:eastAsia="Helvetica Neue"/>
        </w:rPr>
        <w:t xml:space="preserve">When available, CSE programmes and materials offered to students with disabilities are often ineffective. Programmes and educational materials lack relevant content for persons </w:t>
      </w:r>
      <w:r w:rsidRPr="00211E23">
        <w:rPr>
          <w:rFonts w:eastAsia="Helvetica Neue"/>
        </w:rPr>
        <w:lastRenderedPageBreak/>
        <w:t xml:space="preserve">with disabilities, are presented in inaccessible ways, or lack value for students with disabilities. Because of this, students with disabilities can miss out on critical information and experience. </w:t>
      </w:r>
    </w:p>
    <w:p w14:paraId="66F5AC78" w14:textId="04F9B731" w:rsidR="00BC14E7" w:rsidRPr="00211E23" w:rsidRDefault="00BC14E7" w:rsidP="006E6012">
      <w:pPr>
        <w:pStyle w:val="ListParagraph"/>
        <w:numPr>
          <w:ilvl w:val="0"/>
          <w:numId w:val="112"/>
        </w:numPr>
        <w:rPr>
          <w:b/>
        </w:rPr>
      </w:pPr>
      <w:r w:rsidRPr="00211E23">
        <w:rPr>
          <w:rFonts w:eastAsia="Helvetica Neue"/>
        </w:rPr>
        <w:t xml:space="preserve">During humanitarian emergencies, the exclusion that women and young persons with disabilities experienced prior to the emergency can prevent them from accessing services available to them as part of the humanitarian emergency services. For example, if a young person with a disability has never participated in integrated education, when that young person learns of a CSE programme they may assume they are not invited to join, no matter how inclusive the programme is intended to be. </w:t>
      </w:r>
    </w:p>
    <w:p w14:paraId="79E66F67" w14:textId="77777777" w:rsidR="00BC14E7" w:rsidRPr="00A64CBE" w:rsidRDefault="00BC14E7" w:rsidP="00A34370">
      <w:pPr>
        <w:pStyle w:val="Heading4"/>
        <w:spacing w:before="480"/>
        <w:rPr>
          <w:rFonts w:eastAsia="Helvetica Neue"/>
        </w:rPr>
      </w:pPr>
      <w:r w:rsidRPr="00A64CBE">
        <w:rPr>
          <w:rFonts w:eastAsia="Helvetica Neue"/>
        </w:rPr>
        <w:t xml:space="preserve">Guidelines for Action: Availability </w:t>
      </w:r>
    </w:p>
    <w:p w14:paraId="395FCF55" w14:textId="77777777" w:rsidR="00211E23" w:rsidRPr="00211E23" w:rsidRDefault="00BC14E7" w:rsidP="006E6012">
      <w:pPr>
        <w:pStyle w:val="ListParagraph"/>
        <w:numPr>
          <w:ilvl w:val="0"/>
          <w:numId w:val="113"/>
        </w:numPr>
        <w:rPr>
          <w:u w:val="single"/>
        </w:rPr>
      </w:pPr>
      <w:r w:rsidRPr="00211E23">
        <w:rPr>
          <w:rFonts w:eastAsia="Helvetica Neue"/>
        </w:rPr>
        <w:t xml:space="preserve">Advocate as necessary for </w:t>
      </w:r>
      <w:r w:rsidRPr="00211E23">
        <w:rPr>
          <w:rFonts w:eastAsia="Helvetica Neue"/>
          <w:bCs/>
        </w:rPr>
        <w:t>laws, policies and protocols</w:t>
      </w:r>
      <w:r w:rsidRPr="00211E23">
        <w:rPr>
          <w:rFonts w:eastAsia="Helvetica Neue"/>
        </w:rPr>
        <w:t xml:space="preserve"> to guarantee inclusive education, which includes CSE programmes. </w:t>
      </w:r>
    </w:p>
    <w:p w14:paraId="60E3A638" w14:textId="77777777" w:rsidR="00211E23" w:rsidRPr="00211E23" w:rsidRDefault="00BC14E7" w:rsidP="006E6012">
      <w:pPr>
        <w:pStyle w:val="ListParagraph"/>
        <w:numPr>
          <w:ilvl w:val="0"/>
          <w:numId w:val="113"/>
        </w:numPr>
        <w:rPr>
          <w:u w:val="single"/>
        </w:rPr>
      </w:pPr>
      <w:r w:rsidRPr="00211E23">
        <w:rPr>
          <w:rFonts w:eastAsia="Helvetica Neue"/>
        </w:rPr>
        <w:t xml:space="preserve">Lobby for CSE to be made available at </w:t>
      </w:r>
      <w:r w:rsidRPr="00211E23">
        <w:rPr>
          <w:rFonts w:eastAsia="Helvetica Neue"/>
          <w:bCs/>
        </w:rPr>
        <w:t>all grade levels</w:t>
      </w:r>
      <w:r w:rsidRPr="00211E23">
        <w:rPr>
          <w:rFonts w:eastAsia="Helvetica Neue"/>
        </w:rPr>
        <w:t xml:space="preserve"> in schools, both integrated and segregated schools for students with disabilities. </w:t>
      </w:r>
    </w:p>
    <w:p w14:paraId="75421BCE" w14:textId="77777777" w:rsidR="00211E23" w:rsidRPr="00211E23" w:rsidRDefault="00BC14E7" w:rsidP="006E6012">
      <w:pPr>
        <w:pStyle w:val="ListParagraph"/>
        <w:numPr>
          <w:ilvl w:val="0"/>
          <w:numId w:val="113"/>
        </w:numPr>
        <w:rPr>
          <w:u w:val="single"/>
        </w:rPr>
      </w:pPr>
      <w:r w:rsidRPr="00A64CBE">
        <w:t xml:space="preserve">Design and offer CSE programmes for women and young </w:t>
      </w:r>
      <w:r>
        <w:t>persons</w:t>
      </w:r>
      <w:r w:rsidRPr="00A64CBE">
        <w:t xml:space="preserve"> with disabilities in accordance with the United Nations Educational, Scientific and Cultural Organization (UNESCO), </w:t>
      </w:r>
      <w:r w:rsidRPr="00211E23">
        <w:rPr>
          <w:b/>
        </w:rPr>
        <w:t>‘Revised Edition International Technical Guidance on Sexuality Education: An Evidence-Informed Approach’.</w:t>
      </w:r>
      <w:r w:rsidRPr="00B1674C">
        <w:rPr>
          <w:rStyle w:val="EndnoteReference"/>
        </w:rPr>
        <w:endnoteReference w:id="541"/>
      </w:r>
    </w:p>
    <w:p w14:paraId="556A39C2" w14:textId="77777777" w:rsidR="00211E23" w:rsidRPr="00211E23" w:rsidRDefault="00BC14E7" w:rsidP="006E6012">
      <w:pPr>
        <w:pStyle w:val="ListParagraph"/>
        <w:numPr>
          <w:ilvl w:val="0"/>
          <w:numId w:val="113"/>
        </w:numPr>
        <w:rPr>
          <w:u w:val="single"/>
        </w:rPr>
      </w:pPr>
      <w:r w:rsidRPr="00211E23">
        <w:rPr>
          <w:rFonts w:eastAsia="Helvetica Neue"/>
        </w:rPr>
        <w:t xml:space="preserve">Use accessible </w:t>
      </w:r>
      <w:r w:rsidRPr="00211E23">
        <w:rPr>
          <w:rFonts w:eastAsia="Helvetica Neue"/>
          <w:bCs/>
        </w:rPr>
        <w:t>techniques and activities</w:t>
      </w:r>
      <w:r w:rsidRPr="00211E23">
        <w:rPr>
          <w:rFonts w:eastAsia="Helvetica Neue"/>
        </w:rPr>
        <w:t xml:space="preserve"> to teach persons with disabilities about key sexual health topics. </w:t>
      </w:r>
    </w:p>
    <w:p w14:paraId="2BAB5C0B" w14:textId="77777777" w:rsidR="00211E23" w:rsidRPr="00211E23" w:rsidRDefault="00BC14E7" w:rsidP="006E6012">
      <w:pPr>
        <w:pStyle w:val="ListParagraph"/>
        <w:numPr>
          <w:ilvl w:val="1"/>
          <w:numId w:val="113"/>
        </w:numPr>
        <w:rPr>
          <w:u w:val="single"/>
        </w:rPr>
      </w:pPr>
      <w:r w:rsidRPr="00211E23">
        <w:rPr>
          <w:rFonts w:eastAsia="Helvetica Neue"/>
          <w:b/>
        </w:rPr>
        <w:t xml:space="preserve">Example: </w:t>
      </w:r>
      <w:r w:rsidRPr="00211E23">
        <w:rPr>
          <w:rFonts w:eastAsia="Helvetica Neue"/>
        </w:rPr>
        <w:t>The Inter-American Institute for Disability and Inclusive Development, Uruguay’s National Public Education Administration, UNFPA and UNICEF developed ‘</w:t>
      </w:r>
      <w:r w:rsidRPr="00211E23">
        <w:rPr>
          <w:rFonts w:eastAsia="Helvetica Neue"/>
          <w:b/>
        </w:rPr>
        <w:t xml:space="preserve">Es </w:t>
      </w:r>
      <w:proofErr w:type="spellStart"/>
      <w:r w:rsidRPr="00211E23">
        <w:rPr>
          <w:rFonts w:eastAsia="Helvetica Neue"/>
          <w:b/>
        </w:rPr>
        <w:t>Parte</w:t>
      </w:r>
      <w:proofErr w:type="spellEnd"/>
      <w:r w:rsidRPr="00211E23">
        <w:rPr>
          <w:rFonts w:eastAsia="Helvetica Neue"/>
          <w:b/>
        </w:rPr>
        <w:t xml:space="preserve"> de la Vida: Material de </w:t>
      </w:r>
      <w:proofErr w:type="spellStart"/>
      <w:r w:rsidRPr="00211E23">
        <w:rPr>
          <w:rFonts w:eastAsia="Helvetica Neue"/>
          <w:b/>
        </w:rPr>
        <w:t>apoyo</w:t>
      </w:r>
      <w:proofErr w:type="spellEnd"/>
      <w:r w:rsidRPr="00211E23">
        <w:rPr>
          <w:rFonts w:eastAsia="Helvetica Neue"/>
          <w:b/>
        </w:rPr>
        <w:t xml:space="preserve"> </w:t>
      </w:r>
      <w:proofErr w:type="spellStart"/>
      <w:r w:rsidRPr="00211E23">
        <w:rPr>
          <w:rFonts w:eastAsia="Helvetica Neue"/>
          <w:b/>
        </w:rPr>
        <w:t>sobre</w:t>
      </w:r>
      <w:proofErr w:type="spellEnd"/>
      <w:r w:rsidRPr="00211E23">
        <w:rPr>
          <w:rFonts w:eastAsia="Helvetica Neue"/>
          <w:b/>
        </w:rPr>
        <w:t xml:space="preserve"> </w:t>
      </w:r>
      <w:proofErr w:type="spellStart"/>
      <w:r w:rsidRPr="00211E23">
        <w:rPr>
          <w:rFonts w:eastAsia="Helvetica Neue"/>
          <w:b/>
        </w:rPr>
        <w:t>educación</w:t>
      </w:r>
      <w:proofErr w:type="spellEnd"/>
      <w:r w:rsidRPr="00211E23">
        <w:rPr>
          <w:rFonts w:eastAsia="Helvetica Neue"/>
          <w:b/>
        </w:rPr>
        <w:t xml:space="preserve"> sexual y </w:t>
      </w:r>
      <w:proofErr w:type="spellStart"/>
      <w:r w:rsidRPr="00211E23">
        <w:rPr>
          <w:rFonts w:eastAsia="Helvetica Neue"/>
          <w:b/>
        </w:rPr>
        <w:t>discapacidad</w:t>
      </w:r>
      <w:proofErr w:type="spellEnd"/>
      <w:r w:rsidRPr="00211E23">
        <w:rPr>
          <w:rFonts w:eastAsia="Helvetica Neue"/>
          <w:b/>
        </w:rPr>
        <w:t xml:space="preserve"> para </w:t>
      </w:r>
      <w:proofErr w:type="spellStart"/>
      <w:r w:rsidRPr="00211E23">
        <w:rPr>
          <w:rFonts w:eastAsia="Helvetica Neue"/>
          <w:b/>
        </w:rPr>
        <w:t>compartir</w:t>
      </w:r>
      <w:proofErr w:type="spellEnd"/>
      <w:r w:rsidRPr="00211E23">
        <w:rPr>
          <w:rFonts w:eastAsia="Helvetica Neue"/>
          <w:b/>
        </w:rPr>
        <w:t xml:space="preserve"> </w:t>
      </w:r>
      <w:proofErr w:type="spellStart"/>
      <w:r w:rsidRPr="00211E23">
        <w:rPr>
          <w:rFonts w:eastAsia="Helvetica Neue"/>
          <w:b/>
        </w:rPr>
        <w:t>en</w:t>
      </w:r>
      <w:proofErr w:type="spellEnd"/>
      <w:r w:rsidRPr="00211E23">
        <w:rPr>
          <w:rFonts w:eastAsia="Helvetica Neue"/>
          <w:b/>
        </w:rPr>
        <w:t xml:space="preserve"> </w:t>
      </w:r>
      <w:proofErr w:type="spellStart"/>
      <w:r w:rsidRPr="00211E23">
        <w:rPr>
          <w:rFonts w:eastAsia="Helvetica Neue"/>
          <w:b/>
        </w:rPr>
        <w:t>familia</w:t>
      </w:r>
      <w:proofErr w:type="spellEnd"/>
      <w:r w:rsidRPr="00211E23">
        <w:rPr>
          <w:rFonts w:eastAsia="Helvetica Neue"/>
          <w:b/>
          <w:i/>
        </w:rPr>
        <w:t xml:space="preserve"> </w:t>
      </w:r>
      <w:r w:rsidRPr="00211E23">
        <w:rPr>
          <w:rFonts w:eastAsia="Helvetica Neue"/>
          <w:bCs/>
        </w:rPr>
        <w:t>[It is Part of Life: Support materials on sexuality education and disability to share with family]</w:t>
      </w:r>
      <w:r w:rsidRPr="00211E23">
        <w:rPr>
          <w:rFonts w:eastAsia="Helvetica Neue"/>
          <w:b/>
          <w:i/>
        </w:rPr>
        <w:t xml:space="preserve"> </w:t>
      </w:r>
      <w:r w:rsidRPr="00211E23">
        <w:rPr>
          <w:rFonts w:eastAsia="Helvetica Neue"/>
        </w:rPr>
        <w:t>to offer families in the Latin American and Caribbean region a variety of practical tips for providing comprehensive sexuality education to their children with disabilities.</w:t>
      </w:r>
      <w:r w:rsidRPr="00B1674C">
        <w:rPr>
          <w:rStyle w:val="EndnoteReference"/>
          <w:rFonts w:eastAsia="Helvetica Neue"/>
        </w:rPr>
        <w:endnoteReference w:id="542"/>
      </w:r>
      <w:r w:rsidRPr="00211E23">
        <w:rPr>
          <w:rFonts w:eastAsia="Helvetica Neue"/>
        </w:rPr>
        <w:t xml:space="preserve"> </w:t>
      </w:r>
    </w:p>
    <w:p w14:paraId="3D27D98C" w14:textId="77777777" w:rsidR="00211E23" w:rsidRPr="00211E23" w:rsidRDefault="00BC14E7" w:rsidP="006E6012">
      <w:pPr>
        <w:pStyle w:val="ListParagraph"/>
        <w:numPr>
          <w:ilvl w:val="0"/>
          <w:numId w:val="113"/>
        </w:numPr>
        <w:rPr>
          <w:u w:val="single"/>
        </w:rPr>
      </w:pPr>
      <w:r w:rsidRPr="00211E23">
        <w:rPr>
          <w:rFonts w:eastAsia="Helvetica Neue"/>
        </w:rPr>
        <w:t xml:space="preserve">Ensure a </w:t>
      </w:r>
      <w:r w:rsidRPr="00211E23">
        <w:rPr>
          <w:rFonts w:eastAsia="Helvetica Neue"/>
          <w:bCs/>
        </w:rPr>
        <w:t>safe and healthy learning environment</w:t>
      </w:r>
      <w:r w:rsidRPr="00211E23">
        <w:rPr>
          <w:rFonts w:eastAsia="Helvetica Neue"/>
        </w:rPr>
        <w:t xml:space="preserve"> free from bullying, discrimination, harassment and violence from peers, educators, family, and caregivers.</w:t>
      </w:r>
      <w:r w:rsidRPr="00B1674C">
        <w:rPr>
          <w:rStyle w:val="EndnoteReference"/>
          <w:rFonts w:eastAsia="Helvetica Neue"/>
        </w:rPr>
        <w:endnoteReference w:id="543"/>
      </w:r>
      <w:r w:rsidRPr="00211E23">
        <w:rPr>
          <w:rFonts w:eastAsia="Helvetica Neue"/>
        </w:rPr>
        <w:t xml:space="preserve"> </w:t>
      </w:r>
    </w:p>
    <w:p w14:paraId="2FE783AA" w14:textId="77777777" w:rsidR="00211E23" w:rsidRPr="00211E23" w:rsidRDefault="00BC14E7" w:rsidP="006E6012">
      <w:pPr>
        <w:pStyle w:val="ListParagraph"/>
        <w:numPr>
          <w:ilvl w:val="0"/>
          <w:numId w:val="113"/>
        </w:numPr>
        <w:rPr>
          <w:u w:val="single"/>
        </w:rPr>
      </w:pPr>
      <w:r w:rsidRPr="00211E23">
        <w:rPr>
          <w:rFonts w:eastAsia="Helvetica Neue"/>
        </w:rPr>
        <w:t xml:space="preserve">Create sexual health programmes </w:t>
      </w:r>
      <w:r w:rsidRPr="00211E23">
        <w:rPr>
          <w:rFonts w:eastAsia="Helvetica Neue"/>
          <w:bCs/>
        </w:rPr>
        <w:t>tailored to women and young persons with disabilities</w:t>
      </w:r>
      <w:r w:rsidRPr="00211E23">
        <w:rPr>
          <w:rFonts w:eastAsia="Helvetica Neue"/>
        </w:rPr>
        <w:t xml:space="preserve"> that provide a forum, along with practical tools, to better understand and explore their sexual health and how their disability may or may not affect their sexual life. </w:t>
      </w:r>
    </w:p>
    <w:p w14:paraId="06E242D0" w14:textId="77777777" w:rsidR="00211E23" w:rsidRPr="00211E23" w:rsidRDefault="00BC14E7" w:rsidP="006E6012">
      <w:pPr>
        <w:pStyle w:val="ListParagraph"/>
        <w:numPr>
          <w:ilvl w:val="1"/>
          <w:numId w:val="113"/>
        </w:numPr>
        <w:rPr>
          <w:u w:val="single"/>
        </w:rPr>
      </w:pPr>
      <w:r w:rsidRPr="00211E23">
        <w:rPr>
          <w:rFonts w:eastAsia="Helvetica Neue"/>
          <w:b/>
        </w:rPr>
        <w:t>Example:</w:t>
      </w:r>
      <w:r w:rsidRPr="00211E23">
        <w:rPr>
          <w:rFonts w:eastAsia="Helvetica Neue"/>
        </w:rPr>
        <w:t xml:space="preserve"> The following talking points are a starting point for women and young persons with disabilities to begin a conversation with their partners about sex:</w:t>
      </w:r>
      <w:r w:rsidRPr="00B1674C">
        <w:rPr>
          <w:rStyle w:val="EndnoteReference"/>
          <w:rFonts w:eastAsia="Helvetica Neue"/>
        </w:rPr>
        <w:endnoteReference w:id="544"/>
      </w:r>
      <w:r w:rsidRPr="00211E23">
        <w:rPr>
          <w:rFonts w:eastAsia="Helvetica Neue"/>
        </w:rPr>
        <w:t xml:space="preserve"> </w:t>
      </w:r>
    </w:p>
    <w:p w14:paraId="69B7513A" w14:textId="77777777" w:rsidR="00211E23" w:rsidRPr="00211E23" w:rsidRDefault="00BC14E7" w:rsidP="006E6012">
      <w:pPr>
        <w:pStyle w:val="ListParagraph"/>
        <w:numPr>
          <w:ilvl w:val="2"/>
          <w:numId w:val="113"/>
        </w:numPr>
        <w:rPr>
          <w:u w:val="single"/>
        </w:rPr>
      </w:pPr>
      <w:r w:rsidRPr="00211E23">
        <w:rPr>
          <w:rFonts w:eastAsia="Helvetica Neue"/>
        </w:rPr>
        <w:t xml:space="preserve">The easiest location to have sex. </w:t>
      </w:r>
    </w:p>
    <w:p w14:paraId="78F57A61" w14:textId="77777777" w:rsidR="00211E23" w:rsidRPr="00211E23" w:rsidRDefault="00BC14E7" w:rsidP="006E6012">
      <w:pPr>
        <w:pStyle w:val="ListParagraph"/>
        <w:numPr>
          <w:ilvl w:val="2"/>
          <w:numId w:val="113"/>
        </w:numPr>
        <w:rPr>
          <w:u w:val="single"/>
        </w:rPr>
      </w:pPr>
      <w:r w:rsidRPr="00211E23">
        <w:rPr>
          <w:rFonts w:eastAsia="Helvetica Neue"/>
        </w:rPr>
        <w:t xml:space="preserve">The most comfortable position or positions that can cause pain. </w:t>
      </w:r>
    </w:p>
    <w:p w14:paraId="37E3AC0B" w14:textId="77777777" w:rsidR="00211E23" w:rsidRPr="00211E23" w:rsidRDefault="00BC14E7" w:rsidP="006E6012">
      <w:pPr>
        <w:pStyle w:val="ListParagraph"/>
        <w:numPr>
          <w:ilvl w:val="2"/>
          <w:numId w:val="113"/>
        </w:numPr>
        <w:rPr>
          <w:u w:val="single"/>
        </w:rPr>
      </w:pPr>
      <w:r w:rsidRPr="00211E23">
        <w:rPr>
          <w:rFonts w:eastAsia="Helvetica Neue"/>
        </w:rPr>
        <w:t xml:space="preserve">How your disability affects your body and how it functions. </w:t>
      </w:r>
    </w:p>
    <w:p w14:paraId="0A558009" w14:textId="77777777" w:rsidR="00211E23" w:rsidRPr="00211E23" w:rsidRDefault="00BC14E7" w:rsidP="006E6012">
      <w:pPr>
        <w:pStyle w:val="ListParagraph"/>
        <w:numPr>
          <w:ilvl w:val="2"/>
          <w:numId w:val="113"/>
        </w:numPr>
        <w:rPr>
          <w:u w:val="single"/>
        </w:rPr>
      </w:pPr>
      <w:r w:rsidRPr="00211E23">
        <w:rPr>
          <w:rFonts w:eastAsia="Helvetica Neue"/>
        </w:rPr>
        <w:t xml:space="preserve">How you and your partner can give pleasure to one another. </w:t>
      </w:r>
    </w:p>
    <w:p w14:paraId="25D8BE62" w14:textId="77777777" w:rsidR="00211E23" w:rsidRPr="00211E23" w:rsidRDefault="00BC14E7" w:rsidP="006E6012">
      <w:pPr>
        <w:pStyle w:val="ListParagraph"/>
        <w:numPr>
          <w:ilvl w:val="2"/>
          <w:numId w:val="113"/>
        </w:numPr>
        <w:rPr>
          <w:u w:val="single"/>
        </w:rPr>
      </w:pPr>
      <w:r w:rsidRPr="00211E23">
        <w:rPr>
          <w:rFonts w:eastAsia="Helvetica Neue"/>
        </w:rPr>
        <w:lastRenderedPageBreak/>
        <w:t xml:space="preserve">If your disability affects your energy levels, when is the best time for you to have sex. </w:t>
      </w:r>
    </w:p>
    <w:p w14:paraId="31FD188B" w14:textId="77777777" w:rsidR="00211E23" w:rsidRPr="00211E23" w:rsidRDefault="00BC14E7" w:rsidP="006E6012">
      <w:pPr>
        <w:pStyle w:val="ListParagraph"/>
        <w:numPr>
          <w:ilvl w:val="2"/>
          <w:numId w:val="113"/>
        </w:numPr>
        <w:rPr>
          <w:u w:val="single"/>
        </w:rPr>
      </w:pPr>
      <w:r w:rsidRPr="00211E23">
        <w:rPr>
          <w:rFonts w:eastAsia="Helvetica Neue"/>
        </w:rPr>
        <w:t xml:space="preserve">What feels good to you and what does not. </w:t>
      </w:r>
    </w:p>
    <w:p w14:paraId="34CB750F" w14:textId="77777777" w:rsidR="00211E23" w:rsidRPr="00211E23" w:rsidRDefault="00BC14E7" w:rsidP="006E6012">
      <w:pPr>
        <w:pStyle w:val="ListParagraph"/>
        <w:numPr>
          <w:ilvl w:val="2"/>
          <w:numId w:val="113"/>
        </w:numPr>
        <w:rPr>
          <w:u w:val="single"/>
        </w:rPr>
      </w:pPr>
      <w:r w:rsidRPr="00211E23">
        <w:rPr>
          <w:rFonts w:eastAsia="Helvetica Neue"/>
        </w:rPr>
        <w:t>If your partner is also your caregiver, boundaries between time spent together for care and for sexual relations.</w:t>
      </w:r>
    </w:p>
    <w:p w14:paraId="0232B833" w14:textId="77777777" w:rsidR="00211E23" w:rsidRPr="00211E23" w:rsidRDefault="00BC14E7" w:rsidP="006E6012">
      <w:pPr>
        <w:pStyle w:val="ListParagraph"/>
        <w:numPr>
          <w:ilvl w:val="0"/>
          <w:numId w:val="113"/>
        </w:numPr>
        <w:rPr>
          <w:u w:val="single"/>
        </w:rPr>
      </w:pPr>
      <w:r w:rsidRPr="00211E23">
        <w:rPr>
          <w:rFonts w:eastAsia="Helvetica Neue"/>
        </w:rPr>
        <w:t xml:space="preserve">Utilize or adapt </w:t>
      </w:r>
      <w:r w:rsidRPr="00211E23">
        <w:rPr>
          <w:rFonts w:eastAsia="Helvetica Neue"/>
          <w:bCs/>
        </w:rPr>
        <w:t>existing programmes</w:t>
      </w:r>
      <w:r w:rsidRPr="00211E23">
        <w:rPr>
          <w:rFonts w:eastAsia="Helvetica Neue"/>
        </w:rPr>
        <w:t xml:space="preserve"> for CSE for students with disabilities. </w:t>
      </w:r>
    </w:p>
    <w:p w14:paraId="310C88C2" w14:textId="2B4E0CBC" w:rsidR="00BC14E7" w:rsidRPr="00944BA2" w:rsidRDefault="00BC14E7" w:rsidP="006E6012">
      <w:pPr>
        <w:pStyle w:val="ListParagraph"/>
        <w:numPr>
          <w:ilvl w:val="1"/>
          <w:numId w:val="113"/>
        </w:numPr>
        <w:rPr>
          <w:u w:val="single"/>
        </w:rPr>
      </w:pPr>
      <w:r w:rsidRPr="00211E23">
        <w:rPr>
          <w:rFonts w:eastAsia="Helvetica Neue"/>
          <w:b/>
        </w:rPr>
        <w:t>Example:</w:t>
      </w:r>
      <w:r w:rsidRPr="00211E23">
        <w:rPr>
          <w:rFonts w:eastAsia="Helvetica Neue"/>
        </w:rPr>
        <w:t xml:space="preserve"> The </w:t>
      </w:r>
      <w:r w:rsidRPr="00211E23">
        <w:rPr>
          <w:rFonts w:eastAsia="Helvetica Neue"/>
          <w:b/>
        </w:rPr>
        <w:t>Circles:</w:t>
      </w:r>
      <w:r w:rsidRPr="00211E23">
        <w:rPr>
          <w:rFonts w:eastAsia="Helvetica Neue"/>
        </w:rPr>
        <w:t xml:space="preserve"> </w:t>
      </w:r>
      <w:r w:rsidRPr="00211E23">
        <w:rPr>
          <w:rFonts w:eastAsia="Helvetica Neue"/>
          <w:b/>
        </w:rPr>
        <w:t>Intimacy &amp; Relationship Education</w:t>
      </w:r>
      <w:r w:rsidRPr="00B1674C">
        <w:rPr>
          <w:rStyle w:val="EndnoteReference"/>
          <w:rFonts w:eastAsia="Helvetica Neue"/>
        </w:rPr>
        <w:endnoteReference w:id="545"/>
      </w:r>
      <w:r w:rsidRPr="00211E23">
        <w:rPr>
          <w:rFonts w:eastAsia="Helvetica Neue"/>
        </w:rPr>
        <w:t xml:space="preserve"> curriculum was developed in the United States of America to teach students with disabilities to understand social and relationship boundaries and skills.</w:t>
      </w:r>
    </w:p>
    <w:p w14:paraId="48E7440E" w14:textId="77777777" w:rsidR="00BC14E7" w:rsidRPr="00A64CBE" w:rsidRDefault="00BC14E7" w:rsidP="00A34370">
      <w:pPr>
        <w:pStyle w:val="Heading4"/>
        <w:spacing w:before="480"/>
        <w:rPr>
          <w:rFonts w:eastAsia="Helvetica Neue"/>
        </w:rPr>
      </w:pPr>
      <w:r w:rsidRPr="00A64CBE">
        <w:rPr>
          <w:rFonts w:eastAsia="Helvetica Neue"/>
        </w:rPr>
        <w:t>Guidelines for Action: Accessibility</w:t>
      </w:r>
    </w:p>
    <w:p w14:paraId="73343C03" w14:textId="77777777" w:rsidR="00944BA2" w:rsidRPr="00944BA2" w:rsidRDefault="00BC14E7" w:rsidP="006E6012">
      <w:pPr>
        <w:pStyle w:val="ListParagraph"/>
        <w:numPr>
          <w:ilvl w:val="0"/>
          <w:numId w:val="114"/>
        </w:numPr>
      </w:pPr>
      <w:r w:rsidRPr="00944BA2">
        <w:rPr>
          <w:rFonts w:eastAsia="Helvetica Neue"/>
        </w:rPr>
        <w:t xml:space="preserve">Create spaces where women and young persons with disabilities can </w:t>
      </w:r>
      <w:r w:rsidRPr="00944BA2">
        <w:rPr>
          <w:rFonts w:eastAsia="Helvetica Neue"/>
          <w:bCs/>
        </w:rPr>
        <w:t>learn about and discuss</w:t>
      </w:r>
      <w:r w:rsidRPr="00944BA2">
        <w:rPr>
          <w:rFonts w:eastAsia="Helvetica Neue"/>
        </w:rPr>
        <w:t xml:space="preserve"> their sexual health in a safe, supportive, and educational way. </w:t>
      </w:r>
    </w:p>
    <w:p w14:paraId="23252043" w14:textId="77777777" w:rsidR="00944BA2" w:rsidRPr="00944BA2" w:rsidRDefault="00BC14E7" w:rsidP="006E6012">
      <w:pPr>
        <w:pStyle w:val="ListParagraph"/>
        <w:numPr>
          <w:ilvl w:val="1"/>
          <w:numId w:val="114"/>
        </w:numPr>
      </w:pPr>
      <w:r w:rsidRPr="00944BA2">
        <w:rPr>
          <w:rFonts w:eastAsia="Helvetica Neue"/>
          <w:b/>
        </w:rPr>
        <w:t>Example:</w:t>
      </w:r>
      <w:r w:rsidRPr="00944BA2">
        <w:rPr>
          <w:rFonts w:eastAsia="Helvetica Neue"/>
        </w:rPr>
        <w:t xml:space="preserve"> The </w:t>
      </w:r>
      <w:r w:rsidRPr="00944BA2">
        <w:rPr>
          <w:rFonts w:eastAsia="Helvetica Neue"/>
          <w:b/>
        </w:rPr>
        <w:t>Sexuality and Disability Blog</w:t>
      </w:r>
      <w:r w:rsidRPr="00B1674C">
        <w:rPr>
          <w:rStyle w:val="EndnoteReference"/>
          <w:rFonts w:eastAsia="Helvetica Neue"/>
        </w:rPr>
        <w:endnoteReference w:id="546"/>
      </w:r>
      <w:r w:rsidRPr="00944BA2">
        <w:rPr>
          <w:rFonts w:eastAsia="Helvetica Neue"/>
        </w:rPr>
        <w:t xml:space="preserve"> is great example of increasing visibility around sexuality and disability while providing an important resource and community for women with and without disabilities. Created by Point of View and CREA based in Mumbai, Delhi, and New York, the blog covers a range of topics surrounding gender identity, sexual health, and reproductive health for persons with disabilities. The free blog is structured as a series of questions, promoting easy access, and is offered in an accessible format. The blog was created by and with women with disabilities, as well as disability rights advocates and other stakeholders. </w:t>
      </w:r>
    </w:p>
    <w:p w14:paraId="5C51453D" w14:textId="77777777" w:rsidR="00944BA2" w:rsidRPr="00944BA2" w:rsidRDefault="00BC14E7" w:rsidP="006E6012">
      <w:pPr>
        <w:pStyle w:val="ListParagraph"/>
        <w:numPr>
          <w:ilvl w:val="0"/>
          <w:numId w:val="114"/>
        </w:numPr>
      </w:pPr>
      <w:r w:rsidRPr="00944BA2">
        <w:rPr>
          <w:rFonts w:eastAsia="Helvetica Neue"/>
        </w:rPr>
        <w:t xml:space="preserve">Create programmes </w:t>
      </w:r>
      <w:r w:rsidRPr="00944BA2">
        <w:rPr>
          <w:rFonts w:eastAsia="Helvetica Neue"/>
          <w:bCs/>
        </w:rPr>
        <w:t>tailored to the learning and accessibility needs of the women and young persons and their disabilities</w:t>
      </w:r>
      <w:r w:rsidRPr="00944BA2">
        <w:rPr>
          <w:rFonts w:eastAsia="Helvetica Neue"/>
        </w:rPr>
        <w:t xml:space="preserve">. Because SRHR can be particularly sensitive topics, it is important to create smaller supportive and accessible spaces that will allow women and young persons to ask questions they may be shy about asking and that can be tailored to different learning styles. </w:t>
      </w:r>
    </w:p>
    <w:p w14:paraId="68FC972D" w14:textId="77777777" w:rsidR="00944BA2" w:rsidRPr="00944BA2" w:rsidRDefault="00BC14E7" w:rsidP="006E6012">
      <w:pPr>
        <w:pStyle w:val="ListParagraph"/>
        <w:numPr>
          <w:ilvl w:val="1"/>
          <w:numId w:val="114"/>
        </w:numPr>
      </w:pPr>
      <w:r w:rsidRPr="00944BA2">
        <w:rPr>
          <w:rFonts w:eastAsia="Helvetica Neue"/>
          <w:b/>
        </w:rPr>
        <w:t>Example:</w:t>
      </w:r>
      <w:r w:rsidRPr="00944BA2">
        <w:rPr>
          <w:rFonts w:eastAsia="Helvetica Neue"/>
        </w:rPr>
        <w:t xml:space="preserve"> </w:t>
      </w:r>
      <w:r w:rsidRPr="00944BA2">
        <w:rPr>
          <w:rFonts w:eastAsia="Helvetica Neue"/>
          <w:b/>
        </w:rPr>
        <w:t>Point of View</w:t>
      </w:r>
      <w:r w:rsidRPr="00944BA2">
        <w:rPr>
          <w:rFonts w:eastAsia="Helvetica Neue"/>
        </w:rPr>
        <w:t xml:space="preserve"> organized and hosted a workshop in India through its Sexuality and Disability Project to teach women and girls with visual impairments about their bodies, menstruation, menstrual health, hygiene, female genitalia, sex, and contraception use. The organization used physical female anatomy charts with raised diagrams of female genitalia and secondary sex characteristics to allow participants to have a tactile method of understanding what the parts of their bodies were called and the function of each part. Verbal methods were used to explain menstruation and menstruation care, accompanied by clay charts of reproductive organs and explanations of different types of reproductive concepts. Additionally, a sexual education activity with rubber models of the male reproductive system was used for tactile pairing with verbal explanations and an activity to teach participants how to put on a condom.</w:t>
      </w:r>
      <w:r w:rsidRPr="00B1674C">
        <w:rPr>
          <w:rStyle w:val="EndnoteReference"/>
          <w:rFonts w:eastAsia="Helvetica Neue"/>
        </w:rPr>
        <w:endnoteReference w:id="547"/>
      </w:r>
      <w:r w:rsidRPr="00944BA2">
        <w:rPr>
          <w:rFonts w:eastAsia="Helvetica Neue"/>
        </w:rPr>
        <w:t xml:space="preserve"> </w:t>
      </w:r>
    </w:p>
    <w:p w14:paraId="590119FA" w14:textId="77777777" w:rsidR="00944BA2" w:rsidRPr="00944BA2" w:rsidRDefault="00BC14E7" w:rsidP="006E6012">
      <w:pPr>
        <w:pStyle w:val="ListParagraph"/>
        <w:numPr>
          <w:ilvl w:val="0"/>
          <w:numId w:val="114"/>
        </w:numPr>
      </w:pPr>
      <w:r w:rsidRPr="00944BA2">
        <w:rPr>
          <w:rFonts w:eastAsia="Helvetica Neue"/>
        </w:rPr>
        <w:t xml:space="preserve">Develop </w:t>
      </w:r>
      <w:r w:rsidRPr="00944BA2">
        <w:rPr>
          <w:rFonts w:eastAsia="Helvetica Neue"/>
          <w:bCs/>
        </w:rPr>
        <w:t>accessible CSE materials</w:t>
      </w:r>
      <w:r w:rsidRPr="00944BA2">
        <w:rPr>
          <w:rFonts w:eastAsia="Helvetica Neue"/>
          <w:b/>
        </w:rPr>
        <w:t xml:space="preserve"> </w:t>
      </w:r>
      <w:r w:rsidRPr="00944BA2">
        <w:rPr>
          <w:rFonts w:eastAsia="Helvetica Neue"/>
        </w:rPr>
        <w:t xml:space="preserve">that can be taken home and distributed widely for women and young persons with disabilities to review in private. Social media and digital media are excellent ways of providing CSE materials and information in a form that is highly adaptable for accessibility needs. </w:t>
      </w:r>
    </w:p>
    <w:p w14:paraId="15B25685" w14:textId="3141516A" w:rsidR="00BC14E7" w:rsidRPr="00944BA2" w:rsidRDefault="00BC14E7" w:rsidP="006E6012">
      <w:pPr>
        <w:pStyle w:val="ListParagraph"/>
        <w:numPr>
          <w:ilvl w:val="1"/>
          <w:numId w:val="114"/>
        </w:numPr>
      </w:pPr>
      <w:r w:rsidRPr="00944BA2">
        <w:rPr>
          <w:rFonts w:eastAsia="Helvetica Neue"/>
          <w:b/>
        </w:rPr>
        <w:lastRenderedPageBreak/>
        <w:t>Example:</w:t>
      </w:r>
      <w:r w:rsidRPr="00944BA2">
        <w:rPr>
          <w:rFonts w:eastAsia="Helvetica Neue"/>
        </w:rPr>
        <w:t xml:space="preserve"> The “</w:t>
      </w:r>
      <w:proofErr w:type="spellStart"/>
      <w:r w:rsidRPr="00944BA2">
        <w:rPr>
          <w:rFonts w:eastAsia="Helvetica Neue"/>
          <w:b/>
          <w:highlight w:val="white"/>
        </w:rPr>
        <w:t>Decímelo</w:t>
      </w:r>
      <w:proofErr w:type="spellEnd"/>
      <w:r w:rsidRPr="00944BA2">
        <w:rPr>
          <w:rFonts w:eastAsia="Helvetica Neue"/>
          <w:b/>
          <w:highlight w:val="white"/>
        </w:rPr>
        <w:t xml:space="preserve"> a mi!</w:t>
      </w:r>
      <w:r w:rsidRPr="00944BA2">
        <w:rPr>
          <w:rFonts w:eastAsia="Helvetica Neue"/>
          <w:highlight w:val="white"/>
        </w:rPr>
        <w:t>"</w:t>
      </w:r>
      <w:r w:rsidRPr="00944BA2">
        <w:rPr>
          <w:rFonts w:eastAsia="Helvetica Neue"/>
          <w:i/>
          <w:highlight w:val="white"/>
        </w:rPr>
        <w:t xml:space="preserve"> </w:t>
      </w:r>
      <w:r w:rsidRPr="00944BA2">
        <w:rPr>
          <w:rFonts w:eastAsia="Helvetica Neue"/>
          <w:highlight w:val="white"/>
        </w:rPr>
        <w:t>phone application in</w:t>
      </w:r>
      <w:r w:rsidRPr="00944BA2">
        <w:rPr>
          <w:rFonts w:eastAsia="Helvetica Neue"/>
        </w:rPr>
        <w:t xml:space="preserve"> Uruguay is an example of the effective use of technology to more widely distribute SRHR information to women and young persons with disabilities. The application was created to </w:t>
      </w:r>
      <w:r w:rsidRPr="00944BA2">
        <w:rPr>
          <w:rFonts w:eastAsia="Helvetica Neue"/>
          <w:highlight w:val="white"/>
        </w:rPr>
        <w:t>make information about sexual and reproductive health rights in Latin American more accessible to women from the Deaf and hard of hearing community. The programme included the adding of barcodes to flyers and posters, which could be scanned by the application, giving the user access to videos in sign language on sexual health, reproductive health, diversity, and gender equality, as well as videos dispelling myths and false information on those subjects and others. This type of technology makes public information more accessible, user friendly, and inclusive for persons with disabilities.</w:t>
      </w:r>
      <w:r w:rsidRPr="00B1674C">
        <w:rPr>
          <w:rStyle w:val="EndnoteReference"/>
          <w:rFonts w:eastAsia="Helvetica Neue"/>
          <w:highlight w:val="white"/>
        </w:rPr>
        <w:endnoteReference w:id="548"/>
      </w:r>
      <w:r w:rsidRPr="00944BA2">
        <w:rPr>
          <w:rFonts w:eastAsia="Helvetica Neue"/>
          <w:highlight w:val="white"/>
        </w:rPr>
        <w:t xml:space="preserve"> </w:t>
      </w:r>
    </w:p>
    <w:p w14:paraId="75ADF9A4" w14:textId="77777777" w:rsidR="00BC14E7" w:rsidRPr="00A64CBE" w:rsidRDefault="00BC14E7" w:rsidP="00A34370">
      <w:pPr>
        <w:pStyle w:val="Heading4"/>
        <w:spacing w:before="480"/>
        <w:rPr>
          <w:rFonts w:eastAsia="Helvetica Neue"/>
        </w:rPr>
      </w:pPr>
      <w:r w:rsidRPr="00A64CBE">
        <w:rPr>
          <w:rFonts w:eastAsia="Helvetica Neue"/>
        </w:rPr>
        <w:t>Guidelines for Action: Acceptability</w:t>
      </w:r>
    </w:p>
    <w:p w14:paraId="0C1DC596" w14:textId="77777777" w:rsidR="00944BA2" w:rsidRPr="00944BA2" w:rsidRDefault="00BC14E7" w:rsidP="006E6012">
      <w:pPr>
        <w:pStyle w:val="ListParagraph"/>
        <w:numPr>
          <w:ilvl w:val="0"/>
          <w:numId w:val="115"/>
        </w:numPr>
      </w:pPr>
      <w:r w:rsidRPr="00944BA2">
        <w:rPr>
          <w:rFonts w:eastAsia="Helvetica Neue"/>
        </w:rPr>
        <w:t xml:space="preserve">Promote </w:t>
      </w:r>
      <w:r w:rsidRPr="00944BA2">
        <w:rPr>
          <w:rFonts w:eastAsia="Helvetica Neue"/>
          <w:bCs/>
        </w:rPr>
        <w:t>national plans and policies on CSE</w:t>
      </w:r>
      <w:r w:rsidRPr="00944BA2">
        <w:rPr>
          <w:rFonts w:eastAsia="Helvetica Neue"/>
        </w:rPr>
        <w:t xml:space="preserve"> to require development of inclusive CSE curricula, accessible and inclusive CSE materials that do not perpetuate harmful stereotypes on the basis of gender, disability, sexual orientation, or gender identity, and trainings for teachers to provide quality CSE to young persons with and without disabilities. </w:t>
      </w:r>
    </w:p>
    <w:p w14:paraId="12D975C8" w14:textId="77777777" w:rsidR="00944BA2" w:rsidRPr="00944BA2" w:rsidRDefault="00BC14E7" w:rsidP="006E6012">
      <w:pPr>
        <w:pStyle w:val="ListParagraph"/>
        <w:numPr>
          <w:ilvl w:val="0"/>
          <w:numId w:val="115"/>
        </w:numPr>
      </w:pPr>
      <w:r w:rsidRPr="00944BA2">
        <w:rPr>
          <w:rFonts w:eastAsia="Helvetica Neue"/>
        </w:rPr>
        <w:t xml:space="preserve">Integrate women and young persons with disabilities into </w:t>
      </w:r>
      <w:r w:rsidRPr="00944BA2">
        <w:rPr>
          <w:rFonts w:eastAsia="Helvetica Neue"/>
          <w:bCs/>
        </w:rPr>
        <w:t xml:space="preserve">mainstream CSE programmes </w:t>
      </w:r>
      <w:r w:rsidRPr="00944BA2">
        <w:rPr>
          <w:rFonts w:eastAsia="Helvetica Neue"/>
        </w:rPr>
        <w:t xml:space="preserve">as much as possible. Learning about sexuality in an integrated setting can help dismantle prejudices and harmful stereotypes about persons with disabilities and sexuality. </w:t>
      </w:r>
    </w:p>
    <w:p w14:paraId="45D0C849" w14:textId="77777777" w:rsidR="00944BA2" w:rsidRPr="00944BA2" w:rsidRDefault="00BC14E7" w:rsidP="006E6012">
      <w:pPr>
        <w:pStyle w:val="ListParagraph"/>
        <w:numPr>
          <w:ilvl w:val="0"/>
          <w:numId w:val="115"/>
        </w:numPr>
      </w:pPr>
      <w:r w:rsidRPr="00944BA2">
        <w:rPr>
          <w:rFonts w:eastAsia="Helvetica Neue"/>
        </w:rPr>
        <w:t xml:space="preserve">Develop </w:t>
      </w:r>
      <w:r w:rsidRPr="00944BA2">
        <w:rPr>
          <w:rFonts w:eastAsia="Helvetica Neue"/>
          <w:bCs/>
        </w:rPr>
        <w:t>disability-inclusive and sensitive CSE programmes and trainings for CSE educators</w:t>
      </w:r>
      <w:r w:rsidRPr="00944BA2">
        <w:rPr>
          <w:rFonts w:eastAsia="Helvetica Neue"/>
        </w:rPr>
        <w:t xml:space="preserve"> or to supplement established programmes. Use images of individuals with disabilities in all CSE curriculum materials, as mainstreaming such images can help dismantle discrimination about persons with disabilities and sexuality and it can be empowering for persons with disabilities to see such images.</w:t>
      </w:r>
    </w:p>
    <w:p w14:paraId="3032F18E" w14:textId="77777777" w:rsidR="00944BA2" w:rsidRPr="00944BA2" w:rsidRDefault="00BC14E7" w:rsidP="006E6012">
      <w:pPr>
        <w:pStyle w:val="ListParagraph"/>
        <w:numPr>
          <w:ilvl w:val="0"/>
          <w:numId w:val="115"/>
        </w:numPr>
      </w:pPr>
      <w:r w:rsidRPr="00944BA2">
        <w:rPr>
          <w:rFonts w:eastAsia="Helvetica Neue"/>
        </w:rPr>
        <w:t xml:space="preserve">Ensure that </w:t>
      </w:r>
      <w:r w:rsidRPr="00944BA2">
        <w:rPr>
          <w:rFonts w:eastAsia="Helvetica Neue"/>
          <w:bCs/>
        </w:rPr>
        <w:t>young men with and without disabilities are included in CSE programmes</w:t>
      </w:r>
      <w:r w:rsidRPr="00944BA2">
        <w:rPr>
          <w:rFonts w:eastAsia="Helvetica Neue"/>
        </w:rPr>
        <w:t>.</w:t>
      </w:r>
      <w:r w:rsidRPr="00B1674C">
        <w:rPr>
          <w:rStyle w:val="EndnoteReference"/>
          <w:rFonts w:eastAsia="Helvetica Neue"/>
        </w:rPr>
        <w:endnoteReference w:id="549"/>
      </w:r>
      <w:r w:rsidRPr="00944BA2">
        <w:rPr>
          <w:rFonts w:eastAsia="Helvetica Neue"/>
        </w:rPr>
        <w:t xml:space="preserve"> Adolescence is an especially key time for services to reach young men and boys with disabilities. Dismantling harmful stereotypes about gender roles can help foster healthy relationships for young men and boys with disabilities.</w:t>
      </w:r>
    </w:p>
    <w:p w14:paraId="3D4B123B" w14:textId="77777777" w:rsidR="00944BA2" w:rsidRPr="00944BA2" w:rsidRDefault="00BC14E7" w:rsidP="006E6012">
      <w:pPr>
        <w:pStyle w:val="ListParagraph"/>
        <w:numPr>
          <w:ilvl w:val="0"/>
          <w:numId w:val="115"/>
        </w:numPr>
      </w:pPr>
      <w:r w:rsidRPr="00944BA2">
        <w:rPr>
          <w:rFonts w:eastAsia="Helvetica Neue"/>
        </w:rPr>
        <w:t xml:space="preserve">Build capacity of women and young persons with disabilities to be </w:t>
      </w:r>
      <w:r w:rsidRPr="00944BA2">
        <w:rPr>
          <w:rFonts w:eastAsia="Helvetica Neue"/>
          <w:b/>
        </w:rPr>
        <w:t>peer educators</w:t>
      </w:r>
      <w:r w:rsidRPr="00944BA2">
        <w:rPr>
          <w:rFonts w:eastAsia="Helvetica Neue"/>
        </w:rPr>
        <w:t xml:space="preserve"> and develop self-empowerment groups for women and young persons with disabilities that can address CSE topics.</w:t>
      </w:r>
    </w:p>
    <w:p w14:paraId="71FE807E" w14:textId="77777777" w:rsidR="00944BA2" w:rsidRPr="00944BA2" w:rsidRDefault="00BC14E7" w:rsidP="006E6012">
      <w:pPr>
        <w:pStyle w:val="ListParagraph"/>
        <w:numPr>
          <w:ilvl w:val="1"/>
          <w:numId w:val="115"/>
        </w:numPr>
      </w:pPr>
      <w:r w:rsidRPr="00944BA2">
        <w:rPr>
          <w:rFonts w:eastAsia="Helvetica Neue"/>
          <w:b/>
        </w:rPr>
        <w:t xml:space="preserve">Example: </w:t>
      </w:r>
      <w:r w:rsidRPr="00944BA2">
        <w:rPr>
          <w:rFonts w:eastAsia="Helvetica Neue"/>
        </w:rPr>
        <w:t>In Pakistan, the National Forum for Women with Disabilities (NFWWD) trains women with disabilities to become peer educators for women with and without disabilities in their communities.</w:t>
      </w:r>
      <w:r w:rsidRPr="00B1674C">
        <w:rPr>
          <w:rStyle w:val="EndnoteReference"/>
          <w:rFonts w:eastAsia="Helvetica Neue"/>
        </w:rPr>
        <w:endnoteReference w:id="550"/>
      </w:r>
      <w:r w:rsidRPr="00944BA2">
        <w:rPr>
          <w:rFonts w:eastAsia="Helvetica Neue"/>
        </w:rPr>
        <w:t xml:space="preserve"> More information on NFWWD and other organizations doing effective SRHR work for women with disabilities in the Asia-Pacific region are documented in The Asian-Pacific Resource and Research Centre for Women (ARROW) and CREA publication, </w:t>
      </w:r>
      <w:r w:rsidRPr="00944BA2">
        <w:rPr>
          <w:rFonts w:eastAsia="Helvetica Neue"/>
          <w:b/>
        </w:rPr>
        <w:t>‘ARROW for Change – Women with Disabilities: Disabled, Sexual, Reproductive’.</w:t>
      </w:r>
      <w:r w:rsidRPr="00B1674C">
        <w:rPr>
          <w:rStyle w:val="EndnoteReference"/>
          <w:rFonts w:eastAsia="Helvetica Neue"/>
        </w:rPr>
        <w:endnoteReference w:id="551"/>
      </w:r>
      <w:r w:rsidRPr="00944BA2">
        <w:rPr>
          <w:rFonts w:eastAsia="Helvetica Neue"/>
        </w:rPr>
        <w:t xml:space="preserve">  </w:t>
      </w:r>
    </w:p>
    <w:p w14:paraId="730ED67B" w14:textId="77777777" w:rsidR="00944BA2" w:rsidRPr="00944BA2" w:rsidRDefault="00BC14E7" w:rsidP="006E6012">
      <w:pPr>
        <w:pStyle w:val="ListParagraph"/>
        <w:numPr>
          <w:ilvl w:val="0"/>
          <w:numId w:val="115"/>
        </w:numPr>
      </w:pPr>
      <w:r w:rsidRPr="00944BA2">
        <w:rPr>
          <w:rFonts w:eastAsia="Helvetica Neue"/>
        </w:rPr>
        <w:t xml:space="preserve">Engage </w:t>
      </w:r>
      <w:r w:rsidRPr="00944BA2">
        <w:rPr>
          <w:rFonts w:eastAsia="Helvetica Neue"/>
          <w:bCs/>
        </w:rPr>
        <w:t>family members and caregivers</w:t>
      </w:r>
      <w:r w:rsidRPr="00944BA2">
        <w:rPr>
          <w:rFonts w:eastAsia="Helvetica Neue"/>
        </w:rPr>
        <w:t xml:space="preserve"> of young persons with disabilities in advocacy and information campaigns and educate them about the importance of young persons participating in CSE programmes. Family members can be encouraged to provide sexuality </w:t>
      </w:r>
      <w:r w:rsidRPr="00944BA2">
        <w:rPr>
          <w:rFonts w:eastAsia="Helvetica Neue"/>
        </w:rPr>
        <w:lastRenderedPageBreak/>
        <w:t xml:space="preserve">education to young persons with disabilities or enroll their children in programmes by framing involvement as ‘risk reduction’ (e.g. to reduce the risk of abuse or STIs). </w:t>
      </w:r>
    </w:p>
    <w:p w14:paraId="16B28DA4" w14:textId="77777777" w:rsidR="00944BA2" w:rsidRPr="00944BA2" w:rsidRDefault="00BC14E7" w:rsidP="006E6012">
      <w:pPr>
        <w:pStyle w:val="ListParagraph"/>
        <w:numPr>
          <w:ilvl w:val="1"/>
          <w:numId w:val="115"/>
        </w:numPr>
      </w:pPr>
      <w:r w:rsidRPr="00944BA2">
        <w:rPr>
          <w:rFonts w:eastAsia="Helvetica Neue"/>
          <w:b/>
        </w:rPr>
        <w:t>Example:</w:t>
      </w:r>
      <w:r w:rsidRPr="00944BA2">
        <w:rPr>
          <w:rFonts w:eastAsia="Helvetica Neue"/>
        </w:rPr>
        <w:t xml:space="preserve"> There are a number of resources to assist parents of children with disabilities to provide comprehensive sexuality education to their children. Some useful resources include the Vanderbilt Kennedy Center’s</w:t>
      </w:r>
      <w:r w:rsidRPr="00944BA2">
        <w:rPr>
          <w:rFonts w:eastAsia="Helvetica Neue"/>
          <w:b/>
        </w:rPr>
        <w:t xml:space="preserve"> ‘The Healthy Bodies Toolkit for Boys and Girls</w:t>
      </w:r>
      <w:r w:rsidRPr="00944BA2">
        <w:rPr>
          <w:rFonts w:eastAsia="Helvetica Neue"/>
        </w:rPr>
        <w:t>,</w:t>
      </w:r>
      <w:r w:rsidRPr="00944BA2">
        <w:rPr>
          <w:rFonts w:eastAsia="Helvetica Neue"/>
          <w:b/>
        </w:rPr>
        <w:t>’</w:t>
      </w:r>
      <w:r w:rsidRPr="00B1674C">
        <w:rPr>
          <w:rStyle w:val="EndnoteReference"/>
          <w:rFonts w:eastAsia="Helvetica Neue"/>
        </w:rPr>
        <w:endnoteReference w:id="552"/>
      </w:r>
      <w:r w:rsidRPr="00944BA2">
        <w:rPr>
          <w:rFonts w:eastAsia="Helvetica Neue"/>
        </w:rPr>
        <w:t xml:space="preserve"> guides for parents of boys and girls with disabilities to guide boys and girls through puberty, which includes visual aids and tools. Or </w:t>
      </w:r>
      <w:proofErr w:type="spellStart"/>
      <w:r w:rsidRPr="00944BA2">
        <w:rPr>
          <w:rFonts w:eastAsia="Helvetica Neue"/>
        </w:rPr>
        <w:t>DiAnn</w:t>
      </w:r>
      <w:proofErr w:type="spellEnd"/>
      <w:r w:rsidRPr="00944BA2">
        <w:rPr>
          <w:rFonts w:eastAsia="Helvetica Neue"/>
        </w:rPr>
        <w:t xml:space="preserve"> L. Baxley and Anna L. </w:t>
      </w:r>
      <w:proofErr w:type="spellStart"/>
      <w:r w:rsidRPr="00944BA2">
        <w:rPr>
          <w:rFonts w:eastAsia="Helvetica Neue"/>
        </w:rPr>
        <w:t>Zendell’s</w:t>
      </w:r>
      <w:proofErr w:type="spellEnd"/>
      <w:r w:rsidRPr="00944BA2">
        <w:rPr>
          <w:rFonts w:eastAsia="Helvetica Neue"/>
        </w:rPr>
        <w:t xml:space="preserve"> ‘</w:t>
      </w:r>
      <w:r w:rsidRPr="00944BA2">
        <w:rPr>
          <w:rFonts w:eastAsia="Helvetica Neue"/>
          <w:b/>
        </w:rPr>
        <w:t xml:space="preserve">Sexuality Across the Lifespan—Sexuality Education for Children and Adolescents with Developmental Disabilities,’ </w:t>
      </w:r>
      <w:r w:rsidRPr="00944BA2">
        <w:rPr>
          <w:rFonts w:eastAsia="Helvetica Neue"/>
        </w:rPr>
        <w:t>a manual for educators about CSE for students with developmental disabilities, which includes topics on sexual and physical abuse.</w:t>
      </w:r>
      <w:r w:rsidRPr="00B1674C">
        <w:rPr>
          <w:rStyle w:val="EndnoteReference"/>
          <w:rFonts w:eastAsia="Helvetica Neue"/>
        </w:rPr>
        <w:endnoteReference w:id="553"/>
      </w:r>
      <w:r w:rsidRPr="00944BA2">
        <w:rPr>
          <w:rFonts w:eastAsia="Helvetica Neue"/>
        </w:rPr>
        <w:t xml:space="preserve"> </w:t>
      </w:r>
    </w:p>
    <w:p w14:paraId="0A970E2A" w14:textId="77777777" w:rsidR="00944BA2" w:rsidRPr="00944BA2" w:rsidRDefault="00BC14E7" w:rsidP="006E6012">
      <w:pPr>
        <w:pStyle w:val="ListParagraph"/>
        <w:numPr>
          <w:ilvl w:val="0"/>
          <w:numId w:val="115"/>
        </w:numPr>
      </w:pPr>
      <w:r w:rsidRPr="00944BA2">
        <w:rPr>
          <w:rFonts w:eastAsia="Helvetica Neue"/>
        </w:rPr>
        <w:t xml:space="preserve">Offer </w:t>
      </w:r>
      <w:r w:rsidRPr="00944BA2">
        <w:rPr>
          <w:rFonts w:eastAsia="Helvetica Neue"/>
          <w:bCs/>
        </w:rPr>
        <w:t>training</w:t>
      </w:r>
      <w:r w:rsidRPr="00944BA2">
        <w:rPr>
          <w:rFonts w:eastAsia="Helvetica Neue"/>
        </w:rPr>
        <w:t xml:space="preserve"> for teachers and service providers about accessible and inclusive CSE. </w:t>
      </w:r>
    </w:p>
    <w:p w14:paraId="213060A0" w14:textId="77777777" w:rsidR="00944BA2" w:rsidRPr="00944BA2" w:rsidRDefault="00BC14E7" w:rsidP="006E6012">
      <w:pPr>
        <w:pStyle w:val="ListParagraph"/>
        <w:numPr>
          <w:ilvl w:val="1"/>
          <w:numId w:val="115"/>
        </w:numPr>
      </w:pPr>
      <w:r w:rsidRPr="00944BA2">
        <w:rPr>
          <w:rFonts w:eastAsia="Helvetica Neue"/>
          <w:b/>
        </w:rPr>
        <w:t>Example:</w:t>
      </w:r>
      <w:r w:rsidRPr="00944BA2">
        <w:rPr>
          <w:rFonts w:eastAsia="Helvetica Neue"/>
        </w:rPr>
        <w:t xml:space="preserve"> Service providers must create opportunities to learn from women and young persons with disabilities about their experiences, concerns, and needs relating to sexuality. One research project entitled </w:t>
      </w:r>
      <w:r w:rsidRPr="00944BA2">
        <w:rPr>
          <w:rFonts w:eastAsia="Helvetica Neue"/>
          <w:b/>
        </w:rPr>
        <w:t>(S)exploring Disability: Intimacies, Sexualities, and Disabilities</w:t>
      </w:r>
      <w:r w:rsidRPr="00944BA2">
        <w:rPr>
          <w:rFonts w:eastAsia="Helvetica Neue"/>
        </w:rPr>
        <w:t>,</w:t>
      </w:r>
      <w:r w:rsidRPr="00B1674C">
        <w:rPr>
          <w:rStyle w:val="EndnoteReference"/>
          <w:rFonts w:eastAsia="Helvetica Neue"/>
        </w:rPr>
        <w:endnoteReference w:id="554"/>
      </w:r>
      <w:r w:rsidRPr="00944BA2">
        <w:rPr>
          <w:rFonts w:eastAsia="Helvetica Neue"/>
        </w:rPr>
        <w:t xml:space="preserve"> looked at the experiences of women and men with disabilities and their sexuality and resulted in the following findings: </w:t>
      </w:r>
      <w:r w:rsidR="00944BA2">
        <w:rPr>
          <w:rFonts w:eastAsia="Helvetica Neue"/>
        </w:rPr>
        <w:br/>
      </w:r>
      <w:r w:rsidR="00944BA2">
        <w:rPr>
          <w:rFonts w:eastAsia="Helvetica Neue"/>
        </w:rPr>
        <w:br/>
      </w:r>
      <w:r w:rsidRPr="00944BA2">
        <w:rPr>
          <w:rFonts w:eastAsia="Helvetica Neue"/>
        </w:rPr>
        <w:t xml:space="preserve">“Disabled men and women were significantly disempowered by sexual norms; disabled men could exercise more sexual power, and had better sexual access and opportunity, than disabled women; disabled men and women had to carry out forms of work within a variety of spaces in their private and intimate lives; impairment was important; disabled participants experienced substantial sexual oppression and psycho-emotional </w:t>
      </w:r>
      <w:proofErr w:type="spellStart"/>
      <w:r w:rsidRPr="00944BA2">
        <w:rPr>
          <w:rFonts w:eastAsia="Helvetica Neue"/>
        </w:rPr>
        <w:t>disablism</w:t>
      </w:r>
      <w:proofErr w:type="spellEnd"/>
      <w:r w:rsidRPr="00944BA2">
        <w:rPr>
          <w:rFonts w:eastAsia="Helvetica Neue"/>
        </w:rPr>
        <w:t xml:space="preserve"> as routine within their sexual and intimate lives”.</w:t>
      </w:r>
      <w:r w:rsidRPr="00B1674C">
        <w:rPr>
          <w:rStyle w:val="EndnoteReference"/>
          <w:rFonts w:eastAsia="Helvetica Neue"/>
        </w:rPr>
        <w:endnoteReference w:id="555"/>
      </w:r>
    </w:p>
    <w:p w14:paraId="54C930F5" w14:textId="77777777" w:rsidR="00944BA2" w:rsidRPr="00944BA2" w:rsidRDefault="00BC14E7" w:rsidP="006E6012">
      <w:pPr>
        <w:pStyle w:val="ListParagraph"/>
        <w:numPr>
          <w:ilvl w:val="0"/>
          <w:numId w:val="115"/>
        </w:numPr>
      </w:pPr>
      <w:r w:rsidRPr="00944BA2">
        <w:rPr>
          <w:rFonts w:eastAsia="Helvetica Neue"/>
        </w:rPr>
        <w:t xml:space="preserve">Develop </w:t>
      </w:r>
      <w:r w:rsidRPr="00944BA2">
        <w:rPr>
          <w:rFonts w:eastAsia="Helvetica Neue"/>
          <w:bCs/>
        </w:rPr>
        <w:t>separate sexuality education depending on the life stage of the target audience</w:t>
      </w:r>
      <w:r w:rsidRPr="00944BA2">
        <w:rPr>
          <w:rFonts w:eastAsia="Helvetica Neue"/>
        </w:rPr>
        <w:t xml:space="preserve">, as the needs, sensitivities, and experiences of adult women with disabilities will differ from those of young persons with disabilities. </w:t>
      </w:r>
    </w:p>
    <w:p w14:paraId="2EAFA197" w14:textId="77777777" w:rsidR="00944BA2" w:rsidRPr="00944BA2" w:rsidRDefault="00BC14E7" w:rsidP="006E6012">
      <w:pPr>
        <w:pStyle w:val="ListParagraph"/>
        <w:numPr>
          <w:ilvl w:val="0"/>
          <w:numId w:val="116"/>
        </w:numPr>
      </w:pPr>
      <w:r w:rsidRPr="00944BA2">
        <w:rPr>
          <w:rFonts w:eastAsia="Helvetica Neue"/>
          <w:b/>
        </w:rPr>
        <w:t>Young persons:</w:t>
      </w:r>
      <w:r w:rsidRPr="00944BA2">
        <w:rPr>
          <w:rFonts w:eastAsia="Helvetica Neue"/>
        </w:rPr>
        <w:t xml:space="preserve"> Providing CSE to young persons with disabilities is fundamental to helping them understand their changing bodies and develop healthy habits. Key sexual and reproductive health topics for young persons include, puberty, pregnancy, access to modern contraception, unsafe abortion, violence (including GBV), HIV and AIDS, and STIs.</w:t>
      </w:r>
      <w:r w:rsidRPr="00B1674C">
        <w:rPr>
          <w:rStyle w:val="EndnoteReference"/>
          <w:rFonts w:eastAsia="Helvetica Neue"/>
        </w:rPr>
        <w:endnoteReference w:id="556"/>
      </w:r>
      <w:r w:rsidRPr="00944BA2">
        <w:rPr>
          <w:rFonts w:eastAsia="Helvetica Neue"/>
        </w:rPr>
        <w:t xml:space="preserve"> Other important issues include, the influence of technology (e.g. online images, cyberbullying, sexting); poor mental/emotional health; and alcohol, tobacco and drugs.</w:t>
      </w:r>
      <w:r w:rsidRPr="00B1674C">
        <w:rPr>
          <w:rStyle w:val="EndnoteReference"/>
          <w:rFonts w:eastAsia="Helvetica Neue"/>
        </w:rPr>
        <w:endnoteReference w:id="557"/>
      </w:r>
      <w:r w:rsidRPr="00944BA2">
        <w:rPr>
          <w:rFonts w:eastAsia="Helvetica Neue"/>
        </w:rPr>
        <w:t xml:space="preserve"> </w:t>
      </w:r>
    </w:p>
    <w:p w14:paraId="6A45ED00" w14:textId="77777777" w:rsidR="00944BA2" w:rsidRPr="00944BA2" w:rsidRDefault="00BC14E7" w:rsidP="006E6012">
      <w:pPr>
        <w:pStyle w:val="ListParagraph"/>
        <w:numPr>
          <w:ilvl w:val="0"/>
          <w:numId w:val="116"/>
        </w:numPr>
      </w:pPr>
      <w:r w:rsidRPr="00944BA2">
        <w:rPr>
          <w:rFonts w:eastAsia="Helvetica Neue"/>
          <w:b/>
        </w:rPr>
        <w:t>Adults:</w:t>
      </w:r>
      <w:r w:rsidRPr="00944BA2">
        <w:rPr>
          <w:rFonts w:eastAsia="Helvetica Neue"/>
        </w:rPr>
        <w:t xml:space="preserve"> Many women with disabilities will have missed out on the opportunity to participate in CSE programmes as a girl or received inaccurate information. CSE programmes targeted towards women with disabilities who were excluded from CSE as young persons can empower them to understand and exercise their sexual and reproductive health rights and to foster healthy sexuality and healthy relationships in a way that respects their life experiences. </w:t>
      </w:r>
    </w:p>
    <w:p w14:paraId="64F30DA7" w14:textId="77777777" w:rsidR="00944BA2" w:rsidRPr="00944BA2" w:rsidRDefault="00BC14E7" w:rsidP="006E6012">
      <w:pPr>
        <w:pStyle w:val="ListParagraph"/>
        <w:numPr>
          <w:ilvl w:val="0"/>
          <w:numId w:val="115"/>
        </w:numPr>
      </w:pPr>
      <w:r w:rsidRPr="00944BA2">
        <w:rPr>
          <w:rFonts w:eastAsia="Helvetica Neue"/>
        </w:rPr>
        <w:t>Ensure that persons with disabilities are included in</w:t>
      </w:r>
      <w:r w:rsidRPr="00944BA2">
        <w:rPr>
          <w:rFonts w:eastAsia="Helvetica Neue"/>
          <w:b/>
        </w:rPr>
        <w:t xml:space="preserve"> </w:t>
      </w:r>
      <w:r w:rsidRPr="00944BA2">
        <w:rPr>
          <w:rFonts w:eastAsia="Helvetica Neue"/>
          <w:bCs/>
        </w:rPr>
        <w:t xml:space="preserve">information campaigns </w:t>
      </w:r>
      <w:r w:rsidRPr="00944BA2">
        <w:rPr>
          <w:rFonts w:eastAsia="Helvetica Neue"/>
        </w:rPr>
        <w:t xml:space="preserve">on CSE topics and that disability-specific issues are also addressed in public education campaigns. </w:t>
      </w:r>
    </w:p>
    <w:p w14:paraId="0167D738" w14:textId="09D9F7D3" w:rsidR="00BC14E7" w:rsidRPr="00972820" w:rsidRDefault="00BC14E7" w:rsidP="006E6012">
      <w:pPr>
        <w:pStyle w:val="ListParagraph"/>
        <w:numPr>
          <w:ilvl w:val="0"/>
          <w:numId w:val="115"/>
        </w:numPr>
      </w:pPr>
      <w:r w:rsidRPr="00944BA2">
        <w:rPr>
          <w:rFonts w:eastAsia="Helvetica Neue"/>
        </w:rPr>
        <w:lastRenderedPageBreak/>
        <w:t xml:space="preserve">Develop programmes that reach across </w:t>
      </w:r>
      <w:r w:rsidRPr="00944BA2">
        <w:rPr>
          <w:rFonts w:eastAsia="Helvetica Neue"/>
          <w:bCs/>
        </w:rPr>
        <w:t>formal and informal sectors, across age groupings, and across disabilities</w:t>
      </w:r>
      <w:r w:rsidRPr="00944BA2">
        <w:rPr>
          <w:rFonts w:eastAsia="Helvetica Neue"/>
        </w:rPr>
        <w:t xml:space="preserve"> to ensure CSE programmes serve a large population of young persons and women with disabilities, including those who are not in school and persons with severe disabilities.</w:t>
      </w:r>
      <w:r w:rsidRPr="00B1674C">
        <w:rPr>
          <w:rStyle w:val="EndnoteReference"/>
          <w:rFonts w:eastAsia="Helvetica Neue"/>
        </w:rPr>
        <w:endnoteReference w:id="558"/>
      </w:r>
      <w:r w:rsidRPr="00944BA2">
        <w:rPr>
          <w:rFonts w:eastAsia="Helvetica Neue"/>
        </w:rPr>
        <w:t xml:space="preserve"> Do not exclude students from participating in CSE programmes based on stereotypes or perceptions about who needs CSE and who does not. </w:t>
      </w:r>
    </w:p>
    <w:p w14:paraId="07B83C57" w14:textId="77777777" w:rsidR="00BC14E7" w:rsidRPr="00A64CBE" w:rsidRDefault="00BC14E7" w:rsidP="008304B7">
      <w:pPr>
        <w:pStyle w:val="Heading4"/>
        <w:spacing w:before="480"/>
        <w:rPr>
          <w:rFonts w:eastAsia="Helvetica Neue"/>
        </w:rPr>
      </w:pPr>
      <w:r w:rsidRPr="00A64CBE">
        <w:rPr>
          <w:rFonts w:eastAsia="Helvetica Neue"/>
        </w:rPr>
        <w:t xml:space="preserve">Guidelines for Action: </w:t>
      </w:r>
      <w:r w:rsidRPr="00972820">
        <w:rPr>
          <w:rFonts w:eastAsia="Helvetica Neue"/>
        </w:rPr>
        <w:t>Quality</w:t>
      </w:r>
      <w:r w:rsidRPr="00A64CBE">
        <w:rPr>
          <w:rFonts w:eastAsia="Helvetica Neue"/>
        </w:rPr>
        <w:t xml:space="preserve"> </w:t>
      </w:r>
    </w:p>
    <w:p w14:paraId="4F185086" w14:textId="77777777" w:rsidR="00972820" w:rsidRPr="00972820" w:rsidRDefault="00BC14E7" w:rsidP="006E6012">
      <w:pPr>
        <w:pStyle w:val="ListParagraph"/>
        <w:numPr>
          <w:ilvl w:val="0"/>
          <w:numId w:val="117"/>
        </w:numPr>
      </w:pPr>
      <w:r w:rsidRPr="00972820">
        <w:rPr>
          <w:rFonts w:eastAsia="Helvetica Neue"/>
        </w:rPr>
        <w:t xml:space="preserve">Adhere to the core principles developed by UNFPA of </w:t>
      </w:r>
      <w:r w:rsidRPr="00972820">
        <w:rPr>
          <w:rFonts w:eastAsia="Helvetica Neue"/>
          <w:bCs/>
        </w:rPr>
        <w:t>quality sexuality education</w:t>
      </w:r>
      <w:r w:rsidRPr="00972820">
        <w:rPr>
          <w:rFonts w:eastAsia="Helvetica Neue"/>
        </w:rPr>
        <w:t xml:space="preserve"> when developing sexuality programmes and information materials, which are: “Respect for human rights and diversity, with sexuality education affirmed as a right; critical thinking skills, promotion of young persons’ participation in decision-making, and strengthening of their capacities for citizenship; fostering of norms and attitudes that promote gender equality and inclusion; addressing vulnerabilities and exclusion; local ownership and cultural relevance; a positive life-cycle approach to sexuality”.</w:t>
      </w:r>
      <w:r w:rsidRPr="00B1674C">
        <w:rPr>
          <w:rStyle w:val="EndnoteReference"/>
          <w:rFonts w:eastAsia="Helvetica Neue"/>
        </w:rPr>
        <w:endnoteReference w:id="559"/>
      </w:r>
    </w:p>
    <w:p w14:paraId="4D03FCA3" w14:textId="77777777" w:rsidR="00972820" w:rsidRPr="00972820" w:rsidRDefault="00BC14E7" w:rsidP="006E6012">
      <w:pPr>
        <w:pStyle w:val="ListParagraph"/>
        <w:numPr>
          <w:ilvl w:val="0"/>
          <w:numId w:val="117"/>
        </w:numPr>
      </w:pPr>
      <w:r w:rsidRPr="00972820">
        <w:rPr>
          <w:rFonts w:eastAsia="Helvetica Neue"/>
        </w:rPr>
        <w:t>Make sure that CSE programmes tailored for women and young persons with disabilities are ‘</w:t>
      </w:r>
      <w:r w:rsidRPr="00972820">
        <w:rPr>
          <w:rFonts w:eastAsia="Helvetica Neue"/>
          <w:bCs/>
        </w:rPr>
        <w:t>gender-focused’</w:t>
      </w:r>
      <w:r w:rsidRPr="00972820">
        <w:rPr>
          <w:rFonts w:eastAsia="Helvetica Neue"/>
        </w:rPr>
        <w:t>.</w:t>
      </w:r>
      <w:r w:rsidRPr="00B1674C">
        <w:rPr>
          <w:rStyle w:val="EndnoteReference"/>
          <w:rFonts w:eastAsia="Helvetica Neue"/>
        </w:rPr>
        <w:endnoteReference w:id="560"/>
      </w:r>
      <w:r w:rsidRPr="00972820">
        <w:rPr>
          <w:rFonts w:eastAsia="Helvetica Neue"/>
        </w:rPr>
        <w:t xml:space="preserve"> This can be done by ensuring comprehensive coverage of gender either as a solo topic or integrated throughout the curriculum, promoting gender equality and dismantling stereotyped gender roles, and fostering a foundation of communication and relationship building.</w:t>
      </w:r>
      <w:r w:rsidRPr="00B1674C">
        <w:rPr>
          <w:rStyle w:val="EndnoteReference"/>
          <w:rFonts w:eastAsia="Helvetica Neue"/>
        </w:rPr>
        <w:endnoteReference w:id="561"/>
      </w:r>
    </w:p>
    <w:p w14:paraId="0C620616" w14:textId="77777777" w:rsidR="00972820" w:rsidRPr="00972820" w:rsidRDefault="00BC14E7" w:rsidP="006E6012">
      <w:pPr>
        <w:pStyle w:val="ListParagraph"/>
        <w:numPr>
          <w:ilvl w:val="0"/>
          <w:numId w:val="117"/>
        </w:numPr>
      </w:pPr>
      <w:r w:rsidRPr="00972820">
        <w:rPr>
          <w:rFonts w:eastAsia="Helvetica Neue"/>
        </w:rPr>
        <w:t xml:space="preserve">Ensure that CSE programmes contain </w:t>
      </w:r>
      <w:r w:rsidRPr="00972820">
        <w:rPr>
          <w:rFonts w:eastAsia="Helvetica Neue"/>
          <w:bCs/>
        </w:rPr>
        <w:t>unbiased and scientifically accurate information</w:t>
      </w:r>
      <w:r w:rsidRPr="00972820">
        <w:rPr>
          <w:rFonts w:eastAsia="Helvetica Neue"/>
        </w:rPr>
        <w:t>.</w:t>
      </w:r>
      <w:r w:rsidRPr="00B1674C">
        <w:rPr>
          <w:rStyle w:val="EndnoteReference"/>
          <w:rFonts w:eastAsia="Helvetica Neue"/>
        </w:rPr>
        <w:endnoteReference w:id="562"/>
      </w:r>
      <w:r w:rsidRPr="00972820">
        <w:rPr>
          <w:rFonts w:eastAsia="Helvetica Neue"/>
        </w:rPr>
        <w:t xml:space="preserve"> This includes correcting inaccurate information that has been taught or discerned by women and young persons with disabilities. </w:t>
      </w:r>
    </w:p>
    <w:p w14:paraId="41F46219" w14:textId="77777777" w:rsidR="00972820" w:rsidRPr="00972820" w:rsidRDefault="00BC14E7" w:rsidP="006E6012">
      <w:pPr>
        <w:pStyle w:val="ListParagraph"/>
        <w:numPr>
          <w:ilvl w:val="1"/>
          <w:numId w:val="117"/>
        </w:numPr>
      </w:pPr>
      <w:r w:rsidRPr="00972820">
        <w:rPr>
          <w:rFonts w:eastAsia="Helvetica Neue"/>
          <w:b/>
        </w:rPr>
        <w:t>Example:</w:t>
      </w:r>
      <w:r w:rsidRPr="00972820">
        <w:rPr>
          <w:rFonts w:eastAsia="Helvetica Neue"/>
        </w:rPr>
        <w:t xml:space="preserve"> There is extensive UN technical guidance on sexuality education which can be used to develop and assess the quality of a CSE programme. </w:t>
      </w:r>
      <w:r w:rsidRPr="00A64CBE">
        <w:t xml:space="preserve">The </w:t>
      </w:r>
      <w:r>
        <w:t>2018 UNESCO,</w:t>
      </w:r>
      <w:r w:rsidRPr="00A64CBE">
        <w:t xml:space="preserve"> </w:t>
      </w:r>
      <w:r w:rsidRPr="00972820">
        <w:rPr>
          <w:b/>
        </w:rPr>
        <w:t>‘Revised Edition International Technical Guidance on Sexuality Education: An Evidence-Informed Approach’</w:t>
      </w:r>
      <w:r w:rsidRPr="00B1674C">
        <w:rPr>
          <w:rStyle w:val="EndnoteReference"/>
        </w:rPr>
        <w:endnoteReference w:id="563"/>
      </w:r>
      <w:r w:rsidRPr="00A64CBE">
        <w:t xml:space="preserve"> </w:t>
      </w:r>
      <w:r w:rsidRPr="00972820">
        <w:rPr>
          <w:rFonts w:eastAsia="Helvetica Neue"/>
        </w:rPr>
        <w:t>provides essential guidance to “assist education, health and other relevant authorities in the development and implementation of school-based and out-of-school comprehensive sexuality education programmes and materials”.</w:t>
      </w:r>
      <w:r w:rsidRPr="00B1674C">
        <w:rPr>
          <w:rStyle w:val="EndnoteReference"/>
        </w:rPr>
        <w:endnoteReference w:id="564"/>
      </w:r>
      <w:r w:rsidRPr="00972820">
        <w:rPr>
          <w:rFonts w:eastAsia="Helvetica Neue"/>
        </w:rPr>
        <w:t xml:space="preserve"> While the Guidance is not tailored to women and young persons with disabilities, it serves as a guide on the quality and necessary content of any comprehensive sexuality education programmes tailored to women and young persons with disabilities.</w:t>
      </w:r>
    </w:p>
    <w:p w14:paraId="2D73EF53" w14:textId="77777777" w:rsidR="00972820" w:rsidRPr="00972820" w:rsidRDefault="00BC14E7" w:rsidP="006E6012">
      <w:pPr>
        <w:pStyle w:val="ListParagraph"/>
        <w:numPr>
          <w:ilvl w:val="0"/>
          <w:numId w:val="117"/>
        </w:numPr>
      </w:pPr>
      <w:r w:rsidRPr="00972820">
        <w:rPr>
          <w:rFonts w:eastAsia="Helvetica Neue"/>
        </w:rPr>
        <w:t xml:space="preserve">Use </w:t>
      </w:r>
      <w:r w:rsidRPr="00972820">
        <w:rPr>
          <w:rFonts w:eastAsia="Helvetica Neue"/>
          <w:bCs/>
        </w:rPr>
        <w:t>participatory teaching methods</w:t>
      </w:r>
      <w:r w:rsidRPr="00972820">
        <w:rPr>
          <w:rFonts w:eastAsia="Helvetica Neue"/>
        </w:rPr>
        <w:t xml:space="preserve"> for personalization of information and strengthened skills in communication, decision-making and critical thinking. Skills should include communication, negotiation, and decision-making.</w:t>
      </w:r>
      <w:r w:rsidRPr="00B1674C">
        <w:rPr>
          <w:rStyle w:val="EndnoteReference"/>
          <w:rFonts w:eastAsia="Helvetica Neue"/>
        </w:rPr>
        <w:endnoteReference w:id="565"/>
      </w:r>
    </w:p>
    <w:p w14:paraId="0753F5EA" w14:textId="77777777" w:rsidR="00972820" w:rsidRPr="00972820" w:rsidRDefault="00BC14E7" w:rsidP="006E6012">
      <w:pPr>
        <w:pStyle w:val="ListParagraph"/>
        <w:numPr>
          <w:ilvl w:val="0"/>
          <w:numId w:val="117"/>
        </w:numPr>
      </w:pPr>
      <w:r w:rsidRPr="00972820">
        <w:rPr>
          <w:rFonts w:eastAsia="Helvetica Neue"/>
        </w:rPr>
        <w:t>Where possible</w:t>
      </w:r>
      <w:r w:rsidRPr="00972820">
        <w:rPr>
          <w:rFonts w:eastAsia="Helvetica Neue"/>
          <w:b/>
        </w:rPr>
        <w:t xml:space="preserve">, </w:t>
      </w:r>
      <w:r w:rsidRPr="00972820">
        <w:rPr>
          <w:rFonts w:eastAsia="Helvetica Neue"/>
          <w:bCs/>
        </w:rPr>
        <w:t>engage GBV service providers</w:t>
      </w:r>
      <w:r w:rsidRPr="00972820">
        <w:rPr>
          <w:rFonts w:eastAsia="Helvetica Neue"/>
        </w:rPr>
        <w:t xml:space="preserve"> in providing CSE to women and young persons with disabilities to reduce the risk of exploitation, particularly during humanitarian emergencies. During emergencies, it is especially effective to have education services take place in non-education settings to better reach persons with disabilities. </w:t>
      </w:r>
    </w:p>
    <w:p w14:paraId="0182A253" w14:textId="2C850D17" w:rsidR="00BC14E7" w:rsidRPr="00972820" w:rsidRDefault="00BC14E7" w:rsidP="006E6012">
      <w:pPr>
        <w:pStyle w:val="ListParagraph"/>
        <w:numPr>
          <w:ilvl w:val="0"/>
          <w:numId w:val="117"/>
        </w:numPr>
      </w:pPr>
      <w:r w:rsidRPr="00972820">
        <w:rPr>
          <w:rFonts w:eastAsia="Helvetica Neue"/>
        </w:rPr>
        <w:t xml:space="preserve">Service providers should review and understand the WHO’s </w:t>
      </w:r>
      <w:r w:rsidRPr="00972820">
        <w:rPr>
          <w:rFonts w:eastAsia="Helvetica Neue"/>
          <w:b/>
        </w:rPr>
        <w:t>‘Consolidated Guideline on Sexual and Reproductive Health and Rights of Women Living with HIV’</w:t>
      </w:r>
      <w:r w:rsidRPr="00972820">
        <w:rPr>
          <w:rFonts w:eastAsia="Helvetica Neue"/>
        </w:rPr>
        <w:t>.</w:t>
      </w:r>
      <w:r w:rsidRPr="00B1674C">
        <w:rPr>
          <w:rStyle w:val="EndnoteReference"/>
          <w:rFonts w:eastAsia="Helvetica Neue"/>
        </w:rPr>
        <w:endnoteReference w:id="566"/>
      </w:r>
      <w:r w:rsidRPr="00972820">
        <w:rPr>
          <w:rFonts w:eastAsia="Helvetica Neue"/>
        </w:rPr>
        <w:t xml:space="preserve"> In 2017, WHO issued a new guideline consolidating existing recommendations to strengthen the realization of SRHR for women living with HIV. The Guideline offers a women-centred </w:t>
      </w:r>
      <w:r w:rsidRPr="00972820">
        <w:rPr>
          <w:rFonts w:eastAsia="Helvetica Neue"/>
        </w:rPr>
        <w:lastRenderedPageBreak/>
        <w:t>approach to improved services that positions women living with HIV as active participants in, and beneficiaries of, a responsive and holistic health system that is respectful of their autonomy. When providing services to women and young persons with disabilities living with HIV, service providers and support staff should adhere to the WHO recommendations contained in the Guideline.</w:t>
      </w:r>
      <w:r w:rsidRPr="00972820">
        <w:rPr>
          <w:rFonts w:eastAsia="Helvetica Neue"/>
          <w:b/>
        </w:rPr>
        <w:t xml:space="preserve"> </w:t>
      </w:r>
    </w:p>
    <w:p w14:paraId="11180B3F" w14:textId="5DAC642B" w:rsidR="00972820" w:rsidRPr="00714E4C" w:rsidRDefault="00EF7A4E" w:rsidP="00714E4C">
      <w:pPr>
        <w:pStyle w:val="Heading4"/>
        <w:ind w:hanging="90"/>
        <w:rPr>
          <w:noProof/>
          <w:color w:val="943634" w:themeColor="accent2" w:themeShade="BF"/>
        </w:rPr>
      </w:pPr>
      <w:r w:rsidRPr="00B92BF0">
        <w:rPr>
          <w:noProof/>
          <w:color w:val="943634" w:themeColor="accent2" w:themeShade="BF"/>
        </w:rPr>
        <mc:AlternateContent>
          <mc:Choice Requires="wps">
            <w:drawing>
              <wp:inline distT="0" distB="0" distL="0" distR="0" wp14:anchorId="398BAE99" wp14:editId="3EB5E96A">
                <wp:extent cx="5943600" cy="0"/>
                <wp:effectExtent l="0" t="38100" r="25400" b="38100"/>
                <wp:docPr id="3" name="Straight Connector 3" descr="Text box follows"/>
                <wp:cNvGraphicFramePr/>
                <a:graphic xmlns:a="http://schemas.openxmlformats.org/drawingml/2006/main">
                  <a:graphicData uri="http://schemas.microsoft.com/office/word/2010/wordprocessingShape">
                    <wps:wsp>
                      <wps:cNvCnPr/>
                      <wps:spPr>
                        <a:xfrm>
                          <a:off x="0" y="0"/>
                          <a:ext cx="5943600" cy="0"/>
                        </a:xfrm>
                        <a:prstGeom prst="line">
                          <a:avLst/>
                        </a:prstGeom>
                        <a:ln w="76200">
                          <a:solidFill>
                            <a:schemeClr val="accent6">
                              <a:lumMod val="75000"/>
                            </a:schemeClr>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0287A9DD" id="Straight Connector 3" o:spid="_x0000_s1026" alt="Text box foll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" strokecolor="#e36c0a [2409]" strokeweight="6pt">
                <w10:anchorlock/>
              </v:line>
            </w:pict>
          </mc:Fallback>
        </mc:AlternateContent>
      </w:r>
      <w:r>
        <w:rPr>
          <w:noProof/>
          <w:color w:val="943634" w:themeColor="accent2" w:themeShade="BF"/>
        </w:rPr>
        <w:br/>
      </w:r>
      <w:r w:rsidRPr="008304B7">
        <w:rPr>
          <w:noProof/>
          <w:color w:val="943634" w:themeColor="accent2" w:themeShade="BF"/>
          <w:sz w:val="16"/>
          <w:szCs w:val="16"/>
        </w:rPr>
        <w:br/>
      </w:r>
      <w:r w:rsidRPr="00CE152F">
        <w:rPr>
          <w:noProof/>
          <w:color w:val="E36C0A" w:themeColor="accent6" w:themeShade="BF"/>
          <w:sz w:val="32"/>
          <w:szCs w:val="32"/>
        </w:rPr>
        <w:t>Spotlight Issue—</w:t>
      </w:r>
      <w:r w:rsidR="00BC14E7" w:rsidRPr="00714E4C">
        <w:rPr>
          <w:noProof/>
          <w:color w:val="E36C0A" w:themeColor="accent6" w:themeShade="BF"/>
          <w:sz w:val="32"/>
          <w:szCs w:val="32"/>
        </w:rPr>
        <w:t xml:space="preserve">Comprehensive Sexuality Education for Students </w:t>
      </w:r>
      <w:r w:rsidR="008304B7" w:rsidRPr="00714E4C">
        <w:rPr>
          <w:noProof/>
          <w:color w:val="E36C0A" w:themeColor="accent6" w:themeShade="BF"/>
          <w:sz w:val="32"/>
          <w:szCs w:val="32"/>
        </w:rPr>
        <w:br/>
      </w:r>
      <w:r w:rsidR="00BC14E7" w:rsidRPr="00714E4C">
        <w:rPr>
          <w:noProof/>
          <w:color w:val="E36C0A" w:themeColor="accent6" w:themeShade="BF"/>
          <w:sz w:val="32"/>
          <w:szCs w:val="32"/>
        </w:rPr>
        <w:t>with Intellectual Disabilities</w:t>
      </w:r>
    </w:p>
    <w:p w14:paraId="52C29FC1" w14:textId="2BF13C32" w:rsidR="00BC14E7" w:rsidRPr="00972820" w:rsidRDefault="00BC14E7" w:rsidP="00972820">
      <w:pPr>
        <w:rPr>
          <w:rFonts w:eastAsia="Helvetica Neue"/>
        </w:rPr>
      </w:pPr>
      <w:r w:rsidRPr="00972820">
        <w:rPr>
          <w:rFonts w:eastAsia="Helvetica Neue"/>
        </w:rPr>
        <w:t>Examples of models and strategies for providing sexuality education for adolescents with intellectual disabilities include:</w:t>
      </w:r>
    </w:p>
    <w:p w14:paraId="0F779D39" w14:textId="77777777" w:rsidR="00BC14E7" w:rsidRPr="00972820" w:rsidRDefault="00BC14E7" w:rsidP="006E6012">
      <w:pPr>
        <w:pStyle w:val="ListParagraph"/>
        <w:numPr>
          <w:ilvl w:val="0"/>
          <w:numId w:val="118"/>
        </w:numPr>
        <w:ind w:left="450"/>
      </w:pPr>
      <w:r w:rsidRPr="00972820">
        <w:rPr>
          <w:rFonts w:eastAsia="Helvetica Neue"/>
          <w:b/>
          <w:bCs/>
        </w:rPr>
        <w:t>Information, Motivation, and Behavioural Skills (IMB) Model</w:t>
      </w:r>
      <w:r w:rsidRPr="00972820">
        <w:rPr>
          <w:rFonts w:eastAsia="Helvetica Neue"/>
        </w:rPr>
        <w:t> – From the Canadian Guideline for Sexual Health Education, this model utilizes the following three elements: “Information that is directly relevant to sexual health and is easy to apply in the individual’s own life; Motivation to use the knowledge to avoid negative sexual health outcomes and to promote their sexual health; Behavioural skills to carry out the healthy behaviours; practice and role-play are seen as necessary”.</w:t>
      </w:r>
    </w:p>
    <w:p w14:paraId="7AD7574A" w14:textId="77777777" w:rsidR="00BC14E7" w:rsidRPr="00972820" w:rsidRDefault="00BC14E7" w:rsidP="006E6012">
      <w:pPr>
        <w:pStyle w:val="ListParagraph"/>
        <w:numPr>
          <w:ilvl w:val="0"/>
          <w:numId w:val="118"/>
        </w:numPr>
        <w:ind w:left="450"/>
      </w:pPr>
      <w:r w:rsidRPr="00972820">
        <w:rPr>
          <w:rFonts w:eastAsia="Helvetica Neue"/>
          <w:b/>
          <w:bCs/>
        </w:rPr>
        <w:t>Direct Instruction Model</w:t>
      </w:r>
      <w:r w:rsidRPr="00972820">
        <w:rPr>
          <w:rFonts w:eastAsia="Helvetica Neue"/>
        </w:rPr>
        <w:t xml:space="preserve"> – Utilizing lessons “designed around small learning increments and clearly defined and prescribed teaching tasks”. </w:t>
      </w:r>
    </w:p>
    <w:p w14:paraId="323CABF1" w14:textId="77777777" w:rsidR="00BC14E7" w:rsidRPr="00972820" w:rsidRDefault="00BC14E7" w:rsidP="006E6012">
      <w:pPr>
        <w:pStyle w:val="ListParagraph"/>
        <w:numPr>
          <w:ilvl w:val="0"/>
          <w:numId w:val="118"/>
        </w:numPr>
        <w:ind w:left="450"/>
      </w:pPr>
      <w:r w:rsidRPr="00972820">
        <w:rPr>
          <w:rFonts w:eastAsia="Helvetica Neue"/>
          <w:b/>
          <w:bCs/>
        </w:rPr>
        <w:t>Using Technology</w:t>
      </w:r>
      <w:r w:rsidRPr="00972820">
        <w:rPr>
          <w:rFonts w:eastAsia="Helvetica Neue"/>
        </w:rPr>
        <w:t xml:space="preserve"> – Computer-based interactive multimedia programmes have been found to be particularly effective in helping people with intellectual disabilities increase their knowledge of SRHR-related topics. </w:t>
      </w:r>
    </w:p>
    <w:p w14:paraId="5C9D1258" w14:textId="77777777" w:rsidR="00BC14E7" w:rsidRPr="00972820" w:rsidRDefault="00BC14E7" w:rsidP="006E6012">
      <w:pPr>
        <w:pStyle w:val="ListParagraph"/>
        <w:numPr>
          <w:ilvl w:val="0"/>
          <w:numId w:val="118"/>
        </w:numPr>
        <w:ind w:left="450"/>
      </w:pPr>
      <w:r w:rsidRPr="00972820">
        <w:rPr>
          <w:rFonts w:eastAsia="Helvetica Neue"/>
        </w:rPr>
        <w:t xml:space="preserve">“Going through </w:t>
      </w:r>
      <w:r w:rsidRPr="00A92920">
        <w:rPr>
          <w:rFonts w:eastAsia="Helvetica Neue"/>
          <w:b/>
          <w:bCs/>
        </w:rPr>
        <w:t>information slowly</w:t>
      </w:r>
      <w:r w:rsidRPr="00972820">
        <w:rPr>
          <w:rFonts w:eastAsia="Helvetica Neue"/>
        </w:rPr>
        <w:t xml:space="preserve"> to ensure that the individuals can process the information, ask questions, and have discussions. </w:t>
      </w:r>
    </w:p>
    <w:p w14:paraId="10D592FD" w14:textId="77777777" w:rsidR="00BC14E7" w:rsidRPr="00972820" w:rsidRDefault="00BC14E7" w:rsidP="006E6012">
      <w:pPr>
        <w:pStyle w:val="ListParagraph"/>
        <w:numPr>
          <w:ilvl w:val="0"/>
          <w:numId w:val="118"/>
        </w:numPr>
        <w:ind w:left="450"/>
      </w:pPr>
      <w:r w:rsidRPr="00972820">
        <w:rPr>
          <w:rFonts w:eastAsia="Helvetica Neue"/>
        </w:rPr>
        <w:t xml:space="preserve">Practicing the material through </w:t>
      </w:r>
      <w:r w:rsidRPr="00A92920">
        <w:rPr>
          <w:rFonts w:eastAsia="Helvetica Neue"/>
          <w:b/>
          <w:bCs/>
        </w:rPr>
        <w:t>role-play, modelling, and rehearsal</w:t>
      </w:r>
      <w:r w:rsidRPr="00972820">
        <w:rPr>
          <w:rFonts w:eastAsia="Helvetica Neue"/>
        </w:rPr>
        <w:t>. </w:t>
      </w:r>
    </w:p>
    <w:p w14:paraId="6C749F4B" w14:textId="77777777" w:rsidR="00BC14E7" w:rsidRPr="00972820" w:rsidRDefault="00BC14E7" w:rsidP="006E6012">
      <w:pPr>
        <w:pStyle w:val="ListParagraph"/>
        <w:numPr>
          <w:ilvl w:val="0"/>
          <w:numId w:val="118"/>
        </w:numPr>
        <w:ind w:left="450"/>
      </w:pPr>
      <w:r w:rsidRPr="00972820">
        <w:rPr>
          <w:rFonts w:eastAsia="Helvetica Neue"/>
        </w:rPr>
        <w:t xml:space="preserve">Starting with </w:t>
      </w:r>
      <w:r w:rsidRPr="00A92920">
        <w:rPr>
          <w:rFonts w:eastAsia="Helvetica Neue"/>
          <w:b/>
          <w:bCs/>
        </w:rPr>
        <w:t>basic information</w:t>
      </w:r>
      <w:r w:rsidRPr="00972820">
        <w:rPr>
          <w:rFonts w:eastAsia="Helvetica Neue"/>
        </w:rPr>
        <w:t xml:space="preserve"> and moving to more complex issues. </w:t>
      </w:r>
    </w:p>
    <w:p w14:paraId="510FE09A" w14:textId="77777777" w:rsidR="00BC14E7" w:rsidRPr="00972820" w:rsidRDefault="00BC14E7" w:rsidP="006E6012">
      <w:pPr>
        <w:pStyle w:val="ListParagraph"/>
        <w:numPr>
          <w:ilvl w:val="0"/>
          <w:numId w:val="118"/>
        </w:numPr>
        <w:ind w:left="450"/>
      </w:pPr>
      <w:r w:rsidRPr="00972820">
        <w:rPr>
          <w:rFonts w:eastAsia="Helvetica Neue"/>
        </w:rPr>
        <w:t xml:space="preserve">Teaching </w:t>
      </w:r>
      <w:r w:rsidRPr="00A92920">
        <w:rPr>
          <w:rFonts w:eastAsia="Helvetica Neue"/>
          <w:b/>
          <w:bCs/>
        </w:rPr>
        <w:t>refusal skills</w:t>
      </w:r>
      <w:r w:rsidRPr="00972820">
        <w:rPr>
          <w:rFonts w:eastAsia="Helvetica Neue"/>
        </w:rPr>
        <w:t>. </w:t>
      </w:r>
    </w:p>
    <w:p w14:paraId="6928648F" w14:textId="77777777" w:rsidR="00BC14E7" w:rsidRPr="00972820" w:rsidRDefault="00BC14E7" w:rsidP="006E6012">
      <w:pPr>
        <w:pStyle w:val="ListParagraph"/>
        <w:numPr>
          <w:ilvl w:val="0"/>
          <w:numId w:val="118"/>
        </w:numPr>
        <w:ind w:left="450"/>
      </w:pPr>
      <w:r w:rsidRPr="00972820">
        <w:rPr>
          <w:rFonts w:eastAsia="Helvetica Neue"/>
        </w:rPr>
        <w:t xml:space="preserve">Practicing </w:t>
      </w:r>
      <w:r w:rsidRPr="007B7686">
        <w:rPr>
          <w:rFonts w:eastAsia="Helvetica Neue"/>
          <w:b/>
          <w:bCs/>
        </w:rPr>
        <w:t>appropriate affection</w:t>
      </w:r>
      <w:r w:rsidRPr="00972820">
        <w:rPr>
          <w:rFonts w:eastAsia="Helvetica Neue"/>
        </w:rPr>
        <w:t>. </w:t>
      </w:r>
    </w:p>
    <w:p w14:paraId="117BC374" w14:textId="42CB0273" w:rsidR="00BC14E7" w:rsidRPr="00A92920" w:rsidRDefault="00BC14E7" w:rsidP="006E6012">
      <w:pPr>
        <w:pStyle w:val="ListParagraph"/>
        <w:numPr>
          <w:ilvl w:val="0"/>
          <w:numId w:val="118"/>
        </w:numPr>
        <w:ind w:left="450"/>
      </w:pPr>
      <w:r w:rsidRPr="00972820">
        <w:rPr>
          <w:rFonts w:eastAsia="Helvetica Neue"/>
        </w:rPr>
        <w:t xml:space="preserve">Discussing </w:t>
      </w:r>
      <w:r w:rsidRPr="00A92920">
        <w:rPr>
          <w:rFonts w:eastAsia="Helvetica Neue"/>
          <w:b/>
          <w:bCs/>
        </w:rPr>
        <w:t>masturbation</w:t>
      </w:r>
      <w:r w:rsidRPr="00972820">
        <w:rPr>
          <w:rFonts w:eastAsia="Helvetica Neue"/>
        </w:rPr>
        <w:t xml:space="preserve"> (i.e., what it is, when it is and is not appropriate)”.</w:t>
      </w:r>
      <w:r w:rsidRPr="00972820">
        <w:rPr>
          <w:rStyle w:val="EndnoteReference"/>
          <w:rFonts w:eastAsia="Helvetica Neue"/>
        </w:rPr>
        <w:endnoteReference w:id="567"/>
      </w:r>
      <w:r w:rsidRPr="00972820">
        <w:rPr>
          <w:rFonts w:eastAsia="Helvetica Neue"/>
        </w:rPr>
        <w:t> </w:t>
      </w:r>
    </w:p>
    <w:p w14:paraId="6C5F629B" w14:textId="77777777" w:rsidR="00A92920" w:rsidRDefault="00BC14E7" w:rsidP="00A92920">
      <w:pPr>
        <w:rPr>
          <w:rFonts w:eastAsia="Helvetica Neue"/>
          <w:b/>
        </w:rPr>
      </w:pPr>
      <w:r w:rsidRPr="00A64CBE">
        <w:rPr>
          <w:rFonts w:eastAsia="Helvetica Neue"/>
        </w:rPr>
        <w:t xml:space="preserve">Note, these suggested models and strategies are drawn from a literature review and have thus not necessarily been widely evaluated or used. Service providers should engage in further research as needed. </w:t>
      </w:r>
    </w:p>
    <w:p w14:paraId="295009C6" w14:textId="59DDD6C5" w:rsidR="0039241B" w:rsidRDefault="008304B7" w:rsidP="008304B7">
      <w:pPr>
        <w:ind w:hanging="90"/>
      </w:pPr>
      <w:r w:rsidRPr="00A6697D">
        <w:rPr>
          <w:noProof/>
        </w:rPr>
        <mc:AlternateContent>
          <mc:Choice Requires="wps">
            <w:drawing>
              <wp:inline distT="0" distB="0" distL="0" distR="0" wp14:anchorId="2E852559" wp14:editId="073B1B57">
                <wp:extent cx="5943600" cy="0"/>
                <wp:effectExtent l="0" t="12700" r="25400" b="25400"/>
                <wp:docPr id="67" name="Straight Connector 67" descr="Text box ends"/>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chemeClr val="accent6">
                              <a:lumMod val="75000"/>
                            </a:schemeClr>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14DFCA6D" id="Straight Connector 67" o:spid="_x0000_s1026" alt="Text box end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" strokecolor="#e36c0a [2409]" strokeweight="3pt">
                <w10:anchorlock/>
              </v:line>
            </w:pict>
          </mc:Fallback>
        </mc:AlternateContent>
      </w:r>
    </w:p>
    <w:p w14:paraId="225CEE85" w14:textId="3A84E3CA" w:rsidR="00BC14E7" w:rsidRPr="00A92920" w:rsidRDefault="00BC14E7" w:rsidP="00A92920">
      <w:pPr>
        <w:pStyle w:val="Heading3"/>
      </w:pPr>
      <w:r w:rsidRPr="00A64CBE">
        <w:t xml:space="preserve">4.5.3 </w:t>
      </w:r>
      <w:r w:rsidRPr="00A64CBE">
        <w:tab/>
        <w:t xml:space="preserve">Indicators </w:t>
      </w:r>
    </w:p>
    <w:p w14:paraId="62372A5F" w14:textId="77777777" w:rsidR="00BC14E7" w:rsidRDefault="00BC14E7" w:rsidP="00A92920">
      <w:pPr>
        <w:rPr>
          <w:rFonts w:eastAsia="Helvetica Neue"/>
        </w:rPr>
      </w:pPr>
      <w:r w:rsidRPr="00243B7F">
        <w:rPr>
          <w:rFonts w:eastAsia="Helvetica Neue"/>
        </w:rPr>
        <w:t xml:space="preserve">The following are illustrative of indicators that can be used to monitor and evaluate progress in the provision of rights-based CSE services for women and young persons with disabilities. This is not an exhaustive list, but rather a few examples demonstrating the level of specificity, </w:t>
      </w:r>
      <w:r w:rsidRPr="00243B7F">
        <w:rPr>
          <w:rFonts w:eastAsia="Helvetica Neue"/>
        </w:rPr>
        <w:lastRenderedPageBreak/>
        <w:t xml:space="preserve">subjects, and form for indicators for CSE service provision. Service providers should tailor the indicators to fit their programme settings and levels, including by specifying at which level and by whom indicator data should be collected. </w:t>
      </w:r>
    </w:p>
    <w:p w14:paraId="09AD62F4" w14:textId="77777777" w:rsidR="00A92920" w:rsidRPr="00A92920" w:rsidRDefault="00BC14E7" w:rsidP="006E6012">
      <w:pPr>
        <w:pStyle w:val="ListParagraph"/>
        <w:numPr>
          <w:ilvl w:val="0"/>
          <w:numId w:val="119"/>
        </w:numPr>
      </w:pPr>
      <w:r w:rsidRPr="00A92920">
        <w:rPr>
          <w:rFonts w:eastAsia="Helvetica Neue"/>
        </w:rPr>
        <w:t>Percentage of young women and men with disabilities aged 15–24 who correctly identify ways of preventing the sexual transmission of HIV and who reject major misconceptions about HIV transmission (female and male).</w:t>
      </w:r>
    </w:p>
    <w:p w14:paraId="188AC178" w14:textId="77777777" w:rsidR="00A92920" w:rsidRPr="00A92920" w:rsidRDefault="00BC14E7" w:rsidP="006E6012">
      <w:pPr>
        <w:pStyle w:val="ListParagraph"/>
        <w:numPr>
          <w:ilvl w:val="0"/>
          <w:numId w:val="119"/>
        </w:numPr>
      </w:pPr>
      <w:r w:rsidRPr="00A92920">
        <w:rPr>
          <w:rFonts w:eastAsia="Helvetica Neue"/>
        </w:rPr>
        <w:t xml:space="preserve">Sexuality education materials are available in disability-accessible formats. </w:t>
      </w:r>
    </w:p>
    <w:p w14:paraId="7DCAE358" w14:textId="77777777" w:rsidR="00A92920" w:rsidRPr="00A92920" w:rsidRDefault="00BC14E7" w:rsidP="006E6012">
      <w:pPr>
        <w:pStyle w:val="ListParagraph"/>
        <w:numPr>
          <w:ilvl w:val="0"/>
          <w:numId w:val="119"/>
        </w:numPr>
      </w:pPr>
      <w:r w:rsidRPr="00A92920">
        <w:rPr>
          <w:rFonts w:eastAsia="Helvetica Neue"/>
        </w:rPr>
        <w:t>CSE curriculum includes reference to and images of persons with disabilities and addresses their SRHR.</w:t>
      </w:r>
    </w:p>
    <w:p w14:paraId="08274AA1" w14:textId="60CD75D5" w:rsidR="00BC14E7" w:rsidRPr="00A92920" w:rsidRDefault="00BC14E7" w:rsidP="006E6012">
      <w:pPr>
        <w:pStyle w:val="ListParagraph"/>
        <w:numPr>
          <w:ilvl w:val="0"/>
          <w:numId w:val="119"/>
        </w:numPr>
      </w:pPr>
      <w:r w:rsidRPr="00A92920">
        <w:rPr>
          <w:rFonts w:eastAsia="Helvetica Neue"/>
        </w:rPr>
        <w:t xml:space="preserve">Students with disabilities receive CSE, regardless of whether they receive their education in special education programmes or in inclusive education settings. </w:t>
      </w:r>
    </w:p>
    <w:p w14:paraId="0F1D225C" w14:textId="452E471E" w:rsidR="00BC14E7" w:rsidRPr="00A92920" w:rsidRDefault="00BC14E7" w:rsidP="00A92920">
      <w:pPr>
        <w:pStyle w:val="Heading2"/>
        <w:spacing w:before="480" w:after="120"/>
        <w:ind w:left="547" w:right="-180" w:hanging="547"/>
      </w:pPr>
      <w:bookmarkStart w:id="27" w:name="SRHRsti"/>
      <w:r w:rsidRPr="00A64CBE">
        <w:t xml:space="preserve">4.6 </w:t>
      </w:r>
      <w:r w:rsidRPr="00A64CBE">
        <w:tab/>
      </w:r>
      <w:bookmarkEnd w:id="27"/>
      <w:r w:rsidRPr="00A64CBE">
        <w:t xml:space="preserve">Information, Testing, and Treatment Services for Sexually Transmitted Infection, including HIV/AIDS for Women and Young </w:t>
      </w:r>
      <w:r>
        <w:t>Persons</w:t>
      </w:r>
      <w:r w:rsidRPr="00A64CBE">
        <w:t xml:space="preserve"> with Disabilities </w:t>
      </w:r>
    </w:p>
    <w:p w14:paraId="222150DB" w14:textId="1B6B2277" w:rsidR="00BC14E7" w:rsidRPr="00A92920" w:rsidRDefault="00BC14E7" w:rsidP="00A92920">
      <w:pPr>
        <w:pStyle w:val="Heading3"/>
      </w:pPr>
      <w:r w:rsidRPr="00A64CBE">
        <w:t xml:space="preserve">4.6.1 </w:t>
      </w:r>
      <w:r w:rsidRPr="00A64CBE">
        <w:tab/>
        <w:t xml:space="preserve">Issue Overview </w:t>
      </w:r>
    </w:p>
    <w:p w14:paraId="52E3310A" w14:textId="7815FD87" w:rsidR="00BC14E7" w:rsidRPr="00A92920" w:rsidRDefault="00BC14E7" w:rsidP="00A92920">
      <w:pPr>
        <w:rPr>
          <w:rFonts w:eastAsia="Helvetica Neue"/>
        </w:rPr>
      </w:pPr>
      <w:r w:rsidRPr="00A64CBE">
        <w:rPr>
          <w:rFonts w:eastAsia="Helvetica Neue"/>
        </w:rPr>
        <w:t xml:space="preserve">Information, testing, and treatment services for </w:t>
      </w:r>
      <w:r>
        <w:rPr>
          <w:rFonts w:eastAsia="Helvetica Neue"/>
        </w:rPr>
        <w:t>sexually transmitted i</w:t>
      </w:r>
      <w:r w:rsidRPr="00CC7B57">
        <w:rPr>
          <w:rFonts w:eastAsia="Helvetica Neue"/>
        </w:rPr>
        <w:t>nfection</w:t>
      </w:r>
      <w:r>
        <w:rPr>
          <w:rFonts w:eastAsia="Helvetica Neue"/>
        </w:rPr>
        <w:t xml:space="preserve"> (STI)</w:t>
      </w:r>
      <w:r w:rsidRPr="00A64CBE">
        <w:rPr>
          <w:rFonts w:eastAsia="Helvetica Neue"/>
        </w:rPr>
        <w:t xml:space="preserve">, including HIV, are fundamental to protecting </w:t>
      </w:r>
      <w:r>
        <w:rPr>
          <w:rFonts w:eastAsia="Helvetica Neue"/>
        </w:rPr>
        <w:t>SRHR</w:t>
      </w:r>
      <w:r w:rsidRPr="00A64CBE">
        <w:rPr>
          <w:rFonts w:eastAsia="Helvetica Neue"/>
        </w:rPr>
        <w:t xml:space="preserve"> for women and young </w:t>
      </w:r>
      <w:r>
        <w:rPr>
          <w:rFonts w:eastAsia="Helvetica Neue"/>
        </w:rPr>
        <w:t>persons</w:t>
      </w:r>
      <w:r w:rsidRPr="00A64CBE">
        <w:rPr>
          <w:rFonts w:eastAsia="Helvetica Neue"/>
        </w:rPr>
        <w:t xml:space="preserve"> both with and without disabilities.</w:t>
      </w:r>
      <w:r w:rsidRPr="00B1674C">
        <w:rPr>
          <w:rStyle w:val="EndnoteReference"/>
          <w:rFonts w:eastAsia="Helvetica Neue"/>
        </w:rPr>
        <w:endnoteReference w:id="568"/>
      </w:r>
      <w:r w:rsidRPr="00A64CBE">
        <w:rPr>
          <w:rFonts w:eastAsia="Helvetica Neue"/>
        </w:rPr>
        <w:t xml:space="preserve"> Women and young </w:t>
      </w:r>
      <w:r>
        <w:rPr>
          <w:rFonts w:eastAsia="Helvetica Neue"/>
        </w:rPr>
        <w:t>persons</w:t>
      </w:r>
      <w:r w:rsidRPr="00A64CBE">
        <w:rPr>
          <w:rFonts w:eastAsia="Helvetica Neue"/>
        </w:rPr>
        <w:t xml:space="preserve"> with disabilities have the same right to these services as individuals without disabilities</w:t>
      </w:r>
      <w:r w:rsidRPr="00D332BA">
        <w:rPr>
          <w:rFonts w:eastAsia="Helvetica Neue"/>
        </w:rPr>
        <w:t>.</w:t>
      </w:r>
      <w:r w:rsidRPr="00346588">
        <w:rPr>
          <w:rFonts w:eastAsia="Helvetica Neue"/>
        </w:rPr>
        <w:t xml:space="preserve"> Essential STI services include: access to accurate information regarding </w:t>
      </w:r>
      <w:r>
        <w:rPr>
          <w:rFonts w:eastAsia="Helvetica Neue"/>
        </w:rPr>
        <w:t>STIs</w:t>
      </w:r>
      <w:r w:rsidRPr="00346588">
        <w:rPr>
          <w:rFonts w:eastAsia="Helvetica Neue"/>
        </w:rPr>
        <w:t xml:space="preserve"> and how to prevent them; access to voluntary methods for prevention, treatment, and care; vaccination against human papillomavirus (HPV) and hepatitis B; access to prophylactic treatment for individuals who may have been exposed to sexually transmitted infections, including survivors of sexual violence; voluntary and confidential testing for sexually transmitted infections with timely dissemination of test results; counselling and psycho-social support; and access to affordable antiretroviral medicines for people living with HIV.</w:t>
      </w:r>
      <w:r w:rsidRPr="00A64CBE">
        <w:rPr>
          <w:rFonts w:eastAsia="Helvetica Neue"/>
        </w:rPr>
        <w:t xml:space="preserve"> Common STIs that women and young </w:t>
      </w:r>
      <w:r>
        <w:rPr>
          <w:rFonts w:eastAsia="Helvetica Neue"/>
        </w:rPr>
        <w:t>persons</w:t>
      </w:r>
      <w:r w:rsidRPr="00A64CBE">
        <w:rPr>
          <w:rFonts w:eastAsia="Helvetica Neue"/>
        </w:rPr>
        <w:t xml:space="preserve"> should be informed about and tested for include HIV, trichomoniasis, gonorrhea and chlamydia infection, syphilis, chancroid, genital herpes and warts, and hepatitis B.</w:t>
      </w:r>
      <w:r w:rsidRPr="00B1674C">
        <w:rPr>
          <w:rStyle w:val="EndnoteReference"/>
          <w:rFonts w:eastAsia="Helvetica Neue"/>
        </w:rPr>
        <w:endnoteReference w:id="569"/>
      </w:r>
      <w:r w:rsidRPr="00A64CBE">
        <w:rPr>
          <w:rFonts w:eastAsia="Helvetica Neue"/>
        </w:rPr>
        <w:t xml:space="preserve"> Access to both male and female condoms and information on how to properly use condoms are central components of STI information and prevention services. </w:t>
      </w:r>
    </w:p>
    <w:p w14:paraId="72D416B1" w14:textId="7EAC1D20" w:rsidR="00BC14E7" w:rsidRPr="00A92920" w:rsidRDefault="00BC14E7" w:rsidP="00A92920">
      <w:pPr>
        <w:rPr>
          <w:rFonts w:eastAsia="Helvetica Neue"/>
        </w:rPr>
      </w:pPr>
      <w:r w:rsidRPr="00A64CBE">
        <w:rPr>
          <w:rFonts w:eastAsia="Helvetica Neue"/>
        </w:rPr>
        <w:t xml:space="preserve">Stereotypes that women and young </w:t>
      </w:r>
      <w:r>
        <w:rPr>
          <w:rFonts w:eastAsia="Helvetica Neue"/>
        </w:rPr>
        <w:t>persons</w:t>
      </w:r>
      <w:r w:rsidRPr="00A64CBE">
        <w:rPr>
          <w:rFonts w:eastAsia="Helvetica Neue"/>
        </w:rPr>
        <w:t xml:space="preserve"> with disabilities are not at risk for </w:t>
      </w:r>
      <w:r>
        <w:rPr>
          <w:rFonts w:eastAsia="Helvetica Neue"/>
        </w:rPr>
        <w:t>STIs</w:t>
      </w:r>
      <w:r w:rsidRPr="00A64CBE">
        <w:rPr>
          <w:rFonts w:eastAsia="Helvetica Neue"/>
        </w:rPr>
        <w:t xml:space="preserve"> and barriers to accessing STI services can result in women and young </w:t>
      </w:r>
      <w:r>
        <w:rPr>
          <w:rFonts w:eastAsia="Helvetica Neue"/>
        </w:rPr>
        <w:t>persons</w:t>
      </w:r>
      <w:r w:rsidRPr="00A64CBE">
        <w:rPr>
          <w:rFonts w:eastAsia="Helvetica Neue"/>
        </w:rPr>
        <w:t xml:space="preserve"> with disabilities being excluded from such services. Individuals living with HIV, who may or may not self-identify as a person with a disability, are also at risk of violations of their </w:t>
      </w:r>
      <w:r>
        <w:rPr>
          <w:rFonts w:eastAsia="Helvetica Neue"/>
        </w:rPr>
        <w:t>SRHR</w:t>
      </w:r>
      <w:r w:rsidRPr="00A64CBE">
        <w:rPr>
          <w:rFonts w:eastAsia="Helvetica Neue"/>
        </w:rPr>
        <w:t xml:space="preserve">, including their right to become parents, their right to be free from forced or coerced abortion or sterilization, and their right to access sexual and reproductive health services. </w:t>
      </w:r>
    </w:p>
    <w:p w14:paraId="79464718" w14:textId="597B0229" w:rsidR="00BC14E7" w:rsidRPr="00A92920" w:rsidRDefault="00BC14E7" w:rsidP="00A80023">
      <w:pPr>
        <w:pStyle w:val="Heading3"/>
        <w:ind w:left="720" w:hanging="720"/>
      </w:pPr>
      <w:r w:rsidRPr="00A64CBE">
        <w:lastRenderedPageBreak/>
        <w:t xml:space="preserve">4.6.2 </w:t>
      </w:r>
      <w:r w:rsidRPr="00A64CBE">
        <w:tab/>
        <w:t>Guideline</w:t>
      </w:r>
      <w:r w:rsidR="007D735C">
        <w:t>s</w:t>
      </w:r>
      <w:r w:rsidRPr="00A64CBE">
        <w:t xml:space="preserve"> on Providing Rights-Based STI Services for Women and Young </w:t>
      </w:r>
      <w:r>
        <w:t>Persons</w:t>
      </w:r>
      <w:r w:rsidRPr="00A64CBE">
        <w:t xml:space="preserve"> with Disabilities</w:t>
      </w:r>
    </w:p>
    <w:p w14:paraId="7B153E68" w14:textId="3B9F39CD" w:rsidR="00BC14E7" w:rsidRPr="00A92920" w:rsidRDefault="00BC14E7" w:rsidP="00A92920">
      <w:pPr>
        <w:rPr>
          <w:rFonts w:eastAsia="Helvetica Neue"/>
        </w:rPr>
      </w:pPr>
      <w:r w:rsidRPr="00A64CBE">
        <w:rPr>
          <w:rFonts w:eastAsia="Helvetica Neue"/>
        </w:rPr>
        <w:t xml:space="preserve">The key considerations enumerated here identify common barriers that women and young </w:t>
      </w:r>
      <w:r>
        <w:rPr>
          <w:rFonts w:eastAsia="Helvetica Neue"/>
        </w:rPr>
        <w:t>persons</w:t>
      </w:r>
      <w:r w:rsidRPr="00A64CBE">
        <w:rPr>
          <w:rFonts w:eastAsia="Helvetica Neue"/>
        </w:rPr>
        <w:t xml:space="preserve"> with disabilities encounter with respect to accessing STI information, testing, and treatment. The guidelines for action offer guidance for ensuring that rights-based service delivery of the full array of information, testing, and treatment services for STIs are available, accessible, acceptable, and of good quality. These guidelines for action build on the Foundational Guidelines for Action identified in </w:t>
      </w:r>
      <w:r w:rsidRPr="00346588">
        <w:rPr>
          <w:rFonts w:eastAsia="Helvetica Neue"/>
          <w:b/>
        </w:rPr>
        <w:t>Chapter 2</w:t>
      </w:r>
      <w:r w:rsidRPr="00A64CBE">
        <w:rPr>
          <w:rFonts w:eastAsia="Helvetica Neue"/>
        </w:rPr>
        <w:t xml:space="preserve"> and are not exhaustive but provide a starting point for developing disability-inclusive services and </w:t>
      </w:r>
      <w:proofErr w:type="spellStart"/>
      <w:r w:rsidRPr="00A64CBE">
        <w:rPr>
          <w:rFonts w:eastAsia="Helvetica Neue"/>
        </w:rPr>
        <w:t>programmes</w:t>
      </w:r>
      <w:proofErr w:type="spellEnd"/>
      <w:r w:rsidRPr="00A64CBE">
        <w:rPr>
          <w:rFonts w:eastAsia="Helvetica Neue"/>
        </w:rPr>
        <w:t>.</w:t>
      </w:r>
    </w:p>
    <w:p w14:paraId="79080C05" w14:textId="77777777" w:rsidR="00BC14E7" w:rsidRPr="00A64CBE" w:rsidRDefault="00BC14E7" w:rsidP="00A92920">
      <w:pPr>
        <w:pStyle w:val="Heading4"/>
        <w:rPr>
          <w:rFonts w:eastAsia="Helvetica Neue"/>
        </w:rPr>
      </w:pPr>
      <w:r w:rsidRPr="00A64CBE">
        <w:rPr>
          <w:rFonts w:eastAsia="Helvetica Neue"/>
        </w:rPr>
        <w:t>Key Considerations</w:t>
      </w:r>
    </w:p>
    <w:p w14:paraId="06406BA4" w14:textId="77777777" w:rsidR="00A92920" w:rsidRPr="00A92920" w:rsidRDefault="00BC14E7" w:rsidP="006E6012">
      <w:pPr>
        <w:pStyle w:val="ListParagraph"/>
        <w:numPr>
          <w:ilvl w:val="0"/>
          <w:numId w:val="120"/>
        </w:numPr>
      </w:pPr>
      <w:r w:rsidRPr="00A92920">
        <w:rPr>
          <w:rFonts w:eastAsia="Helvetica Neue"/>
        </w:rPr>
        <w:t>Women and young persons with disabilities are often excluded from information campaigns about STIs due to a variety of factors, including stereotypes, isolation, and the inaccessible nature of some public education campaigns. The lack of accessible and inclusive CSE similarly prevents women and young persons with disabilities from knowing how to protect themselves from STIs.</w:t>
      </w:r>
    </w:p>
    <w:p w14:paraId="1B8D27BB" w14:textId="77777777" w:rsidR="00A92920" w:rsidRPr="00A92920" w:rsidRDefault="00BC14E7" w:rsidP="006E6012">
      <w:pPr>
        <w:pStyle w:val="ListParagraph"/>
        <w:numPr>
          <w:ilvl w:val="0"/>
          <w:numId w:val="120"/>
        </w:numPr>
      </w:pPr>
      <w:r w:rsidRPr="00A92920">
        <w:rPr>
          <w:rFonts w:eastAsia="Helvetica Neue"/>
        </w:rPr>
        <w:t>Stereotypes around the sexuality of women and young persons with disabilities, including stereotypes that they are asexual, not sexually active, or not sexually desirable, can lead service providers and support staff to assume that they are not at risk of contracting STIs. As a result, service providers often fail to provide women and young persons with disabilities with information about STI prevention methods (such as HPV vaccines or use of condoms) or to inform them about or offer them tests for STIs as part of routine healthcare visits.</w:t>
      </w:r>
    </w:p>
    <w:p w14:paraId="0A6065E3" w14:textId="77777777" w:rsidR="00A92920" w:rsidRPr="00A92920" w:rsidRDefault="00BC14E7" w:rsidP="006E6012">
      <w:pPr>
        <w:pStyle w:val="ListParagraph"/>
        <w:numPr>
          <w:ilvl w:val="0"/>
          <w:numId w:val="120"/>
        </w:numPr>
      </w:pPr>
      <w:r w:rsidRPr="00A92920">
        <w:rPr>
          <w:rFonts w:eastAsia="Helvetica Neue"/>
        </w:rPr>
        <w:t xml:space="preserve">Some family members or caregivers of women and young persons with disabilities do not want them to learn about sexual and reproductive health, including STIs, for fear it will increase their sexual activity. </w:t>
      </w:r>
    </w:p>
    <w:p w14:paraId="3B0669D8" w14:textId="77777777" w:rsidR="00A92920" w:rsidRPr="00A92920" w:rsidRDefault="00BC14E7" w:rsidP="006E6012">
      <w:pPr>
        <w:pStyle w:val="ListParagraph"/>
        <w:numPr>
          <w:ilvl w:val="0"/>
          <w:numId w:val="120"/>
        </w:numPr>
      </w:pPr>
      <w:r w:rsidRPr="00A92920">
        <w:rPr>
          <w:rFonts w:eastAsia="Helvetica Neue"/>
        </w:rPr>
        <w:t xml:space="preserve">Lack of disability-sensitive regulations and protocols for pre-and post-exposure for victims/survivors of rape can exclude women and young persons with disabilities from prophylactic treatment or STI testing, increasing their vulnerability to contracting STIs and resulting in STIs going undetected and untreated. </w:t>
      </w:r>
    </w:p>
    <w:p w14:paraId="77AE59CF" w14:textId="77777777" w:rsidR="00A92920" w:rsidRPr="00A92920" w:rsidRDefault="00BC14E7" w:rsidP="006E6012">
      <w:pPr>
        <w:pStyle w:val="ListParagraph"/>
        <w:numPr>
          <w:ilvl w:val="0"/>
          <w:numId w:val="120"/>
        </w:numPr>
      </w:pPr>
      <w:r w:rsidRPr="00A92920">
        <w:rPr>
          <w:rFonts w:eastAsia="Helvetica Neue"/>
        </w:rPr>
        <w:t>Women and young persons with disabilities are at heightened risk for harmful practices, such as child marriage and ‘virgin rape’ that can significantly increase their vulnerability to STIs.</w:t>
      </w:r>
      <w:r w:rsidRPr="00B1674C">
        <w:rPr>
          <w:rStyle w:val="EndnoteReference"/>
          <w:rFonts w:eastAsia="Helvetica Neue"/>
        </w:rPr>
        <w:endnoteReference w:id="570"/>
      </w:r>
      <w:r w:rsidRPr="00A92920">
        <w:rPr>
          <w:rFonts w:eastAsia="Helvetica Neue"/>
        </w:rPr>
        <w:t xml:space="preserve"> Inadequate laws and policies aimed at preventing and protecting women and young persons with disabilities from GBV and punishing perpetrators contribute to impunity and exacerbate these risks. </w:t>
      </w:r>
    </w:p>
    <w:p w14:paraId="7B5E559B" w14:textId="77777777" w:rsidR="00A92920" w:rsidRPr="00A92920" w:rsidRDefault="00BC14E7" w:rsidP="006E6012">
      <w:pPr>
        <w:pStyle w:val="ListParagraph"/>
        <w:numPr>
          <w:ilvl w:val="0"/>
          <w:numId w:val="120"/>
        </w:numPr>
      </w:pPr>
      <w:r w:rsidRPr="00A92920">
        <w:rPr>
          <w:rFonts w:eastAsia="Helvetica Neue"/>
        </w:rPr>
        <w:t xml:space="preserve">Women living with HIV are at particular risk of forced sterilization and forced abortion, which is only further exacerbated for women with disabilities with HIV. </w:t>
      </w:r>
    </w:p>
    <w:p w14:paraId="45B9C7D3" w14:textId="77777777" w:rsidR="00A92920" w:rsidRPr="00A92920" w:rsidRDefault="00BC14E7" w:rsidP="006E6012">
      <w:pPr>
        <w:pStyle w:val="ListParagraph"/>
        <w:numPr>
          <w:ilvl w:val="0"/>
          <w:numId w:val="120"/>
        </w:numPr>
      </w:pPr>
      <w:r w:rsidRPr="00A92920">
        <w:rPr>
          <w:rFonts w:eastAsia="Helvetica Neue"/>
        </w:rPr>
        <w:t xml:space="preserve">When a woman or a young person with a disability is found to have an STI, service providers often fail to counsel that woman or young person on how the diagnosis affects other areas of their SRHR, such as how to have sex safely or how to plan for pregnancy. </w:t>
      </w:r>
    </w:p>
    <w:p w14:paraId="241CADCD" w14:textId="77777777" w:rsidR="00A92920" w:rsidRPr="00A92920" w:rsidRDefault="00BC14E7" w:rsidP="006E6012">
      <w:pPr>
        <w:pStyle w:val="ListParagraph"/>
        <w:numPr>
          <w:ilvl w:val="0"/>
          <w:numId w:val="120"/>
        </w:numPr>
      </w:pPr>
      <w:r w:rsidRPr="00A92920">
        <w:rPr>
          <w:rFonts w:eastAsia="Helvetica Neue"/>
        </w:rPr>
        <w:lastRenderedPageBreak/>
        <w:t>Communication barriers can deny women and young persons with disabilities access to essential counselling and psychological support when making decisions to undergo STI testing, treatment, and prevention.</w:t>
      </w:r>
    </w:p>
    <w:p w14:paraId="37854995" w14:textId="29D9D066" w:rsidR="00BC14E7" w:rsidRPr="00A92920" w:rsidRDefault="00BC14E7" w:rsidP="00792F02">
      <w:pPr>
        <w:pStyle w:val="ListParagraph"/>
        <w:numPr>
          <w:ilvl w:val="0"/>
          <w:numId w:val="120"/>
        </w:numPr>
        <w:ind w:right="-180"/>
      </w:pPr>
      <w:r w:rsidRPr="00A92920">
        <w:rPr>
          <w:rFonts w:eastAsia="Helvetica Neue"/>
        </w:rPr>
        <w:t xml:space="preserve">Poverty, physical barriers to STI testing facilities, and isolation can prevent women and young persons with disabilities from accessing STI testing, treatment, and other related services. </w:t>
      </w:r>
    </w:p>
    <w:p w14:paraId="2C26296F" w14:textId="57D45AEC" w:rsidR="00A92920" w:rsidRDefault="008304B7" w:rsidP="00CE152F">
      <w:pPr>
        <w:pStyle w:val="Heading3"/>
        <w:ind w:hanging="90"/>
      </w:pPr>
      <w:r w:rsidRPr="00B92BF0">
        <w:rPr>
          <w:noProof/>
          <w:color w:val="943634" w:themeColor="accent2" w:themeShade="BF"/>
        </w:rPr>
        <mc:AlternateContent>
          <mc:Choice Requires="wps">
            <w:drawing>
              <wp:inline distT="0" distB="0" distL="0" distR="0" wp14:anchorId="08B0F0FF" wp14:editId="071A1146">
                <wp:extent cx="5943600" cy="0"/>
                <wp:effectExtent l="0" t="38100" r="25400" b="38100"/>
                <wp:docPr id="68" name="Straight Connector 68" descr="Text box follows"/>
                <wp:cNvGraphicFramePr/>
                <a:graphic xmlns:a="http://schemas.openxmlformats.org/drawingml/2006/main">
                  <a:graphicData uri="http://schemas.microsoft.com/office/word/2010/wordprocessingShape">
                    <wps:wsp>
                      <wps:cNvCnPr/>
                      <wps:spPr>
                        <a:xfrm>
                          <a:off x="0" y="0"/>
                          <a:ext cx="5943600" cy="0"/>
                        </a:xfrm>
                        <a:prstGeom prst="line">
                          <a:avLst/>
                        </a:prstGeom>
                        <a:ln w="76200">
                          <a:solidFill>
                            <a:schemeClr val="accent2">
                              <a:lumMod val="75000"/>
                            </a:schemeClr>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7F53772B" id="Straight Connector 68" o:spid="_x0000_s1026" alt="Text box foll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" strokecolor="#943634 [2405]" strokeweight="6pt">
                <w10:anchorlock/>
              </v:line>
            </w:pict>
          </mc:Fallback>
        </mc:AlternateContent>
      </w:r>
      <w:r>
        <w:rPr>
          <w:noProof/>
          <w:color w:val="943634" w:themeColor="accent2" w:themeShade="BF"/>
        </w:rPr>
        <w:br/>
      </w:r>
      <w:r w:rsidRPr="00B92BF0">
        <w:rPr>
          <w:noProof/>
          <w:color w:val="943634" w:themeColor="accent2" w:themeShade="BF"/>
          <w:sz w:val="16"/>
          <w:szCs w:val="16"/>
        </w:rPr>
        <w:br/>
      </w:r>
      <w:r w:rsidRPr="008304B7">
        <w:rPr>
          <w:noProof/>
          <w:color w:val="943634" w:themeColor="accent2" w:themeShade="BF"/>
          <w:sz w:val="32"/>
          <w:szCs w:val="32"/>
        </w:rPr>
        <w:t>Starting Point—</w:t>
      </w:r>
      <w:r w:rsidR="00BC14E7" w:rsidRPr="008304B7">
        <w:rPr>
          <w:color w:val="943634" w:themeColor="accent2" w:themeShade="BF"/>
          <w:sz w:val="32"/>
          <w:szCs w:val="32"/>
        </w:rPr>
        <w:t>UNAIDS: Zero-Discrimination in Healthcare</w:t>
      </w:r>
    </w:p>
    <w:p w14:paraId="251E86AC" w14:textId="44F9545C" w:rsidR="00BC14E7" w:rsidRPr="00A64CBE" w:rsidRDefault="00BC14E7" w:rsidP="00A92920">
      <w:pPr>
        <w:rPr>
          <w:rFonts w:eastAsia="Helvetica Neue"/>
        </w:rPr>
      </w:pPr>
      <w:r w:rsidRPr="00A64CBE">
        <w:rPr>
          <w:rFonts w:eastAsia="Helvetica Neue"/>
        </w:rPr>
        <w:t xml:space="preserve">UNAIDS has developed the following minimum standards for discrimination-free healthcare settings based on lessons from the AIDs response: </w:t>
      </w:r>
    </w:p>
    <w:p w14:paraId="5A484906" w14:textId="77777777" w:rsidR="00BC14E7" w:rsidRPr="00A64CBE" w:rsidRDefault="00BC14E7" w:rsidP="006E6012">
      <w:pPr>
        <w:pStyle w:val="ListParagraph"/>
        <w:numPr>
          <w:ilvl w:val="0"/>
          <w:numId w:val="121"/>
        </w:numPr>
      </w:pPr>
      <w:r w:rsidRPr="00A92920">
        <w:rPr>
          <w:rFonts w:eastAsia="Helvetica Neue"/>
        </w:rPr>
        <w:t xml:space="preserve">“Provide timely and quality health care regardless of gender, nationality, age, disability, ethnic origin, sexual orientation, religion, language, socioeconomic status, or HIV or other health status, or because of selling sex, using drugs and/or living in prison. </w:t>
      </w:r>
    </w:p>
    <w:p w14:paraId="22264F96" w14:textId="77777777" w:rsidR="00BC14E7" w:rsidRPr="00A64CBE" w:rsidRDefault="00BC14E7" w:rsidP="006E6012">
      <w:pPr>
        <w:pStyle w:val="ListParagraph"/>
        <w:numPr>
          <w:ilvl w:val="0"/>
          <w:numId w:val="121"/>
        </w:numPr>
      </w:pPr>
      <w:r w:rsidRPr="00A92920">
        <w:rPr>
          <w:rFonts w:eastAsia="Helvetica Neue"/>
        </w:rPr>
        <w:t xml:space="preserve">Prohibit mandatory testing or treatment, or coercive practices. </w:t>
      </w:r>
    </w:p>
    <w:p w14:paraId="32C7F041" w14:textId="77777777" w:rsidR="00BC14E7" w:rsidRPr="00A64CBE" w:rsidRDefault="00BC14E7" w:rsidP="006E6012">
      <w:pPr>
        <w:pStyle w:val="ListParagraph"/>
        <w:numPr>
          <w:ilvl w:val="0"/>
          <w:numId w:val="121"/>
        </w:numPr>
      </w:pPr>
      <w:r w:rsidRPr="00A92920">
        <w:rPr>
          <w:rFonts w:eastAsia="Helvetica Neue"/>
        </w:rPr>
        <w:t xml:space="preserve">Respect patient privacy and confidentiality. </w:t>
      </w:r>
    </w:p>
    <w:p w14:paraId="3B58C162" w14:textId="77777777" w:rsidR="00BC14E7" w:rsidRPr="00A64CBE" w:rsidRDefault="00BC14E7" w:rsidP="006E6012">
      <w:pPr>
        <w:pStyle w:val="ListParagraph"/>
        <w:numPr>
          <w:ilvl w:val="0"/>
          <w:numId w:val="121"/>
        </w:numPr>
      </w:pPr>
      <w:r w:rsidRPr="00A92920">
        <w:rPr>
          <w:rFonts w:eastAsia="Helvetica Neue"/>
        </w:rPr>
        <w:t>Link marginalized and most affected populations to additional service providers, peer support networks or community-based organizations, or legal services when necessary.</w:t>
      </w:r>
    </w:p>
    <w:p w14:paraId="56FFA949" w14:textId="77777777" w:rsidR="00BC14E7" w:rsidRPr="00A64CBE" w:rsidRDefault="00BC14E7" w:rsidP="006E6012">
      <w:pPr>
        <w:pStyle w:val="ListParagraph"/>
        <w:numPr>
          <w:ilvl w:val="0"/>
          <w:numId w:val="121"/>
        </w:numPr>
      </w:pPr>
      <w:r w:rsidRPr="00A92920">
        <w:rPr>
          <w:rFonts w:eastAsia="Helvetica Neue"/>
        </w:rPr>
        <w:t xml:space="preserve">Employ clinical providers who ask health questions or perform health intakes to actively inform people of their rights and provide quality non-judgmental care. </w:t>
      </w:r>
    </w:p>
    <w:p w14:paraId="290E49CF" w14:textId="77777777" w:rsidR="00BC14E7" w:rsidRPr="00A64CBE" w:rsidRDefault="00BC14E7" w:rsidP="006E6012">
      <w:pPr>
        <w:pStyle w:val="ListParagraph"/>
        <w:numPr>
          <w:ilvl w:val="0"/>
          <w:numId w:val="121"/>
        </w:numPr>
      </w:pPr>
      <w:r w:rsidRPr="00A92920">
        <w:rPr>
          <w:rFonts w:eastAsia="Helvetica Neue"/>
        </w:rPr>
        <w:t xml:space="preserve">Put in place grievance mechanisms and mechanisms of redress and accountability for discrimination and violation of the rights of clients. </w:t>
      </w:r>
    </w:p>
    <w:p w14:paraId="3BAAAB83" w14:textId="073177DF" w:rsidR="00BC14E7" w:rsidRPr="00A92920" w:rsidRDefault="00BC14E7" w:rsidP="00792F02">
      <w:pPr>
        <w:pStyle w:val="ListParagraph"/>
        <w:numPr>
          <w:ilvl w:val="0"/>
          <w:numId w:val="121"/>
        </w:numPr>
        <w:spacing w:after="80"/>
      </w:pPr>
      <w:r w:rsidRPr="00A92920">
        <w:rPr>
          <w:rFonts w:eastAsia="Helvetica Neue"/>
        </w:rPr>
        <w:t>Ensure participation of affected communities in the development of policies and programmes promoting equality and non-discrimination in healthcare”.</w:t>
      </w:r>
      <w:r w:rsidRPr="00B1674C">
        <w:rPr>
          <w:rStyle w:val="EndnoteReference"/>
          <w:rFonts w:eastAsia="Helvetica Neue"/>
        </w:rPr>
        <w:endnoteReference w:id="571"/>
      </w:r>
    </w:p>
    <w:p w14:paraId="16653F7A" w14:textId="7EC654EA" w:rsidR="008304B7" w:rsidRDefault="008304B7" w:rsidP="00CE152F">
      <w:pPr>
        <w:ind w:hanging="90"/>
        <w:rPr>
          <w:rFonts w:eastAsia="Helvetica Neue"/>
        </w:rPr>
      </w:pPr>
      <w:r w:rsidRPr="00B92BF0">
        <w:rPr>
          <w:noProof/>
        </w:rPr>
        <mc:AlternateContent>
          <mc:Choice Requires="wps">
            <w:drawing>
              <wp:inline distT="0" distB="0" distL="0" distR="0" wp14:anchorId="664277AC" wp14:editId="3C13A4B0">
                <wp:extent cx="5943600" cy="0"/>
                <wp:effectExtent l="0" t="12700" r="25400" b="25400"/>
                <wp:docPr id="69" name="Straight Connector 69" descr="Text box ends"/>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chemeClr val="accent2">
                              <a:lumMod val="75000"/>
                            </a:schemeClr>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51C75E3E" id="Straight Connector 69" o:spid="_x0000_s1026" alt="Text box end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" strokecolor="#943634 [2405]" strokeweight="3pt">
                <w10:anchorlock/>
              </v:line>
            </w:pict>
          </mc:Fallback>
        </mc:AlternateContent>
      </w:r>
    </w:p>
    <w:p w14:paraId="2BCF9F27" w14:textId="25036B45" w:rsidR="00BC14E7" w:rsidRPr="00714E4C" w:rsidRDefault="00BC14E7" w:rsidP="00792F02">
      <w:pPr>
        <w:pStyle w:val="Heading4"/>
        <w:spacing w:before="400"/>
        <w:rPr>
          <w:rFonts w:eastAsia="Helvetica Neue"/>
        </w:rPr>
      </w:pPr>
      <w:r w:rsidRPr="00A64CBE">
        <w:rPr>
          <w:rFonts w:eastAsia="Helvetica Neue"/>
        </w:rPr>
        <w:t xml:space="preserve">Guidelines for Action: Availability </w:t>
      </w:r>
    </w:p>
    <w:p w14:paraId="44263D86" w14:textId="77777777" w:rsidR="00A92920" w:rsidRPr="00A92920" w:rsidRDefault="00BC14E7" w:rsidP="00792F02">
      <w:pPr>
        <w:pStyle w:val="ListParagraph"/>
        <w:numPr>
          <w:ilvl w:val="0"/>
          <w:numId w:val="122"/>
        </w:numPr>
        <w:ind w:right="90"/>
      </w:pPr>
      <w:r w:rsidRPr="00A92920">
        <w:rPr>
          <w:rFonts w:eastAsia="Helvetica Neue"/>
        </w:rPr>
        <w:t>Guarantee that accessible services are available for women and young persons with all different forms of disabilities at each stage in the continuum of STI services (prevention, testing, link to care, treatment, chronic care).</w:t>
      </w:r>
      <w:r w:rsidRPr="00B1674C">
        <w:rPr>
          <w:rStyle w:val="EndnoteReference"/>
          <w:rFonts w:eastAsia="Helvetica Neue"/>
        </w:rPr>
        <w:endnoteReference w:id="572"/>
      </w:r>
      <w:r w:rsidRPr="00A92920">
        <w:rPr>
          <w:rFonts w:eastAsia="Helvetica Neue"/>
        </w:rPr>
        <w:t xml:space="preserve"> To learn more about strategic implementation of the continuum of care and priority action areas for combating STIs, review the WHO’s </w:t>
      </w:r>
      <w:r w:rsidRPr="00A92920">
        <w:rPr>
          <w:rFonts w:eastAsia="Helvetica Neue"/>
          <w:b/>
        </w:rPr>
        <w:t>‘Global Health Sector Strategy on Sexually Transmitted Infections, 2016-2021: Towards Ending STIs’</w:t>
      </w:r>
      <w:r w:rsidRPr="00A92920">
        <w:rPr>
          <w:rFonts w:eastAsia="Helvetica Neue"/>
        </w:rPr>
        <w:t>.</w:t>
      </w:r>
      <w:r w:rsidRPr="00B1674C">
        <w:rPr>
          <w:rStyle w:val="EndnoteReference"/>
          <w:rFonts w:eastAsia="Helvetica Neue"/>
        </w:rPr>
        <w:endnoteReference w:id="573"/>
      </w:r>
    </w:p>
    <w:p w14:paraId="23C00F8B" w14:textId="78DD5B7D" w:rsidR="00A92920" w:rsidRPr="00A92920" w:rsidRDefault="00BC14E7" w:rsidP="006E6012">
      <w:pPr>
        <w:pStyle w:val="ListParagraph"/>
        <w:numPr>
          <w:ilvl w:val="0"/>
          <w:numId w:val="122"/>
        </w:numPr>
      </w:pPr>
      <w:r w:rsidRPr="00A92920">
        <w:rPr>
          <w:rFonts w:eastAsia="Helvetica Neue"/>
        </w:rPr>
        <w:t xml:space="preserve">Create programmes tailored to women and young persons with disabilities on </w:t>
      </w:r>
      <w:r w:rsidRPr="00A92920">
        <w:rPr>
          <w:rFonts w:eastAsia="Helvetica Neue"/>
          <w:bCs/>
        </w:rPr>
        <w:t>STI education, support, and counselling services</w:t>
      </w:r>
      <w:r w:rsidRPr="00A92920">
        <w:rPr>
          <w:rFonts w:eastAsia="Helvetica Neue"/>
        </w:rPr>
        <w:t>.</w:t>
      </w:r>
      <w:r w:rsidRPr="00B1674C">
        <w:rPr>
          <w:rStyle w:val="EndnoteReference"/>
          <w:rFonts w:eastAsia="Helvetica Neue"/>
        </w:rPr>
        <w:endnoteReference w:id="574"/>
      </w:r>
      <w:r w:rsidRPr="00A92920">
        <w:rPr>
          <w:rFonts w:eastAsia="Helvetica Neue"/>
        </w:rPr>
        <w:t xml:space="preserve"> Improve access to CSE for women and young </w:t>
      </w:r>
      <w:r w:rsidR="0049253C">
        <w:rPr>
          <w:rFonts w:eastAsia="Helvetica Neue"/>
        </w:rPr>
        <w:t>persons</w:t>
      </w:r>
      <w:r w:rsidR="0049253C" w:rsidRPr="00A92920">
        <w:rPr>
          <w:rFonts w:eastAsia="Helvetica Neue"/>
        </w:rPr>
        <w:t xml:space="preserve"> </w:t>
      </w:r>
      <w:r w:rsidRPr="00A92920">
        <w:rPr>
          <w:rFonts w:eastAsia="Helvetica Neue"/>
        </w:rPr>
        <w:t xml:space="preserve">with disabilities. For more information, see </w:t>
      </w:r>
      <w:hyperlink w:anchor="SRHRcse" w:history="1">
        <w:r w:rsidRPr="00A92920">
          <w:rPr>
            <w:rStyle w:val="Hyperlink"/>
            <w:rFonts w:eastAsia="Helvetica Neue"/>
          </w:rPr>
          <w:t>Comprehensive Sexuality Education for Women and Young Persons with Disabilities (Section 4.5)</w:t>
        </w:r>
      </w:hyperlink>
      <w:r w:rsidRPr="00A92920">
        <w:rPr>
          <w:rStyle w:val="Hyperlink"/>
          <w:rFonts w:eastAsia="Helvetica Neue"/>
        </w:rPr>
        <w:t>.</w:t>
      </w:r>
      <w:r w:rsidRPr="00A92920">
        <w:rPr>
          <w:rFonts w:eastAsia="Helvetica Neue"/>
        </w:rPr>
        <w:t xml:space="preserve"> </w:t>
      </w:r>
    </w:p>
    <w:p w14:paraId="48D1B281" w14:textId="0C319C34" w:rsidR="00714E4C" w:rsidRPr="00714E4C" w:rsidRDefault="00BC14E7" w:rsidP="00714E4C">
      <w:pPr>
        <w:pStyle w:val="ListParagraph"/>
        <w:numPr>
          <w:ilvl w:val="0"/>
          <w:numId w:val="122"/>
        </w:numPr>
      </w:pPr>
      <w:r w:rsidRPr="00A92920">
        <w:rPr>
          <w:rFonts w:eastAsia="Helvetica Neue"/>
        </w:rPr>
        <w:t xml:space="preserve">Ensure that women and young persons with disabilities have access to </w:t>
      </w:r>
      <w:r w:rsidRPr="00A92920">
        <w:rPr>
          <w:rFonts w:eastAsia="Helvetica Neue"/>
          <w:bCs/>
        </w:rPr>
        <w:t>accessible counselling and testing for HIV</w:t>
      </w:r>
      <w:r w:rsidRPr="00A92920">
        <w:rPr>
          <w:rFonts w:eastAsia="Helvetica Neue"/>
        </w:rPr>
        <w:t xml:space="preserve">. </w:t>
      </w:r>
    </w:p>
    <w:p w14:paraId="1AD6DDBF" w14:textId="50402B80" w:rsidR="00BC14E7" w:rsidRPr="00714E4C" w:rsidRDefault="00BC14E7" w:rsidP="00714E4C">
      <w:pPr>
        <w:pStyle w:val="Heading4"/>
      </w:pPr>
      <w:r w:rsidRPr="00714E4C">
        <w:rPr>
          <w:rFonts w:eastAsia="Helvetica Neue"/>
        </w:rPr>
        <w:lastRenderedPageBreak/>
        <w:t>Guidelines for Action: Accessibility</w:t>
      </w:r>
    </w:p>
    <w:p w14:paraId="400598F1" w14:textId="77777777" w:rsidR="00BC14E7" w:rsidRPr="00A64CBE" w:rsidRDefault="00BC14E7" w:rsidP="006E6012">
      <w:pPr>
        <w:pStyle w:val="ListParagraph"/>
        <w:numPr>
          <w:ilvl w:val="0"/>
          <w:numId w:val="124"/>
        </w:numPr>
      </w:pPr>
      <w:r w:rsidRPr="00E5629B">
        <w:rPr>
          <w:rFonts w:eastAsia="Helvetica Neue"/>
        </w:rPr>
        <w:t xml:space="preserve">Offer consultations for women and young persons with disabilities that present accessible opportunities to learn </w:t>
      </w:r>
      <w:r w:rsidRPr="00E5629B">
        <w:rPr>
          <w:rFonts w:eastAsia="Helvetica Neue"/>
          <w:bCs/>
        </w:rPr>
        <w:t>how STIs are transmitted and how to prevent them</w:t>
      </w:r>
      <w:r w:rsidRPr="00E5629B">
        <w:rPr>
          <w:rFonts w:eastAsia="Helvetica Neue"/>
        </w:rPr>
        <w:t>. The woman or young person should also be shown how to use a male and female condom and how to negotiate its use with a partner. As part of this consultation, service providers should also enquire about potential problems some women and young persons with disabilities may have with taking certain medicines to treat STIs. If the patient is a young person, service providers can explain to the person’s parents that children who learn about STIs, including HIV, will make safer choices later in life.</w:t>
      </w:r>
      <w:r w:rsidRPr="00B1674C">
        <w:rPr>
          <w:rStyle w:val="EndnoteReference"/>
          <w:rFonts w:eastAsia="Helvetica Neue"/>
        </w:rPr>
        <w:endnoteReference w:id="575"/>
      </w:r>
      <w:r w:rsidRPr="00E5629B">
        <w:rPr>
          <w:rFonts w:eastAsia="Helvetica Neue"/>
        </w:rPr>
        <w:t xml:space="preserve"> </w:t>
      </w:r>
    </w:p>
    <w:p w14:paraId="31C92400" w14:textId="77777777" w:rsidR="00BC14E7" w:rsidRPr="00A64CBE" w:rsidRDefault="00BC14E7" w:rsidP="006E6012">
      <w:pPr>
        <w:pStyle w:val="ListParagraph"/>
        <w:numPr>
          <w:ilvl w:val="0"/>
          <w:numId w:val="124"/>
        </w:numPr>
      </w:pPr>
      <w:r w:rsidRPr="00E5629B">
        <w:rPr>
          <w:rFonts w:eastAsia="Helvetica Neue"/>
        </w:rPr>
        <w:t xml:space="preserve">Promote </w:t>
      </w:r>
      <w:r w:rsidRPr="00E5629B">
        <w:rPr>
          <w:rFonts w:eastAsia="Helvetica Neue"/>
          <w:bCs/>
        </w:rPr>
        <w:t>peer-to-peer and community health worker education programmes to</w:t>
      </w:r>
      <w:r w:rsidRPr="00E5629B">
        <w:rPr>
          <w:rFonts w:eastAsia="Helvetica Neue"/>
        </w:rPr>
        <w:t xml:space="preserve"> provide free, disability-sensitive education and information around STIs based in the community. </w:t>
      </w:r>
    </w:p>
    <w:p w14:paraId="0C76F4A9" w14:textId="77777777" w:rsidR="00BC14E7" w:rsidRPr="00A64CBE" w:rsidRDefault="00BC14E7" w:rsidP="006E6012">
      <w:pPr>
        <w:pStyle w:val="ListParagraph"/>
        <w:numPr>
          <w:ilvl w:val="0"/>
          <w:numId w:val="124"/>
        </w:numPr>
      </w:pPr>
      <w:r w:rsidRPr="00E5629B">
        <w:rPr>
          <w:rFonts w:eastAsia="Helvetica Neue"/>
        </w:rPr>
        <w:t xml:space="preserve">Develop </w:t>
      </w:r>
      <w:r w:rsidRPr="00E5629B">
        <w:rPr>
          <w:rFonts w:eastAsia="Helvetica Neue"/>
          <w:bCs/>
        </w:rPr>
        <w:t>accessible, targeted, and non-stigmatizing information and testing campaigns around STIs</w:t>
      </w:r>
      <w:r w:rsidRPr="00E5629B">
        <w:rPr>
          <w:rFonts w:eastAsia="Helvetica Neue"/>
        </w:rPr>
        <w:t>.</w:t>
      </w:r>
      <w:r w:rsidRPr="00B1674C">
        <w:rPr>
          <w:rStyle w:val="EndnoteReference"/>
          <w:rFonts w:eastAsia="Helvetica Neue"/>
        </w:rPr>
        <w:endnoteReference w:id="576"/>
      </w:r>
      <w:r w:rsidRPr="00E5629B">
        <w:rPr>
          <w:rFonts w:eastAsia="Helvetica Neue"/>
        </w:rPr>
        <w:t xml:space="preserve"> For instance, create radio bulletins or accessible informational leaflets. Integrate women and young persons with disabilities into public information campaigns. </w:t>
      </w:r>
    </w:p>
    <w:p w14:paraId="4A94B702" w14:textId="77777777" w:rsidR="00BC14E7" w:rsidRPr="00A64CBE" w:rsidRDefault="00BC14E7" w:rsidP="006E6012">
      <w:pPr>
        <w:pStyle w:val="ListParagraph"/>
        <w:numPr>
          <w:ilvl w:val="0"/>
          <w:numId w:val="124"/>
        </w:numPr>
      </w:pPr>
      <w:r w:rsidRPr="00E5629B">
        <w:rPr>
          <w:rFonts w:eastAsia="Helvetica Neue"/>
        </w:rPr>
        <w:t xml:space="preserve">Ensure that </w:t>
      </w:r>
      <w:r w:rsidRPr="00E5629B">
        <w:rPr>
          <w:rFonts w:eastAsia="Helvetica Neue"/>
          <w:bCs/>
        </w:rPr>
        <w:t>testing facilities and machines</w:t>
      </w:r>
      <w:r w:rsidRPr="00E5629B">
        <w:rPr>
          <w:rFonts w:eastAsia="Helvetica Neue"/>
        </w:rPr>
        <w:t xml:space="preserve"> are physically accessible to women and young persons with any type of disability, including women and young persons who may experience difficulties with needles or sitting still for periods of time. </w:t>
      </w:r>
    </w:p>
    <w:p w14:paraId="463DA9BC" w14:textId="77777777" w:rsidR="00BC14E7" w:rsidRPr="00A64CBE" w:rsidRDefault="00BC14E7" w:rsidP="006E6012">
      <w:pPr>
        <w:pStyle w:val="ListParagraph"/>
        <w:numPr>
          <w:ilvl w:val="0"/>
          <w:numId w:val="124"/>
        </w:numPr>
      </w:pPr>
      <w:r w:rsidRPr="00E5629B">
        <w:rPr>
          <w:rFonts w:eastAsia="Helvetica Neue"/>
        </w:rPr>
        <w:t xml:space="preserve">Offer </w:t>
      </w:r>
      <w:r w:rsidRPr="00E5629B">
        <w:rPr>
          <w:rFonts w:eastAsia="Helvetica Neue"/>
          <w:bCs/>
        </w:rPr>
        <w:t>free or low-cost access</w:t>
      </w:r>
      <w:r w:rsidRPr="00E5629B">
        <w:rPr>
          <w:rFonts w:eastAsia="Helvetica Neue"/>
        </w:rPr>
        <w:t xml:space="preserve"> to the HPV and Hepatitis B vaccines for low-income women and young persons with disabilities or those living in poverty. </w:t>
      </w:r>
    </w:p>
    <w:p w14:paraId="46A55B40" w14:textId="77777777" w:rsidR="00BC14E7" w:rsidRPr="00A64CBE" w:rsidRDefault="00BC14E7" w:rsidP="006E6012">
      <w:pPr>
        <w:pStyle w:val="ListParagraph"/>
        <w:numPr>
          <w:ilvl w:val="0"/>
          <w:numId w:val="124"/>
        </w:numPr>
      </w:pPr>
      <w:r w:rsidRPr="00E5629B">
        <w:rPr>
          <w:rFonts w:eastAsia="Helvetica Neue"/>
        </w:rPr>
        <w:t xml:space="preserve">Where resources allow, advocate for </w:t>
      </w:r>
      <w:r w:rsidRPr="00E5629B">
        <w:rPr>
          <w:rFonts w:eastAsia="Helvetica Neue"/>
          <w:bCs/>
        </w:rPr>
        <w:t>subsidized antiretroviral treatment</w:t>
      </w:r>
      <w:r w:rsidRPr="00E5629B">
        <w:rPr>
          <w:rFonts w:eastAsia="Helvetica Neue"/>
        </w:rPr>
        <w:t xml:space="preserve"> and antibiotics for individuals who are unable to afford necessary medicines.</w:t>
      </w:r>
    </w:p>
    <w:p w14:paraId="50AA8ACE" w14:textId="77777777" w:rsidR="00BC14E7" w:rsidRPr="0018197A" w:rsidRDefault="00BC14E7" w:rsidP="006E6012">
      <w:pPr>
        <w:pStyle w:val="ListParagraph"/>
        <w:numPr>
          <w:ilvl w:val="0"/>
          <w:numId w:val="124"/>
        </w:numPr>
      </w:pPr>
      <w:r w:rsidRPr="00E5629B">
        <w:rPr>
          <w:rFonts w:eastAsia="Helvetica Neue"/>
        </w:rPr>
        <w:t xml:space="preserve">Where resources allow, offer </w:t>
      </w:r>
      <w:r w:rsidRPr="00E5629B">
        <w:rPr>
          <w:rFonts w:eastAsia="Helvetica Neue"/>
          <w:bCs/>
        </w:rPr>
        <w:t>male and female condoms</w:t>
      </w:r>
      <w:r w:rsidRPr="00E5629B">
        <w:rPr>
          <w:rFonts w:eastAsia="Helvetica Neue"/>
        </w:rPr>
        <w:t xml:space="preserve"> for free or at a low cost along with accessible information and training on how to use both types of condoms. Condoms should be available in health service provider settings as well as other disability-related service settings. </w:t>
      </w:r>
    </w:p>
    <w:p w14:paraId="000A2E84" w14:textId="146820E3" w:rsidR="00E5629B" w:rsidRDefault="008304B7" w:rsidP="008304B7">
      <w:pPr>
        <w:pStyle w:val="Heading4"/>
        <w:ind w:hanging="90"/>
        <w:rPr>
          <w:rFonts w:eastAsia="Helvetica Neue"/>
        </w:rPr>
      </w:pPr>
      <w:r w:rsidRPr="00B92BF0">
        <w:rPr>
          <w:noProof/>
          <w:color w:val="943634" w:themeColor="accent2" w:themeShade="BF"/>
        </w:rPr>
        <mc:AlternateContent>
          <mc:Choice Requires="wps">
            <w:drawing>
              <wp:inline distT="0" distB="0" distL="0" distR="0" wp14:anchorId="485B1E66" wp14:editId="14FF117F">
                <wp:extent cx="5943600" cy="0"/>
                <wp:effectExtent l="0" t="38100" r="25400" b="38100"/>
                <wp:docPr id="70" name="Straight Connector 70" descr="Text box follows"/>
                <wp:cNvGraphicFramePr/>
                <a:graphic xmlns:a="http://schemas.openxmlformats.org/drawingml/2006/main">
                  <a:graphicData uri="http://schemas.microsoft.com/office/word/2010/wordprocessingShape">
                    <wps:wsp>
                      <wps:cNvCnPr/>
                      <wps:spPr>
                        <a:xfrm>
                          <a:off x="0" y="0"/>
                          <a:ext cx="5943600" cy="0"/>
                        </a:xfrm>
                        <a:prstGeom prst="line">
                          <a:avLst/>
                        </a:prstGeom>
                        <a:ln w="76200">
                          <a:solidFill>
                            <a:schemeClr val="accent6">
                              <a:lumMod val="75000"/>
                            </a:schemeClr>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62976CA9" id="Straight Connector 70" o:spid="_x0000_s1026" alt="Text box foll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" strokecolor="#e36c0a [2409]" strokeweight="6pt">
                <w10:anchorlock/>
              </v:line>
            </w:pict>
          </mc:Fallback>
        </mc:AlternateContent>
      </w:r>
      <w:r>
        <w:rPr>
          <w:noProof/>
          <w:color w:val="943634" w:themeColor="accent2" w:themeShade="BF"/>
        </w:rPr>
        <w:br/>
      </w:r>
      <w:r w:rsidRPr="008304B7">
        <w:rPr>
          <w:noProof/>
          <w:color w:val="943634" w:themeColor="accent2" w:themeShade="BF"/>
          <w:sz w:val="16"/>
          <w:szCs w:val="16"/>
        </w:rPr>
        <w:br/>
      </w:r>
      <w:r w:rsidRPr="00CE152F">
        <w:rPr>
          <w:noProof/>
          <w:color w:val="E36C0A" w:themeColor="accent6" w:themeShade="BF"/>
          <w:sz w:val="32"/>
          <w:szCs w:val="32"/>
        </w:rPr>
        <w:t>Spotlight Issue—</w:t>
      </w:r>
      <w:r w:rsidR="00BC14E7" w:rsidRPr="00CE152F">
        <w:rPr>
          <w:rFonts w:eastAsia="Helvetica Neue"/>
          <w:color w:val="E36C0A" w:themeColor="accent6" w:themeShade="BF"/>
          <w:sz w:val="32"/>
          <w:szCs w:val="32"/>
        </w:rPr>
        <w:t>HPV and Cervical Cancer</w:t>
      </w:r>
    </w:p>
    <w:p w14:paraId="29C2404D" w14:textId="3BC7EE35" w:rsidR="00BC14E7" w:rsidRPr="00A64CBE" w:rsidRDefault="00BC14E7" w:rsidP="00E5629B">
      <w:pPr>
        <w:rPr>
          <w:rFonts w:eastAsia="Helvetica Neue"/>
          <w:b/>
          <w:u w:val="single"/>
        </w:rPr>
      </w:pPr>
      <w:r w:rsidRPr="00A64CBE">
        <w:rPr>
          <w:rFonts w:eastAsia="Helvetica Neue"/>
        </w:rPr>
        <w:t>Cervical cancer is one of the greatest threats worldwide to women’s lives. The primary cause of cervical cancer is persistent or chronic infection with one or more of the high-risk types of human papillomavirus (HPV). Preventing HPV through vaccination is fundamental to curbing cervical cancer. Service providers must ensure that women and adolescent girls with disabilities have access to the vaccine. All adolescent girls should receive the vaccine before initiating sexual activity. Service providers must also be sure to offer the vaccine to women with disabilities who may have missed out on receiving the vaccine as an adolescent. Since the vaccine does not protect against all types of HPV, and many women with disabilities may not have received the vaccine before the onset of sexual activity, service providers should screen all adolescent girls and women with disabilities for cervical cancer.</w:t>
      </w:r>
      <w:r w:rsidRPr="00B1674C">
        <w:rPr>
          <w:rStyle w:val="EndnoteReference"/>
          <w:rFonts w:eastAsia="Helvetica Neue"/>
        </w:rPr>
        <w:endnoteReference w:id="577"/>
      </w:r>
      <w:r w:rsidRPr="00A64CBE">
        <w:rPr>
          <w:rFonts w:eastAsia="Helvetica Neue"/>
        </w:rPr>
        <w:t xml:space="preserve"> </w:t>
      </w:r>
    </w:p>
    <w:p w14:paraId="41A2C34D" w14:textId="1C2B2E4D" w:rsidR="008304B7" w:rsidRPr="008304B7" w:rsidRDefault="008304B7" w:rsidP="008304B7">
      <w:pPr>
        <w:ind w:hanging="90"/>
        <w:rPr>
          <w:rFonts w:eastAsia="Helvetica Neue"/>
        </w:rPr>
      </w:pPr>
      <w:r w:rsidRPr="00B92BF0">
        <w:rPr>
          <w:noProof/>
          <w:color w:val="943634" w:themeColor="accent2" w:themeShade="BF"/>
        </w:rPr>
        <mc:AlternateContent>
          <mc:Choice Requires="wps">
            <w:drawing>
              <wp:inline distT="0" distB="0" distL="0" distR="0" wp14:anchorId="3F9C04D5" wp14:editId="5182D263">
                <wp:extent cx="5943600" cy="0"/>
                <wp:effectExtent l="0" t="12700" r="25400" b="25400"/>
                <wp:docPr id="71" name="Straight Connector 71" descr="Text box ends"/>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chemeClr val="accent6">
                              <a:lumMod val="75000"/>
                            </a:schemeClr>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72D43B31" id="Straight Connector 71" o:spid="_x0000_s1026" alt="Text box end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" strokecolor="#e36c0a [2409]" strokeweight="3pt">
                <w10:anchorlock/>
              </v:line>
            </w:pict>
          </mc:Fallback>
        </mc:AlternateContent>
      </w:r>
    </w:p>
    <w:p w14:paraId="1906CDEC" w14:textId="5338B5C9" w:rsidR="00BC14E7" w:rsidRPr="00A64CBE" w:rsidRDefault="00BC14E7" w:rsidP="008304B7">
      <w:pPr>
        <w:pStyle w:val="Heading4"/>
        <w:spacing w:before="480"/>
        <w:rPr>
          <w:rFonts w:eastAsia="Helvetica Neue"/>
        </w:rPr>
      </w:pPr>
      <w:r w:rsidRPr="00A64CBE">
        <w:rPr>
          <w:rFonts w:eastAsia="Helvetica Neue"/>
        </w:rPr>
        <w:lastRenderedPageBreak/>
        <w:t>Guidelines for Action: Acceptability</w:t>
      </w:r>
    </w:p>
    <w:p w14:paraId="6ECF020E" w14:textId="77777777" w:rsidR="00E5629B" w:rsidRPr="00E5629B" w:rsidRDefault="00BC14E7" w:rsidP="006E6012">
      <w:pPr>
        <w:pStyle w:val="ListParagraph"/>
        <w:numPr>
          <w:ilvl w:val="0"/>
          <w:numId w:val="125"/>
        </w:numPr>
      </w:pPr>
      <w:r w:rsidRPr="00E5629B">
        <w:rPr>
          <w:rFonts w:eastAsia="Helvetica Neue"/>
        </w:rPr>
        <w:t xml:space="preserve">Ensure that programmes are tailored to serve populations of women and young persons with disabilities who may be even more vulnerable to STIs due to </w:t>
      </w:r>
      <w:r w:rsidRPr="00E5629B">
        <w:rPr>
          <w:rFonts w:eastAsia="Helvetica Neue"/>
          <w:bCs/>
        </w:rPr>
        <w:t>isolation or intersecting forms of discrimination</w:t>
      </w:r>
      <w:r w:rsidRPr="00E5629B">
        <w:rPr>
          <w:rFonts w:eastAsia="Helvetica Neue"/>
        </w:rPr>
        <w:t>, including women and young persons with disabilities living in poverty, those living in institutions, women and young persons with disabilities from indigenous or the LGBTI communities, sex workers, and refugees or internally displaced persons.</w:t>
      </w:r>
    </w:p>
    <w:p w14:paraId="1A133287" w14:textId="77777777" w:rsidR="00E5629B" w:rsidRPr="00E5629B" w:rsidRDefault="00BC14E7" w:rsidP="006E6012">
      <w:pPr>
        <w:pStyle w:val="ListParagraph"/>
        <w:numPr>
          <w:ilvl w:val="0"/>
          <w:numId w:val="125"/>
        </w:numPr>
      </w:pPr>
      <w:r w:rsidRPr="00E5629B">
        <w:rPr>
          <w:rFonts w:eastAsia="Helvetica Neue"/>
        </w:rPr>
        <w:t xml:space="preserve">Train women and young persons with disabilities to become </w:t>
      </w:r>
      <w:r w:rsidRPr="00E5629B">
        <w:rPr>
          <w:rFonts w:eastAsia="Helvetica Neue"/>
          <w:bCs/>
        </w:rPr>
        <w:t>peer or community health educators and foster the development of support groups</w:t>
      </w:r>
      <w:r w:rsidRPr="00E5629B">
        <w:rPr>
          <w:rFonts w:eastAsia="Helvetica Neue"/>
        </w:rPr>
        <w:t>.</w:t>
      </w:r>
      <w:r w:rsidRPr="00B1674C">
        <w:rPr>
          <w:rStyle w:val="EndnoteReference"/>
          <w:rFonts w:eastAsia="Helvetica Neue"/>
        </w:rPr>
        <w:endnoteReference w:id="578"/>
      </w:r>
      <w:r w:rsidRPr="004B4BB2">
        <w:rPr>
          <w:rFonts w:eastAsia="Helvetica Neue"/>
        </w:rPr>
        <w:t xml:space="preserve"> </w:t>
      </w:r>
      <w:r w:rsidRPr="00E5629B">
        <w:rPr>
          <w:rFonts w:eastAsia="Helvetica Neue"/>
        </w:rPr>
        <w:t>Look for opportunities to engage with already existing groups of women and young persons with disabilities. Community leaders can also work with service providers to ensure STI information, testing, and treatment services are reaching communities of women and young persons with different types of disabilities.</w:t>
      </w:r>
      <w:r w:rsidRPr="00B1674C">
        <w:rPr>
          <w:rStyle w:val="EndnoteReference"/>
          <w:rFonts w:eastAsia="Helvetica Neue"/>
        </w:rPr>
        <w:endnoteReference w:id="579"/>
      </w:r>
    </w:p>
    <w:p w14:paraId="6E98CEA6" w14:textId="77777777" w:rsidR="00E5629B" w:rsidRPr="00E5629B" w:rsidRDefault="00BC14E7" w:rsidP="006E6012">
      <w:pPr>
        <w:pStyle w:val="ListParagraph"/>
        <w:numPr>
          <w:ilvl w:val="0"/>
          <w:numId w:val="125"/>
        </w:numPr>
      </w:pPr>
      <w:r w:rsidRPr="00E5629B">
        <w:rPr>
          <w:rFonts w:eastAsia="Helvetica Neue"/>
        </w:rPr>
        <w:t xml:space="preserve">Train service providers and support staff and implement </w:t>
      </w:r>
      <w:r w:rsidRPr="00E5629B">
        <w:rPr>
          <w:rFonts w:eastAsia="Helvetica Neue"/>
          <w:bCs/>
        </w:rPr>
        <w:t>safeguards to guarantee privacy and confidentiality</w:t>
      </w:r>
      <w:r w:rsidRPr="00E5629B">
        <w:rPr>
          <w:rFonts w:eastAsia="Helvetica Neue"/>
        </w:rPr>
        <w:t xml:space="preserve"> of STI counselling and test results, including for those younger than 18 years old. Ensure results are given in private, unless the patient has privately and voluntarily given their informed consent to allow a companion, family member, or caregiver to stay.</w:t>
      </w:r>
      <w:r w:rsidRPr="00B1674C">
        <w:rPr>
          <w:rStyle w:val="EndnoteReference"/>
          <w:rFonts w:eastAsia="Helvetica Neue"/>
        </w:rPr>
        <w:endnoteReference w:id="580"/>
      </w:r>
      <w:r w:rsidRPr="00E5629B">
        <w:rPr>
          <w:rFonts w:eastAsia="Helvetica Neue"/>
        </w:rPr>
        <w:t xml:space="preserve"> </w:t>
      </w:r>
    </w:p>
    <w:p w14:paraId="351F3885" w14:textId="1880F845" w:rsidR="00BC14E7" w:rsidRPr="00E5629B" w:rsidRDefault="00BC14E7" w:rsidP="006E6012">
      <w:pPr>
        <w:pStyle w:val="ListParagraph"/>
        <w:numPr>
          <w:ilvl w:val="0"/>
          <w:numId w:val="125"/>
        </w:numPr>
      </w:pPr>
      <w:r w:rsidRPr="00E5629B">
        <w:rPr>
          <w:rFonts w:eastAsia="Helvetica Neue"/>
        </w:rPr>
        <w:t xml:space="preserve">Develop </w:t>
      </w:r>
      <w:r w:rsidRPr="00E5629B">
        <w:rPr>
          <w:rFonts w:eastAsia="Helvetica Neue"/>
          <w:bCs/>
        </w:rPr>
        <w:t>education programmes for family members and caregivers</w:t>
      </w:r>
      <w:r w:rsidRPr="00E5629B">
        <w:rPr>
          <w:rFonts w:eastAsia="Helvetica Neue"/>
        </w:rPr>
        <w:t xml:space="preserve"> to understand the importance of STI information, testing, and prevention. Train and assist supportive community leaders, family members, and caregivers on how to conduct outreach to other families and caregivers of women and young persons with disabilities on the importance of STI education and testing.</w:t>
      </w:r>
      <w:r w:rsidRPr="00B1674C">
        <w:rPr>
          <w:rStyle w:val="EndnoteReference"/>
          <w:rFonts w:eastAsia="Helvetica Neue"/>
        </w:rPr>
        <w:endnoteReference w:id="581"/>
      </w:r>
      <w:r w:rsidRPr="00E5629B">
        <w:rPr>
          <w:rFonts w:eastAsia="Helvetica Neue"/>
        </w:rPr>
        <w:t xml:space="preserve"> Framing such information and education as risk reduction can help foster support. </w:t>
      </w:r>
    </w:p>
    <w:p w14:paraId="09C80AF4" w14:textId="47F99C58" w:rsidR="00BC14E7" w:rsidRPr="00A64CBE" w:rsidRDefault="00BC14E7" w:rsidP="008304B7">
      <w:pPr>
        <w:pStyle w:val="Heading4"/>
        <w:spacing w:before="480"/>
        <w:rPr>
          <w:rFonts w:eastAsia="Helvetica Neue"/>
        </w:rPr>
      </w:pPr>
      <w:r w:rsidRPr="00A64CBE">
        <w:rPr>
          <w:rFonts w:eastAsia="Helvetica Neue"/>
        </w:rPr>
        <w:t xml:space="preserve">Guidelines for Action: Quality </w:t>
      </w:r>
    </w:p>
    <w:p w14:paraId="50BEB48B" w14:textId="77777777" w:rsidR="00E5629B" w:rsidRPr="00E5629B" w:rsidRDefault="00BC14E7" w:rsidP="006E6012">
      <w:pPr>
        <w:pStyle w:val="ListParagraph"/>
        <w:numPr>
          <w:ilvl w:val="0"/>
          <w:numId w:val="126"/>
        </w:numPr>
        <w:rPr>
          <w:u w:val="single"/>
        </w:rPr>
      </w:pPr>
      <w:r w:rsidRPr="00E5629B">
        <w:rPr>
          <w:rFonts w:eastAsia="Helvetica Neue"/>
        </w:rPr>
        <w:t xml:space="preserve">Provide accessible, confidential </w:t>
      </w:r>
      <w:r w:rsidRPr="00E5629B">
        <w:rPr>
          <w:rFonts w:eastAsia="Helvetica Neue"/>
          <w:bCs/>
        </w:rPr>
        <w:t>pre-testing counselling</w:t>
      </w:r>
      <w:r w:rsidRPr="00E5629B">
        <w:rPr>
          <w:rFonts w:eastAsia="Helvetica Neue"/>
        </w:rPr>
        <w:t xml:space="preserve"> to support a woman or young person with a disability to make her or his own voluntary decision around STI testing and prevention. Counselling should address the pros and cons of STI testing, what to expect if a test result comes back positive, and the availability of STI treatment and psychosocial support. </w:t>
      </w:r>
    </w:p>
    <w:p w14:paraId="7873C37E" w14:textId="77777777" w:rsidR="00E5629B" w:rsidRPr="00E5629B" w:rsidRDefault="00BC14E7" w:rsidP="006E6012">
      <w:pPr>
        <w:pStyle w:val="ListParagraph"/>
        <w:numPr>
          <w:ilvl w:val="0"/>
          <w:numId w:val="126"/>
        </w:numPr>
        <w:rPr>
          <w:u w:val="single"/>
        </w:rPr>
      </w:pPr>
      <w:r w:rsidRPr="00E5629B">
        <w:rPr>
          <w:rFonts w:eastAsia="Helvetica Neue"/>
        </w:rPr>
        <w:t xml:space="preserve">Provide accessible, </w:t>
      </w:r>
      <w:r w:rsidRPr="00E5629B">
        <w:rPr>
          <w:rFonts w:eastAsia="Helvetica Neue"/>
          <w:bCs/>
        </w:rPr>
        <w:t>confidential post-testing counselling</w:t>
      </w:r>
      <w:r w:rsidRPr="00E5629B">
        <w:rPr>
          <w:rFonts w:eastAsia="Helvetica Neue"/>
        </w:rPr>
        <w:t xml:space="preserve">. Refer to the WHO’s </w:t>
      </w:r>
      <w:r w:rsidRPr="00E5629B">
        <w:rPr>
          <w:rFonts w:eastAsia="Helvetica Neue"/>
          <w:b/>
        </w:rPr>
        <w:t>‘Consolidated Guidelines on HIV Testing Services’</w:t>
      </w:r>
      <w:r w:rsidRPr="00B1674C">
        <w:rPr>
          <w:rStyle w:val="EndnoteReference"/>
          <w:rFonts w:eastAsia="Helvetica Neue"/>
        </w:rPr>
        <w:endnoteReference w:id="582"/>
      </w:r>
      <w:r w:rsidRPr="00E5629B">
        <w:rPr>
          <w:rFonts w:eastAsia="Helvetica Neue"/>
        </w:rPr>
        <w:t xml:space="preserve"> for guidance on the contents of this counselling depending on the results of the test.</w:t>
      </w:r>
    </w:p>
    <w:p w14:paraId="479BA113" w14:textId="77777777" w:rsidR="00E5629B" w:rsidRPr="00E5629B" w:rsidRDefault="00BC14E7" w:rsidP="006E6012">
      <w:pPr>
        <w:pStyle w:val="ListParagraph"/>
        <w:numPr>
          <w:ilvl w:val="0"/>
          <w:numId w:val="126"/>
        </w:numPr>
        <w:rPr>
          <w:u w:val="single"/>
        </w:rPr>
      </w:pPr>
      <w:r w:rsidRPr="00E5629B">
        <w:rPr>
          <w:rFonts w:eastAsia="Helvetica Neue"/>
        </w:rPr>
        <w:t xml:space="preserve">Provide accessible, tailored, and appropriate </w:t>
      </w:r>
      <w:r w:rsidRPr="00E5629B">
        <w:rPr>
          <w:rFonts w:eastAsia="Helvetica Neue"/>
          <w:bCs/>
        </w:rPr>
        <w:t>counselling, support, and contraceptives to HIV-positive women and young persons with disabilities</w:t>
      </w:r>
      <w:r w:rsidRPr="00E5629B">
        <w:rPr>
          <w:rFonts w:eastAsia="Helvetica Neue"/>
          <w:b/>
        </w:rPr>
        <w:t xml:space="preserve"> </w:t>
      </w:r>
      <w:r w:rsidRPr="00E5629B">
        <w:rPr>
          <w:rFonts w:eastAsia="Helvetica Neue"/>
        </w:rPr>
        <w:t>to address their unmet needs relating to HIV care, treatment, and support.</w:t>
      </w:r>
      <w:r w:rsidRPr="00B1674C">
        <w:rPr>
          <w:rStyle w:val="EndnoteReference"/>
          <w:rFonts w:eastAsia="Helvetica Neue"/>
        </w:rPr>
        <w:endnoteReference w:id="583"/>
      </w:r>
    </w:p>
    <w:p w14:paraId="26D891EE" w14:textId="387F1ECF" w:rsidR="00BC14E7" w:rsidRPr="00E5629B" w:rsidRDefault="00E5629B" w:rsidP="006E6012">
      <w:pPr>
        <w:pStyle w:val="ListParagraph"/>
        <w:numPr>
          <w:ilvl w:val="0"/>
          <w:numId w:val="126"/>
        </w:numPr>
        <w:rPr>
          <w:u w:val="single"/>
        </w:rPr>
      </w:pPr>
      <w:r>
        <w:rPr>
          <w:rFonts w:eastAsia="Helvetica Neue"/>
        </w:rPr>
        <w:t>E</w:t>
      </w:r>
      <w:r w:rsidR="00BC14E7" w:rsidRPr="00E5629B">
        <w:rPr>
          <w:rFonts w:eastAsia="Helvetica Neue"/>
        </w:rPr>
        <w:t xml:space="preserve">stablish coordination and referral systems for women and young persons with disabilities identified as suffering consequences of violence or abuse. Refer to the WHO’s </w:t>
      </w:r>
      <w:r w:rsidR="00BC14E7" w:rsidRPr="00E5629B">
        <w:rPr>
          <w:rFonts w:eastAsia="Helvetica Neue"/>
          <w:b/>
        </w:rPr>
        <w:t>‘Strengthening Health Systems to Respond to Women Subjected to Intimate Partner Violence or Sexual Violence: A Manual for Health Managers’</w:t>
      </w:r>
      <w:r w:rsidR="00BC14E7" w:rsidRPr="00B1674C">
        <w:rPr>
          <w:rStyle w:val="EndnoteReference"/>
          <w:rFonts w:eastAsia="Helvetica Neue"/>
        </w:rPr>
        <w:endnoteReference w:id="584"/>
      </w:r>
      <w:r w:rsidR="00BC14E7" w:rsidRPr="00E5629B">
        <w:rPr>
          <w:rFonts w:eastAsia="Helvetica Neue"/>
        </w:rPr>
        <w:t xml:space="preserve"> for practical guidance, in addition to local legal requirements.  </w:t>
      </w:r>
    </w:p>
    <w:p w14:paraId="4BE4E8BD" w14:textId="38CBB6C4" w:rsidR="00E5629B" w:rsidRDefault="008304B7" w:rsidP="008304B7">
      <w:pPr>
        <w:pStyle w:val="Heading4"/>
        <w:ind w:hanging="90"/>
        <w:rPr>
          <w:rFonts w:eastAsia="Helvetica Neue"/>
        </w:rPr>
      </w:pPr>
      <w:r w:rsidRPr="00B92BF0">
        <w:rPr>
          <w:noProof/>
          <w:color w:val="943634" w:themeColor="accent2" w:themeShade="BF"/>
        </w:rPr>
        <w:lastRenderedPageBreak/>
        <mc:AlternateContent>
          <mc:Choice Requires="wps">
            <w:drawing>
              <wp:inline distT="0" distB="0" distL="0" distR="0" wp14:anchorId="4A2D056B" wp14:editId="29357E91">
                <wp:extent cx="5943600" cy="0"/>
                <wp:effectExtent l="0" t="38100" r="25400" b="38100"/>
                <wp:docPr id="72" name="Straight Connector 72" descr="Text box follows"/>
                <wp:cNvGraphicFramePr/>
                <a:graphic xmlns:a="http://schemas.openxmlformats.org/drawingml/2006/main">
                  <a:graphicData uri="http://schemas.microsoft.com/office/word/2010/wordprocessingShape">
                    <wps:wsp>
                      <wps:cNvCnPr/>
                      <wps:spPr>
                        <a:xfrm>
                          <a:off x="0" y="0"/>
                          <a:ext cx="5943600" cy="0"/>
                        </a:xfrm>
                        <a:prstGeom prst="line">
                          <a:avLst/>
                        </a:prstGeom>
                        <a:ln w="76200">
                          <a:solidFill>
                            <a:schemeClr val="accent6">
                              <a:lumMod val="75000"/>
                            </a:schemeClr>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7BB77A61" id="Straight Connector 72" o:spid="_x0000_s1026" alt="Text box foll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" strokecolor="#e36c0a [2409]" strokeweight="6pt">
                <w10:anchorlock/>
              </v:line>
            </w:pict>
          </mc:Fallback>
        </mc:AlternateContent>
      </w:r>
      <w:r>
        <w:rPr>
          <w:noProof/>
          <w:color w:val="943634" w:themeColor="accent2" w:themeShade="BF"/>
        </w:rPr>
        <w:br/>
      </w:r>
      <w:r w:rsidRPr="008304B7">
        <w:rPr>
          <w:noProof/>
          <w:color w:val="943634" w:themeColor="accent2" w:themeShade="BF"/>
          <w:sz w:val="16"/>
          <w:szCs w:val="16"/>
        </w:rPr>
        <w:br/>
      </w:r>
      <w:r w:rsidRPr="00CE152F">
        <w:rPr>
          <w:noProof/>
          <w:color w:val="E36C0A" w:themeColor="accent6" w:themeShade="BF"/>
          <w:sz w:val="32"/>
          <w:szCs w:val="32"/>
        </w:rPr>
        <w:t>Spotlight Issue—</w:t>
      </w:r>
      <w:r w:rsidR="00BC14E7" w:rsidRPr="00CE152F">
        <w:rPr>
          <w:rFonts w:eastAsia="Helvetica Neue"/>
          <w:color w:val="E36C0A" w:themeColor="accent6" w:themeShade="BF"/>
          <w:sz w:val="32"/>
          <w:szCs w:val="32"/>
        </w:rPr>
        <w:t>HIV and Sexual Violence against Women and Young Persons with Disabilities</w:t>
      </w:r>
    </w:p>
    <w:p w14:paraId="3F564071" w14:textId="17B9BF19" w:rsidR="00BC14E7" w:rsidRPr="00A64CBE" w:rsidRDefault="00BC14E7" w:rsidP="00A80023">
      <w:pPr>
        <w:rPr>
          <w:rFonts w:eastAsia="Helvetica Neue"/>
        </w:rPr>
      </w:pPr>
      <w:r w:rsidRPr="00A64CBE">
        <w:rPr>
          <w:rFonts w:eastAsia="Helvetica Neue"/>
        </w:rPr>
        <w:t>Some individuals believe the dangerous and false myth that a person living with HIV can be cured by having sex with a virgin, also known as ‘</w:t>
      </w:r>
      <w:r w:rsidRPr="008C6095">
        <w:rPr>
          <w:rFonts w:eastAsia="Helvetica Neue"/>
          <w:bCs/>
        </w:rPr>
        <w:t>virgin rape’</w:t>
      </w:r>
      <w:r w:rsidRPr="00A64CBE">
        <w:rPr>
          <w:rFonts w:eastAsia="Helvetica Neue"/>
        </w:rPr>
        <w:t xml:space="preserve">. Due to stereotypes that </w:t>
      </w:r>
      <w:r>
        <w:rPr>
          <w:rFonts w:eastAsia="Helvetica Neue"/>
        </w:rPr>
        <w:t>persons</w:t>
      </w:r>
      <w:r w:rsidRPr="00A64CBE">
        <w:rPr>
          <w:rFonts w:eastAsia="Helvetica Neue"/>
        </w:rPr>
        <w:t xml:space="preserve"> with disabilities are asexual, and therefore presumed to be virgins, women and young </w:t>
      </w:r>
      <w:r>
        <w:rPr>
          <w:rFonts w:eastAsia="Helvetica Neue"/>
        </w:rPr>
        <w:t>persons</w:t>
      </w:r>
      <w:r w:rsidRPr="00A64CBE">
        <w:rPr>
          <w:rFonts w:eastAsia="Helvetica Neue"/>
        </w:rPr>
        <w:t xml:space="preserve"> with disabilities can be particularly vulnerable to this form of sexual violence. In addition to referring such crimes to the criminal justice system, it is important to actively dispel this harmful myth through awareness-raising and public education campaigns and to educate women and young </w:t>
      </w:r>
      <w:r>
        <w:rPr>
          <w:rFonts w:eastAsia="Helvetica Neue"/>
        </w:rPr>
        <w:t>persons</w:t>
      </w:r>
      <w:r w:rsidRPr="00A64CBE">
        <w:rPr>
          <w:rFonts w:eastAsia="Helvetica Neue"/>
        </w:rPr>
        <w:t xml:space="preserve"> with disabilities about this risk as well as the importance of seeking timely health services for prophylactic care if they experience sexual violence.</w:t>
      </w:r>
      <w:r w:rsidRPr="00B1674C">
        <w:rPr>
          <w:rStyle w:val="EndnoteReference"/>
          <w:rFonts w:eastAsia="Helvetica Neue"/>
        </w:rPr>
        <w:endnoteReference w:id="585"/>
      </w:r>
      <w:r w:rsidRPr="00A64CBE">
        <w:rPr>
          <w:rFonts w:eastAsia="Helvetica Neue"/>
        </w:rPr>
        <w:t xml:space="preserve"> </w:t>
      </w:r>
    </w:p>
    <w:p w14:paraId="59BCF588" w14:textId="41244AA2" w:rsidR="008304B7" w:rsidRPr="008304B7" w:rsidRDefault="008304B7" w:rsidP="008304B7">
      <w:pPr>
        <w:ind w:hanging="90"/>
      </w:pPr>
      <w:r w:rsidRPr="00B92BF0">
        <w:rPr>
          <w:noProof/>
          <w:color w:val="943634" w:themeColor="accent2" w:themeShade="BF"/>
        </w:rPr>
        <mc:AlternateContent>
          <mc:Choice Requires="wps">
            <w:drawing>
              <wp:inline distT="0" distB="0" distL="0" distR="0" wp14:anchorId="284FF5BB" wp14:editId="533FE225">
                <wp:extent cx="5943600" cy="0"/>
                <wp:effectExtent l="0" t="12700" r="25400" b="25400"/>
                <wp:docPr id="73" name="Straight Connector 73" descr="Text box ends"/>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chemeClr val="accent6">
                              <a:lumMod val="75000"/>
                            </a:schemeClr>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44C00E97" id="Straight Connector 73" o:spid="_x0000_s1026" alt="Text box end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" strokecolor="#e36c0a [2409]" strokeweight="3pt">
                <w10:anchorlock/>
              </v:line>
            </w:pict>
          </mc:Fallback>
        </mc:AlternateContent>
      </w:r>
    </w:p>
    <w:p w14:paraId="0BAABDAB" w14:textId="18539662" w:rsidR="00BC14E7" w:rsidRPr="00A64CBE" w:rsidRDefault="00BC14E7" w:rsidP="00A80023">
      <w:pPr>
        <w:pStyle w:val="Heading3"/>
      </w:pPr>
      <w:r w:rsidRPr="00A64CBE">
        <w:t>4.6.3</w:t>
      </w:r>
      <w:r w:rsidR="00A80023">
        <w:tab/>
      </w:r>
      <w:r w:rsidRPr="00A80023">
        <w:t>Indicators</w:t>
      </w:r>
      <w:r w:rsidRPr="00A64CBE">
        <w:t xml:space="preserve"> </w:t>
      </w:r>
    </w:p>
    <w:p w14:paraId="64A84C58" w14:textId="77777777" w:rsidR="00BC14E7" w:rsidRPr="00A64CBE" w:rsidRDefault="00BC14E7" w:rsidP="00A80023">
      <w:pPr>
        <w:rPr>
          <w:rFonts w:eastAsia="Helvetica Neue"/>
        </w:rPr>
      </w:pPr>
      <w:r w:rsidRPr="00A64CBE">
        <w:rPr>
          <w:rFonts w:eastAsia="Helvetica Neue"/>
        </w:rPr>
        <w:t xml:space="preserve">The following are illustrative of indicators that can be used to monitor and evaluate progress in the provision of rights-based STI services for women and young </w:t>
      </w:r>
      <w:r>
        <w:rPr>
          <w:rFonts w:eastAsia="Helvetica Neue"/>
        </w:rPr>
        <w:t>persons</w:t>
      </w:r>
      <w:r w:rsidRPr="00A64CBE">
        <w:rPr>
          <w:rFonts w:eastAsia="Helvetica Neue"/>
        </w:rPr>
        <w:t xml:space="preserve"> with disabilities. This is not an exhaustive list, but rather a few examples demonstrating the level of specificity, subjects, and form that indicators on STI service provision should take. Service providers should tailor the indicators to fit their programme settings and levels, including by specifying at which level and by whom indicator data should be collected.</w:t>
      </w:r>
    </w:p>
    <w:p w14:paraId="4F05930D" w14:textId="77777777" w:rsidR="00BC14E7" w:rsidRPr="00A80023" w:rsidRDefault="00BC14E7" w:rsidP="006E6012">
      <w:pPr>
        <w:pStyle w:val="ListParagraph"/>
        <w:numPr>
          <w:ilvl w:val="0"/>
          <w:numId w:val="127"/>
        </w:numPr>
        <w:rPr>
          <w:b/>
          <w:u w:val="single"/>
        </w:rPr>
      </w:pPr>
      <w:r w:rsidRPr="00A80023">
        <w:rPr>
          <w:rFonts w:eastAsia="Helvetica Neue"/>
        </w:rPr>
        <w:t xml:space="preserve">Percentage of women and young persons with disabilities who know their HIV status. </w:t>
      </w:r>
    </w:p>
    <w:p w14:paraId="23E727CD" w14:textId="77777777" w:rsidR="00BC14E7" w:rsidRPr="00A80023" w:rsidRDefault="00BC14E7" w:rsidP="006E6012">
      <w:pPr>
        <w:pStyle w:val="ListParagraph"/>
        <w:numPr>
          <w:ilvl w:val="0"/>
          <w:numId w:val="127"/>
        </w:numPr>
        <w:rPr>
          <w:b/>
          <w:u w:val="single"/>
        </w:rPr>
      </w:pPr>
      <w:r w:rsidRPr="00A80023">
        <w:rPr>
          <w:rFonts w:eastAsia="Helvetica Neue"/>
        </w:rPr>
        <w:t xml:space="preserve">Percentage of women and young persons with disabilities receiving an STI test on their first visit to a health provider. </w:t>
      </w:r>
    </w:p>
    <w:p w14:paraId="75EEA149" w14:textId="77777777" w:rsidR="00BC14E7" w:rsidRPr="00A80023" w:rsidRDefault="00BC14E7" w:rsidP="006E6012">
      <w:pPr>
        <w:pStyle w:val="ListParagraph"/>
        <w:numPr>
          <w:ilvl w:val="0"/>
          <w:numId w:val="127"/>
        </w:numPr>
        <w:rPr>
          <w:b/>
          <w:u w:val="single"/>
        </w:rPr>
      </w:pPr>
      <w:r w:rsidRPr="00A80023">
        <w:rPr>
          <w:rFonts w:eastAsia="Helvetica Neue"/>
        </w:rPr>
        <w:t xml:space="preserve">Percentage of adolescent girls with disabilities immunized against HPV. </w:t>
      </w:r>
    </w:p>
    <w:p w14:paraId="5EAE681A" w14:textId="77777777" w:rsidR="00BC14E7" w:rsidRPr="00A80023" w:rsidRDefault="00BC14E7" w:rsidP="006E6012">
      <w:pPr>
        <w:pStyle w:val="ListParagraph"/>
        <w:numPr>
          <w:ilvl w:val="0"/>
          <w:numId w:val="127"/>
        </w:numPr>
        <w:rPr>
          <w:b/>
          <w:u w:val="single"/>
        </w:rPr>
      </w:pPr>
      <w:r w:rsidRPr="00A80023">
        <w:rPr>
          <w:rFonts w:eastAsia="Helvetica Neue"/>
        </w:rPr>
        <w:t xml:space="preserve">Percentage of women and young persons with disabilities who received an STI test and the results within the past year. </w:t>
      </w:r>
    </w:p>
    <w:p w14:paraId="1F304255" w14:textId="2EFDCCB9" w:rsidR="00BC14E7" w:rsidRPr="00A80023" w:rsidRDefault="00BC14E7" w:rsidP="006E6012">
      <w:pPr>
        <w:pStyle w:val="ListParagraph"/>
        <w:numPr>
          <w:ilvl w:val="0"/>
          <w:numId w:val="127"/>
        </w:numPr>
        <w:rPr>
          <w:b/>
          <w:u w:val="single"/>
        </w:rPr>
      </w:pPr>
      <w:r w:rsidRPr="00A80023">
        <w:rPr>
          <w:rFonts w:eastAsia="Helvetica Neue"/>
        </w:rPr>
        <w:t xml:space="preserve">Percentage of women and young persons with disabilities who report using a condom the last time they had sex. </w:t>
      </w:r>
    </w:p>
    <w:p w14:paraId="15623910" w14:textId="2303242C" w:rsidR="00BC14E7" w:rsidRPr="00A80023" w:rsidRDefault="00BC14E7" w:rsidP="00A80023">
      <w:pPr>
        <w:pStyle w:val="Heading2"/>
        <w:spacing w:before="480" w:after="120"/>
        <w:ind w:left="547" w:right="-180" w:hanging="547"/>
      </w:pPr>
      <w:bookmarkStart w:id="28" w:name="SRHRwomen"/>
      <w:r w:rsidRPr="00A64CBE">
        <w:t xml:space="preserve">4.7 </w:t>
      </w:r>
      <w:r w:rsidRPr="00A64CBE">
        <w:tab/>
      </w:r>
      <w:bookmarkEnd w:id="28"/>
      <w:r w:rsidRPr="00A64CBE">
        <w:t xml:space="preserve">Access to Other Women’s Health Information and Services for Women and Adolescent Girls with Disabilities </w:t>
      </w:r>
    </w:p>
    <w:p w14:paraId="020AC3BB" w14:textId="4A8F6D19" w:rsidR="00BC14E7" w:rsidRPr="00A80023" w:rsidRDefault="00BC14E7" w:rsidP="00A80023">
      <w:pPr>
        <w:pStyle w:val="Heading3"/>
      </w:pPr>
      <w:r w:rsidRPr="00A64CBE">
        <w:t>4.7.1</w:t>
      </w:r>
      <w:r w:rsidRPr="00A64CBE">
        <w:tab/>
        <w:t xml:space="preserve">Issue </w:t>
      </w:r>
      <w:r w:rsidRPr="00A80023">
        <w:t>Overview</w:t>
      </w:r>
      <w:r w:rsidRPr="00A64CBE">
        <w:t xml:space="preserve"> </w:t>
      </w:r>
    </w:p>
    <w:p w14:paraId="0F714AAF" w14:textId="7B592C00" w:rsidR="00BC14E7" w:rsidRPr="00A64CBE" w:rsidRDefault="00BC14E7" w:rsidP="00A80023">
      <w:pPr>
        <w:rPr>
          <w:rFonts w:eastAsia="Helvetica Neue"/>
        </w:rPr>
      </w:pPr>
      <w:r w:rsidRPr="00A64CBE">
        <w:rPr>
          <w:rFonts w:eastAsia="Helvetica Neue"/>
        </w:rPr>
        <w:t>Women and adolescent girls with disabilities have a right to access quality essential health services on an equal basis with men and women without disabilities.</w:t>
      </w:r>
      <w:r w:rsidRPr="00B1674C">
        <w:rPr>
          <w:rStyle w:val="EndnoteReference"/>
          <w:rFonts w:eastAsia="Helvetica Neue"/>
        </w:rPr>
        <w:endnoteReference w:id="586"/>
      </w:r>
      <w:r w:rsidRPr="00A64CBE">
        <w:rPr>
          <w:rFonts w:eastAsia="Helvetica Neue"/>
        </w:rPr>
        <w:t xml:space="preserve"> In addition to the range of services addressed in the previous sections of these Guidelines, women and adolescent girls with disabilities require routine access to a range of healthcare services related to their sexual and reproductiv</w:t>
      </w:r>
      <w:r>
        <w:rPr>
          <w:rFonts w:eastAsia="Helvetica Neue"/>
        </w:rPr>
        <w:t>e health, including abortion (</w:t>
      </w:r>
      <w:r w:rsidRPr="00A64CBE">
        <w:rPr>
          <w:rFonts w:eastAsia="Helvetica Neue"/>
        </w:rPr>
        <w:t>where legal</w:t>
      </w:r>
      <w:r>
        <w:rPr>
          <w:rFonts w:eastAsia="Helvetica Neue"/>
        </w:rPr>
        <w:t>)</w:t>
      </w:r>
      <w:r w:rsidRPr="00A64CBE">
        <w:rPr>
          <w:rFonts w:eastAsia="Helvetica Neue"/>
        </w:rPr>
        <w:t xml:space="preserve">, pelvic exams, Pap smear tests, </w:t>
      </w:r>
      <w:r w:rsidRPr="00A64CBE">
        <w:rPr>
          <w:rFonts w:eastAsia="Helvetica Neue"/>
        </w:rPr>
        <w:lastRenderedPageBreak/>
        <w:t>mammograms, and cancer screenings. Lack of access to care and delays in receiving these important services or diagnosing potentially terminal illnesses can have serious consequences for a woman or girl’s health and life.</w:t>
      </w:r>
      <w:r w:rsidRPr="00B1674C">
        <w:rPr>
          <w:rStyle w:val="EndnoteReference"/>
          <w:rFonts w:eastAsia="Helvetica Neue"/>
        </w:rPr>
        <w:endnoteReference w:id="587"/>
      </w:r>
    </w:p>
    <w:p w14:paraId="084AC337" w14:textId="18659C20" w:rsidR="00BC14E7" w:rsidRPr="00A64CBE" w:rsidRDefault="00BC14E7" w:rsidP="00A80023">
      <w:pPr>
        <w:rPr>
          <w:rFonts w:eastAsia="Helvetica Neue"/>
        </w:rPr>
      </w:pPr>
      <w:r>
        <w:rPr>
          <w:rFonts w:eastAsia="Helvetica Neue"/>
        </w:rPr>
        <w:t>Where abortion is legal, it is critical to ensure that all women and adolescent girls have ready access to safe, good-quality abortion services.</w:t>
      </w:r>
      <w:r w:rsidRPr="00B1674C">
        <w:rPr>
          <w:rStyle w:val="EndnoteReference"/>
          <w:rFonts w:eastAsia="Helvetica Neue"/>
        </w:rPr>
        <w:endnoteReference w:id="588"/>
      </w:r>
      <w:r w:rsidRPr="00A64CBE">
        <w:rPr>
          <w:rFonts w:eastAsia="Helvetica Neue"/>
        </w:rPr>
        <w:t xml:space="preserve"> Unsafe abortions account for approximately 13 per cent of all maternal deaths.</w:t>
      </w:r>
      <w:r w:rsidRPr="00B1674C">
        <w:rPr>
          <w:rStyle w:val="EndnoteReference"/>
          <w:rFonts w:eastAsia="Helvetica Neue"/>
        </w:rPr>
        <w:endnoteReference w:id="589"/>
      </w:r>
      <w:r w:rsidRPr="00A64CBE">
        <w:rPr>
          <w:rFonts w:eastAsia="Helvetica Neue"/>
        </w:rPr>
        <w:t xml:space="preserve"> The WHO estimates that there are roughly 22 mill</w:t>
      </w:r>
      <w:r>
        <w:rPr>
          <w:rFonts w:eastAsia="Helvetica Neue"/>
        </w:rPr>
        <w:t xml:space="preserve">ion unsafe abortions each year </w:t>
      </w:r>
      <w:r w:rsidRPr="00A64CBE">
        <w:rPr>
          <w:rFonts w:eastAsia="Helvetica Neue"/>
        </w:rPr>
        <w:t>leading to 5 million complications that result in hospital admissions,</w:t>
      </w:r>
      <w:r w:rsidRPr="00B1674C">
        <w:rPr>
          <w:rStyle w:val="EndnoteReference"/>
          <w:rFonts w:eastAsia="Helvetica Neue"/>
        </w:rPr>
        <w:endnoteReference w:id="590"/>
      </w:r>
      <w:r w:rsidRPr="00A64CBE">
        <w:rPr>
          <w:rFonts w:eastAsia="Helvetica Neue"/>
        </w:rPr>
        <w:t xml:space="preserve"> which in some circumstances can lead to a woman becoming permanently disabled.</w:t>
      </w:r>
      <w:r w:rsidRPr="00B1674C">
        <w:rPr>
          <w:rStyle w:val="EndnoteReference"/>
          <w:rFonts w:eastAsia="Helvetica Neue"/>
        </w:rPr>
        <w:endnoteReference w:id="591"/>
      </w:r>
      <w:r w:rsidRPr="00A64CBE">
        <w:rPr>
          <w:rFonts w:eastAsia="Helvetica Neue"/>
        </w:rPr>
        <w:t xml:space="preserve"> Women and adolescent girls with disabilities have a right to safe and accessible abortion services, where legal</w:t>
      </w:r>
      <w:r>
        <w:rPr>
          <w:rFonts w:eastAsia="Helvetica Neue"/>
        </w:rPr>
        <w:t>.</w:t>
      </w:r>
      <w:r w:rsidRPr="00B1674C">
        <w:rPr>
          <w:rStyle w:val="EndnoteReference"/>
          <w:rFonts w:eastAsia="Helvetica Neue"/>
        </w:rPr>
        <w:endnoteReference w:id="592"/>
      </w:r>
      <w:r w:rsidRPr="00A64CBE">
        <w:rPr>
          <w:rFonts w:eastAsia="Helvetica Neue"/>
        </w:rPr>
        <w:t xml:space="preserve"> They also have a right to access post-abortion care regardless of the legal status of abortion. Women and adolescent girls with disabilities </w:t>
      </w:r>
      <w:r>
        <w:rPr>
          <w:rFonts w:eastAsia="Helvetica Neue"/>
        </w:rPr>
        <w:t xml:space="preserve">can be </w:t>
      </w:r>
      <w:r w:rsidRPr="00A64CBE">
        <w:rPr>
          <w:rFonts w:eastAsia="Helvetica Neue"/>
        </w:rPr>
        <w:t xml:space="preserve">subjected to forced abortion, a form of </w:t>
      </w:r>
      <w:r>
        <w:rPr>
          <w:rFonts w:eastAsia="Helvetica Neue"/>
        </w:rPr>
        <w:t>GBV</w:t>
      </w:r>
      <w:r w:rsidRPr="00A64CBE">
        <w:rPr>
          <w:rFonts w:eastAsia="Helvetica Neue"/>
        </w:rPr>
        <w:t xml:space="preserve">. For more information about the GBV women and young </w:t>
      </w:r>
      <w:r>
        <w:rPr>
          <w:rFonts w:eastAsia="Helvetica Neue"/>
        </w:rPr>
        <w:t>persons</w:t>
      </w:r>
      <w:r w:rsidRPr="00A64CBE">
        <w:rPr>
          <w:rFonts w:eastAsia="Helvetica Neue"/>
        </w:rPr>
        <w:t xml:space="preserve"> with disabilities experience, </w:t>
      </w:r>
      <w:r w:rsidRPr="008C6095">
        <w:rPr>
          <w:rFonts w:eastAsia="Helvetica Neue"/>
        </w:rPr>
        <w:t>see</w:t>
      </w:r>
      <w:r>
        <w:rPr>
          <w:rFonts w:eastAsia="Helvetica Neue"/>
        </w:rPr>
        <w:t xml:space="preserve"> </w:t>
      </w:r>
      <w:hyperlink w:anchor="GBV" w:history="1">
        <w:r w:rsidRPr="00A80023">
          <w:rPr>
            <w:rStyle w:val="Hyperlink"/>
            <w:rFonts w:eastAsia="Helvetica Neue"/>
          </w:rPr>
          <w:t>Guidelines for Gender-Based Violence Service Provision (Chapter 3)</w:t>
        </w:r>
      </w:hyperlink>
      <w:r w:rsidRPr="00A80023">
        <w:rPr>
          <w:rStyle w:val="Hyperlink"/>
          <w:rFonts w:eastAsia="Helvetica Neue"/>
        </w:rPr>
        <w:t xml:space="preserve">.  </w:t>
      </w:r>
    </w:p>
    <w:p w14:paraId="3FAB5C5B" w14:textId="77777777" w:rsidR="00BC14E7" w:rsidRPr="00A64CBE" w:rsidRDefault="00BC14E7" w:rsidP="00B17C4D">
      <w:pPr>
        <w:pStyle w:val="Heading3"/>
        <w:ind w:left="783" w:hanging="783"/>
      </w:pPr>
      <w:r w:rsidRPr="00A64CBE">
        <w:t>4.7.2</w:t>
      </w:r>
      <w:r w:rsidRPr="00A64CBE">
        <w:tab/>
        <w:t>Guidelines on Providing Rights-Based Health Services to Women and Adolescent Girls with Disabilities</w:t>
      </w:r>
    </w:p>
    <w:p w14:paraId="5363E4D2" w14:textId="5C42E6C8" w:rsidR="00BC14E7" w:rsidRPr="00B17C4D" w:rsidRDefault="00BC14E7" w:rsidP="00B17C4D">
      <w:pPr>
        <w:rPr>
          <w:rFonts w:eastAsia="Helvetica Neue"/>
        </w:rPr>
      </w:pPr>
      <w:r w:rsidRPr="00A64CBE">
        <w:rPr>
          <w:rFonts w:eastAsia="Helvetica Neue"/>
        </w:rPr>
        <w:t>The fundamental principle for providing quality healthcare services is that women and adolescent girls with disabilities must always be treated with respect and dignity and encouraged to communicate their opinions about their own health.</w:t>
      </w:r>
      <w:r w:rsidRPr="00B1674C">
        <w:rPr>
          <w:rStyle w:val="EndnoteReference"/>
          <w:rFonts w:eastAsia="Helvetica Neue"/>
        </w:rPr>
        <w:endnoteReference w:id="593"/>
      </w:r>
      <w:r w:rsidRPr="00B1674C">
        <w:rPr>
          <w:rStyle w:val="EndnoteReference"/>
          <w:rFonts w:eastAsia="Helvetica Neue"/>
        </w:rPr>
        <w:t xml:space="preserve"> </w:t>
      </w:r>
      <w:r w:rsidRPr="00A64CBE">
        <w:rPr>
          <w:rFonts w:eastAsia="Helvetica Neue"/>
        </w:rPr>
        <w:t xml:space="preserve">The following key considerations explain the barriers that women and girls with disabilities face in accessing quality health services. The guidelines for action provide guidance on ensuring that quality, rights-based services are available, accessible, acceptable, and of good quality for women and girls with disabilities. These guidelines for action build on the Foundational Guidelines for Action identified </w:t>
      </w:r>
      <w:r w:rsidRPr="008C6095">
        <w:rPr>
          <w:rFonts w:eastAsia="Helvetica Neue"/>
        </w:rPr>
        <w:t xml:space="preserve">in </w:t>
      </w:r>
      <w:r w:rsidRPr="008C6095">
        <w:rPr>
          <w:rFonts w:eastAsia="Helvetica Neue"/>
          <w:b/>
        </w:rPr>
        <w:t>Chapter 2</w:t>
      </w:r>
      <w:r w:rsidRPr="00A64CBE">
        <w:rPr>
          <w:rFonts w:eastAsia="Helvetica Neue"/>
        </w:rPr>
        <w:t xml:space="preserve"> and are not exhaustive but provide a starting point for developing disability-inclusive services and </w:t>
      </w:r>
      <w:proofErr w:type="spellStart"/>
      <w:r w:rsidRPr="00A64CBE">
        <w:rPr>
          <w:rFonts w:eastAsia="Helvetica Neue"/>
        </w:rPr>
        <w:t>programmes</w:t>
      </w:r>
      <w:proofErr w:type="spellEnd"/>
      <w:r w:rsidRPr="00A64CBE">
        <w:rPr>
          <w:rFonts w:eastAsia="Helvetica Neue"/>
        </w:rPr>
        <w:t>.</w:t>
      </w:r>
    </w:p>
    <w:p w14:paraId="3A4E381D" w14:textId="77777777" w:rsidR="00BC14E7" w:rsidRPr="00A64CBE" w:rsidRDefault="00BC14E7" w:rsidP="00B17C4D">
      <w:pPr>
        <w:pStyle w:val="Heading4"/>
        <w:rPr>
          <w:rFonts w:eastAsia="Helvetica Neue"/>
        </w:rPr>
      </w:pPr>
      <w:r w:rsidRPr="00A64CBE">
        <w:rPr>
          <w:rFonts w:eastAsia="Helvetica Neue"/>
        </w:rPr>
        <w:t>Key Considerations</w:t>
      </w:r>
    </w:p>
    <w:p w14:paraId="60CDB706" w14:textId="77777777" w:rsidR="00B17C4D" w:rsidRPr="00B17C4D" w:rsidRDefault="00BC14E7" w:rsidP="006E6012">
      <w:pPr>
        <w:pStyle w:val="ListParagraph"/>
        <w:numPr>
          <w:ilvl w:val="0"/>
          <w:numId w:val="128"/>
        </w:numPr>
      </w:pPr>
      <w:r w:rsidRPr="00B17C4D">
        <w:rPr>
          <w:rFonts w:eastAsia="Helvetica Neue"/>
        </w:rPr>
        <w:t xml:space="preserve">Exclusion of women and adolescent girls with disabilities from public health promotion and prevention campaigns and lack of inclusive and accessible information about women’s health services and needs prevent women and adolescent girls with disabilities from accessing necessary services and limit their understanding of how such services contribute to their overall health. </w:t>
      </w:r>
    </w:p>
    <w:p w14:paraId="7A6CA8C9" w14:textId="77777777" w:rsidR="00B17C4D" w:rsidRPr="00B17C4D" w:rsidRDefault="00BC14E7" w:rsidP="006E6012">
      <w:pPr>
        <w:pStyle w:val="ListParagraph"/>
        <w:numPr>
          <w:ilvl w:val="0"/>
          <w:numId w:val="128"/>
        </w:numPr>
      </w:pPr>
      <w:r w:rsidRPr="00B17C4D">
        <w:rPr>
          <w:rFonts w:eastAsia="Helvetica Neue"/>
        </w:rPr>
        <w:t xml:space="preserve">Lack of clarity about the legal status of abortion and lack of understanding that post-abortion care must be accessible irrespective of the legal status of abortion can lead service providers to refrain from providing safe abortion services, where legal, and post-abortion care, even where necessary to safeguard a woman or girl’s life or health. </w:t>
      </w:r>
    </w:p>
    <w:p w14:paraId="2FF2C106" w14:textId="77777777" w:rsidR="00B17C4D" w:rsidRPr="00B17C4D" w:rsidRDefault="00BC14E7" w:rsidP="006E6012">
      <w:pPr>
        <w:pStyle w:val="ListParagraph"/>
        <w:numPr>
          <w:ilvl w:val="0"/>
          <w:numId w:val="128"/>
        </w:numPr>
      </w:pPr>
      <w:r w:rsidRPr="00B17C4D">
        <w:rPr>
          <w:rFonts w:eastAsia="Helvetica Neue"/>
        </w:rPr>
        <w:t>Low education and literacy levels can prevent women and adolescent girls with disabilities from understanding information about important health services.</w:t>
      </w:r>
      <w:r w:rsidRPr="00B1674C">
        <w:rPr>
          <w:rStyle w:val="EndnoteReference"/>
          <w:rFonts w:eastAsia="Helvetica Neue"/>
        </w:rPr>
        <w:endnoteReference w:id="594"/>
      </w:r>
      <w:r w:rsidRPr="00B17C4D">
        <w:rPr>
          <w:rFonts w:eastAsia="Helvetica Neue"/>
        </w:rPr>
        <w:t xml:space="preserve"> For example, women and adolescent girls with disabilities often lack information about pregnancy, abortion, where legal, and associated services.</w:t>
      </w:r>
      <w:r w:rsidRPr="00B1674C">
        <w:rPr>
          <w:rStyle w:val="EndnoteReference"/>
          <w:rFonts w:eastAsia="Helvetica Neue"/>
        </w:rPr>
        <w:endnoteReference w:id="595"/>
      </w:r>
      <w:r w:rsidRPr="00B17C4D">
        <w:rPr>
          <w:rFonts w:eastAsia="Helvetica Neue"/>
        </w:rPr>
        <w:t xml:space="preserve"> They may therefore lack the necessary information to recognize the signs of pregnancy or about services to access in the first trimester, which </w:t>
      </w:r>
      <w:r w:rsidRPr="00B17C4D">
        <w:rPr>
          <w:rFonts w:eastAsia="Helvetica Neue"/>
        </w:rPr>
        <w:lastRenderedPageBreak/>
        <w:t xml:space="preserve">can exacerbate legal, financial, and other barriers if an unplanned pregnancy occurs. For more information on accessible CSE, see </w:t>
      </w:r>
      <w:hyperlink w:anchor="SRHRcse" w:history="1">
        <w:r w:rsidRPr="00B17C4D">
          <w:rPr>
            <w:rStyle w:val="Hyperlink"/>
            <w:rFonts w:eastAsia="Helvetica Neue"/>
          </w:rPr>
          <w:t>Comprehensive Sexuality Education for Women and Young Persons with Disabilities (Section 4.5)</w:t>
        </w:r>
      </w:hyperlink>
      <w:r w:rsidRPr="00B17C4D">
        <w:rPr>
          <w:rStyle w:val="Hyperlink"/>
          <w:rFonts w:eastAsia="Helvetica Neue"/>
        </w:rPr>
        <w:t>.</w:t>
      </w:r>
      <w:r w:rsidRPr="00B17C4D">
        <w:rPr>
          <w:rFonts w:eastAsia="Helvetica Neue"/>
          <w:color w:val="000000" w:themeColor="text1"/>
        </w:rPr>
        <w:t xml:space="preserve"> </w:t>
      </w:r>
    </w:p>
    <w:p w14:paraId="2CE5B6EA" w14:textId="77777777" w:rsidR="00B17C4D" w:rsidRPr="00B17C4D" w:rsidRDefault="00BC14E7" w:rsidP="006E6012">
      <w:pPr>
        <w:pStyle w:val="ListParagraph"/>
        <w:numPr>
          <w:ilvl w:val="0"/>
          <w:numId w:val="128"/>
        </w:numPr>
      </w:pPr>
      <w:r w:rsidRPr="00B17C4D">
        <w:rPr>
          <w:rFonts w:eastAsia="Helvetica Neue"/>
        </w:rPr>
        <w:t xml:space="preserve">Stigma around abortion (where legal), can lead to abuse and mistreatment for women and adolescent girls with disabilities when they are seeking post-abortion care for complications. </w:t>
      </w:r>
    </w:p>
    <w:p w14:paraId="4465F76E" w14:textId="77777777" w:rsidR="00B17C4D" w:rsidRPr="00B17C4D" w:rsidRDefault="00BC14E7" w:rsidP="006E6012">
      <w:pPr>
        <w:pStyle w:val="ListParagraph"/>
        <w:numPr>
          <w:ilvl w:val="0"/>
          <w:numId w:val="128"/>
        </w:numPr>
      </w:pPr>
      <w:r w:rsidRPr="00B17C4D">
        <w:rPr>
          <w:rFonts w:eastAsia="Helvetica Neue"/>
        </w:rPr>
        <w:t>Women and adolescent girls with disabilities often do not receive cancer screenings and other essential SRHR services due to a variety of factors, including a lack of competencies at the service level, lack of disability- and gender-sensitive procedural guidelines, inaccessible equipment, and insufficient educational resources.</w:t>
      </w:r>
      <w:r w:rsidRPr="00B1674C">
        <w:rPr>
          <w:rStyle w:val="EndnoteReference"/>
          <w:rFonts w:eastAsia="Helvetica Neue"/>
        </w:rPr>
        <w:endnoteReference w:id="596"/>
      </w:r>
      <w:r w:rsidRPr="00B17C4D">
        <w:rPr>
          <w:rFonts w:eastAsia="Helvetica Neue"/>
        </w:rPr>
        <w:t xml:space="preserve"> </w:t>
      </w:r>
    </w:p>
    <w:p w14:paraId="2AC02A73" w14:textId="77777777" w:rsidR="00B17C4D" w:rsidRPr="00B17C4D" w:rsidRDefault="00BC14E7" w:rsidP="006E6012">
      <w:pPr>
        <w:pStyle w:val="ListParagraph"/>
        <w:numPr>
          <w:ilvl w:val="0"/>
          <w:numId w:val="128"/>
        </w:numPr>
      </w:pPr>
      <w:r w:rsidRPr="00B17C4D">
        <w:rPr>
          <w:rFonts w:eastAsia="Helvetica Neue"/>
        </w:rPr>
        <w:t xml:space="preserve">Lack of standardized training for all healthcare service providers and support staff on adapting and providing services to women and girls with disabilities can exclude women and girls from essential health services and contributes to provider discomfort. </w:t>
      </w:r>
    </w:p>
    <w:p w14:paraId="46049923" w14:textId="77777777" w:rsidR="00B17C4D" w:rsidRPr="00B17C4D" w:rsidRDefault="00BC14E7" w:rsidP="006E6012">
      <w:pPr>
        <w:pStyle w:val="ListParagraph"/>
        <w:numPr>
          <w:ilvl w:val="0"/>
          <w:numId w:val="128"/>
        </w:numPr>
      </w:pPr>
      <w:r w:rsidRPr="00B17C4D">
        <w:rPr>
          <w:rFonts w:eastAsia="Helvetica Neue"/>
        </w:rPr>
        <w:t xml:space="preserve">Medical appointments can often require complex coordination for persons with disabilities to acquire the necessary transportation and support. However, service providers and support staff are often not prepared with the accommodations which the person requires, which results in a woman or girl being turned away or asked to return another day when services can be made accessible. Not only can this be expensive and time-consuming for the person with the disability, but it is also discriminatory and can deter use of important health services. </w:t>
      </w:r>
    </w:p>
    <w:p w14:paraId="03FC6E86" w14:textId="77777777" w:rsidR="00B17C4D" w:rsidRPr="00B17C4D" w:rsidRDefault="00BC14E7" w:rsidP="006E6012">
      <w:pPr>
        <w:pStyle w:val="ListParagraph"/>
        <w:numPr>
          <w:ilvl w:val="0"/>
          <w:numId w:val="128"/>
        </w:numPr>
      </w:pPr>
      <w:r w:rsidRPr="00B17C4D">
        <w:rPr>
          <w:rFonts w:eastAsia="Helvetica Neue"/>
        </w:rPr>
        <w:t>Inaccessible intake forms and other communication barriers can prevent women and adolescent girls with disabilities from being able to inform service providers and support staff about their symptoms, personal and family health history, and experiences, thus preventing accurate assessment of their health needs and risks. Communication barriers can similarly prevent service providers and support staff from being able to effectively communicate about necessary medical exams, diagnoses, and treatment plans with patients.</w:t>
      </w:r>
      <w:r w:rsidRPr="00B1674C">
        <w:rPr>
          <w:rStyle w:val="EndnoteReference"/>
          <w:rFonts w:eastAsia="Helvetica Neue"/>
        </w:rPr>
        <w:endnoteReference w:id="597"/>
      </w:r>
      <w:r w:rsidRPr="00B17C4D">
        <w:rPr>
          <w:rFonts w:eastAsia="Helvetica Neue"/>
        </w:rPr>
        <w:t xml:space="preserve"> </w:t>
      </w:r>
    </w:p>
    <w:p w14:paraId="5D0D361C" w14:textId="77777777" w:rsidR="00B17C4D" w:rsidRPr="00B17C4D" w:rsidRDefault="00BC14E7" w:rsidP="006E6012">
      <w:pPr>
        <w:pStyle w:val="ListParagraph"/>
        <w:numPr>
          <w:ilvl w:val="0"/>
          <w:numId w:val="128"/>
        </w:numPr>
      </w:pPr>
      <w:r w:rsidRPr="00B17C4D">
        <w:rPr>
          <w:rFonts w:eastAsia="Helvetica Neue"/>
        </w:rPr>
        <w:t xml:space="preserve">Communication barriers can deny women and adolescent girls with disabilities access to essential counselling and psychological support when making decisions about health-related matters, such as whether to proceed with chemotherapy. </w:t>
      </w:r>
    </w:p>
    <w:p w14:paraId="017007BE" w14:textId="77777777" w:rsidR="00B17C4D" w:rsidRPr="00B17C4D" w:rsidRDefault="00BC14E7" w:rsidP="006E6012">
      <w:pPr>
        <w:pStyle w:val="ListParagraph"/>
        <w:numPr>
          <w:ilvl w:val="0"/>
          <w:numId w:val="128"/>
        </w:numPr>
      </w:pPr>
      <w:r w:rsidRPr="00B17C4D">
        <w:rPr>
          <w:rFonts w:eastAsia="Helvetica Neue"/>
        </w:rPr>
        <w:t>Physical barriers to both healthcare facilities and medical equipment, such as mammogram machines, effectively deny women and adolescent girls with disabilities access to essential and life-saving SRHR services.</w:t>
      </w:r>
    </w:p>
    <w:p w14:paraId="6E71F2AB" w14:textId="77777777" w:rsidR="00B17C4D" w:rsidRPr="00B17C4D" w:rsidRDefault="00BC14E7" w:rsidP="006E6012">
      <w:pPr>
        <w:pStyle w:val="ListParagraph"/>
        <w:numPr>
          <w:ilvl w:val="0"/>
          <w:numId w:val="128"/>
        </w:numPr>
      </w:pPr>
      <w:r w:rsidRPr="00B17C4D">
        <w:rPr>
          <w:rFonts w:eastAsia="Helvetica Neue"/>
        </w:rPr>
        <w:t xml:space="preserve">Formal and informal user fees for healthcare facilities and the cost of transportation, can make preventive healthcare financially inaccessible for women and adolescent girls with disabilities, deterring them from obtaining essential routine healthcare. </w:t>
      </w:r>
    </w:p>
    <w:p w14:paraId="3637ED8E" w14:textId="1FF73B74" w:rsidR="00BC14E7" w:rsidRPr="00B17C4D" w:rsidRDefault="00BC14E7" w:rsidP="006E6012">
      <w:pPr>
        <w:pStyle w:val="ListParagraph"/>
        <w:numPr>
          <w:ilvl w:val="0"/>
          <w:numId w:val="128"/>
        </w:numPr>
      </w:pPr>
      <w:r w:rsidRPr="00B17C4D">
        <w:rPr>
          <w:rFonts w:eastAsia="Helvetica Neue"/>
        </w:rPr>
        <w:t xml:space="preserve">Women and adolescent girls with disabilities are often less able to escape in humanitarian emergency situations and may lose critical medicines or devices in the process. </w:t>
      </w:r>
    </w:p>
    <w:p w14:paraId="6B2E351C" w14:textId="77777777" w:rsidR="00792F02" w:rsidRDefault="00792F02">
      <w:pPr>
        <w:spacing w:before="0" w:after="0"/>
        <w:rPr>
          <w:rFonts w:eastAsia="Helvetica Neue"/>
          <w:b/>
          <w:sz w:val="28"/>
          <w:lang w:val="en-GB"/>
        </w:rPr>
      </w:pPr>
      <w:r>
        <w:rPr>
          <w:rFonts w:eastAsia="Helvetica Neue"/>
        </w:rPr>
        <w:br w:type="page"/>
      </w:r>
    </w:p>
    <w:p w14:paraId="1AA12F1D" w14:textId="56E0050A" w:rsidR="00BC14E7" w:rsidRPr="00A64CBE" w:rsidRDefault="00BC14E7" w:rsidP="008304B7">
      <w:pPr>
        <w:pStyle w:val="Heading4"/>
        <w:spacing w:before="480"/>
        <w:rPr>
          <w:rFonts w:eastAsia="Helvetica Neue"/>
        </w:rPr>
      </w:pPr>
      <w:r w:rsidRPr="00A64CBE">
        <w:rPr>
          <w:rFonts w:eastAsia="Helvetica Neue"/>
        </w:rPr>
        <w:lastRenderedPageBreak/>
        <w:t xml:space="preserve">Guidelines for Action: </w:t>
      </w:r>
      <w:r w:rsidRPr="00B17C4D">
        <w:rPr>
          <w:rFonts w:eastAsia="Helvetica Neue"/>
        </w:rPr>
        <w:t>Availability</w:t>
      </w:r>
      <w:r w:rsidRPr="00A64CBE">
        <w:rPr>
          <w:rFonts w:eastAsia="Helvetica Neue"/>
        </w:rPr>
        <w:t xml:space="preserve"> </w:t>
      </w:r>
    </w:p>
    <w:p w14:paraId="6E3897CC" w14:textId="77777777" w:rsidR="00B17C4D" w:rsidRPr="00B17C4D" w:rsidRDefault="00BC14E7" w:rsidP="006E6012">
      <w:pPr>
        <w:pStyle w:val="ListParagraph"/>
        <w:numPr>
          <w:ilvl w:val="0"/>
          <w:numId w:val="129"/>
        </w:numPr>
        <w:rPr>
          <w:u w:val="single"/>
        </w:rPr>
      </w:pPr>
      <w:r w:rsidRPr="00B17C4D">
        <w:rPr>
          <w:rFonts w:eastAsia="Helvetica Neue"/>
        </w:rPr>
        <w:t>Create programmes to improve women and adolescent girls with disabilities’</w:t>
      </w:r>
      <w:r w:rsidRPr="00B17C4D">
        <w:rPr>
          <w:rFonts w:eastAsia="Helvetica Neue"/>
          <w:b/>
        </w:rPr>
        <w:t xml:space="preserve"> </w:t>
      </w:r>
      <w:r w:rsidRPr="00B17C4D">
        <w:rPr>
          <w:rFonts w:eastAsia="Helvetica Neue"/>
          <w:bCs/>
        </w:rPr>
        <w:t>access to available health services and increase their understanding</w:t>
      </w:r>
      <w:r w:rsidRPr="00B17C4D">
        <w:rPr>
          <w:rFonts w:eastAsia="Helvetica Neue"/>
        </w:rPr>
        <w:t xml:space="preserve"> of their health needs and rights. </w:t>
      </w:r>
    </w:p>
    <w:p w14:paraId="6FC5B81A" w14:textId="77777777" w:rsidR="00B17C4D" w:rsidRPr="00B17C4D" w:rsidRDefault="00BC14E7" w:rsidP="006E6012">
      <w:pPr>
        <w:pStyle w:val="ListParagraph"/>
        <w:numPr>
          <w:ilvl w:val="1"/>
          <w:numId w:val="129"/>
        </w:numPr>
        <w:rPr>
          <w:u w:val="single"/>
        </w:rPr>
      </w:pPr>
      <w:r w:rsidRPr="00B17C4D">
        <w:rPr>
          <w:rFonts w:eastAsia="Helvetica Neue"/>
          <w:b/>
          <w:bCs/>
        </w:rPr>
        <w:t>Example:</w:t>
      </w:r>
      <w:r w:rsidRPr="00B17C4D">
        <w:rPr>
          <w:rFonts w:eastAsia="Helvetica Neue"/>
        </w:rPr>
        <w:t xml:space="preserve"> The Canadian Association for Community Living and the </w:t>
      </w:r>
      <w:proofErr w:type="spellStart"/>
      <w:r w:rsidRPr="00B17C4D">
        <w:rPr>
          <w:rFonts w:eastAsia="Helvetica Neue"/>
        </w:rPr>
        <w:t>DisAbled</w:t>
      </w:r>
      <w:proofErr w:type="spellEnd"/>
      <w:r w:rsidRPr="00B17C4D">
        <w:rPr>
          <w:rFonts w:eastAsia="Helvetica Neue"/>
        </w:rPr>
        <w:t xml:space="preserve"> Women’s Network (DAWN) Canada developed the </w:t>
      </w:r>
      <w:r w:rsidRPr="00B17C4D">
        <w:rPr>
          <w:rFonts w:eastAsia="Helvetica Neue"/>
          <w:b/>
          <w:bCs/>
        </w:rPr>
        <w:t>‘Our Health Matters! Improving Access to Cancer Identification &amp; General Healthcare for People with Disabilities &amp; Deaf People Toolkit’</w:t>
      </w:r>
      <w:r w:rsidRPr="00B17C4D">
        <w:rPr>
          <w:rFonts w:eastAsia="Helvetica Neue"/>
          <w:i/>
        </w:rPr>
        <w:t xml:space="preserve"> </w:t>
      </w:r>
      <w:r w:rsidRPr="00B17C4D">
        <w:rPr>
          <w:rFonts w:eastAsia="Helvetica Neue"/>
        </w:rPr>
        <w:t>to address the knowledge gap about healthcare for persons with disabilities and Deaf people. One module of the Toolkit is aimed at persons with disabilities and addresses their right to be healthy and various aspects of health, including SRHR. The other is for healthcare service providers to help them learn about issues affecting access to healthcare for persons with disabilities and how to proactively address these issues.</w:t>
      </w:r>
      <w:r w:rsidRPr="00B1674C">
        <w:rPr>
          <w:rStyle w:val="EndnoteReference"/>
          <w:rFonts w:eastAsia="Helvetica Neue"/>
        </w:rPr>
        <w:endnoteReference w:id="598"/>
      </w:r>
    </w:p>
    <w:p w14:paraId="25137A69" w14:textId="77777777" w:rsidR="00B17C4D" w:rsidRPr="00B17C4D" w:rsidRDefault="00BC14E7" w:rsidP="006E6012">
      <w:pPr>
        <w:pStyle w:val="ListParagraph"/>
        <w:numPr>
          <w:ilvl w:val="0"/>
          <w:numId w:val="129"/>
        </w:numPr>
        <w:rPr>
          <w:u w:val="single"/>
        </w:rPr>
      </w:pPr>
      <w:r w:rsidRPr="00B17C4D">
        <w:rPr>
          <w:rFonts w:eastAsia="Helvetica Neue"/>
        </w:rPr>
        <w:t xml:space="preserve">Include women and adolescent girls with disabilities in </w:t>
      </w:r>
      <w:r w:rsidRPr="00B17C4D">
        <w:rPr>
          <w:rFonts w:eastAsia="Helvetica Neue"/>
          <w:bCs/>
        </w:rPr>
        <w:t xml:space="preserve">menstrual hygiene management programmes </w:t>
      </w:r>
      <w:r w:rsidRPr="00B17C4D">
        <w:rPr>
          <w:rFonts w:eastAsia="Helvetica Neue"/>
        </w:rPr>
        <w:t>and when distributing resources. For example, distribution of dignity kits during humanitarian emergencies. Develop programmes specifically for adult women with intellectual and learning disabilities to give them the opportunity to understand and ask questions about menstrual hygiene management, about which they may have never received accessible information.</w:t>
      </w:r>
    </w:p>
    <w:p w14:paraId="150C9536" w14:textId="77777777" w:rsidR="00B17C4D" w:rsidRPr="00B17C4D" w:rsidRDefault="00BC14E7" w:rsidP="006E6012">
      <w:pPr>
        <w:pStyle w:val="ListParagraph"/>
        <w:numPr>
          <w:ilvl w:val="1"/>
          <w:numId w:val="129"/>
        </w:numPr>
        <w:rPr>
          <w:u w:val="single"/>
        </w:rPr>
      </w:pPr>
      <w:r w:rsidRPr="00B17C4D">
        <w:rPr>
          <w:rFonts w:eastAsia="Helvetica Neue"/>
          <w:b/>
          <w:bCs/>
        </w:rPr>
        <w:t>Example:</w:t>
      </w:r>
      <w:r w:rsidRPr="00B17C4D">
        <w:rPr>
          <w:rFonts w:eastAsia="Helvetica Neue"/>
        </w:rPr>
        <w:t xml:space="preserve"> The Centre for Developmental Disability Health in Australia produced a useful guide titled </w:t>
      </w:r>
      <w:r w:rsidRPr="00B17C4D">
        <w:rPr>
          <w:rFonts w:eastAsia="Helvetica Neue"/>
          <w:b/>
          <w:bCs/>
        </w:rPr>
        <w:t>‘Supporting Women: Information and Resources for Carers Supporting Women with Intellectual Disabilities to Manage their Menstruation’</w:t>
      </w:r>
      <w:r w:rsidRPr="00B17C4D">
        <w:rPr>
          <w:rFonts w:eastAsia="Helvetica Neue"/>
        </w:rPr>
        <w:t>.</w:t>
      </w:r>
      <w:r w:rsidRPr="00B1674C">
        <w:rPr>
          <w:rStyle w:val="EndnoteReference"/>
          <w:rFonts w:eastAsia="Helvetica Neue"/>
        </w:rPr>
        <w:endnoteReference w:id="599"/>
      </w:r>
      <w:r w:rsidRPr="00B17C4D">
        <w:rPr>
          <w:rFonts w:eastAsia="Helvetica Neue"/>
        </w:rPr>
        <w:t xml:space="preserve"> The guide contains comprehensive guidance for caretakers about addressing menstruation for women with intellectual disabilities and potential issues they may encounter ranging from medical management to legal issues. </w:t>
      </w:r>
    </w:p>
    <w:p w14:paraId="53715149" w14:textId="77777777" w:rsidR="00B17C4D" w:rsidRPr="00B17C4D" w:rsidRDefault="00BC14E7" w:rsidP="006E6012">
      <w:pPr>
        <w:pStyle w:val="ListParagraph"/>
        <w:numPr>
          <w:ilvl w:val="0"/>
          <w:numId w:val="129"/>
        </w:numPr>
        <w:rPr>
          <w:u w:val="single"/>
        </w:rPr>
      </w:pPr>
      <w:r w:rsidRPr="00B17C4D">
        <w:rPr>
          <w:rFonts w:eastAsia="Helvetica Neue"/>
        </w:rPr>
        <w:t xml:space="preserve">Advocate for </w:t>
      </w:r>
      <w:r w:rsidRPr="00B17C4D">
        <w:rPr>
          <w:rFonts w:eastAsia="Helvetica Neue"/>
          <w:bCs/>
        </w:rPr>
        <w:t>clarity in laws and policies</w:t>
      </w:r>
      <w:r w:rsidRPr="00B17C4D">
        <w:rPr>
          <w:rFonts w:eastAsia="Helvetica Neue"/>
        </w:rPr>
        <w:t xml:space="preserve"> around access to abortion, where legal, for victims/survivors of sexual violence and ensure that such laws and policies are inclusive of women and adolescent girls with disabilities.</w:t>
      </w:r>
    </w:p>
    <w:p w14:paraId="520E9205" w14:textId="77777777" w:rsidR="00B17C4D" w:rsidRPr="00B17C4D" w:rsidRDefault="00BC14E7" w:rsidP="006E6012">
      <w:pPr>
        <w:pStyle w:val="ListParagraph"/>
        <w:numPr>
          <w:ilvl w:val="0"/>
          <w:numId w:val="129"/>
        </w:numPr>
        <w:rPr>
          <w:u w:val="single"/>
        </w:rPr>
      </w:pPr>
      <w:r w:rsidRPr="00B17C4D">
        <w:rPr>
          <w:rFonts w:eastAsia="Helvetica Neue"/>
        </w:rPr>
        <w:t xml:space="preserve">Advocate, as necessary, for national laws and policies to state clearly that access to safe abortion, where legal, </w:t>
      </w:r>
      <w:r w:rsidRPr="00B17C4D">
        <w:rPr>
          <w:rFonts w:eastAsia="Helvetica Neue"/>
          <w:bCs/>
        </w:rPr>
        <w:t>cannot require the consent</w:t>
      </w:r>
      <w:r w:rsidRPr="00B17C4D">
        <w:rPr>
          <w:rFonts w:eastAsia="Helvetica Neue"/>
        </w:rPr>
        <w:t xml:space="preserve"> of a parent, guardian, or spouse.</w:t>
      </w:r>
      <w:r w:rsidRPr="00B1674C">
        <w:rPr>
          <w:rStyle w:val="EndnoteReference"/>
          <w:rFonts w:eastAsia="Helvetica Neue"/>
        </w:rPr>
        <w:endnoteReference w:id="600"/>
      </w:r>
    </w:p>
    <w:p w14:paraId="6176C6DF" w14:textId="1C062612" w:rsidR="00BC14E7" w:rsidRPr="00B17C4D" w:rsidRDefault="00BC14E7" w:rsidP="006E6012">
      <w:pPr>
        <w:pStyle w:val="ListParagraph"/>
        <w:numPr>
          <w:ilvl w:val="0"/>
          <w:numId w:val="129"/>
        </w:numPr>
        <w:rPr>
          <w:u w:val="single"/>
        </w:rPr>
      </w:pPr>
      <w:r w:rsidRPr="00B17C4D">
        <w:rPr>
          <w:rFonts w:eastAsia="Helvetica Neue"/>
        </w:rPr>
        <w:t xml:space="preserve">Prioritize and integrate into SRHR services </w:t>
      </w:r>
      <w:r w:rsidRPr="00B17C4D">
        <w:rPr>
          <w:rFonts w:eastAsia="Helvetica Neue"/>
          <w:bCs/>
        </w:rPr>
        <w:t>psychological first-aid and other mental health services</w:t>
      </w:r>
      <w:r w:rsidRPr="00B17C4D">
        <w:rPr>
          <w:rFonts w:eastAsia="Helvetica Neue"/>
        </w:rPr>
        <w:t xml:space="preserve"> for women and young persons with disabilities, especially during emergencies. This can be done directly or through referrals. According to the ‘</w:t>
      </w:r>
      <w:r w:rsidRPr="00B17C4D">
        <w:rPr>
          <w:rFonts w:eastAsia="Helvetica Neue"/>
          <w:b/>
        </w:rPr>
        <w:t>Inter-Agency Standing Committee’s Guidelines on Mental Health and Psychosocial Support in Emergency Settings’</w:t>
      </w:r>
      <w:r w:rsidRPr="00B17C4D">
        <w:rPr>
          <w:rFonts w:eastAsia="Helvetica Neue"/>
        </w:rPr>
        <w:t>, the fundamental principles of emergency mental health and psychosocial interventions are: (1) Promote respect for human rights and equity; (2) promote community participation; (3) do no harm; (4) build on available resources and capacities; (5) integrate activities and programming into wider systems (such as health programmes, education programmes, etc.); and (6) develop a multi-layered response.</w:t>
      </w:r>
      <w:r w:rsidRPr="00B1674C">
        <w:rPr>
          <w:rStyle w:val="EndnoteReference"/>
          <w:rFonts w:eastAsia="Helvetica Neue"/>
        </w:rPr>
        <w:endnoteReference w:id="601"/>
      </w:r>
    </w:p>
    <w:p w14:paraId="45170FA8" w14:textId="77777777" w:rsidR="002772C9" w:rsidRDefault="002772C9">
      <w:pPr>
        <w:spacing w:before="0" w:after="0"/>
        <w:rPr>
          <w:rFonts w:eastAsia="Helvetica Neue"/>
          <w:b/>
          <w:sz w:val="28"/>
          <w:lang w:val="en-GB"/>
        </w:rPr>
      </w:pPr>
      <w:r>
        <w:rPr>
          <w:rFonts w:eastAsia="Helvetica Neue"/>
        </w:rPr>
        <w:br w:type="page"/>
      </w:r>
    </w:p>
    <w:p w14:paraId="24B83B05" w14:textId="5F15096A" w:rsidR="00BC14E7" w:rsidRPr="00A64CBE" w:rsidRDefault="00BC14E7" w:rsidP="008304B7">
      <w:pPr>
        <w:pStyle w:val="Heading4"/>
        <w:spacing w:before="480"/>
        <w:rPr>
          <w:rFonts w:eastAsia="Helvetica Neue"/>
        </w:rPr>
      </w:pPr>
      <w:r w:rsidRPr="00A64CBE">
        <w:rPr>
          <w:rFonts w:eastAsia="Helvetica Neue"/>
        </w:rPr>
        <w:lastRenderedPageBreak/>
        <w:t>Guidelines for Action: Accessibility</w:t>
      </w:r>
    </w:p>
    <w:p w14:paraId="0ACCE10B" w14:textId="77777777" w:rsidR="00B17C4D" w:rsidRPr="00B17C4D" w:rsidRDefault="00BC14E7" w:rsidP="006E6012">
      <w:pPr>
        <w:pStyle w:val="ListParagraph"/>
        <w:numPr>
          <w:ilvl w:val="0"/>
          <w:numId w:val="130"/>
        </w:numPr>
      </w:pPr>
      <w:r w:rsidRPr="00B17C4D">
        <w:rPr>
          <w:rFonts w:eastAsia="Helvetica Neue"/>
        </w:rPr>
        <w:t xml:space="preserve">Provide </w:t>
      </w:r>
      <w:r w:rsidRPr="00B17C4D">
        <w:rPr>
          <w:rFonts w:eastAsia="Helvetica Neue"/>
          <w:bCs/>
        </w:rPr>
        <w:t>accessible information, education, and counselling</w:t>
      </w:r>
      <w:r w:rsidRPr="00B17C4D">
        <w:rPr>
          <w:rFonts w:eastAsia="Helvetica Neue"/>
        </w:rPr>
        <w:t xml:space="preserve"> for women and adolescent girls with disabilities on their SRHR, including on contraceptive use to prevent unintended pregnancy and the availability of safe abortion services, where it is not against the law.</w:t>
      </w:r>
      <w:r w:rsidRPr="00B1674C">
        <w:rPr>
          <w:rStyle w:val="EndnoteReference"/>
          <w:rFonts w:eastAsia="Helvetica Neue"/>
        </w:rPr>
        <w:endnoteReference w:id="602"/>
      </w:r>
      <w:r w:rsidRPr="00B17C4D">
        <w:rPr>
          <w:rFonts w:eastAsia="Helvetica Neue"/>
        </w:rPr>
        <w:t xml:space="preserve"> Ensure that accessible counselling on a range of contraceptive methods and access to a contraceptive method of choice is available to women with disabilities who seek an abortion, where legal, or post-abortion care.</w:t>
      </w:r>
      <w:r w:rsidRPr="00B1674C">
        <w:rPr>
          <w:rStyle w:val="EndnoteReference"/>
          <w:rFonts w:eastAsia="Helvetica Neue"/>
        </w:rPr>
        <w:endnoteReference w:id="603"/>
      </w:r>
    </w:p>
    <w:p w14:paraId="57C52252" w14:textId="77777777" w:rsidR="00B17C4D" w:rsidRPr="00B17C4D" w:rsidRDefault="00BC14E7" w:rsidP="006E6012">
      <w:pPr>
        <w:pStyle w:val="ListParagraph"/>
        <w:numPr>
          <w:ilvl w:val="1"/>
          <w:numId w:val="130"/>
        </w:numPr>
      </w:pPr>
      <w:r w:rsidRPr="00B17C4D">
        <w:rPr>
          <w:rFonts w:eastAsia="Helvetica Neue"/>
          <w:b/>
        </w:rPr>
        <w:t xml:space="preserve">Example: </w:t>
      </w:r>
      <w:r w:rsidRPr="00B17C4D">
        <w:rPr>
          <w:rFonts w:eastAsia="Helvetica Neue"/>
        </w:rPr>
        <w:t xml:space="preserve">In Nigeria, the </w:t>
      </w:r>
      <w:r w:rsidRPr="00B17C4D">
        <w:rPr>
          <w:rFonts w:eastAsia="Helvetica Neue"/>
          <w:bCs/>
        </w:rPr>
        <w:t>Deaf Woman’s Association of Nigeria (DWAN) and Ipas</w:t>
      </w:r>
      <w:r w:rsidRPr="00B17C4D">
        <w:rPr>
          <w:rFonts w:eastAsia="Helvetica Neue"/>
        </w:rPr>
        <w:t xml:space="preserve"> Nigeria implemented a twin-track disability SRHR programme to strengthen the capacity of sign language interpreters.</w:t>
      </w:r>
      <w:r w:rsidRPr="00B1674C">
        <w:rPr>
          <w:rStyle w:val="EndnoteReference"/>
          <w:rFonts w:eastAsia="Helvetica Neue"/>
        </w:rPr>
        <w:endnoteReference w:id="604"/>
      </w:r>
      <w:r w:rsidRPr="00B17C4D">
        <w:rPr>
          <w:rFonts w:eastAsia="Helvetica Neue"/>
        </w:rPr>
        <w:t xml:space="preserve"> Through sensitization workshops focused on information, communication, and financial barriers and advocacy meetings, the project identified three key lessons learned for dismantling barriers faced by Deaf women in accessing SRHR services: “[1] Access to sign language interpreters at sexual and reproductive health service sites is imperative to promote access to quality services for deaf women and ultimately reduce maternal morbidity and mortality amongst this population. [2] Provision of free sign language interpretation services to support deaf women in accessing health care must be accompanied by advocacy with health facility leadership to secure buy-in and facilitate policies—including waiving certain costs—that optimize service use by people with disabilities. [3] Engaging the leadership of various community members and institutions is crucial to ensure ownership of the project”.</w:t>
      </w:r>
      <w:r w:rsidRPr="00B1674C">
        <w:rPr>
          <w:rStyle w:val="EndnoteReference"/>
          <w:rFonts w:eastAsia="Helvetica Neue"/>
        </w:rPr>
        <w:endnoteReference w:id="605"/>
      </w:r>
      <w:r w:rsidRPr="00B17C4D">
        <w:rPr>
          <w:rFonts w:eastAsia="Helvetica Neue"/>
        </w:rPr>
        <w:t xml:space="preserve"> </w:t>
      </w:r>
    </w:p>
    <w:p w14:paraId="50C31E69" w14:textId="77777777" w:rsidR="00B17C4D" w:rsidRPr="00B17C4D" w:rsidRDefault="00BC14E7" w:rsidP="006E6012">
      <w:pPr>
        <w:pStyle w:val="ListParagraph"/>
        <w:numPr>
          <w:ilvl w:val="0"/>
          <w:numId w:val="130"/>
        </w:numPr>
      </w:pPr>
      <w:r w:rsidRPr="00B17C4D">
        <w:rPr>
          <w:rFonts w:eastAsia="Helvetica Neue"/>
        </w:rPr>
        <w:t xml:space="preserve">Adapt services, such as exams, procedures and equipment, to </w:t>
      </w:r>
      <w:r w:rsidRPr="00B17C4D">
        <w:rPr>
          <w:rFonts w:eastAsia="Helvetica Neue"/>
          <w:bCs/>
        </w:rPr>
        <w:t>accommodate women and adolescent girl’s disability-related needs</w:t>
      </w:r>
      <w:r w:rsidRPr="00B17C4D">
        <w:rPr>
          <w:rFonts w:eastAsia="Helvetica Neue"/>
        </w:rPr>
        <w:t xml:space="preserve">. Where possible, design services utilizing universal design principles for everything from the service delivery location to gynecological chairs. Doing so allows for a wider range of usage and not just for persons with disabilities. </w:t>
      </w:r>
    </w:p>
    <w:p w14:paraId="0F12FB07" w14:textId="77777777" w:rsidR="00B17C4D" w:rsidRPr="00B17C4D" w:rsidRDefault="00BC14E7" w:rsidP="006E6012">
      <w:pPr>
        <w:pStyle w:val="ListParagraph"/>
        <w:numPr>
          <w:ilvl w:val="1"/>
          <w:numId w:val="130"/>
        </w:numPr>
      </w:pPr>
      <w:r w:rsidRPr="00B17C4D">
        <w:rPr>
          <w:rFonts w:eastAsia="Helvetica Neue"/>
          <w:b/>
        </w:rPr>
        <w:t xml:space="preserve">Example: </w:t>
      </w:r>
      <w:r w:rsidRPr="00B17C4D">
        <w:rPr>
          <w:rFonts w:eastAsia="Helvetica Neue"/>
        </w:rPr>
        <w:t xml:space="preserve">The </w:t>
      </w:r>
      <w:proofErr w:type="spellStart"/>
      <w:r w:rsidRPr="00B17C4D">
        <w:rPr>
          <w:rFonts w:eastAsia="Helvetica Neue"/>
          <w:b/>
        </w:rPr>
        <w:t>Keela</w:t>
      </w:r>
      <w:proofErr w:type="spellEnd"/>
      <w:r w:rsidRPr="00B17C4D">
        <w:rPr>
          <w:rFonts w:eastAsia="Helvetica Neue"/>
          <w:b/>
        </w:rPr>
        <w:t xml:space="preserve"> Cup</w:t>
      </w:r>
      <w:r w:rsidRPr="00B17C4D">
        <w:rPr>
          <w:rFonts w:eastAsia="Helvetica Neue"/>
        </w:rPr>
        <w:t xml:space="preserve"> is an accessible menstrual cup designed by a woman with a disability to be accessible for women with disabilities.</w:t>
      </w:r>
      <w:r w:rsidRPr="00B1674C">
        <w:rPr>
          <w:rStyle w:val="EndnoteReference"/>
          <w:rFonts w:eastAsia="Helvetica Neue"/>
        </w:rPr>
        <w:endnoteReference w:id="606"/>
      </w:r>
      <w:r w:rsidRPr="00B17C4D">
        <w:rPr>
          <w:rFonts w:eastAsia="Helvetica Neue"/>
        </w:rPr>
        <w:t xml:space="preserve"> </w:t>
      </w:r>
    </w:p>
    <w:p w14:paraId="0450D16F" w14:textId="77777777" w:rsidR="00B17C4D" w:rsidRPr="00B17C4D" w:rsidRDefault="00BC14E7" w:rsidP="006E6012">
      <w:pPr>
        <w:pStyle w:val="ListParagraph"/>
        <w:numPr>
          <w:ilvl w:val="1"/>
          <w:numId w:val="130"/>
        </w:numPr>
      </w:pPr>
      <w:r w:rsidRPr="00B17C4D">
        <w:rPr>
          <w:rFonts w:eastAsia="Helvetica Neue"/>
          <w:b/>
          <w:bCs/>
        </w:rPr>
        <w:t>Example:</w:t>
      </w:r>
      <w:r w:rsidRPr="00B17C4D">
        <w:rPr>
          <w:rFonts w:eastAsia="Helvetica Neue"/>
        </w:rPr>
        <w:t xml:space="preserve"> The manual </w:t>
      </w:r>
      <w:r w:rsidRPr="00B17C4D">
        <w:rPr>
          <w:rFonts w:eastAsia="Helvetica Neue"/>
          <w:b/>
          <w:bCs/>
        </w:rPr>
        <w:t>‘Table Manners and Beyond: The Gynecological Exam for Women with Developmental Disabilities and Other Functional Limitations,’</w:t>
      </w:r>
      <w:r w:rsidRPr="00B17C4D">
        <w:rPr>
          <w:rFonts w:eastAsia="Helvetica Neue"/>
        </w:rPr>
        <w:t xml:space="preserve"> offers practical guidance for service providers and support staff on how to improve the experience of a gynecological exam for women with disabilities. The manual covers guidance for assessing the accommodations required; conducting exams, including alternative positions and accommodations for various disabilities; and follow-up steps after the exam.</w:t>
      </w:r>
      <w:r w:rsidRPr="00B1674C">
        <w:rPr>
          <w:rStyle w:val="EndnoteReference"/>
          <w:rFonts w:eastAsia="Helvetica Neue"/>
        </w:rPr>
        <w:endnoteReference w:id="607"/>
      </w:r>
    </w:p>
    <w:p w14:paraId="2993AE73" w14:textId="77777777" w:rsidR="00B17C4D" w:rsidRPr="00B17C4D" w:rsidRDefault="00BC14E7" w:rsidP="006E6012">
      <w:pPr>
        <w:pStyle w:val="ListParagraph"/>
        <w:numPr>
          <w:ilvl w:val="0"/>
          <w:numId w:val="130"/>
        </w:numPr>
      </w:pPr>
      <w:r w:rsidRPr="00B17C4D">
        <w:rPr>
          <w:rFonts w:eastAsia="Helvetica Neue"/>
        </w:rPr>
        <w:t xml:space="preserve">Create alternative and creative ways to help women with disabilities better </w:t>
      </w:r>
      <w:r w:rsidRPr="00B17C4D">
        <w:rPr>
          <w:rFonts w:eastAsia="Helvetica Neue"/>
          <w:bCs/>
        </w:rPr>
        <w:t>understand their bodies and procedures</w:t>
      </w:r>
      <w:r w:rsidRPr="00B17C4D">
        <w:rPr>
          <w:rFonts w:eastAsia="Helvetica Neue"/>
          <w:b/>
        </w:rPr>
        <w:t xml:space="preserve"> </w:t>
      </w:r>
      <w:r w:rsidRPr="00B17C4D">
        <w:rPr>
          <w:rFonts w:eastAsia="Helvetica Neue"/>
        </w:rPr>
        <w:t xml:space="preserve">through the creation of models or picture guides. </w:t>
      </w:r>
    </w:p>
    <w:p w14:paraId="1F9F8362" w14:textId="77777777" w:rsidR="00B17C4D" w:rsidRPr="00B17C4D" w:rsidRDefault="00BC14E7" w:rsidP="006E6012">
      <w:pPr>
        <w:pStyle w:val="ListParagraph"/>
        <w:numPr>
          <w:ilvl w:val="1"/>
          <w:numId w:val="130"/>
        </w:numPr>
      </w:pPr>
      <w:r w:rsidRPr="00B17C4D">
        <w:rPr>
          <w:rFonts w:eastAsia="Helvetica Neue"/>
          <w:b/>
        </w:rPr>
        <w:t>Example:</w:t>
      </w:r>
      <w:r w:rsidRPr="00B17C4D">
        <w:rPr>
          <w:rFonts w:eastAsia="Helvetica Neue"/>
        </w:rPr>
        <w:t xml:space="preserve"> The </w:t>
      </w:r>
      <w:r w:rsidRPr="00B17C4D">
        <w:rPr>
          <w:rFonts w:eastAsia="Helvetica Neue"/>
          <w:b/>
        </w:rPr>
        <w:t>‘</w:t>
      </w:r>
      <w:proofErr w:type="spellStart"/>
      <w:r w:rsidRPr="00B17C4D">
        <w:rPr>
          <w:rFonts w:eastAsia="Helvetica Neue"/>
          <w:b/>
        </w:rPr>
        <w:t>Kahani</w:t>
      </w:r>
      <w:proofErr w:type="spellEnd"/>
      <w:r w:rsidRPr="00B17C4D">
        <w:rPr>
          <w:rFonts w:eastAsia="Helvetica Neue"/>
          <w:b/>
        </w:rPr>
        <w:t xml:space="preserve"> Her </w:t>
      </w:r>
      <w:proofErr w:type="spellStart"/>
      <w:r w:rsidRPr="00B17C4D">
        <w:rPr>
          <w:rFonts w:eastAsia="Helvetica Neue"/>
          <w:b/>
        </w:rPr>
        <w:t>Mahine</w:t>
      </w:r>
      <w:proofErr w:type="spellEnd"/>
      <w:r w:rsidRPr="00B17C4D">
        <w:rPr>
          <w:rFonts w:eastAsia="Helvetica Neue"/>
          <w:b/>
        </w:rPr>
        <w:t xml:space="preserve"> Ki’</w:t>
      </w:r>
      <w:r w:rsidRPr="00B17C4D">
        <w:rPr>
          <w:rFonts w:eastAsia="Helvetica Neue"/>
        </w:rPr>
        <w:t xml:space="preserve"> kit was created in India and contains a tactile model and booklet that helps visually impaired girls learn about their bodies and menstruation.</w:t>
      </w:r>
      <w:r w:rsidRPr="00B1674C">
        <w:rPr>
          <w:rStyle w:val="EndnoteReference"/>
          <w:rFonts w:eastAsia="Helvetica Neue"/>
        </w:rPr>
        <w:endnoteReference w:id="608"/>
      </w:r>
      <w:r w:rsidRPr="00B17C4D">
        <w:rPr>
          <w:rFonts w:eastAsia="Helvetica Neue"/>
        </w:rPr>
        <w:t xml:space="preserve"> </w:t>
      </w:r>
    </w:p>
    <w:p w14:paraId="3A9F5D39" w14:textId="77777777" w:rsidR="00B17C4D" w:rsidRPr="00B17C4D" w:rsidRDefault="00BC14E7" w:rsidP="006E6012">
      <w:pPr>
        <w:pStyle w:val="ListParagraph"/>
        <w:numPr>
          <w:ilvl w:val="1"/>
          <w:numId w:val="130"/>
        </w:numPr>
      </w:pPr>
      <w:r w:rsidRPr="00B17C4D">
        <w:rPr>
          <w:rFonts w:eastAsia="Helvetica Neue"/>
          <w:b/>
        </w:rPr>
        <w:t>Example:</w:t>
      </w:r>
      <w:r w:rsidRPr="00B17C4D">
        <w:rPr>
          <w:rFonts w:eastAsia="Helvetica Neue"/>
        </w:rPr>
        <w:t xml:space="preserve"> The Centre for Developmental Disability Health in Australia has produced a simplified guide on Pap smear tests that service providers can use to help patients with disabilities called </w:t>
      </w:r>
      <w:r w:rsidRPr="00B17C4D">
        <w:rPr>
          <w:rFonts w:eastAsia="Helvetica Neue"/>
          <w:b/>
        </w:rPr>
        <w:t>‘Pap Tests: The Plain Facts’</w:t>
      </w:r>
      <w:r w:rsidRPr="00B17C4D">
        <w:rPr>
          <w:rFonts w:eastAsia="Helvetica Neue"/>
        </w:rPr>
        <w:t xml:space="preserve">. The guide explains in plain language what </w:t>
      </w:r>
      <w:r w:rsidRPr="00B17C4D">
        <w:rPr>
          <w:rFonts w:eastAsia="Helvetica Neue"/>
        </w:rPr>
        <w:lastRenderedPageBreak/>
        <w:t>women with disabilities can expect as part of a Pap smear test and uses drawings to explain the procedure.</w:t>
      </w:r>
      <w:r w:rsidRPr="00B1674C">
        <w:rPr>
          <w:rStyle w:val="EndnoteReference"/>
          <w:rFonts w:eastAsia="Helvetica Neue"/>
        </w:rPr>
        <w:endnoteReference w:id="609"/>
      </w:r>
      <w:r w:rsidRPr="00B17C4D">
        <w:rPr>
          <w:rFonts w:eastAsia="Helvetica Neue"/>
        </w:rPr>
        <w:t xml:space="preserve"> </w:t>
      </w:r>
    </w:p>
    <w:p w14:paraId="71063CF1" w14:textId="77777777" w:rsidR="00B17C4D" w:rsidRPr="00B17C4D" w:rsidRDefault="00BC14E7" w:rsidP="006E6012">
      <w:pPr>
        <w:pStyle w:val="ListParagraph"/>
        <w:numPr>
          <w:ilvl w:val="0"/>
          <w:numId w:val="130"/>
        </w:numPr>
      </w:pPr>
      <w:r w:rsidRPr="00B17C4D">
        <w:rPr>
          <w:rFonts w:eastAsia="Helvetica Neue"/>
        </w:rPr>
        <w:t xml:space="preserve">Train </w:t>
      </w:r>
      <w:r w:rsidRPr="00B17C4D">
        <w:rPr>
          <w:rFonts w:eastAsia="Helvetica Neue"/>
          <w:bCs/>
        </w:rPr>
        <w:t>mid-level service providers</w:t>
      </w:r>
      <w:r w:rsidRPr="00B17C4D">
        <w:rPr>
          <w:rFonts w:eastAsia="Helvetica Neue"/>
        </w:rPr>
        <w:t xml:space="preserve"> to provide early safe abortion services, where legal, to ensure affordability of services and to facilitate access in rural or isolated areas.</w:t>
      </w:r>
      <w:r w:rsidRPr="00B1674C">
        <w:rPr>
          <w:rStyle w:val="EndnoteReference"/>
          <w:rFonts w:eastAsia="Helvetica Neue"/>
        </w:rPr>
        <w:endnoteReference w:id="610"/>
      </w:r>
    </w:p>
    <w:p w14:paraId="07A3ED14" w14:textId="77777777" w:rsidR="00B17C4D" w:rsidRPr="00B17C4D" w:rsidRDefault="00BC14E7" w:rsidP="006E6012">
      <w:pPr>
        <w:pStyle w:val="ListParagraph"/>
        <w:numPr>
          <w:ilvl w:val="0"/>
          <w:numId w:val="130"/>
        </w:numPr>
      </w:pPr>
      <w:r w:rsidRPr="00B17C4D">
        <w:rPr>
          <w:rFonts w:eastAsia="Helvetica Neue"/>
        </w:rPr>
        <w:t>Ensure abortion services are accessible and quality, where they is not against the law, at the community level, primary-care facility level, and through referral hospitals.</w:t>
      </w:r>
      <w:r w:rsidRPr="00B1674C">
        <w:rPr>
          <w:rStyle w:val="EndnoteReference"/>
          <w:rFonts w:eastAsia="Helvetica Neue"/>
        </w:rPr>
        <w:endnoteReference w:id="611"/>
      </w:r>
    </w:p>
    <w:p w14:paraId="2866131F" w14:textId="77777777" w:rsidR="00B17C4D" w:rsidRPr="00B17C4D" w:rsidRDefault="00BC14E7" w:rsidP="006E6012">
      <w:pPr>
        <w:pStyle w:val="ListParagraph"/>
        <w:numPr>
          <w:ilvl w:val="0"/>
          <w:numId w:val="130"/>
        </w:numPr>
      </w:pPr>
      <w:r w:rsidRPr="00B17C4D">
        <w:rPr>
          <w:rFonts w:eastAsia="Helvetica Neue"/>
        </w:rPr>
        <w:t xml:space="preserve">Ensure that toilets and latrines are accessible, gender-sensitive, and safe, particularly during humanitarian emergency situations. This is critical for both the dignity, privacy, and safety of women and adolescent girls with disabilities and their SRHR and health needs generally. </w:t>
      </w:r>
    </w:p>
    <w:p w14:paraId="29553958" w14:textId="77777777" w:rsidR="00B17C4D" w:rsidRPr="00B17C4D" w:rsidRDefault="00BC14E7" w:rsidP="006E6012">
      <w:pPr>
        <w:pStyle w:val="ListParagraph"/>
        <w:numPr>
          <w:ilvl w:val="1"/>
          <w:numId w:val="130"/>
        </w:numPr>
      </w:pPr>
      <w:r w:rsidRPr="00B17C4D">
        <w:rPr>
          <w:rFonts w:eastAsia="Helvetica Neue"/>
          <w:b/>
        </w:rPr>
        <w:t>Example:</w:t>
      </w:r>
      <w:r w:rsidRPr="00B17C4D">
        <w:rPr>
          <w:rFonts w:eastAsia="Helvetica Neue"/>
        </w:rPr>
        <w:t xml:space="preserve"> Hesperian’s </w:t>
      </w:r>
      <w:r w:rsidRPr="00B17C4D">
        <w:rPr>
          <w:rFonts w:eastAsia="Helvetica Neue"/>
          <w:b/>
        </w:rPr>
        <w:t xml:space="preserve">‘A Health Handbook for Women with Disabilities’ </w:t>
      </w:r>
      <w:r w:rsidRPr="00B17C4D">
        <w:rPr>
          <w:rFonts w:eastAsia="Helvetica Neue"/>
        </w:rPr>
        <w:t xml:space="preserve">offers the following suggestions for adapting toilets and latrines to make them easier for women with disabilities, particularly in low-resource settings: </w:t>
      </w:r>
    </w:p>
    <w:p w14:paraId="09151CC8" w14:textId="77777777" w:rsidR="00B17C4D" w:rsidRPr="00B17C4D" w:rsidRDefault="00BC14E7" w:rsidP="006E6012">
      <w:pPr>
        <w:pStyle w:val="ListParagraph"/>
        <w:numPr>
          <w:ilvl w:val="2"/>
          <w:numId w:val="130"/>
        </w:numPr>
      </w:pPr>
      <w:r w:rsidRPr="00B17C4D">
        <w:rPr>
          <w:rFonts w:eastAsia="Helvetica Neue"/>
        </w:rPr>
        <w:t>“If a person has </w:t>
      </w:r>
      <w:r w:rsidRPr="00B17C4D">
        <w:rPr>
          <w:rFonts w:eastAsia="Helvetica Neue"/>
          <w:bCs/>
        </w:rPr>
        <w:t>difficulty squatting</w:t>
      </w:r>
      <w:r w:rsidRPr="00B17C4D">
        <w:rPr>
          <w:rFonts w:eastAsia="Helvetica Neue"/>
        </w:rPr>
        <w:t>, make a simple hand support or a raised seat. Or, if the toilet is set in the ground, make a hole in the seat of a stool or chair and place it over the toilet.</w:t>
      </w:r>
    </w:p>
    <w:p w14:paraId="758F10A6" w14:textId="77777777" w:rsidR="00B17C4D" w:rsidRPr="00B17C4D" w:rsidRDefault="00BC14E7" w:rsidP="006E6012">
      <w:pPr>
        <w:pStyle w:val="ListParagraph"/>
        <w:numPr>
          <w:ilvl w:val="2"/>
          <w:numId w:val="130"/>
        </w:numPr>
      </w:pPr>
      <w:r w:rsidRPr="00B17C4D">
        <w:rPr>
          <w:rFonts w:eastAsia="Helvetica Neue"/>
        </w:rPr>
        <w:t>If a person has </w:t>
      </w:r>
      <w:r w:rsidRPr="00B17C4D">
        <w:rPr>
          <w:rFonts w:eastAsia="Helvetica Neue"/>
          <w:bCs/>
        </w:rPr>
        <w:t>difficulty controlling her body</w:t>
      </w:r>
      <w:r w:rsidRPr="00B17C4D">
        <w:rPr>
          <w:rFonts w:eastAsia="Helvetica Neue"/>
        </w:rPr>
        <w:t>, make supports for her back, sides, and legs, and a seat belt or bar.</w:t>
      </w:r>
    </w:p>
    <w:p w14:paraId="00AFE91D" w14:textId="77777777" w:rsidR="00B17C4D" w:rsidRPr="00B17C4D" w:rsidRDefault="00BC14E7" w:rsidP="006E6012">
      <w:pPr>
        <w:pStyle w:val="ListParagraph"/>
        <w:numPr>
          <w:ilvl w:val="2"/>
          <w:numId w:val="130"/>
        </w:numPr>
      </w:pPr>
      <w:r w:rsidRPr="00B17C4D">
        <w:rPr>
          <w:rFonts w:eastAsia="Helvetica Neue"/>
        </w:rPr>
        <w:t>Use a rope or fence to guide </w:t>
      </w:r>
      <w:r w:rsidRPr="00B17C4D">
        <w:rPr>
          <w:rFonts w:eastAsia="Helvetica Neue"/>
          <w:bCs/>
        </w:rPr>
        <w:t>blind</w:t>
      </w:r>
      <w:r w:rsidRPr="00B17C4D">
        <w:rPr>
          <w:rFonts w:eastAsia="Helvetica Neue"/>
        </w:rPr>
        <w:t> people from the house to the toilet.</w:t>
      </w:r>
    </w:p>
    <w:p w14:paraId="74868B47" w14:textId="77777777" w:rsidR="00B17C4D" w:rsidRPr="00B17C4D" w:rsidRDefault="00BC14E7" w:rsidP="006E6012">
      <w:pPr>
        <w:pStyle w:val="ListParagraph"/>
        <w:numPr>
          <w:ilvl w:val="2"/>
          <w:numId w:val="130"/>
        </w:numPr>
      </w:pPr>
      <w:r w:rsidRPr="00B17C4D">
        <w:rPr>
          <w:rFonts w:eastAsia="Helvetica Neue"/>
        </w:rPr>
        <w:t>If a person has </w:t>
      </w:r>
      <w:r w:rsidRPr="00B17C4D">
        <w:rPr>
          <w:rFonts w:eastAsia="Helvetica Neue"/>
          <w:bCs/>
        </w:rPr>
        <w:t>difficulty adjusting or removing her clothes</w:t>
      </w:r>
      <w:r w:rsidRPr="00B17C4D">
        <w:rPr>
          <w:rFonts w:eastAsia="Helvetica Neue"/>
        </w:rPr>
        <w:t>, adapt her clothing to make it loose or elastic. Make a clean, dry place to sit or lie down and dress.</w:t>
      </w:r>
    </w:p>
    <w:p w14:paraId="4EAB3359" w14:textId="77777777" w:rsidR="00B17C4D" w:rsidRPr="00B17C4D" w:rsidRDefault="00BC14E7" w:rsidP="006E6012">
      <w:pPr>
        <w:pStyle w:val="ListParagraph"/>
        <w:numPr>
          <w:ilvl w:val="2"/>
          <w:numId w:val="130"/>
        </w:numPr>
      </w:pPr>
      <w:r w:rsidRPr="00B17C4D">
        <w:rPr>
          <w:rFonts w:eastAsia="Helvetica Neue"/>
        </w:rPr>
        <w:t>If a person has </w:t>
      </w:r>
      <w:r w:rsidRPr="00B17C4D">
        <w:rPr>
          <w:rFonts w:eastAsia="Helvetica Neue"/>
          <w:bCs/>
        </w:rPr>
        <w:t>difficulty sitting</w:t>
      </w:r>
      <w:r w:rsidRPr="00B17C4D">
        <w:rPr>
          <w:rFonts w:eastAsia="Helvetica Neue"/>
        </w:rPr>
        <w:t>, make moveable handrails and steps”.</w:t>
      </w:r>
      <w:r w:rsidRPr="00B1674C">
        <w:rPr>
          <w:rStyle w:val="EndnoteReference"/>
          <w:rFonts w:eastAsia="Helvetica Neue"/>
        </w:rPr>
        <w:endnoteReference w:id="612"/>
      </w:r>
    </w:p>
    <w:p w14:paraId="3CA20F06" w14:textId="5661BA98" w:rsidR="00BC14E7" w:rsidRPr="00165101" w:rsidRDefault="00BC14E7" w:rsidP="006E6012">
      <w:pPr>
        <w:pStyle w:val="ListParagraph"/>
        <w:numPr>
          <w:ilvl w:val="0"/>
          <w:numId w:val="130"/>
        </w:numPr>
      </w:pPr>
      <w:r w:rsidRPr="00B17C4D">
        <w:rPr>
          <w:rFonts w:eastAsia="Helvetica Neue"/>
        </w:rPr>
        <w:t xml:space="preserve">Ensure that any </w:t>
      </w:r>
      <w:r w:rsidRPr="00B17C4D">
        <w:rPr>
          <w:rFonts w:eastAsia="Helvetica Neue"/>
          <w:bCs/>
        </w:rPr>
        <w:t>additional costs</w:t>
      </w:r>
      <w:r w:rsidRPr="00B17C4D">
        <w:rPr>
          <w:rFonts w:eastAsia="Helvetica Neue"/>
          <w:b/>
        </w:rPr>
        <w:t xml:space="preserve"> </w:t>
      </w:r>
      <w:r w:rsidRPr="00B17C4D">
        <w:rPr>
          <w:rFonts w:eastAsia="Helvetica Neue"/>
        </w:rPr>
        <w:t>associated with making essential healthcare services accessible to women and adolescent girls with disabilities are not passed on to them through formal or informal user fees.</w:t>
      </w:r>
    </w:p>
    <w:p w14:paraId="30273498" w14:textId="77777777" w:rsidR="00BC14E7" w:rsidRPr="00A64CBE" w:rsidRDefault="00BC14E7" w:rsidP="008304B7">
      <w:pPr>
        <w:pStyle w:val="Heading4"/>
        <w:spacing w:before="480"/>
        <w:rPr>
          <w:rFonts w:eastAsia="Helvetica Neue"/>
        </w:rPr>
      </w:pPr>
      <w:r w:rsidRPr="00A64CBE">
        <w:rPr>
          <w:rFonts w:eastAsia="Helvetica Neue"/>
        </w:rPr>
        <w:t>Guidelines for Action: Acceptability</w:t>
      </w:r>
    </w:p>
    <w:p w14:paraId="71139135" w14:textId="77777777" w:rsidR="00165101" w:rsidRPr="00165101" w:rsidRDefault="00BC14E7" w:rsidP="006E6012">
      <w:pPr>
        <w:pStyle w:val="ListParagraph"/>
        <w:numPr>
          <w:ilvl w:val="0"/>
          <w:numId w:val="131"/>
        </w:numPr>
        <w:rPr>
          <w:u w:val="single"/>
        </w:rPr>
      </w:pPr>
      <w:r w:rsidRPr="00165101">
        <w:rPr>
          <w:rFonts w:eastAsia="Helvetica Neue"/>
        </w:rPr>
        <w:t xml:space="preserve">Develop </w:t>
      </w:r>
      <w:r w:rsidRPr="00165101">
        <w:rPr>
          <w:rFonts w:eastAsia="Helvetica Neue"/>
          <w:bCs/>
        </w:rPr>
        <w:t>mentoring and experiential training programmes</w:t>
      </w:r>
      <w:r w:rsidRPr="00165101">
        <w:rPr>
          <w:rFonts w:eastAsia="Helvetica Neue"/>
        </w:rPr>
        <w:t xml:space="preserve"> that help service providers and support staff build confidence and overcome concerns about serving women and adolescent girls with disabilities. </w:t>
      </w:r>
    </w:p>
    <w:p w14:paraId="06A184BD" w14:textId="77777777" w:rsidR="00165101" w:rsidRPr="00165101" w:rsidRDefault="00BC14E7" w:rsidP="006E6012">
      <w:pPr>
        <w:pStyle w:val="ListParagraph"/>
        <w:numPr>
          <w:ilvl w:val="0"/>
          <w:numId w:val="131"/>
        </w:numPr>
        <w:rPr>
          <w:u w:val="single"/>
        </w:rPr>
      </w:pPr>
      <w:r w:rsidRPr="00165101">
        <w:rPr>
          <w:rFonts w:eastAsia="Helvetica Neue"/>
        </w:rPr>
        <w:t xml:space="preserve">Create </w:t>
      </w:r>
      <w:r w:rsidRPr="00165101">
        <w:rPr>
          <w:rFonts w:eastAsia="Helvetica Neue"/>
          <w:bCs/>
        </w:rPr>
        <w:t>model programmes</w:t>
      </w:r>
      <w:r w:rsidRPr="00165101">
        <w:rPr>
          <w:rFonts w:eastAsia="Helvetica Neue"/>
        </w:rPr>
        <w:t xml:space="preserve"> to help providers better serve women and adolescent girls with disabilities and understand what inclusive programming looks like.</w:t>
      </w:r>
    </w:p>
    <w:p w14:paraId="21F52565" w14:textId="77777777" w:rsidR="00165101" w:rsidRPr="00165101" w:rsidRDefault="00BC14E7" w:rsidP="006E6012">
      <w:pPr>
        <w:pStyle w:val="ListParagraph"/>
        <w:numPr>
          <w:ilvl w:val="0"/>
          <w:numId w:val="131"/>
        </w:numPr>
        <w:rPr>
          <w:u w:val="single"/>
        </w:rPr>
      </w:pPr>
      <w:r w:rsidRPr="00165101">
        <w:rPr>
          <w:rFonts w:eastAsia="Helvetica Neue"/>
        </w:rPr>
        <w:t>Develop orientation procedures that address a woman or adolescent girl’s apprehension or lack of understanding about an upcoming exam. Examples might include:</w:t>
      </w:r>
      <w:r w:rsidRPr="00165101">
        <w:rPr>
          <w:rStyle w:val="EndnoteReference"/>
          <w:rFonts w:eastAsia="Helvetica Neue"/>
        </w:rPr>
        <w:t xml:space="preserve"> </w:t>
      </w:r>
      <w:r w:rsidRPr="00B1674C">
        <w:rPr>
          <w:rStyle w:val="EndnoteReference"/>
          <w:rFonts w:eastAsia="Helvetica Neue"/>
        </w:rPr>
        <w:endnoteReference w:id="613"/>
      </w:r>
      <w:r w:rsidRPr="00165101">
        <w:rPr>
          <w:rFonts w:eastAsia="Helvetica Neue"/>
        </w:rPr>
        <w:t xml:space="preserve"> </w:t>
      </w:r>
    </w:p>
    <w:p w14:paraId="36F06403" w14:textId="77777777" w:rsidR="00165101" w:rsidRPr="00165101" w:rsidRDefault="00BC14E7" w:rsidP="006E6012">
      <w:pPr>
        <w:pStyle w:val="ListParagraph"/>
        <w:numPr>
          <w:ilvl w:val="1"/>
          <w:numId w:val="131"/>
        </w:numPr>
        <w:rPr>
          <w:u w:val="single"/>
        </w:rPr>
      </w:pPr>
      <w:r w:rsidRPr="00165101">
        <w:rPr>
          <w:rFonts w:eastAsia="Helvetica Neue"/>
        </w:rPr>
        <w:t xml:space="preserve">Communicate the importance of the exam and the steps involved with the process. </w:t>
      </w:r>
    </w:p>
    <w:p w14:paraId="783C33ED" w14:textId="77777777" w:rsidR="00165101" w:rsidRPr="00165101" w:rsidRDefault="00BC14E7" w:rsidP="006E6012">
      <w:pPr>
        <w:pStyle w:val="ListParagraph"/>
        <w:numPr>
          <w:ilvl w:val="1"/>
          <w:numId w:val="131"/>
        </w:numPr>
        <w:rPr>
          <w:u w:val="single"/>
        </w:rPr>
      </w:pPr>
      <w:r w:rsidRPr="00165101">
        <w:rPr>
          <w:rFonts w:eastAsia="Helvetica Neue"/>
        </w:rPr>
        <w:t xml:space="preserve">Create illustration guides for exam procedures, particularly gynecological exams, using pictures, models, or videos. </w:t>
      </w:r>
    </w:p>
    <w:p w14:paraId="3D634C41" w14:textId="77777777" w:rsidR="00165101" w:rsidRPr="00165101" w:rsidRDefault="00BC14E7" w:rsidP="006E6012">
      <w:pPr>
        <w:pStyle w:val="ListParagraph"/>
        <w:numPr>
          <w:ilvl w:val="1"/>
          <w:numId w:val="131"/>
        </w:numPr>
        <w:rPr>
          <w:u w:val="single"/>
        </w:rPr>
      </w:pPr>
      <w:r w:rsidRPr="00165101">
        <w:rPr>
          <w:rFonts w:eastAsia="Helvetica Neue"/>
        </w:rPr>
        <w:t>Offer the patient a tour of a clinic and the equipment prior to an exam to help increase their comfort levels.</w:t>
      </w:r>
    </w:p>
    <w:p w14:paraId="08459D19" w14:textId="77777777" w:rsidR="00165101" w:rsidRPr="00165101" w:rsidRDefault="00BC14E7" w:rsidP="006E6012">
      <w:pPr>
        <w:pStyle w:val="ListParagraph"/>
        <w:numPr>
          <w:ilvl w:val="1"/>
          <w:numId w:val="131"/>
        </w:numPr>
        <w:rPr>
          <w:u w:val="single"/>
        </w:rPr>
      </w:pPr>
      <w:r w:rsidRPr="00165101">
        <w:rPr>
          <w:rFonts w:eastAsia="Helvetica Neue"/>
        </w:rPr>
        <w:lastRenderedPageBreak/>
        <w:t>Provide a description of the procedure for the exam and the test results.</w:t>
      </w:r>
    </w:p>
    <w:p w14:paraId="41A2575E" w14:textId="77777777" w:rsidR="00165101" w:rsidRPr="00165101" w:rsidRDefault="00BC14E7" w:rsidP="006E6012">
      <w:pPr>
        <w:pStyle w:val="ListParagraph"/>
        <w:numPr>
          <w:ilvl w:val="1"/>
          <w:numId w:val="131"/>
        </w:numPr>
        <w:rPr>
          <w:u w:val="single"/>
        </w:rPr>
      </w:pPr>
      <w:r w:rsidRPr="00165101">
        <w:rPr>
          <w:rFonts w:eastAsia="Helvetica Neue"/>
        </w:rPr>
        <w:t>Allow the patient to role play the exam with models or dolls.</w:t>
      </w:r>
    </w:p>
    <w:p w14:paraId="63CD5064" w14:textId="77777777" w:rsidR="00165101" w:rsidRPr="00165101" w:rsidRDefault="00BC14E7" w:rsidP="006E6012">
      <w:pPr>
        <w:pStyle w:val="ListParagraph"/>
        <w:numPr>
          <w:ilvl w:val="0"/>
          <w:numId w:val="131"/>
        </w:numPr>
        <w:rPr>
          <w:u w:val="single"/>
        </w:rPr>
      </w:pPr>
      <w:r w:rsidRPr="00165101">
        <w:rPr>
          <w:rFonts w:eastAsia="Helvetica Neue"/>
        </w:rPr>
        <w:t>Develop widespread community information campai</w:t>
      </w:r>
      <w:r w:rsidRPr="00165101">
        <w:rPr>
          <w:rFonts w:eastAsia="Helvetica Neue"/>
          <w:bCs/>
        </w:rPr>
        <w:t>gns</w:t>
      </w:r>
      <w:r w:rsidRPr="00165101">
        <w:rPr>
          <w:rFonts w:eastAsia="Helvetica Neue"/>
        </w:rPr>
        <w:t xml:space="preserve"> to increase knowledge about women’s health needs and the rights of women and adolescent girls with disabilities. Campaigns should feature persons with disabilities and target healthcare practitioners, traditional healers, community and religious leaders, women and adolescent girls with disabilities, and families and caregivers who may act as gatekeepers to essential health services. </w:t>
      </w:r>
    </w:p>
    <w:p w14:paraId="0D0B72D8" w14:textId="77777777" w:rsidR="00165101" w:rsidRPr="00165101" w:rsidRDefault="00BC14E7" w:rsidP="006E6012">
      <w:pPr>
        <w:pStyle w:val="ListParagraph"/>
        <w:numPr>
          <w:ilvl w:val="0"/>
          <w:numId w:val="131"/>
        </w:numPr>
        <w:rPr>
          <w:u w:val="single"/>
        </w:rPr>
      </w:pPr>
      <w:r w:rsidRPr="00165101">
        <w:rPr>
          <w:rFonts w:eastAsia="Helvetica Neue"/>
        </w:rPr>
        <w:t xml:space="preserve">Develop programmes to combat </w:t>
      </w:r>
      <w:r w:rsidRPr="00165101">
        <w:rPr>
          <w:rFonts w:eastAsia="Helvetica Neue"/>
          <w:bCs/>
        </w:rPr>
        <w:t>harmful stereotypes and provider bias</w:t>
      </w:r>
      <w:r w:rsidRPr="00165101">
        <w:rPr>
          <w:rFonts w:eastAsia="Helvetica Neue"/>
        </w:rPr>
        <w:t xml:space="preserve">, including fear of complications for women and adolescent girls with disabilities. </w:t>
      </w:r>
    </w:p>
    <w:p w14:paraId="555CF635" w14:textId="5F0BCC1C" w:rsidR="0006613D" w:rsidRPr="00165101" w:rsidRDefault="00BC14E7" w:rsidP="006E6012">
      <w:pPr>
        <w:pStyle w:val="ListParagraph"/>
        <w:numPr>
          <w:ilvl w:val="0"/>
          <w:numId w:val="131"/>
        </w:numPr>
        <w:rPr>
          <w:u w:val="single"/>
        </w:rPr>
      </w:pPr>
      <w:r w:rsidRPr="00165101">
        <w:rPr>
          <w:rFonts w:eastAsia="Helvetica Neue"/>
        </w:rPr>
        <w:t xml:space="preserve">Ensure that information is in a format that the patient can understand about </w:t>
      </w:r>
      <w:r w:rsidRPr="00165101">
        <w:rPr>
          <w:rFonts w:eastAsia="Helvetica Neue"/>
          <w:bCs/>
        </w:rPr>
        <w:t>surgical and medical abortion</w:t>
      </w:r>
      <w:r w:rsidRPr="00165101">
        <w:rPr>
          <w:rFonts w:eastAsia="Helvetica Neue"/>
        </w:rPr>
        <w:t xml:space="preserve">, where legal, and the </w:t>
      </w:r>
      <w:r w:rsidRPr="00165101">
        <w:rPr>
          <w:rFonts w:eastAsia="Helvetica Neue"/>
          <w:bCs/>
        </w:rPr>
        <w:t>risks and benefits</w:t>
      </w:r>
      <w:r w:rsidRPr="00165101">
        <w:rPr>
          <w:rFonts w:eastAsia="Helvetica Neue"/>
        </w:rPr>
        <w:t xml:space="preserve"> of each procedure given the circumstances of her pregnancy and ensure that the patient’s choice of method is respected.</w:t>
      </w:r>
      <w:r w:rsidRPr="00B1674C">
        <w:rPr>
          <w:rStyle w:val="EndnoteReference"/>
          <w:rFonts w:eastAsia="Helvetica Neue"/>
        </w:rPr>
        <w:endnoteReference w:id="614"/>
      </w:r>
    </w:p>
    <w:p w14:paraId="1C295647" w14:textId="0B418D8E" w:rsidR="00BC14E7" w:rsidRPr="0006613D" w:rsidRDefault="00BC14E7" w:rsidP="007B7686">
      <w:pPr>
        <w:pStyle w:val="ListParagraph"/>
        <w:numPr>
          <w:ilvl w:val="0"/>
          <w:numId w:val="131"/>
        </w:numPr>
        <w:rPr>
          <w:u w:val="single"/>
        </w:rPr>
      </w:pPr>
      <w:r w:rsidRPr="0006613D">
        <w:rPr>
          <w:rFonts w:eastAsia="Helvetica Neue"/>
        </w:rPr>
        <w:t xml:space="preserve">Provide accessible, confidential </w:t>
      </w:r>
      <w:r w:rsidRPr="0006613D">
        <w:rPr>
          <w:rFonts w:eastAsia="Helvetica Neue"/>
          <w:bCs/>
        </w:rPr>
        <w:t>pre-abortion counselling</w:t>
      </w:r>
      <w:r w:rsidRPr="00F409EC">
        <w:rPr>
          <w:rFonts w:eastAsia="Helvetica Neue"/>
          <w:bCs/>
        </w:rPr>
        <w:t>, where legal,</w:t>
      </w:r>
      <w:r w:rsidRPr="00F409EC">
        <w:rPr>
          <w:rFonts w:eastAsia="Helvetica Neue"/>
        </w:rPr>
        <w:t xml:space="preserve"> to support a woman with a disability to make her own voluntary decision.</w:t>
      </w:r>
      <w:r w:rsidRPr="00B1674C">
        <w:rPr>
          <w:rStyle w:val="EndnoteReference"/>
          <w:rFonts w:eastAsia="Helvetica Neue"/>
        </w:rPr>
        <w:endnoteReference w:id="615"/>
      </w:r>
    </w:p>
    <w:p w14:paraId="78DF9EEE" w14:textId="77777777" w:rsidR="00BC14E7" w:rsidRPr="00A64CBE" w:rsidRDefault="00BC14E7" w:rsidP="008304B7">
      <w:pPr>
        <w:pStyle w:val="Heading4"/>
        <w:spacing w:before="480"/>
        <w:rPr>
          <w:rFonts w:eastAsia="Helvetica Neue"/>
        </w:rPr>
      </w:pPr>
      <w:r w:rsidRPr="00A64CBE">
        <w:rPr>
          <w:rFonts w:eastAsia="Helvetica Neue"/>
        </w:rPr>
        <w:t xml:space="preserve">Guidelines for Action: Quality </w:t>
      </w:r>
    </w:p>
    <w:p w14:paraId="440460AA" w14:textId="77777777" w:rsidR="00165101" w:rsidRPr="00165101" w:rsidRDefault="00BC14E7" w:rsidP="006E6012">
      <w:pPr>
        <w:pStyle w:val="ListParagraph"/>
        <w:numPr>
          <w:ilvl w:val="0"/>
          <w:numId w:val="132"/>
        </w:numPr>
        <w:rPr>
          <w:u w:val="single"/>
        </w:rPr>
      </w:pPr>
      <w:r w:rsidRPr="00165101">
        <w:rPr>
          <w:rFonts w:eastAsia="Helvetica Neue"/>
        </w:rPr>
        <w:t xml:space="preserve">Develop </w:t>
      </w:r>
      <w:r w:rsidRPr="00165101">
        <w:rPr>
          <w:rFonts w:eastAsia="Helvetica Neue"/>
          <w:bCs/>
        </w:rPr>
        <w:t>integrated medical school programmes and basic course materials</w:t>
      </w:r>
      <w:r w:rsidRPr="00165101">
        <w:rPr>
          <w:rFonts w:eastAsia="Helvetica Neue"/>
        </w:rPr>
        <w:t xml:space="preserve"> to train all medical service providers on the needs and available adaptations to serve women and adolescent girls with disabilities. These should not be specialized programmes but integrated into the curriculum to underscore that serving persons with disabilities is the responsibility of every service provider. </w:t>
      </w:r>
    </w:p>
    <w:p w14:paraId="5EB7ADE2" w14:textId="77777777" w:rsidR="00165101" w:rsidRPr="00165101" w:rsidRDefault="00BC14E7" w:rsidP="006E6012">
      <w:pPr>
        <w:pStyle w:val="ListParagraph"/>
        <w:numPr>
          <w:ilvl w:val="0"/>
          <w:numId w:val="132"/>
        </w:numPr>
        <w:rPr>
          <w:u w:val="single"/>
        </w:rPr>
      </w:pPr>
      <w:r w:rsidRPr="00165101">
        <w:rPr>
          <w:rFonts w:eastAsia="Helvetica Neue"/>
        </w:rPr>
        <w:t xml:space="preserve">Increase healthcare </w:t>
      </w:r>
      <w:r w:rsidRPr="00165101">
        <w:rPr>
          <w:rFonts w:eastAsia="Helvetica Neue"/>
          <w:bCs/>
        </w:rPr>
        <w:t>service provider capacities to</w:t>
      </w:r>
      <w:r w:rsidRPr="00165101">
        <w:rPr>
          <w:rFonts w:eastAsia="Helvetica Neue"/>
        </w:rPr>
        <w:t xml:space="preserve"> screen women and adolescent girls with disabilities for cancer and other diseases with any necessary accommodations. </w:t>
      </w:r>
    </w:p>
    <w:p w14:paraId="486B2AA6" w14:textId="77777777" w:rsidR="00165101" w:rsidRPr="00165101" w:rsidRDefault="00BC14E7" w:rsidP="006E6012">
      <w:pPr>
        <w:pStyle w:val="ListParagraph"/>
        <w:numPr>
          <w:ilvl w:val="0"/>
          <w:numId w:val="132"/>
        </w:numPr>
        <w:rPr>
          <w:u w:val="single"/>
        </w:rPr>
      </w:pPr>
      <w:r w:rsidRPr="00165101">
        <w:rPr>
          <w:rFonts w:eastAsia="Helvetica Neue"/>
        </w:rPr>
        <w:t xml:space="preserve">Train service providers and input </w:t>
      </w:r>
      <w:r w:rsidRPr="00165101">
        <w:rPr>
          <w:rFonts w:eastAsia="Helvetica Neue"/>
          <w:bCs/>
        </w:rPr>
        <w:t>robust safeguards to</w:t>
      </w:r>
      <w:r w:rsidRPr="00165101">
        <w:rPr>
          <w:rFonts w:eastAsia="Helvetica Neue"/>
        </w:rPr>
        <w:t xml:space="preserve"> ensure that women and adolescent girls with disabilities are not coerced into abortions and that informed consent is always received.</w:t>
      </w:r>
      <w:r w:rsidRPr="00B1674C">
        <w:rPr>
          <w:rStyle w:val="EndnoteReference"/>
          <w:rFonts w:eastAsia="Helvetica Neue"/>
        </w:rPr>
        <w:endnoteReference w:id="616"/>
      </w:r>
      <w:r w:rsidRPr="00165101">
        <w:rPr>
          <w:rFonts w:eastAsia="Helvetica Neue"/>
        </w:rPr>
        <w:t xml:space="preserve"> Providers must ensure that all service providers and support staff are trained accordingly to ensure women and adolescent girls with disabilities are making a free and informed choice. Women and adolescent girls with disabilities can be pressured to undergo a procedure or the procedure can be performed without the person’s free and informed consent. This can take place for a variety of reasons, including misconceptions that women with disabilities cannot raise children, concern that a woman with a disability may give birth to a child with a disability, substituted decision-making by the woman’s parents or guardian, or to cover up sexual abuse. Conversely, women or adolescent girls with disabilities may be prevented from accessing a desired abortion, where it is not against the law, due to the prejudiced belief that a woman with a disability cannot make such a decision herself, substituted decision-making by the woman’s parents or guardian. </w:t>
      </w:r>
    </w:p>
    <w:p w14:paraId="6ACF2E35" w14:textId="77777777" w:rsidR="00165101" w:rsidRPr="00165101" w:rsidRDefault="00BC14E7" w:rsidP="006E6012">
      <w:pPr>
        <w:pStyle w:val="ListParagraph"/>
        <w:numPr>
          <w:ilvl w:val="0"/>
          <w:numId w:val="132"/>
        </w:numPr>
        <w:rPr>
          <w:u w:val="single"/>
        </w:rPr>
      </w:pPr>
      <w:r w:rsidRPr="00165101">
        <w:rPr>
          <w:rFonts w:eastAsia="Helvetica Neue"/>
        </w:rPr>
        <w:t xml:space="preserve">Ensure the following </w:t>
      </w:r>
      <w:r w:rsidRPr="00165101">
        <w:rPr>
          <w:rFonts w:eastAsia="Helvetica Neue"/>
          <w:bCs/>
        </w:rPr>
        <w:t>minimum required services</w:t>
      </w:r>
      <w:r w:rsidRPr="00165101">
        <w:rPr>
          <w:rFonts w:eastAsia="Helvetica Neue"/>
        </w:rPr>
        <w:t>, as identified by WHO, are met when women and adolescent girls with disabilities seek abortion services, where it is not against the law:</w:t>
      </w:r>
    </w:p>
    <w:p w14:paraId="69EEB8CE" w14:textId="77777777" w:rsidR="00D110EC" w:rsidRPr="00D110EC" w:rsidRDefault="00BC14E7" w:rsidP="006E6012">
      <w:pPr>
        <w:pStyle w:val="ListParagraph"/>
        <w:numPr>
          <w:ilvl w:val="1"/>
          <w:numId w:val="132"/>
        </w:numPr>
        <w:rPr>
          <w:u w:val="single"/>
        </w:rPr>
      </w:pPr>
      <w:r w:rsidRPr="00165101">
        <w:rPr>
          <w:rFonts w:eastAsia="Helvetica Neue"/>
        </w:rPr>
        <w:lastRenderedPageBreak/>
        <w:t>“[M]</w:t>
      </w:r>
      <w:proofErr w:type="spellStart"/>
      <w:r w:rsidRPr="00165101">
        <w:rPr>
          <w:rFonts w:eastAsia="Helvetica Neue"/>
        </w:rPr>
        <w:t>edically</w:t>
      </w:r>
      <w:proofErr w:type="spellEnd"/>
      <w:r w:rsidRPr="00165101">
        <w:rPr>
          <w:rFonts w:eastAsia="Helvetica Neue"/>
        </w:rPr>
        <w:t xml:space="preserve"> accurate information about abortion [where it is not against the law] in a form the woman can understand and recall, and non-directive counselling if requested by the woman to facilitate informed decision-making;</w:t>
      </w:r>
      <w:r w:rsidR="00165101" w:rsidRPr="00165101">
        <w:rPr>
          <w:rFonts w:eastAsia="Helvetica Neue"/>
        </w:rPr>
        <w:t xml:space="preserve"> </w:t>
      </w:r>
    </w:p>
    <w:p w14:paraId="68650A68" w14:textId="77777777" w:rsidR="00D110EC" w:rsidRPr="00D110EC" w:rsidRDefault="00BC14E7" w:rsidP="006E6012">
      <w:pPr>
        <w:pStyle w:val="ListParagraph"/>
        <w:numPr>
          <w:ilvl w:val="1"/>
          <w:numId w:val="132"/>
        </w:numPr>
        <w:rPr>
          <w:u w:val="single"/>
        </w:rPr>
      </w:pPr>
      <w:r w:rsidRPr="00165101">
        <w:rPr>
          <w:rFonts w:eastAsia="Helvetica Neue"/>
        </w:rPr>
        <w:t xml:space="preserve">abortion services delivered without delay [where it is not against the law]; </w:t>
      </w:r>
    </w:p>
    <w:p w14:paraId="44CDD806" w14:textId="77777777" w:rsidR="00D110EC" w:rsidRPr="00D110EC" w:rsidRDefault="00BC14E7" w:rsidP="006E6012">
      <w:pPr>
        <w:pStyle w:val="ListParagraph"/>
        <w:numPr>
          <w:ilvl w:val="1"/>
          <w:numId w:val="132"/>
        </w:numPr>
        <w:rPr>
          <w:u w:val="single"/>
        </w:rPr>
      </w:pPr>
      <w:r w:rsidRPr="00D110EC">
        <w:rPr>
          <w:rFonts w:eastAsia="Helvetica Neue"/>
        </w:rPr>
        <w:t>timely treatment for abortion complications, including complications from unsafe abortion;</w:t>
      </w:r>
    </w:p>
    <w:p w14:paraId="7D8EBB8C" w14:textId="77777777" w:rsidR="00D110EC" w:rsidRPr="00D110EC" w:rsidRDefault="00BC14E7" w:rsidP="006E6012">
      <w:pPr>
        <w:pStyle w:val="ListParagraph"/>
        <w:numPr>
          <w:ilvl w:val="1"/>
          <w:numId w:val="132"/>
        </w:numPr>
        <w:rPr>
          <w:u w:val="single"/>
        </w:rPr>
      </w:pPr>
      <w:r w:rsidRPr="00D110EC">
        <w:rPr>
          <w:rFonts w:eastAsia="Helvetica Neue"/>
        </w:rPr>
        <w:t>contraception information, services and referrals, to help prevent repeat unintended pregnancy”.</w:t>
      </w:r>
      <w:r w:rsidRPr="00B1674C">
        <w:rPr>
          <w:rStyle w:val="EndnoteReference"/>
          <w:rFonts w:eastAsia="Helvetica Neue"/>
        </w:rPr>
        <w:endnoteReference w:id="617"/>
      </w:r>
    </w:p>
    <w:p w14:paraId="79BA4F81" w14:textId="724403A7" w:rsidR="00DB2DC5" w:rsidRDefault="00BC14E7" w:rsidP="006E6012">
      <w:pPr>
        <w:pStyle w:val="ListParagraph"/>
        <w:numPr>
          <w:ilvl w:val="0"/>
          <w:numId w:val="132"/>
        </w:numPr>
        <w:rPr>
          <w:rFonts w:eastAsia="Helvetica Neue"/>
        </w:rPr>
      </w:pPr>
      <w:r w:rsidRPr="00D110EC">
        <w:rPr>
          <w:rFonts w:eastAsia="Helvetica Neue"/>
        </w:rPr>
        <w:t xml:space="preserve">Provide immediate and unconditional treatment of </w:t>
      </w:r>
      <w:r w:rsidRPr="00D110EC">
        <w:rPr>
          <w:rFonts w:eastAsia="Helvetica Neue"/>
          <w:bCs/>
        </w:rPr>
        <w:t>emergency medical care</w:t>
      </w:r>
      <w:r w:rsidRPr="00D110EC">
        <w:rPr>
          <w:rFonts w:eastAsia="Helvetica Neue"/>
        </w:rPr>
        <w:t>, including post-abortion care, when needed, irrespective of the legal status of abortion and without regard as to the patient’s ability to pay for such services.</w:t>
      </w:r>
      <w:r w:rsidRPr="00B1674C">
        <w:rPr>
          <w:rStyle w:val="EndnoteReference"/>
          <w:rFonts w:eastAsia="Helvetica Neue"/>
        </w:rPr>
        <w:endnoteReference w:id="618"/>
      </w:r>
    </w:p>
    <w:p w14:paraId="1C71D561" w14:textId="297B1C74" w:rsidR="00D110EC" w:rsidRDefault="008304B7" w:rsidP="008304B7">
      <w:pPr>
        <w:pStyle w:val="Heading4"/>
        <w:ind w:hanging="90"/>
        <w:rPr>
          <w:rFonts w:eastAsia="Helvetica Neue"/>
        </w:rPr>
      </w:pPr>
      <w:r w:rsidRPr="00A6697D">
        <w:rPr>
          <w:noProof/>
        </w:rPr>
        <mc:AlternateContent>
          <mc:Choice Requires="wps">
            <w:drawing>
              <wp:inline distT="0" distB="0" distL="0" distR="0" wp14:anchorId="72FF68A7" wp14:editId="4B5EB8B1">
                <wp:extent cx="5943600" cy="0"/>
                <wp:effectExtent l="0" t="38100" r="25400" b="38100"/>
                <wp:docPr id="74" name="Straight Connector 74" descr="Text box follows"/>
                <wp:cNvGraphicFramePr/>
                <a:graphic xmlns:a="http://schemas.openxmlformats.org/drawingml/2006/main">
                  <a:graphicData uri="http://schemas.microsoft.com/office/word/2010/wordprocessingShape">
                    <wps:wsp>
                      <wps:cNvCnPr/>
                      <wps:spPr>
                        <a:xfrm>
                          <a:off x="0" y="0"/>
                          <a:ext cx="5943600" cy="0"/>
                        </a:xfrm>
                        <a:prstGeom prst="line">
                          <a:avLst/>
                        </a:prstGeom>
                        <a:ln w="76200">
                          <a:solidFill>
                            <a:schemeClr val="bg2">
                              <a:lumMod val="50000"/>
                            </a:schemeClr>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7A65AC87" id="Straight Connector 74" o:spid="_x0000_s1026" alt="Text box foll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" strokecolor="#938953 [1614]" strokeweight="6pt">
                <w10:anchorlock/>
              </v:line>
            </w:pict>
          </mc:Fallback>
        </mc:AlternateContent>
      </w:r>
      <w:r>
        <w:rPr>
          <w:rFonts w:eastAsia="Helvetica Neue"/>
          <w:color w:val="948A54" w:themeColor="background2" w:themeShade="80"/>
          <w:sz w:val="32"/>
          <w:szCs w:val="32"/>
        </w:rPr>
        <w:br/>
      </w:r>
      <w:r w:rsidRPr="00A34370">
        <w:rPr>
          <w:rFonts w:eastAsia="Helvetica Neue"/>
          <w:color w:val="948A54" w:themeColor="background2" w:themeShade="80"/>
          <w:sz w:val="16"/>
          <w:szCs w:val="16"/>
        </w:rPr>
        <w:br/>
      </w:r>
      <w:r w:rsidRPr="008304B7">
        <w:rPr>
          <w:rFonts w:eastAsia="Helvetica Neue"/>
          <w:color w:val="948A54" w:themeColor="background2" w:themeShade="80"/>
          <w:sz w:val="32"/>
          <w:szCs w:val="32"/>
        </w:rPr>
        <w:t xml:space="preserve">Putting It into Practice: </w:t>
      </w:r>
      <w:r w:rsidR="00BC14E7" w:rsidRPr="008304B7">
        <w:rPr>
          <w:rFonts w:eastAsia="Helvetica Neue"/>
          <w:color w:val="948A54" w:themeColor="background2" w:themeShade="80"/>
          <w:sz w:val="32"/>
          <w:szCs w:val="32"/>
        </w:rPr>
        <w:t>Improving Breast Cancer Identification</w:t>
      </w:r>
      <w:r w:rsidR="00BC14E7" w:rsidRPr="008304B7">
        <w:rPr>
          <w:rFonts w:eastAsia="Helvetica Neue"/>
          <w:color w:val="948A54" w:themeColor="background2" w:themeShade="80"/>
        </w:rPr>
        <w:t xml:space="preserve"> </w:t>
      </w:r>
    </w:p>
    <w:p w14:paraId="54A81318" w14:textId="418EC03E" w:rsidR="00BC14E7" w:rsidRPr="00A64CBE" w:rsidRDefault="00BC14E7" w:rsidP="00D110EC">
      <w:pPr>
        <w:rPr>
          <w:rFonts w:eastAsia="Helvetica Neue"/>
        </w:rPr>
      </w:pPr>
      <w:proofErr w:type="spellStart"/>
      <w:r w:rsidRPr="00A64CBE">
        <w:rPr>
          <w:rFonts w:eastAsia="Helvetica Neue"/>
        </w:rPr>
        <w:t>DisAbled</w:t>
      </w:r>
      <w:proofErr w:type="spellEnd"/>
      <w:r w:rsidRPr="00A64CBE">
        <w:rPr>
          <w:rFonts w:eastAsia="Helvetica Neue"/>
        </w:rPr>
        <w:t xml:space="preserve"> Women’s Network (DAWN) Canada and the Canadian Breast Cancer Network conducted a review of the research and guidance on breast cancer and women with disabilities, resulting in recommendations around:</w:t>
      </w:r>
    </w:p>
    <w:p w14:paraId="6CFA40B3" w14:textId="77777777" w:rsidR="00D110EC" w:rsidRDefault="00BC14E7" w:rsidP="006E6012">
      <w:pPr>
        <w:pStyle w:val="ListParagraph"/>
        <w:numPr>
          <w:ilvl w:val="0"/>
          <w:numId w:val="133"/>
        </w:numPr>
        <w:rPr>
          <w:rFonts w:eastAsia="Helvetica Neue"/>
        </w:rPr>
      </w:pPr>
      <w:r w:rsidRPr="00D110EC">
        <w:rPr>
          <w:rFonts w:eastAsia="Helvetica Neue"/>
        </w:rPr>
        <w:t>Adapting the physical environment—buildings and equipment.</w:t>
      </w:r>
    </w:p>
    <w:p w14:paraId="3B09B5E8" w14:textId="77777777" w:rsidR="00D110EC" w:rsidRDefault="00BC14E7" w:rsidP="006E6012">
      <w:pPr>
        <w:pStyle w:val="ListParagraph"/>
        <w:numPr>
          <w:ilvl w:val="0"/>
          <w:numId w:val="133"/>
        </w:numPr>
        <w:rPr>
          <w:rFonts w:eastAsia="Helvetica Neue"/>
        </w:rPr>
      </w:pPr>
      <w:r w:rsidRPr="00D110EC">
        <w:rPr>
          <w:rFonts w:eastAsia="Helvetica Neue"/>
        </w:rPr>
        <w:t xml:space="preserve">Adapting or proposing new procedural and practices. For example, patient advocates, support groups, checklists of healthcare providers. </w:t>
      </w:r>
    </w:p>
    <w:p w14:paraId="0C90A201" w14:textId="77777777" w:rsidR="00D110EC" w:rsidRDefault="00BC14E7" w:rsidP="006E6012">
      <w:pPr>
        <w:pStyle w:val="ListParagraph"/>
        <w:numPr>
          <w:ilvl w:val="0"/>
          <w:numId w:val="133"/>
        </w:numPr>
        <w:rPr>
          <w:rFonts w:eastAsia="Helvetica Neue"/>
        </w:rPr>
      </w:pPr>
      <w:r w:rsidRPr="00D110EC">
        <w:rPr>
          <w:rFonts w:eastAsia="Helvetica Neue"/>
        </w:rPr>
        <w:t>Developing women-centred disability sensitivity training for healthcare providers.</w:t>
      </w:r>
    </w:p>
    <w:p w14:paraId="40EDA026" w14:textId="77777777" w:rsidR="00D110EC" w:rsidRDefault="00BC14E7" w:rsidP="006E6012">
      <w:pPr>
        <w:pStyle w:val="ListParagraph"/>
        <w:numPr>
          <w:ilvl w:val="0"/>
          <w:numId w:val="133"/>
        </w:numPr>
        <w:rPr>
          <w:rFonts w:eastAsia="Helvetica Neue"/>
        </w:rPr>
      </w:pPr>
      <w:r w:rsidRPr="00D110EC">
        <w:rPr>
          <w:rFonts w:eastAsia="Helvetica Neue"/>
        </w:rPr>
        <w:t>Conducting outreach and health/breast cancer awareness and promotion to women with disabilities.</w:t>
      </w:r>
    </w:p>
    <w:p w14:paraId="53724A8E" w14:textId="7B3F27FA" w:rsidR="00BC14E7" w:rsidRPr="00D110EC" w:rsidRDefault="00BC14E7" w:rsidP="006E6012">
      <w:pPr>
        <w:pStyle w:val="ListParagraph"/>
        <w:numPr>
          <w:ilvl w:val="0"/>
          <w:numId w:val="133"/>
        </w:numPr>
        <w:rPr>
          <w:rFonts w:eastAsia="Helvetica Neue"/>
        </w:rPr>
      </w:pPr>
      <w:r w:rsidRPr="00D110EC">
        <w:rPr>
          <w:rFonts w:eastAsia="Helvetica Neue"/>
        </w:rPr>
        <w:t xml:space="preserve">Establishing policy recommendations and reforms. For example, making accessibility a requirement for accreditation for healthcare facilities or adopting national guidelines for cancer screenings that address access for persons with disabilities. </w:t>
      </w:r>
    </w:p>
    <w:p w14:paraId="62A317F4" w14:textId="77777777" w:rsidR="00BC14E7" w:rsidRPr="00A64CBE" w:rsidRDefault="00BC14E7" w:rsidP="00D110EC">
      <w:pPr>
        <w:rPr>
          <w:rFonts w:eastAsia="Helvetica Neue"/>
        </w:rPr>
      </w:pPr>
      <w:r w:rsidRPr="00A64CBE">
        <w:rPr>
          <w:rFonts w:eastAsia="Helvetica Neue"/>
        </w:rPr>
        <w:t>The review also identified useful resources and training materials to advance reforms in breast cancer screenings for women with disabilities.</w:t>
      </w:r>
      <w:r w:rsidRPr="00B1674C">
        <w:rPr>
          <w:rStyle w:val="EndnoteReference"/>
          <w:rFonts w:eastAsia="Helvetica Neue"/>
        </w:rPr>
        <w:endnoteReference w:id="619"/>
      </w:r>
      <w:r w:rsidRPr="00A64CBE">
        <w:rPr>
          <w:rFonts w:eastAsia="Helvetica Neue"/>
        </w:rPr>
        <w:t xml:space="preserve"> </w:t>
      </w:r>
    </w:p>
    <w:p w14:paraId="33F90D33" w14:textId="2CEA6968" w:rsidR="008304B7" w:rsidRDefault="008304B7" w:rsidP="008304B7">
      <w:pPr>
        <w:ind w:hanging="90"/>
      </w:pPr>
      <w:r w:rsidRPr="00A6697D">
        <w:rPr>
          <w:noProof/>
        </w:rPr>
        <mc:AlternateContent>
          <mc:Choice Requires="wps">
            <w:drawing>
              <wp:inline distT="0" distB="0" distL="0" distR="0" wp14:anchorId="37DA84E3" wp14:editId="51E631E5">
                <wp:extent cx="5943600" cy="0"/>
                <wp:effectExtent l="0" t="12700" r="25400" b="25400"/>
                <wp:docPr id="75" name="Straight Connector 75" descr="Text box ends"/>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chemeClr val="bg2">
                              <a:lumMod val="50000"/>
                            </a:schemeClr>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06C4F64E" id="Straight Connector 75" o:spid="_x0000_s1026" alt="Text box end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" strokecolor="#938953 [1614]" strokeweight="3pt">
                <w10:anchorlock/>
              </v:line>
            </w:pict>
          </mc:Fallback>
        </mc:AlternateContent>
      </w:r>
    </w:p>
    <w:p w14:paraId="148E4C4A" w14:textId="0BE0390B" w:rsidR="00BC14E7" w:rsidRPr="00A64CBE" w:rsidRDefault="00BC14E7" w:rsidP="00D110EC">
      <w:pPr>
        <w:pStyle w:val="Heading3"/>
      </w:pPr>
      <w:r w:rsidRPr="00A64CBE">
        <w:t>4.7.3</w:t>
      </w:r>
      <w:r w:rsidRPr="00A64CBE">
        <w:tab/>
        <w:t xml:space="preserve">Indicators </w:t>
      </w:r>
    </w:p>
    <w:p w14:paraId="205D9837" w14:textId="75E37DA0" w:rsidR="00BC14E7" w:rsidRPr="00D110EC" w:rsidRDefault="00BC14E7" w:rsidP="00D110EC">
      <w:pPr>
        <w:rPr>
          <w:rFonts w:eastAsia="Helvetica Neue"/>
        </w:rPr>
      </w:pPr>
      <w:r w:rsidRPr="00A64CBE">
        <w:rPr>
          <w:rFonts w:eastAsia="Helvetica Neue"/>
        </w:rPr>
        <w:t>The following are illustrative of indicators that can be used to monitor and evaluate progress in the provision of rights-based health services for women and adolescent girls with disabilities. This is not an exhaustive list, but rather a few examples demonstrating the level of specificity, subjects, and form that indicators for women’s health services should take. Service providers should tailor the indicators to fit their programme settings and levels, including by specifying at which level and by whom indicator data should be collected. </w:t>
      </w:r>
    </w:p>
    <w:p w14:paraId="68FC6421" w14:textId="77777777" w:rsidR="00D110EC" w:rsidRPr="00D110EC" w:rsidRDefault="00BC14E7" w:rsidP="006E6012">
      <w:pPr>
        <w:pStyle w:val="ListParagraph"/>
        <w:numPr>
          <w:ilvl w:val="0"/>
          <w:numId w:val="134"/>
        </w:numPr>
        <w:rPr>
          <w:b/>
        </w:rPr>
      </w:pPr>
      <w:r w:rsidRPr="00D110EC">
        <w:rPr>
          <w:rFonts w:eastAsia="Helvetica Neue"/>
        </w:rPr>
        <w:lastRenderedPageBreak/>
        <w:t>Sexual and reproductive health services for women and adolescent girls with disabilities are included in the curriculum for pre-service and in-service training of healthcare service providers and social service providers.</w:t>
      </w:r>
    </w:p>
    <w:p w14:paraId="7F8C17BC" w14:textId="77777777" w:rsidR="00D110EC" w:rsidRPr="00D110EC" w:rsidRDefault="00BC14E7" w:rsidP="006E6012">
      <w:pPr>
        <w:pStyle w:val="ListParagraph"/>
        <w:numPr>
          <w:ilvl w:val="0"/>
          <w:numId w:val="134"/>
        </w:numPr>
        <w:rPr>
          <w:b/>
        </w:rPr>
      </w:pPr>
      <w:r w:rsidRPr="00D110EC">
        <w:rPr>
          <w:rFonts w:eastAsia="Helvetica Neue"/>
        </w:rPr>
        <w:t xml:space="preserve">Breast, uterine, pelvic, and cervical cancer identification protocols explicitly include women and adolescent girls with disabilities. </w:t>
      </w:r>
    </w:p>
    <w:p w14:paraId="018C92C8" w14:textId="77777777" w:rsidR="00D110EC" w:rsidRPr="00D110EC" w:rsidRDefault="00BC14E7" w:rsidP="006E6012">
      <w:pPr>
        <w:pStyle w:val="ListParagraph"/>
        <w:numPr>
          <w:ilvl w:val="0"/>
          <w:numId w:val="134"/>
        </w:numPr>
        <w:rPr>
          <w:b/>
        </w:rPr>
      </w:pPr>
      <w:r w:rsidRPr="00D110EC">
        <w:rPr>
          <w:rFonts w:eastAsia="Helvetica Neue"/>
        </w:rPr>
        <w:t xml:space="preserve">Healthcare facility has accessible mammogram and ultrasound machines or access to them. </w:t>
      </w:r>
    </w:p>
    <w:p w14:paraId="186C7F27" w14:textId="77777777" w:rsidR="00D110EC" w:rsidRPr="00D110EC" w:rsidRDefault="00BC14E7" w:rsidP="006E6012">
      <w:pPr>
        <w:pStyle w:val="ListParagraph"/>
        <w:numPr>
          <w:ilvl w:val="0"/>
          <w:numId w:val="134"/>
        </w:numPr>
        <w:rPr>
          <w:b/>
        </w:rPr>
      </w:pPr>
      <w:r w:rsidRPr="00D110EC">
        <w:rPr>
          <w:rFonts w:eastAsia="Helvetica Neue"/>
        </w:rPr>
        <w:t xml:space="preserve">Healthcare facility has an accessibility needs identification protocol to establish patient’s accessibility needs and inform the provider of these needs before the patient arrives at the appointment. </w:t>
      </w:r>
    </w:p>
    <w:p w14:paraId="3C9D767F" w14:textId="14EC5B8E" w:rsidR="00BC14E7" w:rsidRPr="008304B7" w:rsidRDefault="00BC14E7" w:rsidP="008304B7">
      <w:pPr>
        <w:pStyle w:val="ListParagraph"/>
        <w:numPr>
          <w:ilvl w:val="0"/>
          <w:numId w:val="134"/>
        </w:numPr>
        <w:rPr>
          <w:b/>
        </w:rPr>
      </w:pPr>
      <w:r w:rsidRPr="00D110EC">
        <w:rPr>
          <w:rFonts w:eastAsia="Helvetica Neue"/>
        </w:rPr>
        <w:t>Women and adolescent girls with disabilities have correct knowledge of the legal status of abortion.</w:t>
      </w:r>
      <w:r w:rsidRPr="00B1674C">
        <w:rPr>
          <w:rStyle w:val="EndnoteReference"/>
          <w:rFonts w:eastAsia="Helvetica Neue"/>
        </w:rPr>
        <w:endnoteReference w:id="620"/>
      </w:r>
    </w:p>
    <w:p w14:paraId="1179DC2E" w14:textId="33575F48" w:rsidR="00BC14E7" w:rsidRPr="00D110EC" w:rsidRDefault="00BC14E7" w:rsidP="00D110EC">
      <w:pPr>
        <w:pStyle w:val="Heading2"/>
        <w:spacing w:before="480" w:after="120"/>
        <w:ind w:left="547" w:right="-180" w:hanging="547"/>
      </w:pPr>
      <w:bookmarkStart w:id="29" w:name="SRHRyouth"/>
      <w:r w:rsidRPr="00A64CBE">
        <w:t xml:space="preserve">4.8 </w:t>
      </w:r>
      <w:bookmarkEnd w:id="29"/>
      <w:r w:rsidRPr="00A64CBE">
        <w:t>Adolescent and Youth with Disabilities’ Access to Health Information and Services</w:t>
      </w:r>
    </w:p>
    <w:p w14:paraId="2CFBC133" w14:textId="1556C4FA" w:rsidR="00BC14E7" w:rsidRPr="00D110EC" w:rsidRDefault="00BC14E7" w:rsidP="008304B7">
      <w:pPr>
        <w:pStyle w:val="Heading3"/>
      </w:pPr>
      <w:r w:rsidRPr="00A64CBE">
        <w:t>4.8.1</w:t>
      </w:r>
      <w:r w:rsidRPr="00A64CBE">
        <w:tab/>
        <w:t xml:space="preserve">Issue </w:t>
      </w:r>
      <w:r w:rsidRPr="008304B7">
        <w:t>Overview</w:t>
      </w:r>
      <w:r w:rsidRPr="00A64CBE">
        <w:t xml:space="preserve"> </w:t>
      </w:r>
    </w:p>
    <w:p w14:paraId="26C4E0B9" w14:textId="3CCF5B13" w:rsidR="00BC14E7" w:rsidRPr="00D110EC" w:rsidRDefault="00BC14E7" w:rsidP="00D110EC">
      <w:pPr>
        <w:rPr>
          <w:rFonts w:eastAsia="Helvetica Neue"/>
        </w:rPr>
      </w:pPr>
      <w:r w:rsidRPr="00A64CBE">
        <w:rPr>
          <w:rFonts w:eastAsia="Helvetica Neue"/>
        </w:rPr>
        <w:t xml:space="preserve">The period between ages 10 and 24 is a pivotal time of development for any person, and no less so for those with disabilities. During that period, adolescent girls and boys experience puberty and go through significant physical, mental, and emotional changes. To fully realize the </w:t>
      </w:r>
      <w:r>
        <w:rPr>
          <w:rFonts w:eastAsia="Helvetica Neue"/>
        </w:rPr>
        <w:t>SRHR</w:t>
      </w:r>
      <w:r w:rsidRPr="00A64CBE">
        <w:rPr>
          <w:rFonts w:eastAsia="Helvetica Neue"/>
        </w:rPr>
        <w:t xml:space="preserve"> of young </w:t>
      </w:r>
      <w:r>
        <w:rPr>
          <w:rFonts w:eastAsia="Helvetica Neue"/>
        </w:rPr>
        <w:t>persons</w:t>
      </w:r>
      <w:r w:rsidRPr="00A64CBE">
        <w:rPr>
          <w:rFonts w:eastAsia="Helvetica Neue"/>
        </w:rPr>
        <w:t xml:space="preserve"> with disabilities on an equal basis with young </w:t>
      </w:r>
      <w:r>
        <w:rPr>
          <w:rFonts w:eastAsia="Helvetica Neue"/>
        </w:rPr>
        <w:t>persons</w:t>
      </w:r>
      <w:r w:rsidRPr="00A64CBE">
        <w:rPr>
          <w:rFonts w:eastAsia="Helvetica Neue"/>
        </w:rPr>
        <w:t xml:space="preserve"> without disabilities, services must be tailored to their health and developmental needs. This requires adolescents and youth with and without disabilities to have access to age- and developmentally-appropriate </w:t>
      </w:r>
      <w:r w:rsidRPr="006E3A60">
        <w:rPr>
          <w:rFonts w:eastAsia="Helvetica Neue"/>
        </w:rPr>
        <w:t>gender- and disability-sensitive education and information and young person-friendly services. Essential information and services include CSE; contraceptive information, counselling, goods, and services; STI information, counselling, testing, and treatment; maternal and newborn health services; and access to safe abortion services (where legal); and post-abortion care.</w:t>
      </w:r>
      <w:r w:rsidRPr="00A64CBE">
        <w:rPr>
          <w:rFonts w:eastAsia="Helvetica Neue"/>
        </w:rPr>
        <w:t xml:space="preserve"> </w:t>
      </w:r>
    </w:p>
    <w:p w14:paraId="676132BD" w14:textId="79E5C0D7" w:rsidR="00BC14E7" w:rsidRPr="00D110EC" w:rsidRDefault="00BC14E7" w:rsidP="00D110EC">
      <w:pPr>
        <w:rPr>
          <w:rFonts w:eastAsia="Helvetica Neue"/>
        </w:rPr>
      </w:pPr>
      <w:r w:rsidRPr="00A64CBE">
        <w:rPr>
          <w:rFonts w:eastAsia="Helvetica Neue"/>
        </w:rPr>
        <w:t xml:space="preserve">Adolescents and youth with disabilities are just as likely to be sexually active as their peers without disabilities, yet they face significant barriers to accessing these essential services. Not only does this deny adolescents and youth with disabilities the information necessary to keep themselves healthy and to foster the development of safe and healthy relationships, but it also communicates to </w:t>
      </w:r>
      <w:r>
        <w:rPr>
          <w:rFonts w:eastAsia="Helvetica Neue"/>
        </w:rPr>
        <w:t>persons</w:t>
      </w:r>
      <w:r w:rsidRPr="00A64CBE">
        <w:rPr>
          <w:rFonts w:eastAsia="Helvetica Neue"/>
        </w:rPr>
        <w:t xml:space="preserve"> with disabilities at a young age that their community does not prioritize investing in them. </w:t>
      </w:r>
    </w:p>
    <w:p w14:paraId="16E464E3" w14:textId="77777777" w:rsidR="00BC14E7" w:rsidRPr="00A64CBE" w:rsidRDefault="00BC14E7" w:rsidP="00D110EC">
      <w:pPr>
        <w:pStyle w:val="Heading3"/>
        <w:ind w:left="747" w:hanging="747"/>
      </w:pPr>
      <w:r w:rsidRPr="00A64CBE">
        <w:t>4.8.2</w:t>
      </w:r>
      <w:r w:rsidRPr="00A64CBE">
        <w:tab/>
        <w:t xml:space="preserve">Guidelines on Providing </w:t>
      </w:r>
      <w:r w:rsidRPr="00D110EC">
        <w:t>Adolescent</w:t>
      </w:r>
      <w:r w:rsidRPr="00A64CBE">
        <w:t xml:space="preserve">- and Youth-Friendly Rights-Based SRHR Services to Young </w:t>
      </w:r>
      <w:r>
        <w:t>Persons</w:t>
      </w:r>
      <w:r w:rsidRPr="00A64CBE">
        <w:t xml:space="preserve"> with Disabilities</w:t>
      </w:r>
    </w:p>
    <w:p w14:paraId="21486262" w14:textId="77777777" w:rsidR="00BC14E7" w:rsidRPr="00A64CBE" w:rsidRDefault="00BC14E7" w:rsidP="00D110EC">
      <w:pPr>
        <w:rPr>
          <w:rFonts w:eastAsia="Helvetica Neue"/>
        </w:rPr>
      </w:pPr>
      <w:r w:rsidRPr="00A64CBE">
        <w:rPr>
          <w:rFonts w:eastAsia="Helvetica Neue"/>
        </w:rPr>
        <w:t xml:space="preserve">The key considerations enumerated here identify common barriers that young </w:t>
      </w:r>
      <w:r>
        <w:rPr>
          <w:rFonts w:eastAsia="Helvetica Neue"/>
        </w:rPr>
        <w:t>persons</w:t>
      </w:r>
      <w:r w:rsidRPr="00A64CBE">
        <w:rPr>
          <w:rFonts w:eastAsia="Helvetica Neue"/>
        </w:rPr>
        <w:t xml:space="preserve"> with disabilities encounter in accessing essential SRHR services. The guidelines for action offer guidance for ensuring that rights-based services tailored to the specific needs and considerations of young </w:t>
      </w:r>
      <w:r>
        <w:rPr>
          <w:rFonts w:eastAsia="Helvetica Neue"/>
        </w:rPr>
        <w:t>persons</w:t>
      </w:r>
      <w:r w:rsidRPr="00A64CBE">
        <w:rPr>
          <w:rFonts w:eastAsia="Helvetica Neue"/>
        </w:rPr>
        <w:t xml:space="preserve"> with disabilities are available, accessible, acceptable and of good quality. These guidelines for action build on the Foundational Guidelines for Action </w:t>
      </w:r>
      <w:r w:rsidRPr="00A64CBE">
        <w:rPr>
          <w:rFonts w:eastAsia="Helvetica Neue"/>
        </w:rPr>
        <w:lastRenderedPageBreak/>
        <w:t xml:space="preserve">identified </w:t>
      </w:r>
      <w:r w:rsidRPr="006E3A60">
        <w:rPr>
          <w:rFonts w:eastAsia="Helvetica Neue"/>
        </w:rPr>
        <w:t xml:space="preserve">in </w:t>
      </w:r>
      <w:r w:rsidRPr="006E3A60">
        <w:rPr>
          <w:rFonts w:eastAsia="Helvetica Neue"/>
          <w:b/>
        </w:rPr>
        <w:t>Chapter 2</w:t>
      </w:r>
      <w:r w:rsidRPr="006E3A60">
        <w:rPr>
          <w:rFonts w:eastAsia="Helvetica Neue"/>
        </w:rPr>
        <w:t xml:space="preserve"> and are not exhaustive but provide a starting point for developing disability-inclusive services</w:t>
      </w:r>
      <w:r w:rsidRPr="00A64CBE">
        <w:rPr>
          <w:rFonts w:eastAsia="Helvetica Neue"/>
        </w:rPr>
        <w:t xml:space="preserve"> and programmes.</w:t>
      </w:r>
    </w:p>
    <w:p w14:paraId="09A0880B" w14:textId="3D93DD62" w:rsidR="00D110EC" w:rsidRDefault="008304B7" w:rsidP="008304B7">
      <w:pPr>
        <w:pStyle w:val="Heading4"/>
        <w:ind w:hanging="90"/>
        <w:rPr>
          <w:rFonts w:eastAsia="Helvetica Neue"/>
        </w:rPr>
      </w:pPr>
      <w:r w:rsidRPr="00B92BF0">
        <w:rPr>
          <w:noProof/>
          <w:color w:val="943634" w:themeColor="accent2" w:themeShade="BF"/>
        </w:rPr>
        <mc:AlternateContent>
          <mc:Choice Requires="wps">
            <w:drawing>
              <wp:inline distT="0" distB="0" distL="0" distR="0" wp14:anchorId="41C92E10" wp14:editId="6CA0C660">
                <wp:extent cx="5943600" cy="0"/>
                <wp:effectExtent l="0" t="38100" r="25400" b="38100"/>
                <wp:docPr id="77" name="Straight Connector 77" descr="Text box follows"/>
                <wp:cNvGraphicFramePr/>
                <a:graphic xmlns:a="http://schemas.openxmlformats.org/drawingml/2006/main">
                  <a:graphicData uri="http://schemas.microsoft.com/office/word/2010/wordprocessingShape">
                    <wps:wsp>
                      <wps:cNvCnPr/>
                      <wps:spPr>
                        <a:xfrm>
                          <a:off x="0" y="0"/>
                          <a:ext cx="5943600" cy="0"/>
                        </a:xfrm>
                        <a:prstGeom prst="line">
                          <a:avLst/>
                        </a:prstGeom>
                        <a:ln w="76200">
                          <a:solidFill>
                            <a:schemeClr val="accent6">
                              <a:lumMod val="75000"/>
                            </a:schemeClr>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091862E4" id="Straight Connector 77" o:spid="_x0000_s1026" alt="Text box foll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" strokecolor="#e36c0a [2409]" strokeweight="6pt">
                <w10:anchorlock/>
              </v:line>
            </w:pict>
          </mc:Fallback>
        </mc:AlternateContent>
      </w:r>
      <w:r>
        <w:rPr>
          <w:noProof/>
          <w:color w:val="943634" w:themeColor="accent2" w:themeShade="BF"/>
        </w:rPr>
        <w:br/>
      </w:r>
      <w:r w:rsidRPr="008304B7">
        <w:rPr>
          <w:noProof/>
          <w:color w:val="943634" w:themeColor="accent2" w:themeShade="BF"/>
          <w:sz w:val="16"/>
          <w:szCs w:val="16"/>
        </w:rPr>
        <w:br/>
      </w:r>
      <w:r w:rsidRPr="008304B7">
        <w:rPr>
          <w:noProof/>
          <w:color w:val="E36C0A" w:themeColor="accent6" w:themeShade="BF"/>
          <w:sz w:val="32"/>
          <w:szCs w:val="32"/>
        </w:rPr>
        <w:t>Spotlight Issue—</w:t>
      </w:r>
      <w:r w:rsidR="00BC14E7" w:rsidRPr="008304B7">
        <w:rPr>
          <w:rFonts w:eastAsia="Helvetica Neue"/>
          <w:color w:val="E36C0A" w:themeColor="accent6" w:themeShade="BF"/>
          <w:sz w:val="32"/>
          <w:szCs w:val="32"/>
        </w:rPr>
        <w:t>Understanding Adolescence and Youth</w:t>
      </w:r>
      <w:r w:rsidR="00BC14E7" w:rsidRPr="008304B7">
        <w:rPr>
          <w:rFonts w:eastAsia="Helvetica Neue"/>
          <w:color w:val="E36C0A" w:themeColor="accent6" w:themeShade="BF"/>
        </w:rPr>
        <w:t xml:space="preserve">  </w:t>
      </w:r>
    </w:p>
    <w:p w14:paraId="382DF40C" w14:textId="271271B2" w:rsidR="00BC14E7" w:rsidRPr="00A64CBE" w:rsidRDefault="00BC14E7" w:rsidP="00D110EC">
      <w:pPr>
        <w:rPr>
          <w:rFonts w:eastAsia="Helvetica Neue"/>
        </w:rPr>
      </w:pPr>
      <w:r w:rsidRPr="00A64CBE">
        <w:rPr>
          <w:rFonts w:eastAsia="Helvetica Neue"/>
        </w:rPr>
        <w:t xml:space="preserve">Different stages of adolescence and youth development raise specific vulnerabilities for adolescent girls and boys, both with and without disabilities. Service providers and support staff must be cognizant of these age- and development-specific vulnerabilities and ensure that young </w:t>
      </w:r>
      <w:r>
        <w:rPr>
          <w:rFonts w:eastAsia="Helvetica Neue"/>
        </w:rPr>
        <w:t>persons</w:t>
      </w:r>
      <w:r w:rsidRPr="00A64CBE">
        <w:rPr>
          <w:rFonts w:eastAsia="Helvetica Neue"/>
        </w:rPr>
        <w:t xml:space="preserve"> with disabilities are included in programming addressing these issues. The following list of vulnerabilities is drawn from UNFPA’s </w:t>
      </w:r>
      <w:r w:rsidRPr="0018197A">
        <w:rPr>
          <w:rFonts w:eastAsia="Helvetica Neue"/>
          <w:b/>
        </w:rPr>
        <w:t>‘</w:t>
      </w:r>
      <w:r w:rsidRPr="00A64CBE">
        <w:rPr>
          <w:rFonts w:eastAsia="Helvetica Neue"/>
          <w:b/>
        </w:rPr>
        <w:t>Adolescent Boys and Young Men’</w:t>
      </w:r>
      <w:r w:rsidRPr="00A64CBE">
        <w:rPr>
          <w:rFonts w:eastAsia="Helvetica Neue"/>
        </w:rPr>
        <w:t xml:space="preserve"> publication:</w:t>
      </w:r>
      <w:r w:rsidRPr="00B1674C">
        <w:rPr>
          <w:rStyle w:val="EndnoteReference"/>
          <w:rFonts w:eastAsia="Helvetica Neue"/>
        </w:rPr>
        <w:endnoteReference w:id="621"/>
      </w:r>
    </w:p>
    <w:p w14:paraId="2E7A7846" w14:textId="77777777" w:rsidR="00BC14E7" w:rsidRPr="00D110EC" w:rsidRDefault="00BC14E7" w:rsidP="00D110EC">
      <w:pPr>
        <w:rPr>
          <w:rStyle w:val="Bold"/>
        </w:rPr>
      </w:pPr>
      <w:r w:rsidRPr="00D110EC">
        <w:rPr>
          <w:rStyle w:val="Bold"/>
        </w:rPr>
        <w:t>Early Adolescence: Ages 10-14</w:t>
      </w:r>
    </w:p>
    <w:p w14:paraId="2B64E109" w14:textId="77777777" w:rsidR="00BC14E7" w:rsidRPr="00A64CBE" w:rsidRDefault="00BC14E7" w:rsidP="006E6012">
      <w:pPr>
        <w:pStyle w:val="ListParagraph"/>
        <w:numPr>
          <w:ilvl w:val="0"/>
          <w:numId w:val="135"/>
        </w:numPr>
        <w:spacing w:before="60" w:after="60"/>
      </w:pPr>
      <w:r w:rsidRPr="00D110EC">
        <w:rPr>
          <w:rFonts w:eastAsia="Helvetica Neue"/>
        </w:rPr>
        <w:t>Gender-based violence and bullying (girls and boys)</w:t>
      </w:r>
    </w:p>
    <w:p w14:paraId="5819D44F" w14:textId="77777777" w:rsidR="00BC14E7" w:rsidRPr="00A64CBE" w:rsidRDefault="00BC14E7" w:rsidP="006E6012">
      <w:pPr>
        <w:pStyle w:val="ListParagraph"/>
        <w:numPr>
          <w:ilvl w:val="0"/>
          <w:numId w:val="135"/>
        </w:numPr>
        <w:spacing w:before="60" w:after="60"/>
      </w:pPr>
      <w:r w:rsidRPr="00D110EC">
        <w:rPr>
          <w:rFonts w:eastAsia="Helvetica Neue"/>
        </w:rPr>
        <w:t>Unintended and unplanned pregnancy (girls)</w:t>
      </w:r>
    </w:p>
    <w:p w14:paraId="71F2C3D2" w14:textId="77777777" w:rsidR="00BC14E7" w:rsidRPr="00A64CBE" w:rsidRDefault="00BC14E7" w:rsidP="006E6012">
      <w:pPr>
        <w:pStyle w:val="ListParagraph"/>
        <w:numPr>
          <w:ilvl w:val="0"/>
          <w:numId w:val="135"/>
        </w:numPr>
        <w:spacing w:before="60" w:after="60"/>
      </w:pPr>
      <w:r w:rsidRPr="00D110EC">
        <w:rPr>
          <w:rFonts w:eastAsia="Helvetica Neue"/>
        </w:rPr>
        <w:t>Unsafe abortion (girls)</w:t>
      </w:r>
    </w:p>
    <w:p w14:paraId="094F496D" w14:textId="77777777" w:rsidR="00BC14E7" w:rsidRPr="00A64CBE" w:rsidRDefault="00BC14E7" w:rsidP="006E6012">
      <w:pPr>
        <w:pStyle w:val="ListParagraph"/>
        <w:numPr>
          <w:ilvl w:val="0"/>
          <w:numId w:val="135"/>
        </w:numPr>
        <w:spacing w:before="60" w:after="60"/>
      </w:pPr>
      <w:r w:rsidRPr="00D110EC">
        <w:rPr>
          <w:rFonts w:eastAsia="Helvetica Neue"/>
        </w:rPr>
        <w:t>Harmful practices (girls)</w:t>
      </w:r>
    </w:p>
    <w:p w14:paraId="41C09112" w14:textId="77777777" w:rsidR="00BC14E7" w:rsidRPr="00A64CBE" w:rsidRDefault="00BC14E7" w:rsidP="006E6012">
      <w:pPr>
        <w:pStyle w:val="ListParagraph"/>
        <w:numPr>
          <w:ilvl w:val="0"/>
          <w:numId w:val="135"/>
        </w:numPr>
        <w:spacing w:before="60" w:after="60"/>
      </w:pPr>
      <w:r w:rsidRPr="00D110EC">
        <w:rPr>
          <w:rFonts w:eastAsia="Helvetica Neue"/>
        </w:rPr>
        <w:t>Peer pressure to become sexually active or abstain from condoms (boys)</w:t>
      </w:r>
    </w:p>
    <w:p w14:paraId="138A3B67" w14:textId="77777777" w:rsidR="00BC14E7" w:rsidRPr="00A64CBE" w:rsidRDefault="00BC14E7" w:rsidP="006E6012">
      <w:pPr>
        <w:pStyle w:val="ListParagraph"/>
        <w:numPr>
          <w:ilvl w:val="0"/>
          <w:numId w:val="135"/>
        </w:numPr>
        <w:spacing w:before="60" w:after="60"/>
      </w:pPr>
      <w:r w:rsidRPr="00D110EC">
        <w:rPr>
          <w:rFonts w:eastAsia="Helvetica Neue"/>
        </w:rPr>
        <w:t>Taboos in seeking health services (boys)</w:t>
      </w:r>
    </w:p>
    <w:p w14:paraId="3915AC6B" w14:textId="77777777" w:rsidR="00BC14E7" w:rsidRPr="00A64CBE" w:rsidRDefault="00BC14E7" w:rsidP="006E6012">
      <w:pPr>
        <w:pStyle w:val="ListParagraph"/>
        <w:numPr>
          <w:ilvl w:val="0"/>
          <w:numId w:val="135"/>
        </w:numPr>
        <w:spacing w:before="60" w:after="60"/>
      </w:pPr>
      <w:r w:rsidRPr="00D110EC">
        <w:rPr>
          <w:rFonts w:eastAsia="Helvetica Neue"/>
        </w:rPr>
        <w:t>Recruitment in violent male peer groups (boys)</w:t>
      </w:r>
    </w:p>
    <w:p w14:paraId="0F846216" w14:textId="77777777" w:rsidR="00BC14E7" w:rsidRPr="00A64CBE" w:rsidRDefault="00BC14E7" w:rsidP="006E6012">
      <w:pPr>
        <w:pStyle w:val="ListParagraph"/>
        <w:numPr>
          <w:ilvl w:val="0"/>
          <w:numId w:val="135"/>
        </w:numPr>
        <w:spacing w:before="60" w:after="60"/>
      </w:pPr>
      <w:r w:rsidRPr="00D110EC">
        <w:rPr>
          <w:rFonts w:eastAsia="Helvetica Neue"/>
        </w:rPr>
        <w:t>No access to SRHR information and service (girls and boys)</w:t>
      </w:r>
    </w:p>
    <w:p w14:paraId="58D9E4DA" w14:textId="77777777" w:rsidR="00BC14E7" w:rsidRPr="00D110EC" w:rsidRDefault="00BC14E7" w:rsidP="008304B7">
      <w:pPr>
        <w:spacing w:before="360"/>
        <w:rPr>
          <w:rStyle w:val="Bold"/>
        </w:rPr>
      </w:pPr>
      <w:r w:rsidRPr="00D110EC">
        <w:rPr>
          <w:rStyle w:val="Bold"/>
        </w:rPr>
        <w:t>Mid-Adolescence: Ages 15-19</w:t>
      </w:r>
    </w:p>
    <w:p w14:paraId="3A2D5E48" w14:textId="77777777" w:rsidR="00BC14E7" w:rsidRPr="00A64CBE" w:rsidRDefault="00BC14E7" w:rsidP="006E6012">
      <w:pPr>
        <w:pStyle w:val="ListParagraph"/>
        <w:numPr>
          <w:ilvl w:val="0"/>
          <w:numId w:val="136"/>
        </w:numPr>
        <w:spacing w:before="60" w:after="60"/>
      </w:pPr>
      <w:r w:rsidRPr="00D110EC">
        <w:rPr>
          <w:rFonts w:eastAsia="Helvetica Neue"/>
        </w:rPr>
        <w:t>Pressure to embody stereotypical gender roles (submissive for female, dominant for males) (girls and boys)</w:t>
      </w:r>
    </w:p>
    <w:p w14:paraId="7986B6E3" w14:textId="77777777" w:rsidR="00BC14E7" w:rsidRPr="00A64CBE" w:rsidRDefault="00BC14E7" w:rsidP="006E6012">
      <w:pPr>
        <w:pStyle w:val="ListParagraph"/>
        <w:numPr>
          <w:ilvl w:val="0"/>
          <w:numId w:val="136"/>
        </w:numPr>
        <w:spacing w:before="60" w:after="60"/>
      </w:pPr>
      <w:r w:rsidRPr="00D110EC">
        <w:rPr>
          <w:rFonts w:eastAsia="Helvetica Neue"/>
        </w:rPr>
        <w:t xml:space="preserve">Gender-based violence (girls and boys) </w:t>
      </w:r>
    </w:p>
    <w:p w14:paraId="40230E49" w14:textId="77777777" w:rsidR="00BC14E7" w:rsidRPr="00A64CBE" w:rsidRDefault="00BC14E7" w:rsidP="006E6012">
      <w:pPr>
        <w:pStyle w:val="ListParagraph"/>
        <w:numPr>
          <w:ilvl w:val="0"/>
          <w:numId w:val="136"/>
        </w:numPr>
        <w:spacing w:before="60" w:after="60"/>
      </w:pPr>
      <w:r w:rsidRPr="00D110EC">
        <w:rPr>
          <w:rFonts w:eastAsia="Helvetica Neue"/>
        </w:rPr>
        <w:t>Unintended and unplanned pregnancy (girls and boys)</w:t>
      </w:r>
    </w:p>
    <w:p w14:paraId="1BE7EF0C" w14:textId="77777777" w:rsidR="00BC14E7" w:rsidRPr="00A64CBE" w:rsidRDefault="00BC14E7" w:rsidP="006E6012">
      <w:pPr>
        <w:pStyle w:val="ListParagraph"/>
        <w:numPr>
          <w:ilvl w:val="0"/>
          <w:numId w:val="136"/>
        </w:numPr>
        <w:spacing w:before="60" w:after="60"/>
      </w:pPr>
      <w:r w:rsidRPr="00D110EC">
        <w:rPr>
          <w:rFonts w:eastAsia="Helvetica Neue"/>
        </w:rPr>
        <w:t>Unsafe abortion (girls)</w:t>
      </w:r>
    </w:p>
    <w:p w14:paraId="2BCA61BF" w14:textId="77777777" w:rsidR="00BC14E7" w:rsidRPr="00A64CBE" w:rsidRDefault="00BC14E7" w:rsidP="006E6012">
      <w:pPr>
        <w:pStyle w:val="ListParagraph"/>
        <w:numPr>
          <w:ilvl w:val="0"/>
          <w:numId w:val="136"/>
        </w:numPr>
        <w:spacing w:before="60" w:after="60"/>
      </w:pPr>
      <w:r w:rsidRPr="00D110EC">
        <w:rPr>
          <w:rFonts w:eastAsia="Helvetica Neue"/>
        </w:rPr>
        <w:t>Harmful practices (girls)</w:t>
      </w:r>
    </w:p>
    <w:p w14:paraId="0E14B3AE" w14:textId="77777777" w:rsidR="00BC14E7" w:rsidRPr="00A64CBE" w:rsidRDefault="00BC14E7" w:rsidP="006E6012">
      <w:pPr>
        <w:pStyle w:val="ListParagraph"/>
        <w:numPr>
          <w:ilvl w:val="0"/>
          <w:numId w:val="136"/>
        </w:numPr>
        <w:spacing w:before="60" w:after="60"/>
      </w:pPr>
      <w:r w:rsidRPr="00D110EC">
        <w:rPr>
          <w:rFonts w:eastAsia="Helvetica Neue"/>
        </w:rPr>
        <w:t>Risk-taking behaviour (boys and girls)</w:t>
      </w:r>
    </w:p>
    <w:p w14:paraId="4B3DE524" w14:textId="77777777" w:rsidR="00BC14E7" w:rsidRPr="00A64CBE" w:rsidRDefault="00BC14E7" w:rsidP="006E6012">
      <w:pPr>
        <w:pStyle w:val="ListParagraph"/>
        <w:numPr>
          <w:ilvl w:val="0"/>
          <w:numId w:val="136"/>
        </w:numPr>
        <w:spacing w:before="60" w:after="60"/>
      </w:pPr>
      <w:r w:rsidRPr="00D110EC">
        <w:rPr>
          <w:rFonts w:eastAsia="Helvetica Neue"/>
        </w:rPr>
        <w:t>Transactional sex and sex work (girls)</w:t>
      </w:r>
    </w:p>
    <w:p w14:paraId="208C6222" w14:textId="77777777" w:rsidR="00BC14E7" w:rsidRPr="00A64CBE" w:rsidRDefault="00BC14E7" w:rsidP="006E6012">
      <w:pPr>
        <w:pStyle w:val="ListParagraph"/>
        <w:numPr>
          <w:ilvl w:val="0"/>
          <w:numId w:val="136"/>
        </w:numPr>
        <w:spacing w:before="60" w:after="60"/>
      </w:pPr>
      <w:r w:rsidRPr="00D110EC">
        <w:rPr>
          <w:rFonts w:eastAsia="Helvetica Neue"/>
        </w:rPr>
        <w:t>Tobacco, alcohol, and substance abuse (boys and girls, but generally higher for boys)</w:t>
      </w:r>
    </w:p>
    <w:p w14:paraId="449D73D7" w14:textId="77777777" w:rsidR="00BC14E7" w:rsidRPr="00A64CBE" w:rsidRDefault="00BC14E7" w:rsidP="006E6012">
      <w:pPr>
        <w:pStyle w:val="ListParagraph"/>
        <w:numPr>
          <w:ilvl w:val="0"/>
          <w:numId w:val="136"/>
        </w:numPr>
        <w:spacing w:before="60" w:after="60"/>
      </w:pPr>
      <w:r w:rsidRPr="00D110EC">
        <w:rPr>
          <w:rFonts w:eastAsia="Helvetica Neue"/>
        </w:rPr>
        <w:t>Depression and suicide (girls and boys)</w:t>
      </w:r>
    </w:p>
    <w:p w14:paraId="6771CF80" w14:textId="77777777" w:rsidR="00BC14E7" w:rsidRPr="00A64CBE" w:rsidRDefault="00BC14E7" w:rsidP="006E6012">
      <w:pPr>
        <w:pStyle w:val="ListParagraph"/>
        <w:numPr>
          <w:ilvl w:val="0"/>
          <w:numId w:val="136"/>
        </w:numPr>
        <w:spacing w:before="60" w:after="60"/>
      </w:pPr>
      <w:r w:rsidRPr="00D110EC">
        <w:rPr>
          <w:rFonts w:eastAsia="Helvetica Neue"/>
        </w:rPr>
        <w:t>Body image anxiety (girls and boys)</w:t>
      </w:r>
    </w:p>
    <w:p w14:paraId="14325DE2" w14:textId="77777777" w:rsidR="00BC14E7" w:rsidRPr="00A64CBE" w:rsidRDefault="00BC14E7" w:rsidP="006E6012">
      <w:pPr>
        <w:pStyle w:val="ListParagraph"/>
        <w:numPr>
          <w:ilvl w:val="0"/>
          <w:numId w:val="136"/>
        </w:numPr>
        <w:spacing w:before="60" w:after="60"/>
      </w:pPr>
      <w:r w:rsidRPr="00D110EC">
        <w:rPr>
          <w:rFonts w:eastAsia="Helvetica Neue"/>
        </w:rPr>
        <w:t>Taboos in seeking health services (boys)</w:t>
      </w:r>
    </w:p>
    <w:p w14:paraId="6B486EA8" w14:textId="77777777" w:rsidR="00BC14E7" w:rsidRPr="00A64CBE" w:rsidRDefault="00BC14E7" w:rsidP="006E6012">
      <w:pPr>
        <w:pStyle w:val="ListParagraph"/>
        <w:numPr>
          <w:ilvl w:val="0"/>
          <w:numId w:val="136"/>
        </w:numPr>
        <w:spacing w:before="60" w:after="60"/>
      </w:pPr>
      <w:r w:rsidRPr="00D110EC">
        <w:rPr>
          <w:rFonts w:eastAsia="Helvetica Neue"/>
        </w:rPr>
        <w:t>Exposure to violence in relationships (girls and boys, but girls disproportionately affected)</w:t>
      </w:r>
    </w:p>
    <w:p w14:paraId="54CA0EC7" w14:textId="77777777" w:rsidR="00BC14E7" w:rsidRPr="00A64CBE" w:rsidRDefault="00BC14E7" w:rsidP="006E6012">
      <w:pPr>
        <w:pStyle w:val="ListParagraph"/>
        <w:numPr>
          <w:ilvl w:val="0"/>
          <w:numId w:val="136"/>
        </w:numPr>
        <w:spacing w:before="60" w:after="60"/>
      </w:pPr>
      <w:r w:rsidRPr="00D110EC">
        <w:rPr>
          <w:rFonts w:eastAsia="Helvetica Neue"/>
        </w:rPr>
        <w:t>No or limited access to SRHR information and service (girls and boys)</w:t>
      </w:r>
    </w:p>
    <w:p w14:paraId="01405694" w14:textId="5BD5B8CC" w:rsidR="00BC14E7" w:rsidRPr="008304B7" w:rsidRDefault="00BC14E7" w:rsidP="008304B7">
      <w:pPr>
        <w:pStyle w:val="ListParagraph"/>
        <w:numPr>
          <w:ilvl w:val="0"/>
          <w:numId w:val="136"/>
        </w:numPr>
        <w:spacing w:before="60" w:after="60"/>
      </w:pPr>
      <w:r w:rsidRPr="00D110EC">
        <w:rPr>
          <w:rFonts w:eastAsia="Helvetica Neue"/>
        </w:rPr>
        <w:t xml:space="preserve">Sexually transmitted infection (girls and boys, but generally higher for girls) </w:t>
      </w:r>
    </w:p>
    <w:p w14:paraId="1C461833" w14:textId="77777777" w:rsidR="00BC14E7" w:rsidRPr="00D110EC" w:rsidRDefault="00BC14E7" w:rsidP="008304B7">
      <w:pPr>
        <w:spacing w:before="360"/>
        <w:rPr>
          <w:rStyle w:val="Bold"/>
        </w:rPr>
      </w:pPr>
      <w:r w:rsidRPr="00D110EC">
        <w:rPr>
          <w:rStyle w:val="Bold"/>
        </w:rPr>
        <w:lastRenderedPageBreak/>
        <w:t>Early Adulthood: Ages 20-24</w:t>
      </w:r>
    </w:p>
    <w:p w14:paraId="481B2B5A" w14:textId="77777777" w:rsidR="00BC14E7" w:rsidRPr="00D110EC" w:rsidRDefault="00BC14E7" w:rsidP="006E6012">
      <w:pPr>
        <w:pStyle w:val="ListParagraph"/>
        <w:numPr>
          <w:ilvl w:val="0"/>
          <w:numId w:val="137"/>
        </w:numPr>
        <w:spacing w:before="60" w:after="60"/>
        <w:rPr>
          <w:b/>
        </w:rPr>
      </w:pPr>
      <w:r w:rsidRPr="00D110EC">
        <w:rPr>
          <w:rFonts w:eastAsia="Helvetica Neue"/>
        </w:rPr>
        <w:t xml:space="preserve">Gender-based violence (girls and boys) </w:t>
      </w:r>
    </w:p>
    <w:p w14:paraId="555B0455" w14:textId="77777777" w:rsidR="00BC14E7" w:rsidRPr="00A64CBE" w:rsidRDefault="00BC14E7" w:rsidP="006E6012">
      <w:pPr>
        <w:pStyle w:val="ListParagraph"/>
        <w:numPr>
          <w:ilvl w:val="0"/>
          <w:numId w:val="137"/>
        </w:numPr>
        <w:spacing w:before="60" w:after="60"/>
      </w:pPr>
      <w:r w:rsidRPr="00D110EC">
        <w:rPr>
          <w:rFonts w:eastAsia="Helvetica Neue"/>
        </w:rPr>
        <w:t>Transactional sex and sex work (girls)</w:t>
      </w:r>
    </w:p>
    <w:p w14:paraId="1FC210F0" w14:textId="77777777" w:rsidR="00BC14E7" w:rsidRPr="00A64CBE" w:rsidRDefault="00BC14E7" w:rsidP="006E6012">
      <w:pPr>
        <w:pStyle w:val="ListParagraph"/>
        <w:numPr>
          <w:ilvl w:val="0"/>
          <w:numId w:val="137"/>
        </w:numPr>
        <w:spacing w:before="60" w:after="60"/>
      </w:pPr>
      <w:r w:rsidRPr="00D110EC">
        <w:rPr>
          <w:rFonts w:eastAsia="Helvetica Neue"/>
        </w:rPr>
        <w:t>Harmful practices (girls)</w:t>
      </w:r>
    </w:p>
    <w:p w14:paraId="73109BC7" w14:textId="77777777" w:rsidR="00BC14E7" w:rsidRPr="00A64CBE" w:rsidRDefault="00BC14E7" w:rsidP="006E6012">
      <w:pPr>
        <w:pStyle w:val="ListParagraph"/>
        <w:numPr>
          <w:ilvl w:val="0"/>
          <w:numId w:val="137"/>
        </w:numPr>
        <w:spacing w:before="60" w:after="60"/>
      </w:pPr>
      <w:r w:rsidRPr="00D110EC">
        <w:rPr>
          <w:rFonts w:eastAsia="Helvetica Neue"/>
        </w:rPr>
        <w:t>Unintended and unplanned pregnancy (girls)</w:t>
      </w:r>
    </w:p>
    <w:p w14:paraId="5F352444" w14:textId="77777777" w:rsidR="00BC14E7" w:rsidRPr="00A64CBE" w:rsidRDefault="00BC14E7" w:rsidP="006E6012">
      <w:pPr>
        <w:pStyle w:val="ListParagraph"/>
        <w:numPr>
          <w:ilvl w:val="0"/>
          <w:numId w:val="137"/>
        </w:numPr>
        <w:spacing w:before="60" w:after="60"/>
      </w:pPr>
      <w:r w:rsidRPr="00D110EC">
        <w:rPr>
          <w:rFonts w:eastAsia="Helvetica Neue"/>
        </w:rPr>
        <w:t>Unsafe abortion (girls)</w:t>
      </w:r>
    </w:p>
    <w:p w14:paraId="14BD3207" w14:textId="77777777" w:rsidR="00BC14E7" w:rsidRPr="00A64CBE" w:rsidRDefault="00BC14E7" w:rsidP="006E6012">
      <w:pPr>
        <w:pStyle w:val="ListParagraph"/>
        <w:numPr>
          <w:ilvl w:val="0"/>
          <w:numId w:val="137"/>
        </w:numPr>
        <w:spacing w:before="60" w:after="60"/>
      </w:pPr>
      <w:r w:rsidRPr="00D110EC">
        <w:rPr>
          <w:rFonts w:eastAsia="Helvetica Neue"/>
        </w:rPr>
        <w:t>Taboos in seeking health services (boys)</w:t>
      </w:r>
    </w:p>
    <w:p w14:paraId="3934EA8B" w14:textId="77777777" w:rsidR="00BC14E7" w:rsidRPr="00A64CBE" w:rsidRDefault="00BC14E7" w:rsidP="006E6012">
      <w:pPr>
        <w:pStyle w:val="ListParagraph"/>
        <w:numPr>
          <w:ilvl w:val="0"/>
          <w:numId w:val="137"/>
        </w:numPr>
        <w:spacing w:before="60" w:after="60"/>
      </w:pPr>
      <w:r w:rsidRPr="00D110EC">
        <w:rPr>
          <w:rFonts w:eastAsia="Helvetica Neue"/>
        </w:rPr>
        <w:t>Gang involvement (boys)</w:t>
      </w:r>
    </w:p>
    <w:p w14:paraId="3E16B295" w14:textId="77777777" w:rsidR="00BC14E7" w:rsidRPr="00A64CBE" w:rsidRDefault="00BC14E7" w:rsidP="006E6012">
      <w:pPr>
        <w:pStyle w:val="ListParagraph"/>
        <w:numPr>
          <w:ilvl w:val="0"/>
          <w:numId w:val="137"/>
        </w:numPr>
        <w:spacing w:before="60" w:after="60"/>
      </w:pPr>
      <w:r w:rsidRPr="00D110EC">
        <w:rPr>
          <w:rFonts w:eastAsia="Helvetica Neue"/>
        </w:rPr>
        <w:t>Poor mental health (boys and girls)</w:t>
      </w:r>
    </w:p>
    <w:p w14:paraId="07CDE10A" w14:textId="77777777" w:rsidR="00BC14E7" w:rsidRPr="00A64CBE" w:rsidRDefault="00BC14E7" w:rsidP="006E6012">
      <w:pPr>
        <w:pStyle w:val="ListParagraph"/>
        <w:numPr>
          <w:ilvl w:val="0"/>
          <w:numId w:val="137"/>
        </w:numPr>
        <w:spacing w:before="60" w:after="60"/>
      </w:pPr>
      <w:r w:rsidRPr="00D110EC">
        <w:rPr>
          <w:rFonts w:eastAsia="Helvetica Neue"/>
        </w:rPr>
        <w:t>Unemployment (boys)</w:t>
      </w:r>
    </w:p>
    <w:p w14:paraId="003EE71F" w14:textId="77777777" w:rsidR="00BC14E7" w:rsidRPr="00A64CBE" w:rsidRDefault="00BC14E7" w:rsidP="006E6012">
      <w:pPr>
        <w:pStyle w:val="ListParagraph"/>
        <w:numPr>
          <w:ilvl w:val="0"/>
          <w:numId w:val="137"/>
        </w:numPr>
        <w:spacing w:before="60" w:after="60"/>
      </w:pPr>
      <w:r w:rsidRPr="00D110EC">
        <w:rPr>
          <w:rFonts w:eastAsia="Helvetica Neue"/>
        </w:rPr>
        <w:t>Limited access to SRHR information and service (girls and boys)</w:t>
      </w:r>
    </w:p>
    <w:p w14:paraId="0835435E" w14:textId="77777777" w:rsidR="00BC14E7" w:rsidRPr="00A64CBE" w:rsidRDefault="00BC14E7" w:rsidP="006E6012">
      <w:pPr>
        <w:pStyle w:val="ListParagraph"/>
        <w:numPr>
          <w:ilvl w:val="0"/>
          <w:numId w:val="137"/>
        </w:numPr>
        <w:spacing w:before="60" w:after="60"/>
      </w:pPr>
      <w:r w:rsidRPr="00D110EC">
        <w:rPr>
          <w:rFonts w:eastAsia="Helvetica Neue"/>
        </w:rPr>
        <w:t xml:space="preserve">Sexually transmitted infection (girls and boys, but generally higher for girls in some settings) </w:t>
      </w:r>
    </w:p>
    <w:p w14:paraId="2E4C4231" w14:textId="5343C17E" w:rsidR="00BC14E7" w:rsidRPr="008304B7" w:rsidRDefault="00BC14E7" w:rsidP="008304B7">
      <w:pPr>
        <w:pStyle w:val="ListParagraph"/>
        <w:numPr>
          <w:ilvl w:val="0"/>
          <w:numId w:val="137"/>
        </w:numPr>
        <w:spacing w:before="60" w:after="60"/>
      </w:pPr>
      <w:r w:rsidRPr="00D110EC">
        <w:rPr>
          <w:rFonts w:eastAsia="Helvetica Neue"/>
        </w:rPr>
        <w:t>Tobacco, alcohol, substance abuse (boys and girls, but generally higher for boys)</w:t>
      </w:r>
    </w:p>
    <w:p w14:paraId="5618BBB7" w14:textId="5FAEBC83" w:rsidR="00BC14E7" w:rsidRPr="00D110EC" w:rsidRDefault="008304B7" w:rsidP="008304B7">
      <w:pPr>
        <w:pStyle w:val="TextBoxIndicator"/>
        <w:ind w:hanging="90"/>
        <w:jc w:val="left"/>
      </w:pPr>
      <w:r w:rsidRPr="00B92BF0">
        <w:rPr>
          <w:noProof/>
          <w:color w:val="943634" w:themeColor="accent2" w:themeShade="BF"/>
        </w:rPr>
        <mc:AlternateContent>
          <mc:Choice Requires="wps">
            <w:drawing>
              <wp:inline distT="0" distB="0" distL="0" distR="0" wp14:anchorId="4D82C854" wp14:editId="4BE64C48">
                <wp:extent cx="5943600" cy="0"/>
                <wp:effectExtent l="0" t="12700" r="25400" b="25400"/>
                <wp:docPr id="79" name="Straight Connector 79" descr="Text box ends"/>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chemeClr val="accent6">
                              <a:lumMod val="75000"/>
                            </a:schemeClr>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42065D21" id="Straight Connector 79" o:spid="_x0000_s1026" alt="Text box end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" strokecolor="#e36c0a [2409]" strokeweight="3pt">
                <w10:anchorlock/>
              </v:line>
            </w:pict>
          </mc:Fallback>
        </mc:AlternateContent>
      </w:r>
    </w:p>
    <w:p w14:paraId="0DE6316D" w14:textId="77777777" w:rsidR="00BC14E7" w:rsidRPr="00A64CBE" w:rsidRDefault="00BC14E7" w:rsidP="00D110EC">
      <w:pPr>
        <w:pStyle w:val="Heading4"/>
        <w:rPr>
          <w:rFonts w:eastAsia="Helvetica Neue"/>
        </w:rPr>
      </w:pPr>
      <w:r w:rsidRPr="00A64CBE">
        <w:rPr>
          <w:rFonts w:eastAsia="Helvetica Neue"/>
        </w:rPr>
        <w:t xml:space="preserve">Key </w:t>
      </w:r>
      <w:r w:rsidRPr="00D110EC">
        <w:rPr>
          <w:rFonts w:eastAsia="Helvetica Neue"/>
        </w:rPr>
        <w:t>Considerations</w:t>
      </w:r>
    </w:p>
    <w:p w14:paraId="6DBCAE37" w14:textId="77777777" w:rsidR="00D110EC" w:rsidRPr="00D110EC" w:rsidRDefault="00BC14E7" w:rsidP="006E6012">
      <w:pPr>
        <w:pStyle w:val="ListParagraph"/>
        <w:numPr>
          <w:ilvl w:val="0"/>
          <w:numId w:val="138"/>
        </w:numPr>
        <w:rPr>
          <w:b/>
        </w:rPr>
      </w:pPr>
      <w:r w:rsidRPr="00D110EC">
        <w:rPr>
          <w:rFonts w:eastAsia="Helvetica Neue"/>
        </w:rPr>
        <w:t>Lack of participation by, and consideration of the needs of, young persons with disabilities in the development of national plans, policies, and programmes on SRHR services result in plans, policies, and programmes that effectively exclude young persons with disabilities from these essential services.</w:t>
      </w:r>
    </w:p>
    <w:p w14:paraId="2831A88B" w14:textId="0452B0D5" w:rsidR="00D110EC" w:rsidRPr="00D110EC" w:rsidRDefault="00BC14E7" w:rsidP="006E6012">
      <w:pPr>
        <w:pStyle w:val="ListParagraph"/>
        <w:numPr>
          <w:ilvl w:val="0"/>
          <w:numId w:val="138"/>
        </w:numPr>
        <w:rPr>
          <w:b/>
        </w:rPr>
      </w:pPr>
      <w:r w:rsidRPr="00D110EC">
        <w:rPr>
          <w:rFonts w:eastAsia="Helvetica Neue"/>
        </w:rPr>
        <w:t xml:space="preserve">Policies or laws requiring third-party authorization or notification, such as policies that require parental consent or notification for young </w:t>
      </w:r>
      <w:r w:rsidR="0049253C">
        <w:rPr>
          <w:rFonts w:eastAsia="Helvetica Neue"/>
        </w:rPr>
        <w:t>persons</w:t>
      </w:r>
      <w:r w:rsidR="0049253C" w:rsidRPr="00D110EC">
        <w:rPr>
          <w:rFonts w:eastAsia="Helvetica Neue"/>
        </w:rPr>
        <w:t xml:space="preserve"> </w:t>
      </w:r>
      <w:r w:rsidRPr="00D110EC">
        <w:rPr>
          <w:rFonts w:eastAsia="Helvetica Neue"/>
        </w:rPr>
        <w:t xml:space="preserve">to participate in CSE programmes or to obtain contraception, can effectively deny young </w:t>
      </w:r>
      <w:r w:rsidR="0049253C">
        <w:rPr>
          <w:rFonts w:eastAsia="Helvetica Neue"/>
        </w:rPr>
        <w:t>persons</w:t>
      </w:r>
      <w:r w:rsidR="0049253C" w:rsidRPr="00D110EC">
        <w:rPr>
          <w:rFonts w:eastAsia="Helvetica Neue"/>
        </w:rPr>
        <w:t xml:space="preserve"> </w:t>
      </w:r>
      <w:r w:rsidRPr="00D110EC">
        <w:rPr>
          <w:rFonts w:eastAsia="Helvetica Neue"/>
        </w:rPr>
        <w:t>access to essential SRHR information and services.</w:t>
      </w:r>
      <w:r w:rsidRPr="00B1674C">
        <w:rPr>
          <w:rStyle w:val="EndnoteReference"/>
          <w:rFonts w:eastAsia="Helvetica Neue"/>
        </w:rPr>
        <w:endnoteReference w:id="622"/>
      </w:r>
      <w:r w:rsidRPr="00D110EC">
        <w:rPr>
          <w:rFonts w:eastAsia="Helvetica Neue"/>
        </w:rPr>
        <w:t xml:space="preserve"> Barriers that are only further exacerbated for young persons with disabilities.</w:t>
      </w:r>
    </w:p>
    <w:p w14:paraId="6875A4D0" w14:textId="77777777" w:rsidR="00D110EC" w:rsidRPr="00D110EC" w:rsidRDefault="00BC14E7" w:rsidP="006E6012">
      <w:pPr>
        <w:pStyle w:val="ListParagraph"/>
        <w:numPr>
          <w:ilvl w:val="0"/>
          <w:numId w:val="138"/>
        </w:numPr>
        <w:rPr>
          <w:b/>
        </w:rPr>
      </w:pPr>
      <w:r w:rsidRPr="00D110EC">
        <w:rPr>
          <w:rFonts w:eastAsia="Helvetica Neue"/>
        </w:rPr>
        <w:t>Young persons with disabilities are at heightened risk for harmful practices, which has serious consequences for their SRHR.</w:t>
      </w:r>
      <w:r w:rsidRPr="00B1674C">
        <w:rPr>
          <w:rStyle w:val="EndnoteReference"/>
          <w:rFonts w:eastAsia="Helvetica Neue"/>
        </w:rPr>
        <w:endnoteReference w:id="623"/>
      </w:r>
      <w:r w:rsidRPr="00D110EC">
        <w:rPr>
          <w:rFonts w:eastAsia="Helvetica Neue"/>
        </w:rPr>
        <w:t xml:space="preserve"> </w:t>
      </w:r>
    </w:p>
    <w:p w14:paraId="2A6205C7" w14:textId="77777777" w:rsidR="00D110EC" w:rsidRPr="00D110EC" w:rsidRDefault="00BC14E7" w:rsidP="006E6012">
      <w:pPr>
        <w:pStyle w:val="ListParagraph"/>
        <w:numPr>
          <w:ilvl w:val="0"/>
          <w:numId w:val="138"/>
        </w:numPr>
        <w:rPr>
          <w:b/>
        </w:rPr>
      </w:pPr>
      <w:r w:rsidRPr="00D110EC">
        <w:rPr>
          <w:rFonts w:eastAsia="Helvetica Neue"/>
        </w:rPr>
        <w:t xml:space="preserve">Service providers do not receive adequate training on and are not confident with providing SRHR services to young persons with disabilities. </w:t>
      </w:r>
    </w:p>
    <w:p w14:paraId="2DB47CF6" w14:textId="77777777" w:rsidR="00D110EC" w:rsidRPr="00D110EC" w:rsidRDefault="00BC14E7" w:rsidP="006E6012">
      <w:pPr>
        <w:pStyle w:val="ListParagraph"/>
        <w:numPr>
          <w:ilvl w:val="0"/>
          <w:numId w:val="138"/>
        </w:numPr>
        <w:rPr>
          <w:b/>
        </w:rPr>
      </w:pPr>
      <w:r w:rsidRPr="00D110EC">
        <w:rPr>
          <w:rFonts w:eastAsia="Helvetica Neue"/>
        </w:rPr>
        <w:t>Adolescent and youth sexuality, especially for persons with disabilities, is often considered a taboo subject, leading to an environment where sexuality is viewed as something negative that must be suppressed.</w:t>
      </w:r>
    </w:p>
    <w:p w14:paraId="35672AE3" w14:textId="77777777" w:rsidR="00D110EC" w:rsidRPr="00D110EC" w:rsidRDefault="00BC14E7" w:rsidP="006E6012">
      <w:pPr>
        <w:pStyle w:val="ListParagraph"/>
        <w:numPr>
          <w:ilvl w:val="0"/>
          <w:numId w:val="138"/>
        </w:numPr>
        <w:rPr>
          <w:b/>
        </w:rPr>
      </w:pPr>
      <w:r w:rsidRPr="00D110EC">
        <w:rPr>
          <w:rFonts w:eastAsia="Helvetica Neue"/>
        </w:rPr>
        <w:t>Parents, guardians, or other caregivers can be overprotective and may not want young persons with disabilities who are in their care to learn about their sexual and reproductive health for fear it will increase their sexual activity. This type of gatekeeping can prevent adolescents and youth with disabilities from accessing the SRHR services they need and may also lead them to hide health conditions.</w:t>
      </w:r>
      <w:r w:rsidRPr="00B1674C">
        <w:rPr>
          <w:rStyle w:val="EndnoteReference"/>
          <w:rFonts w:eastAsia="Helvetica Neue"/>
        </w:rPr>
        <w:endnoteReference w:id="624"/>
      </w:r>
      <w:r w:rsidRPr="00D110EC">
        <w:rPr>
          <w:rFonts w:eastAsia="Helvetica Neue"/>
        </w:rPr>
        <w:t xml:space="preserve"> Moreover, adolescents and youth with disabilities generally lack funds to access or receive healthcare services independent of their families or caregivers. </w:t>
      </w:r>
    </w:p>
    <w:p w14:paraId="6AC47103" w14:textId="77777777" w:rsidR="00D110EC" w:rsidRPr="00D110EC" w:rsidRDefault="00BC14E7" w:rsidP="006E6012">
      <w:pPr>
        <w:pStyle w:val="ListParagraph"/>
        <w:numPr>
          <w:ilvl w:val="0"/>
          <w:numId w:val="138"/>
        </w:numPr>
        <w:rPr>
          <w:b/>
        </w:rPr>
      </w:pPr>
      <w:r w:rsidRPr="00D110EC">
        <w:rPr>
          <w:rFonts w:eastAsia="Helvetica Neue"/>
        </w:rPr>
        <w:lastRenderedPageBreak/>
        <w:t>Adolescents and youth with disabilities fear accessing services because of a perception that service providers or support staff will scold them, put them through painful procedures, or violate their confidentiality.</w:t>
      </w:r>
      <w:r w:rsidRPr="00B1674C">
        <w:rPr>
          <w:rStyle w:val="EndnoteReference"/>
          <w:rFonts w:eastAsia="Helvetica Neue"/>
        </w:rPr>
        <w:endnoteReference w:id="625"/>
      </w:r>
    </w:p>
    <w:p w14:paraId="2693CDA3" w14:textId="77777777" w:rsidR="00D110EC" w:rsidRPr="00D110EC" w:rsidRDefault="00BC14E7" w:rsidP="006E6012">
      <w:pPr>
        <w:pStyle w:val="ListParagraph"/>
        <w:numPr>
          <w:ilvl w:val="0"/>
          <w:numId w:val="138"/>
        </w:numPr>
        <w:rPr>
          <w:b/>
        </w:rPr>
      </w:pPr>
      <w:r w:rsidRPr="00D110EC">
        <w:rPr>
          <w:rFonts w:eastAsia="Helvetica Neue"/>
        </w:rPr>
        <w:t>Lack of discretion or privacy in accessing SRHR services, such as the inability to seek services without being seen publicly, can deter adolescents and youth with disabilities from seeking such services.</w:t>
      </w:r>
      <w:r w:rsidRPr="00D110EC">
        <w:rPr>
          <w:rStyle w:val="EndnoteReference"/>
          <w:rFonts w:eastAsia="Helvetica Neue"/>
        </w:rPr>
        <w:t xml:space="preserve"> </w:t>
      </w:r>
      <w:r w:rsidRPr="00B1674C">
        <w:rPr>
          <w:rStyle w:val="EndnoteReference"/>
          <w:rFonts w:eastAsia="Helvetica Neue"/>
        </w:rPr>
        <w:endnoteReference w:id="626"/>
      </w:r>
      <w:r w:rsidRPr="00D110EC">
        <w:rPr>
          <w:rFonts w:eastAsia="Helvetica Neue"/>
        </w:rPr>
        <w:t xml:space="preserve"> </w:t>
      </w:r>
    </w:p>
    <w:p w14:paraId="0FEF8C6F" w14:textId="77777777" w:rsidR="00D110EC" w:rsidRPr="00D110EC" w:rsidRDefault="00BC14E7" w:rsidP="006E6012">
      <w:pPr>
        <w:pStyle w:val="ListParagraph"/>
        <w:numPr>
          <w:ilvl w:val="0"/>
          <w:numId w:val="138"/>
        </w:numPr>
        <w:rPr>
          <w:b/>
        </w:rPr>
      </w:pPr>
      <w:r w:rsidRPr="00D110EC">
        <w:rPr>
          <w:rFonts w:eastAsia="Helvetica Neue"/>
        </w:rPr>
        <w:t xml:space="preserve">Adolescents and youth with and without disabilities often lack a way to confidentially communicate with SRHR service providers and to ask questions. Lack of trust and communication can lead to proliferation of misinformation about sexual and reproductive health and rights with attending consequences to their health. </w:t>
      </w:r>
    </w:p>
    <w:p w14:paraId="1668B973" w14:textId="41E575DC" w:rsidR="00BC14E7" w:rsidRPr="00D110EC" w:rsidRDefault="00BC14E7" w:rsidP="006E6012">
      <w:pPr>
        <w:pStyle w:val="ListParagraph"/>
        <w:numPr>
          <w:ilvl w:val="0"/>
          <w:numId w:val="138"/>
        </w:numPr>
        <w:rPr>
          <w:b/>
        </w:rPr>
      </w:pPr>
      <w:r w:rsidRPr="00D110EC">
        <w:rPr>
          <w:rFonts w:eastAsia="Helvetica Neue"/>
        </w:rPr>
        <w:t>Negative experiences as a young person with medical service providers can lead persons with disabilities to avoid important medical care later in life.</w:t>
      </w:r>
      <w:r w:rsidRPr="00B1674C">
        <w:rPr>
          <w:rStyle w:val="EndnoteReference"/>
          <w:rFonts w:eastAsia="Helvetica Neue"/>
        </w:rPr>
        <w:endnoteReference w:id="627"/>
      </w:r>
    </w:p>
    <w:p w14:paraId="4A9F2766" w14:textId="77777777" w:rsidR="00BC14E7" w:rsidRPr="00A64CBE" w:rsidRDefault="00BC14E7" w:rsidP="008304B7">
      <w:pPr>
        <w:pStyle w:val="Heading4"/>
        <w:spacing w:before="480"/>
        <w:rPr>
          <w:rFonts w:eastAsia="Helvetica Neue"/>
        </w:rPr>
      </w:pPr>
      <w:r w:rsidRPr="00A64CBE">
        <w:rPr>
          <w:rFonts w:eastAsia="Helvetica Neue"/>
        </w:rPr>
        <w:t xml:space="preserve">Guidelines for Action: Availability </w:t>
      </w:r>
    </w:p>
    <w:p w14:paraId="263B9EEA" w14:textId="77777777" w:rsidR="00D110EC" w:rsidRPr="00D110EC" w:rsidRDefault="00BC14E7" w:rsidP="006E6012">
      <w:pPr>
        <w:pStyle w:val="ListParagraph"/>
        <w:numPr>
          <w:ilvl w:val="0"/>
          <w:numId w:val="139"/>
        </w:numPr>
      </w:pPr>
      <w:r w:rsidRPr="00D110EC">
        <w:rPr>
          <w:rFonts w:eastAsia="Helvetica Neue"/>
        </w:rPr>
        <w:t xml:space="preserve">Assess the needs of young persons with disabilities in your community and develop programmes </w:t>
      </w:r>
      <w:r w:rsidRPr="00D110EC">
        <w:rPr>
          <w:rFonts w:eastAsia="Helvetica Neue"/>
          <w:bCs/>
        </w:rPr>
        <w:t>tailored to improve and address their health needs</w:t>
      </w:r>
      <w:r w:rsidRPr="00D110EC">
        <w:rPr>
          <w:rFonts w:eastAsia="Helvetica Neue"/>
        </w:rPr>
        <w:t xml:space="preserve">. The WHO’s </w:t>
      </w:r>
      <w:r w:rsidRPr="00D110EC">
        <w:rPr>
          <w:rFonts w:eastAsia="Helvetica Neue"/>
          <w:b/>
        </w:rPr>
        <w:t>‘Global Accelerated Action for the Health of Adolescents (AA-HA!): Guidance to Support Country Implementation’</w:t>
      </w:r>
      <w:r w:rsidRPr="00B1674C">
        <w:rPr>
          <w:rStyle w:val="EndnoteReference"/>
          <w:rFonts w:eastAsia="Helvetica Neue"/>
        </w:rPr>
        <w:endnoteReference w:id="628"/>
      </w:r>
      <w:r w:rsidRPr="00D110EC">
        <w:rPr>
          <w:rFonts w:eastAsia="Helvetica Neue"/>
          <w:b/>
          <w:i/>
        </w:rPr>
        <w:t xml:space="preserve"> </w:t>
      </w:r>
      <w:r w:rsidRPr="00D110EC">
        <w:rPr>
          <w:rFonts w:eastAsia="Helvetica Neue"/>
        </w:rPr>
        <w:t xml:space="preserve">document for policy makers and programme developers offers important guidance for understanding the needs of adolescents in a country, analysing the current scope of what is being done, conducting a consultative process to set priorities, and planning, implementing, monitoring, and evaluating national health programmes. The document lays out the following systematic approach that can offer service providers both big and small guidance on how to begin developing effective programmes to serve young persons with disabilities or assess current programmes for how they serve or do not serve young persons with disabilities: </w:t>
      </w:r>
    </w:p>
    <w:p w14:paraId="3A06FA56" w14:textId="77777777" w:rsidR="00D110EC" w:rsidRPr="00D110EC" w:rsidRDefault="00BC14E7" w:rsidP="006E6012">
      <w:pPr>
        <w:pStyle w:val="ListParagraph"/>
        <w:numPr>
          <w:ilvl w:val="1"/>
          <w:numId w:val="139"/>
        </w:numPr>
      </w:pPr>
      <w:r w:rsidRPr="00D110EC">
        <w:rPr>
          <w:rFonts w:eastAsia="Helvetica Neue"/>
        </w:rPr>
        <w:t>“Section 1: Understanding what is special about young persons and why investing in them results in long-term societal benefits.</w:t>
      </w:r>
    </w:p>
    <w:p w14:paraId="345AA04E" w14:textId="77777777" w:rsidR="00D110EC" w:rsidRPr="00D110EC" w:rsidRDefault="00BC14E7" w:rsidP="006E6012">
      <w:pPr>
        <w:pStyle w:val="ListParagraph"/>
        <w:numPr>
          <w:ilvl w:val="1"/>
          <w:numId w:val="139"/>
        </w:numPr>
      </w:pPr>
      <w:r w:rsidRPr="00D110EC">
        <w:rPr>
          <w:rFonts w:eastAsia="Helvetica Neue"/>
        </w:rPr>
        <w:t>Section 2: Understanding global and regional young person health profiles.</w:t>
      </w:r>
    </w:p>
    <w:p w14:paraId="3629EDEE" w14:textId="77777777" w:rsidR="00D110EC" w:rsidRPr="00D110EC" w:rsidRDefault="00BC14E7" w:rsidP="006E6012">
      <w:pPr>
        <w:pStyle w:val="ListParagraph"/>
        <w:numPr>
          <w:ilvl w:val="1"/>
          <w:numId w:val="139"/>
        </w:numPr>
      </w:pPr>
      <w:r w:rsidRPr="00D110EC">
        <w:rPr>
          <w:rFonts w:eastAsia="Helvetica Neue"/>
        </w:rPr>
        <w:t xml:space="preserve">Section 3: Understanding what works—the AA-HA! Package of evidence-based interventions. </w:t>
      </w:r>
    </w:p>
    <w:p w14:paraId="00C897A1" w14:textId="77777777" w:rsidR="00D110EC" w:rsidRPr="00D110EC" w:rsidRDefault="00BC14E7" w:rsidP="006E6012">
      <w:pPr>
        <w:pStyle w:val="ListParagraph"/>
        <w:numPr>
          <w:ilvl w:val="1"/>
          <w:numId w:val="139"/>
        </w:numPr>
      </w:pPr>
      <w:r w:rsidRPr="00D110EC">
        <w:rPr>
          <w:rFonts w:eastAsia="Helvetica Neue"/>
        </w:rPr>
        <w:t xml:space="preserve">Section 4: Understanding the country’s young person health profile. Undertaking landscape analysis. Conducting a consultative process for setting priorities based on explicit criteria. </w:t>
      </w:r>
    </w:p>
    <w:p w14:paraId="1F3509E5" w14:textId="77777777" w:rsidR="00D110EC" w:rsidRPr="00D110EC" w:rsidRDefault="00BC14E7" w:rsidP="006E6012">
      <w:pPr>
        <w:pStyle w:val="ListParagraph"/>
        <w:numPr>
          <w:ilvl w:val="1"/>
          <w:numId w:val="139"/>
        </w:numPr>
      </w:pPr>
      <w:r w:rsidRPr="00D110EC">
        <w:rPr>
          <w:rFonts w:eastAsia="Helvetica Neue"/>
        </w:rPr>
        <w:t xml:space="preserve">Section 5: Planning and implementing national programmes. </w:t>
      </w:r>
    </w:p>
    <w:p w14:paraId="0847820A" w14:textId="77777777" w:rsidR="00D110EC" w:rsidRPr="00D110EC" w:rsidRDefault="00BC14E7" w:rsidP="006E6012">
      <w:pPr>
        <w:pStyle w:val="ListParagraph"/>
        <w:numPr>
          <w:ilvl w:val="1"/>
          <w:numId w:val="139"/>
        </w:numPr>
      </w:pPr>
      <w:r w:rsidRPr="00D110EC">
        <w:rPr>
          <w:rFonts w:eastAsia="Helvetica Neue"/>
        </w:rPr>
        <w:t>Section 6: Strengthening accountability for young persons’ health: monitoring and evaluating young person health programmes and priorities for young person health research”.</w:t>
      </w:r>
    </w:p>
    <w:p w14:paraId="696634F5" w14:textId="77777777" w:rsidR="00D110EC" w:rsidRPr="00D110EC" w:rsidRDefault="00BC14E7" w:rsidP="006E6012">
      <w:pPr>
        <w:pStyle w:val="ListParagraph"/>
        <w:numPr>
          <w:ilvl w:val="1"/>
          <w:numId w:val="139"/>
        </w:numPr>
        <w:rPr>
          <w:rStyle w:val="EndnoteReference"/>
          <w:vertAlign w:val="baseline"/>
        </w:rPr>
      </w:pPr>
      <w:r w:rsidRPr="00D110EC">
        <w:rPr>
          <w:rFonts w:eastAsia="Helvetica Neue"/>
        </w:rPr>
        <w:t>Each of these sections are underpinned by “Leadership and participation of adolescents and young people” and “Addressing adolescent health needs in humanitarian and fragile settings”.</w:t>
      </w:r>
      <w:r w:rsidRPr="00D110EC">
        <w:rPr>
          <w:rStyle w:val="EndnoteReference"/>
          <w:rFonts w:eastAsia="Helvetica Neue"/>
        </w:rPr>
        <w:t xml:space="preserve"> </w:t>
      </w:r>
      <w:r w:rsidRPr="00B1674C">
        <w:rPr>
          <w:rStyle w:val="EndnoteReference"/>
          <w:rFonts w:eastAsia="Helvetica Neue"/>
        </w:rPr>
        <w:endnoteReference w:id="629"/>
      </w:r>
    </w:p>
    <w:p w14:paraId="0B0A6E38" w14:textId="77777777" w:rsidR="00D110EC" w:rsidRPr="00D110EC" w:rsidRDefault="00BC14E7" w:rsidP="006E6012">
      <w:pPr>
        <w:pStyle w:val="ListParagraph"/>
        <w:numPr>
          <w:ilvl w:val="0"/>
          <w:numId w:val="139"/>
        </w:numPr>
      </w:pPr>
      <w:r w:rsidRPr="00D110EC">
        <w:rPr>
          <w:rFonts w:eastAsia="Helvetica Neue"/>
        </w:rPr>
        <w:lastRenderedPageBreak/>
        <w:t xml:space="preserve">Ensure that evidence-based </w:t>
      </w:r>
      <w:r w:rsidRPr="00D110EC">
        <w:rPr>
          <w:rFonts w:eastAsia="Helvetica Neue"/>
          <w:bCs/>
        </w:rPr>
        <w:t>youth-friendly services</w:t>
      </w:r>
      <w:r w:rsidRPr="00D110EC">
        <w:rPr>
          <w:rFonts w:eastAsia="Helvetica Neue"/>
          <w:b/>
        </w:rPr>
        <w:t xml:space="preserve"> </w:t>
      </w:r>
      <w:r w:rsidRPr="00D110EC">
        <w:rPr>
          <w:rFonts w:eastAsia="Helvetica Neue"/>
        </w:rPr>
        <w:t xml:space="preserve">are available. Train educators on implementing SRHR guidance for adolescents and youth with disabilities. The WHO promulgated the following guidance for adolescent-friendly services in </w:t>
      </w:r>
      <w:r w:rsidRPr="00D110EC">
        <w:rPr>
          <w:rFonts w:eastAsia="Helvetica Neue"/>
          <w:b/>
        </w:rPr>
        <w:t>‘Global Standards for Quality Health-Care Services for Adolescents: A Guide to Implement a Standards-Driven Approach to Improve the Quality of Healthcare Services for Adolescents’</w:t>
      </w:r>
      <w:r w:rsidRPr="00D110EC">
        <w:rPr>
          <w:rFonts w:eastAsia="Helvetica Neue"/>
        </w:rPr>
        <w:t>.</w:t>
      </w:r>
      <w:r w:rsidRPr="00B1674C">
        <w:rPr>
          <w:rStyle w:val="EndnoteReference"/>
          <w:rFonts w:eastAsia="Helvetica Neue"/>
        </w:rPr>
        <w:endnoteReference w:id="630"/>
      </w:r>
      <w:r w:rsidRPr="00D110EC">
        <w:rPr>
          <w:rFonts w:eastAsia="Helvetica Neue"/>
        </w:rPr>
        <w:t xml:space="preserve"> Service providers and support staff</w:t>
      </w:r>
      <w:r w:rsidRPr="00D110EC" w:rsidDel="00BE191C">
        <w:rPr>
          <w:rFonts w:eastAsia="Helvetica Neue"/>
        </w:rPr>
        <w:t xml:space="preserve"> </w:t>
      </w:r>
      <w:r w:rsidRPr="00D110EC">
        <w:rPr>
          <w:rFonts w:eastAsia="Helvetica Neue"/>
        </w:rPr>
        <w:t xml:space="preserve">should use this document to better understand the standards for the development and provision of youth-friendly services. Although not explicitly tailored for young persons with disabilities, these standards equally apply, and service providers and support staff must ensure the following standards are met to ensure that health services are available. The document lays out eight criteria that inform the required level of quality in the delivery of services: </w:t>
      </w:r>
    </w:p>
    <w:p w14:paraId="7D0A3AFD" w14:textId="77777777" w:rsidR="00D110EC" w:rsidRPr="00D110EC" w:rsidRDefault="00BC14E7" w:rsidP="006E6012">
      <w:pPr>
        <w:pStyle w:val="ListParagraph"/>
        <w:numPr>
          <w:ilvl w:val="1"/>
          <w:numId w:val="139"/>
        </w:numPr>
      </w:pPr>
      <w:r w:rsidRPr="00D110EC">
        <w:rPr>
          <w:rFonts w:eastAsia="Helvetica Neue"/>
        </w:rPr>
        <w:t xml:space="preserve">“Adolescents’ health literacy. </w:t>
      </w:r>
    </w:p>
    <w:p w14:paraId="4FF70318" w14:textId="77777777" w:rsidR="00D110EC" w:rsidRPr="00D110EC" w:rsidRDefault="00BC14E7" w:rsidP="006E6012">
      <w:pPr>
        <w:pStyle w:val="ListParagraph"/>
        <w:numPr>
          <w:ilvl w:val="1"/>
          <w:numId w:val="139"/>
        </w:numPr>
      </w:pPr>
      <w:r w:rsidRPr="00D110EC">
        <w:rPr>
          <w:rFonts w:eastAsia="Helvetica Neue"/>
        </w:rPr>
        <w:t xml:space="preserve">Community support. </w:t>
      </w:r>
    </w:p>
    <w:p w14:paraId="7094E57E" w14:textId="77777777" w:rsidR="00D110EC" w:rsidRPr="00D110EC" w:rsidRDefault="00BC14E7" w:rsidP="006E6012">
      <w:pPr>
        <w:pStyle w:val="ListParagraph"/>
        <w:numPr>
          <w:ilvl w:val="1"/>
          <w:numId w:val="139"/>
        </w:numPr>
      </w:pPr>
      <w:r w:rsidRPr="00D110EC">
        <w:rPr>
          <w:rFonts w:eastAsia="Helvetica Neue"/>
        </w:rPr>
        <w:t xml:space="preserve">Appropriate package of services. </w:t>
      </w:r>
    </w:p>
    <w:p w14:paraId="254B0940" w14:textId="77777777" w:rsidR="00D110EC" w:rsidRPr="00D110EC" w:rsidRDefault="00BC14E7" w:rsidP="006E6012">
      <w:pPr>
        <w:pStyle w:val="ListParagraph"/>
        <w:numPr>
          <w:ilvl w:val="1"/>
          <w:numId w:val="139"/>
        </w:numPr>
      </w:pPr>
      <w:r w:rsidRPr="00D110EC">
        <w:rPr>
          <w:rFonts w:eastAsia="Helvetica Neue"/>
        </w:rPr>
        <w:t xml:space="preserve">Providers’ competencies. </w:t>
      </w:r>
    </w:p>
    <w:p w14:paraId="2BDB115C" w14:textId="77777777" w:rsidR="00D110EC" w:rsidRPr="00D110EC" w:rsidRDefault="00BC14E7" w:rsidP="006E6012">
      <w:pPr>
        <w:pStyle w:val="ListParagraph"/>
        <w:numPr>
          <w:ilvl w:val="1"/>
          <w:numId w:val="139"/>
        </w:numPr>
      </w:pPr>
      <w:r w:rsidRPr="00D110EC">
        <w:rPr>
          <w:rFonts w:eastAsia="Helvetica Neue"/>
        </w:rPr>
        <w:t xml:space="preserve">Facility characteristics. </w:t>
      </w:r>
    </w:p>
    <w:p w14:paraId="256C6D6E" w14:textId="77777777" w:rsidR="00D110EC" w:rsidRPr="00D110EC" w:rsidRDefault="00BC14E7" w:rsidP="006E6012">
      <w:pPr>
        <w:pStyle w:val="ListParagraph"/>
        <w:numPr>
          <w:ilvl w:val="1"/>
          <w:numId w:val="139"/>
        </w:numPr>
      </w:pPr>
      <w:r w:rsidRPr="00D110EC">
        <w:rPr>
          <w:rFonts w:eastAsia="Helvetica Neue"/>
        </w:rPr>
        <w:t xml:space="preserve">Equity and non-discrimination. </w:t>
      </w:r>
    </w:p>
    <w:p w14:paraId="608AA1D6" w14:textId="77777777" w:rsidR="00D110EC" w:rsidRPr="00D110EC" w:rsidRDefault="00BC14E7" w:rsidP="006E6012">
      <w:pPr>
        <w:pStyle w:val="ListParagraph"/>
        <w:numPr>
          <w:ilvl w:val="1"/>
          <w:numId w:val="139"/>
        </w:numPr>
      </w:pPr>
      <w:r w:rsidRPr="00D110EC">
        <w:rPr>
          <w:rFonts w:eastAsia="Helvetica Neue"/>
        </w:rPr>
        <w:t xml:space="preserve">Data and quality improvement. </w:t>
      </w:r>
    </w:p>
    <w:p w14:paraId="242CE7A8" w14:textId="1659914E" w:rsidR="00BC14E7" w:rsidRPr="0051091C" w:rsidRDefault="00BC14E7" w:rsidP="006E6012">
      <w:pPr>
        <w:pStyle w:val="ListParagraph"/>
        <w:numPr>
          <w:ilvl w:val="1"/>
          <w:numId w:val="139"/>
        </w:numPr>
      </w:pPr>
      <w:r w:rsidRPr="00D110EC">
        <w:rPr>
          <w:rFonts w:eastAsia="Helvetica Neue"/>
        </w:rPr>
        <w:t>Adolescents’ participation”.</w:t>
      </w:r>
      <w:r w:rsidRPr="00B1674C">
        <w:rPr>
          <w:rStyle w:val="EndnoteReference"/>
          <w:rFonts w:eastAsia="Helvetica Neue"/>
        </w:rPr>
        <w:endnoteReference w:id="631"/>
      </w:r>
      <w:r w:rsidRPr="00D110EC">
        <w:rPr>
          <w:rFonts w:eastAsia="Helvetica Neue"/>
        </w:rPr>
        <w:t xml:space="preserve"> </w:t>
      </w:r>
    </w:p>
    <w:p w14:paraId="69BFCDC1" w14:textId="77777777" w:rsidR="00BC14E7" w:rsidRPr="00A64CBE" w:rsidRDefault="00BC14E7" w:rsidP="008304B7">
      <w:pPr>
        <w:pStyle w:val="Heading4"/>
        <w:spacing w:before="480"/>
        <w:rPr>
          <w:rFonts w:eastAsia="Helvetica Neue"/>
        </w:rPr>
      </w:pPr>
      <w:r w:rsidRPr="00A64CBE">
        <w:rPr>
          <w:rFonts w:eastAsia="Helvetica Neue"/>
        </w:rPr>
        <w:t>Guidelines for Action: Accessibility</w:t>
      </w:r>
    </w:p>
    <w:p w14:paraId="2192997C" w14:textId="77777777" w:rsidR="0051091C" w:rsidRPr="0051091C" w:rsidRDefault="00BC14E7" w:rsidP="006E6012">
      <w:pPr>
        <w:pStyle w:val="ListParagraph"/>
        <w:numPr>
          <w:ilvl w:val="0"/>
          <w:numId w:val="140"/>
        </w:numPr>
      </w:pPr>
      <w:r w:rsidRPr="0051091C">
        <w:rPr>
          <w:rFonts w:eastAsia="Helvetica Neue"/>
          <w:bCs/>
        </w:rPr>
        <w:t>Develop, support, or engage young persons with disability-led organizations and peer support groups</w:t>
      </w:r>
      <w:r w:rsidRPr="0051091C">
        <w:rPr>
          <w:rFonts w:eastAsia="Helvetica Neue"/>
        </w:rPr>
        <w:t xml:space="preserve">. Programmes like these are critical partners for disseminating SRHR information and connecting young persons with disabilities with services. These organizations should be integrated to encourage the development of peer networks and understanding between young persons with and without disabilities. </w:t>
      </w:r>
    </w:p>
    <w:p w14:paraId="4E00BEF7" w14:textId="7356869C" w:rsidR="0051091C" w:rsidRPr="0051091C" w:rsidRDefault="00BC14E7" w:rsidP="006E6012">
      <w:pPr>
        <w:pStyle w:val="ListParagraph"/>
        <w:numPr>
          <w:ilvl w:val="1"/>
          <w:numId w:val="140"/>
        </w:numPr>
      </w:pPr>
      <w:r w:rsidRPr="0051091C">
        <w:rPr>
          <w:rFonts w:eastAsia="Helvetica Neue"/>
          <w:b/>
        </w:rPr>
        <w:t>Example</w:t>
      </w:r>
      <w:r w:rsidRPr="0018197A">
        <w:t>:</w:t>
      </w:r>
      <w:r w:rsidRPr="00A64CBE">
        <w:t xml:space="preserve"> </w:t>
      </w:r>
      <w:r w:rsidRPr="0051091C">
        <w:rPr>
          <w:rFonts w:eastAsia="Helvetica Neue"/>
        </w:rPr>
        <w:t>In Israel, the Israel Family Planning Association (IFPA), developed a peer education programme for young persons with physical and sensory disabilities.</w:t>
      </w:r>
      <w:r w:rsidRPr="00B1674C">
        <w:rPr>
          <w:rStyle w:val="EndnoteReference"/>
          <w:rFonts w:eastAsia="Helvetica Neue"/>
        </w:rPr>
        <w:endnoteReference w:id="632"/>
      </w:r>
      <w:r w:rsidRPr="0051091C">
        <w:rPr>
          <w:rFonts w:eastAsia="Helvetica Neue"/>
        </w:rPr>
        <w:t xml:space="preserve">  Following a comprehensive sexuality education and training course, the young persons partnered with peer educators without disabilities to deliver over fifty workshops and lectures along with counselling and media interviews to other young </w:t>
      </w:r>
      <w:r w:rsidR="00F47897">
        <w:rPr>
          <w:rFonts w:eastAsia="Helvetica Neue"/>
        </w:rPr>
        <w:t>persons</w:t>
      </w:r>
      <w:r w:rsidRPr="0051091C">
        <w:rPr>
          <w:rFonts w:eastAsia="Helvetica Neue"/>
        </w:rPr>
        <w:t>, parents and professionals</w:t>
      </w:r>
      <w:r w:rsidRPr="0051091C">
        <w:rPr>
          <w:rFonts w:eastAsia="Helvetica Neue"/>
          <w:b/>
        </w:rPr>
        <w:t>.</w:t>
      </w:r>
      <w:r w:rsidRPr="00B1674C">
        <w:rPr>
          <w:rStyle w:val="EndnoteReference"/>
          <w:rFonts w:eastAsia="Helvetica Neue"/>
        </w:rPr>
        <w:endnoteReference w:id="633"/>
      </w:r>
      <w:r w:rsidRPr="0051091C">
        <w:rPr>
          <w:rFonts w:eastAsia="Helvetica Neue"/>
        </w:rPr>
        <w:t xml:space="preserve"> More information about this programme and other good practices for inclusion of adults and young persons with disabilities in sexual and reproductive health and rights programmes, is available in the Dutch Coalition on Disability and Development (DCDD) and Share-Net International’s publication </w:t>
      </w:r>
      <w:r w:rsidRPr="0051091C">
        <w:rPr>
          <w:rFonts w:eastAsia="Helvetica Neue"/>
          <w:b/>
        </w:rPr>
        <w:t>‘Every</w:t>
      </w:r>
      <w:r w:rsidRPr="0051091C">
        <w:rPr>
          <w:rFonts w:eastAsia="Helvetica Neue"/>
          <w:b/>
          <w:iCs/>
        </w:rPr>
        <w:t>body</w:t>
      </w:r>
      <w:r w:rsidRPr="0051091C">
        <w:rPr>
          <w:rFonts w:eastAsia="Helvetica Neue"/>
          <w:b/>
        </w:rPr>
        <w:t xml:space="preserve"> Matters’</w:t>
      </w:r>
      <w:r w:rsidRPr="0051091C">
        <w:rPr>
          <w:rFonts w:eastAsia="Helvetica Neue"/>
        </w:rPr>
        <w:t>.</w:t>
      </w:r>
      <w:r w:rsidRPr="00B1674C">
        <w:rPr>
          <w:rStyle w:val="EndnoteReference"/>
          <w:rFonts w:eastAsia="Helvetica Neue"/>
        </w:rPr>
        <w:endnoteReference w:id="634"/>
      </w:r>
    </w:p>
    <w:p w14:paraId="4934634F" w14:textId="77777777" w:rsidR="0051091C" w:rsidRPr="0051091C" w:rsidRDefault="00BC14E7" w:rsidP="006E6012">
      <w:pPr>
        <w:pStyle w:val="ListParagraph"/>
        <w:numPr>
          <w:ilvl w:val="0"/>
          <w:numId w:val="140"/>
        </w:numPr>
      </w:pPr>
      <w:r w:rsidRPr="0051091C">
        <w:rPr>
          <w:rFonts w:eastAsia="Helvetica Neue"/>
        </w:rPr>
        <w:t xml:space="preserve">Offer </w:t>
      </w:r>
      <w:r w:rsidRPr="0051091C">
        <w:rPr>
          <w:rFonts w:eastAsia="Helvetica Neue"/>
          <w:bCs/>
        </w:rPr>
        <w:t>accessible hotlines</w:t>
      </w:r>
      <w:r w:rsidRPr="0051091C">
        <w:rPr>
          <w:rFonts w:eastAsia="Helvetica Neue"/>
        </w:rPr>
        <w:t xml:space="preserve"> tailored for young persons to receive SRHR information and effective referrals. </w:t>
      </w:r>
    </w:p>
    <w:p w14:paraId="1CF3D067" w14:textId="77777777" w:rsidR="0051091C" w:rsidRPr="0051091C" w:rsidRDefault="00BC14E7" w:rsidP="006E6012">
      <w:pPr>
        <w:pStyle w:val="ListParagraph"/>
        <w:numPr>
          <w:ilvl w:val="0"/>
          <w:numId w:val="140"/>
        </w:numPr>
      </w:pPr>
      <w:r w:rsidRPr="0051091C">
        <w:rPr>
          <w:rFonts w:eastAsia="Helvetica Neue"/>
        </w:rPr>
        <w:t xml:space="preserve">Offer services in the </w:t>
      </w:r>
      <w:r w:rsidRPr="0051091C">
        <w:rPr>
          <w:rFonts w:eastAsia="Helvetica Neue"/>
          <w:bCs/>
        </w:rPr>
        <w:t>home or another safe or accessible space</w:t>
      </w:r>
      <w:r w:rsidRPr="0051091C">
        <w:rPr>
          <w:rFonts w:eastAsia="Helvetica Neue"/>
        </w:rPr>
        <w:t xml:space="preserve"> within the community, rather than depending on families or caregivers to bring a young person with a disability to a facility or clinic to receive services.</w:t>
      </w:r>
    </w:p>
    <w:p w14:paraId="4D2B8E84" w14:textId="77777777" w:rsidR="0051091C" w:rsidRPr="0051091C" w:rsidRDefault="00BC14E7" w:rsidP="006E6012">
      <w:pPr>
        <w:pStyle w:val="ListParagraph"/>
        <w:numPr>
          <w:ilvl w:val="0"/>
          <w:numId w:val="140"/>
        </w:numPr>
      </w:pPr>
      <w:r w:rsidRPr="0051091C">
        <w:rPr>
          <w:rFonts w:eastAsia="Helvetica Neue"/>
        </w:rPr>
        <w:lastRenderedPageBreak/>
        <w:t xml:space="preserve">Create programmes and materials that assist young women with intellectual disabilities or learning disabilities with </w:t>
      </w:r>
      <w:r w:rsidRPr="0051091C">
        <w:rPr>
          <w:rFonts w:eastAsia="Helvetica Neue"/>
          <w:bCs/>
        </w:rPr>
        <w:t>understanding menstruation</w:t>
      </w:r>
      <w:r w:rsidRPr="0051091C">
        <w:rPr>
          <w:rFonts w:eastAsia="Helvetica Neue"/>
        </w:rPr>
        <w:t xml:space="preserve"> and how to take care of monthly bleeding. Programmes should use plain language and/or easy read documents and allow young women the time to understand menstrual hygiene. Picture guides can be particularly useful tool where available</w:t>
      </w:r>
      <w:r w:rsidRPr="0051091C">
        <w:rPr>
          <w:rFonts w:eastAsia="Helvetica Neue"/>
          <w:b/>
        </w:rPr>
        <w:t xml:space="preserve">.  </w:t>
      </w:r>
    </w:p>
    <w:p w14:paraId="4E68D6AB" w14:textId="77777777" w:rsidR="0051091C" w:rsidRPr="0051091C" w:rsidRDefault="00BC14E7" w:rsidP="006E6012">
      <w:pPr>
        <w:pStyle w:val="ListParagraph"/>
        <w:numPr>
          <w:ilvl w:val="1"/>
          <w:numId w:val="140"/>
        </w:numPr>
      </w:pPr>
      <w:r w:rsidRPr="0051091C">
        <w:rPr>
          <w:rFonts w:eastAsia="Helvetica Neue"/>
          <w:b/>
        </w:rPr>
        <w:t>Example:</w:t>
      </w:r>
      <w:r w:rsidRPr="0051091C">
        <w:rPr>
          <w:rFonts w:eastAsia="Helvetica Neue"/>
        </w:rPr>
        <w:t xml:space="preserve"> Down’s Syndrome Scotland has produced a free booklet titled ‘</w:t>
      </w:r>
      <w:r w:rsidRPr="0051091C">
        <w:rPr>
          <w:rFonts w:eastAsia="Helvetica Neue"/>
          <w:b/>
        </w:rPr>
        <w:t>Let’s Talk about Periods’</w:t>
      </w:r>
      <w:r w:rsidRPr="0051091C">
        <w:rPr>
          <w:rFonts w:eastAsia="Helvetica Neue"/>
          <w:i/>
        </w:rPr>
        <w:t xml:space="preserve"> </w:t>
      </w:r>
      <w:r w:rsidRPr="0051091C">
        <w:rPr>
          <w:rFonts w:eastAsia="Helvetica Neue"/>
        </w:rPr>
        <w:t>to help girls with disabilities learn about their periods. The booklet is written in plain language and uses visual aids.</w:t>
      </w:r>
      <w:r w:rsidRPr="00B1674C">
        <w:rPr>
          <w:rStyle w:val="EndnoteReference"/>
          <w:rFonts w:eastAsia="Helvetica Neue"/>
        </w:rPr>
        <w:endnoteReference w:id="635"/>
      </w:r>
      <w:r w:rsidRPr="0051091C">
        <w:rPr>
          <w:rFonts w:eastAsia="Helvetica Neue"/>
        </w:rPr>
        <w:t xml:space="preserve"> </w:t>
      </w:r>
    </w:p>
    <w:p w14:paraId="5515CA87" w14:textId="77777777" w:rsidR="0051091C" w:rsidRPr="0051091C" w:rsidRDefault="00BC14E7" w:rsidP="006E6012">
      <w:pPr>
        <w:pStyle w:val="ListParagraph"/>
        <w:numPr>
          <w:ilvl w:val="1"/>
          <w:numId w:val="140"/>
        </w:numPr>
      </w:pPr>
      <w:r w:rsidRPr="0051091C">
        <w:rPr>
          <w:rFonts w:eastAsia="Helvetica Neue"/>
          <w:b/>
        </w:rPr>
        <w:t>Example:</w:t>
      </w:r>
      <w:r w:rsidRPr="0051091C">
        <w:rPr>
          <w:rFonts w:eastAsia="Helvetica Neue"/>
        </w:rPr>
        <w:t xml:space="preserve"> Hesperian’s </w:t>
      </w:r>
      <w:r w:rsidRPr="0051091C">
        <w:rPr>
          <w:rFonts w:eastAsia="Helvetica Neue"/>
          <w:b/>
        </w:rPr>
        <w:t>‘A Health Handbook for Women with Disabilities’</w:t>
      </w:r>
      <w:r w:rsidRPr="0051091C">
        <w:rPr>
          <w:rFonts w:eastAsia="Helvetica Neue"/>
        </w:rPr>
        <w:t xml:space="preserve"> suggests that a trusted family member or friend take the following steps to help a young woman who has trouble understanding or learning to better understand her menstrual cycle: </w:t>
      </w:r>
    </w:p>
    <w:p w14:paraId="6865EEA3" w14:textId="77777777" w:rsidR="0051091C" w:rsidRPr="0051091C" w:rsidRDefault="00BC14E7" w:rsidP="006E6012">
      <w:pPr>
        <w:pStyle w:val="ListParagraph"/>
        <w:numPr>
          <w:ilvl w:val="2"/>
          <w:numId w:val="140"/>
        </w:numPr>
      </w:pPr>
      <w:r w:rsidRPr="0051091C">
        <w:rPr>
          <w:rFonts w:eastAsia="Helvetica Neue"/>
        </w:rPr>
        <w:t xml:space="preserve">Use the same kinds of pads or cloth as are commonly used. </w:t>
      </w:r>
    </w:p>
    <w:p w14:paraId="6CD7FDF3" w14:textId="77777777" w:rsidR="0051091C" w:rsidRPr="0051091C" w:rsidRDefault="00BC14E7" w:rsidP="006E6012">
      <w:pPr>
        <w:pStyle w:val="ListParagraph"/>
        <w:numPr>
          <w:ilvl w:val="2"/>
          <w:numId w:val="140"/>
        </w:numPr>
      </w:pPr>
      <w:r w:rsidRPr="0051091C">
        <w:rPr>
          <w:rFonts w:eastAsia="Helvetica Neue"/>
        </w:rPr>
        <w:t xml:space="preserve">Show the young woman where the supply of pads is kept. </w:t>
      </w:r>
    </w:p>
    <w:p w14:paraId="79928EC8" w14:textId="77777777" w:rsidR="0051091C" w:rsidRPr="0051091C" w:rsidRDefault="00BC14E7" w:rsidP="006E6012">
      <w:pPr>
        <w:pStyle w:val="ListParagraph"/>
        <w:numPr>
          <w:ilvl w:val="2"/>
          <w:numId w:val="140"/>
        </w:numPr>
      </w:pPr>
      <w:r w:rsidRPr="0051091C">
        <w:rPr>
          <w:rFonts w:eastAsia="Helvetica Neue"/>
        </w:rPr>
        <w:t xml:space="preserve">Show the young woman where the cloths or pads are thrown out or washed. </w:t>
      </w:r>
    </w:p>
    <w:p w14:paraId="294364E5" w14:textId="77777777" w:rsidR="0051091C" w:rsidRPr="0051091C" w:rsidRDefault="00BC14E7" w:rsidP="006E6012">
      <w:pPr>
        <w:pStyle w:val="ListParagraph"/>
        <w:numPr>
          <w:ilvl w:val="2"/>
          <w:numId w:val="140"/>
        </w:numPr>
      </w:pPr>
      <w:r w:rsidRPr="0051091C">
        <w:rPr>
          <w:rFonts w:eastAsia="Helvetica Neue"/>
        </w:rPr>
        <w:t xml:space="preserve">Show the young woman how to place the pad or cloth in her underwear so that she can practice using and wearing it. </w:t>
      </w:r>
    </w:p>
    <w:p w14:paraId="19DD0839" w14:textId="7624466C" w:rsidR="00BC14E7" w:rsidRPr="00A64CBE" w:rsidRDefault="00BC14E7" w:rsidP="006E6012">
      <w:pPr>
        <w:pStyle w:val="ListParagraph"/>
        <w:numPr>
          <w:ilvl w:val="2"/>
          <w:numId w:val="140"/>
        </w:numPr>
      </w:pPr>
      <w:r w:rsidRPr="0051091C">
        <w:rPr>
          <w:rFonts w:eastAsia="Helvetica Neue"/>
        </w:rPr>
        <w:t>Suggest that she may want to consider wearing dark clothing, if she has any, to avoid stains showing. But explain that getting blood on your clothing during your period is normal.</w:t>
      </w:r>
      <w:r w:rsidRPr="00B1674C">
        <w:rPr>
          <w:rStyle w:val="EndnoteReference"/>
          <w:rFonts w:eastAsia="Helvetica Neue"/>
        </w:rPr>
        <w:endnoteReference w:id="636"/>
      </w:r>
      <w:r w:rsidRPr="0051091C">
        <w:rPr>
          <w:rFonts w:eastAsia="Helvetica Neue"/>
        </w:rPr>
        <w:t xml:space="preserve"> </w:t>
      </w:r>
    </w:p>
    <w:p w14:paraId="0F24E2BB" w14:textId="77777777" w:rsidR="00BC14E7" w:rsidRPr="00A64CBE" w:rsidRDefault="00BC14E7" w:rsidP="008304B7">
      <w:pPr>
        <w:pStyle w:val="Heading4"/>
        <w:spacing w:before="480"/>
        <w:rPr>
          <w:rFonts w:eastAsia="Helvetica Neue"/>
        </w:rPr>
      </w:pPr>
      <w:r w:rsidRPr="00A64CBE">
        <w:rPr>
          <w:rFonts w:eastAsia="Helvetica Neue"/>
        </w:rPr>
        <w:t>Guidelines for Action: Acceptability</w:t>
      </w:r>
    </w:p>
    <w:p w14:paraId="22549C72" w14:textId="77777777" w:rsidR="0051091C" w:rsidRPr="0051091C" w:rsidRDefault="00BC14E7" w:rsidP="006E6012">
      <w:pPr>
        <w:pStyle w:val="ListParagraph"/>
        <w:numPr>
          <w:ilvl w:val="0"/>
          <w:numId w:val="141"/>
        </w:numPr>
        <w:rPr>
          <w:u w:val="single"/>
        </w:rPr>
      </w:pPr>
      <w:r w:rsidRPr="0051091C">
        <w:rPr>
          <w:rFonts w:eastAsia="Helvetica Neue"/>
        </w:rPr>
        <w:t xml:space="preserve">Invest in developing targeted programmes and conducting outreach services for adolescent girls and boys with disabilities during the </w:t>
      </w:r>
      <w:r w:rsidRPr="0051091C">
        <w:rPr>
          <w:rFonts w:eastAsia="Helvetica Neue"/>
          <w:bCs/>
        </w:rPr>
        <w:t>early adolescence period</w:t>
      </w:r>
      <w:r w:rsidRPr="0051091C">
        <w:rPr>
          <w:rFonts w:eastAsia="Helvetica Neue"/>
        </w:rPr>
        <w:t xml:space="preserve"> (ages 10-14). This is the period during which adolescents are most excluded from receiving SRHR information and services.</w:t>
      </w:r>
    </w:p>
    <w:p w14:paraId="16FA5584" w14:textId="77777777" w:rsidR="0051091C" w:rsidRPr="0051091C" w:rsidRDefault="00BC14E7" w:rsidP="006E6012">
      <w:pPr>
        <w:pStyle w:val="ListParagraph"/>
        <w:numPr>
          <w:ilvl w:val="0"/>
          <w:numId w:val="141"/>
        </w:numPr>
        <w:rPr>
          <w:u w:val="single"/>
        </w:rPr>
      </w:pPr>
      <w:r w:rsidRPr="0051091C">
        <w:rPr>
          <w:rFonts w:eastAsia="Helvetica Neue"/>
        </w:rPr>
        <w:t xml:space="preserve">Develop programmes for young persons with disabilities to learn about </w:t>
      </w:r>
      <w:r w:rsidRPr="0051091C">
        <w:rPr>
          <w:rFonts w:eastAsia="Helvetica Neue"/>
          <w:bCs/>
        </w:rPr>
        <w:t>menstruation</w:t>
      </w:r>
      <w:r w:rsidRPr="0051091C">
        <w:rPr>
          <w:rFonts w:eastAsia="Helvetica Neue"/>
          <w:b/>
        </w:rPr>
        <w:t xml:space="preserve"> </w:t>
      </w:r>
      <w:r w:rsidRPr="0051091C">
        <w:rPr>
          <w:rFonts w:eastAsia="Helvetica Neue"/>
        </w:rPr>
        <w:t>with information presented in a clear, direct manner and with opportunities to practice new skills.</w:t>
      </w:r>
      <w:r w:rsidRPr="00B1674C">
        <w:rPr>
          <w:rStyle w:val="EndnoteReference"/>
          <w:rFonts w:eastAsia="Helvetica Neue"/>
        </w:rPr>
        <w:endnoteReference w:id="637"/>
      </w:r>
      <w:r w:rsidRPr="0051091C">
        <w:rPr>
          <w:rFonts w:eastAsia="Helvetica Neue"/>
        </w:rPr>
        <w:t xml:space="preserve"> Concurrently, include young women with disabilities in mainstream menstrual hygiene management programmes and when distributing resources. </w:t>
      </w:r>
    </w:p>
    <w:p w14:paraId="20A953E7" w14:textId="77777777" w:rsidR="0051091C" w:rsidRPr="0051091C" w:rsidRDefault="00BC14E7" w:rsidP="006E6012">
      <w:pPr>
        <w:pStyle w:val="ListParagraph"/>
        <w:numPr>
          <w:ilvl w:val="1"/>
          <w:numId w:val="141"/>
        </w:numPr>
        <w:rPr>
          <w:u w:val="single"/>
        </w:rPr>
      </w:pPr>
      <w:r w:rsidRPr="0051091C">
        <w:rPr>
          <w:rFonts w:eastAsia="Helvetica Neue"/>
          <w:b/>
        </w:rPr>
        <w:t>Example:</w:t>
      </w:r>
      <w:r w:rsidRPr="0051091C">
        <w:rPr>
          <w:rFonts w:eastAsia="Helvetica Neue"/>
        </w:rPr>
        <w:t xml:space="preserve"> In Tanzania, Femme International (FI) and Youth with Disabilities Community Program developed a project in </w:t>
      </w:r>
      <w:proofErr w:type="spellStart"/>
      <w:r w:rsidRPr="0051091C">
        <w:rPr>
          <w:rFonts w:eastAsia="Helvetica Neue"/>
        </w:rPr>
        <w:t>Tanga</w:t>
      </w:r>
      <w:proofErr w:type="spellEnd"/>
      <w:r w:rsidRPr="0051091C">
        <w:rPr>
          <w:rFonts w:eastAsia="Helvetica Neue"/>
        </w:rPr>
        <w:t xml:space="preserve">, a region of Tanzania, to bring FI’s </w:t>
      </w:r>
      <w:r w:rsidRPr="0051091C">
        <w:rPr>
          <w:rFonts w:eastAsia="Helvetica Neue"/>
          <w:b/>
        </w:rPr>
        <w:t>‘Feminine Health Empowerment Program’</w:t>
      </w:r>
      <w:r w:rsidRPr="0051091C">
        <w:rPr>
          <w:rFonts w:eastAsia="Helvetica Neue"/>
        </w:rPr>
        <w:t xml:space="preserve"> to girls with disabilities in the community. </w:t>
      </w:r>
      <w:proofErr w:type="spellStart"/>
      <w:r w:rsidRPr="0051091C">
        <w:rPr>
          <w:rFonts w:eastAsia="Helvetica Neue"/>
        </w:rPr>
        <w:t>Tanga</w:t>
      </w:r>
      <w:proofErr w:type="spellEnd"/>
      <w:r w:rsidRPr="0051091C">
        <w:rPr>
          <w:rFonts w:eastAsia="Helvetica Neue"/>
        </w:rPr>
        <w:t xml:space="preserve"> girls with disabilities, particularly those with intellectual disabilities, face difficulties in understanding the menstruation process especially given the </w:t>
      </w:r>
      <w:proofErr w:type="spellStart"/>
      <w:r w:rsidRPr="0051091C">
        <w:rPr>
          <w:rFonts w:eastAsia="Helvetica Neue"/>
        </w:rPr>
        <w:t>Tanga</w:t>
      </w:r>
      <w:proofErr w:type="spellEnd"/>
      <w:r w:rsidRPr="0051091C">
        <w:rPr>
          <w:rFonts w:eastAsia="Helvetica Neue"/>
        </w:rPr>
        <w:t xml:space="preserve"> tradition of learning about menstruation from a female elder. The programme aims to teach girls and boys with and without disabilities about how their bodies work, the menstrual cycle, and how to make safe and healthy SRHR choices.</w:t>
      </w:r>
      <w:r w:rsidRPr="00B1674C">
        <w:rPr>
          <w:rStyle w:val="EndnoteReference"/>
          <w:rFonts w:eastAsia="Helvetica Neue"/>
        </w:rPr>
        <w:endnoteReference w:id="638"/>
      </w:r>
      <w:r w:rsidRPr="0051091C">
        <w:rPr>
          <w:rFonts w:eastAsia="Helvetica Neue"/>
        </w:rPr>
        <w:t xml:space="preserve"> </w:t>
      </w:r>
    </w:p>
    <w:p w14:paraId="3139109C" w14:textId="77777777" w:rsidR="0051091C" w:rsidRPr="0051091C" w:rsidRDefault="00BC14E7" w:rsidP="006E6012">
      <w:pPr>
        <w:pStyle w:val="ListParagraph"/>
        <w:numPr>
          <w:ilvl w:val="0"/>
          <w:numId w:val="141"/>
        </w:numPr>
        <w:rPr>
          <w:u w:val="single"/>
        </w:rPr>
      </w:pPr>
      <w:r w:rsidRPr="0051091C">
        <w:rPr>
          <w:rFonts w:eastAsia="Helvetica Neue"/>
        </w:rPr>
        <w:t xml:space="preserve">Develop programmes aimed at </w:t>
      </w:r>
      <w:r w:rsidRPr="0051091C">
        <w:rPr>
          <w:rFonts w:eastAsia="Helvetica Neue"/>
          <w:bCs/>
        </w:rPr>
        <w:t>engaging young persons with disabilities</w:t>
      </w:r>
      <w:r w:rsidRPr="0051091C">
        <w:rPr>
          <w:rFonts w:eastAsia="Helvetica Neue"/>
        </w:rPr>
        <w:t xml:space="preserve"> to promote expression and involvement in programme development. </w:t>
      </w:r>
    </w:p>
    <w:p w14:paraId="1ABAB861" w14:textId="77777777" w:rsidR="0051091C" w:rsidRPr="0051091C" w:rsidRDefault="00BC14E7" w:rsidP="006E6012">
      <w:pPr>
        <w:pStyle w:val="ListParagraph"/>
        <w:numPr>
          <w:ilvl w:val="1"/>
          <w:numId w:val="141"/>
        </w:numPr>
        <w:rPr>
          <w:u w:val="single"/>
        </w:rPr>
      </w:pPr>
      <w:r w:rsidRPr="0051091C">
        <w:rPr>
          <w:rFonts w:eastAsia="Helvetica Neue"/>
          <w:b/>
        </w:rPr>
        <w:lastRenderedPageBreak/>
        <w:t>Example:</w:t>
      </w:r>
      <w:r w:rsidRPr="0051091C">
        <w:rPr>
          <w:rFonts w:eastAsia="Helvetica Neue"/>
        </w:rPr>
        <w:t xml:space="preserve"> UNICEF developed the </w:t>
      </w:r>
      <w:r w:rsidRPr="0051091C">
        <w:rPr>
          <w:rFonts w:eastAsia="Helvetica Neue"/>
          <w:b/>
        </w:rPr>
        <w:t>‘Adolescent Kit for Expression and Innovation</w:t>
      </w:r>
      <w:r w:rsidRPr="0051091C">
        <w:rPr>
          <w:rFonts w:eastAsia="Helvetica Neue"/>
        </w:rPr>
        <w:t>,</w:t>
      </w:r>
      <w:r w:rsidRPr="0051091C">
        <w:rPr>
          <w:rFonts w:eastAsia="Helvetica Neue"/>
          <w:b/>
        </w:rPr>
        <w:t>’</w:t>
      </w:r>
      <w:r w:rsidRPr="0051091C">
        <w:rPr>
          <w:rFonts w:eastAsia="Helvetica Neue"/>
        </w:rPr>
        <w:t xml:space="preserve"> along with associated guidance, to assist service providers and support staff with </w:t>
      </w:r>
      <w:r w:rsidRPr="0051091C">
        <w:rPr>
          <w:rFonts w:eastAsia="Helvetica Neue"/>
          <w:highlight w:val="white"/>
        </w:rPr>
        <w:t xml:space="preserve">engaging young persons in </w:t>
      </w:r>
      <w:r w:rsidRPr="0051091C">
        <w:rPr>
          <w:rFonts w:eastAsia="Helvetica Neue"/>
        </w:rPr>
        <w:t>emergencies. The Kit includes guidance, tools, and supplies “to support country programmes to reach and engage adolescents ages 10–18 affected by conflict and other crises through education, child protection, youth development and/or peacebuilding initiative”.</w:t>
      </w:r>
      <w:r w:rsidRPr="00B1674C">
        <w:rPr>
          <w:rStyle w:val="EndnoteReference"/>
          <w:rFonts w:eastAsia="Helvetica Neue"/>
        </w:rPr>
        <w:endnoteReference w:id="639"/>
      </w:r>
      <w:r w:rsidRPr="0051091C">
        <w:rPr>
          <w:rFonts w:eastAsia="Helvetica Neue"/>
        </w:rPr>
        <w:t xml:space="preserve"> </w:t>
      </w:r>
      <w:r w:rsidRPr="0051091C">
        <w:rPr>
          <w:rFonts w:eastAsia="Helvetica Neue"/>
          <w:highlight w:val="white"/>
        </w:rPr>
        <w:t xml:space="preserve">To learn more and order the kit, visit </w:t>
      </w:r>
      <w:hyperlink r:id="rId15">
        <w:r w:rsidRPr="00DB2DC5">
          <w:rPr>
            <w:rStyle w:val="Hyperlink"/>
            <w:rFonts w:eastAsia="Helvetica Neue"/>
          </w:rPr>
          <w:t>http://adolescentkit.org/</w:t>
        </w:r>
      </w:hyperlink>
      <w:r w:rsidRPr="0051091C">
        <w:rPr>
          <w:rFonts w:eastAsia="Helvetica Neue"/>
          <w:u w:val="single"/>
        </w:rPr>
        <w:t>.</w:t>
      </w:r>
      <w:r w:rsidRPr="0051091C">
        <w:rPr>
          <w:rFonts w:eastAsia="Helvetica Neue"/>
          <w:highlight w:val="white"/>
        </w:rPr>
        <w:t> </w:t>
      </w:r>
    </w:p>
    <w:p w14:paraId="0C412B84" w14:textId="77777777" w:rsidR="00533BC9" w:rsidRPr="00533BC9" w:rsidRDefault="00BC14E7" w:rsidP="006E6012">
      <w:pPr>
        <w:pStyle w:val="ListParagraph"/>
        <w:numPr>
          <w:ilvl w:val="0"/>
          <w:numId w:val="141"/>
        </w:numPr>
        <w:rPr>
          <w:u w:val="single"/>
        </w:rPr>
      </w:pPr>
      <w:r w:rsidRPr="0051091C">
        <w:rPr>
          <w:rFonts w:eastAsia="Helvetica Neue"/>
        </w:rPr>
        <w:t xml:space="preserve">Work with adolescents and youth with disabilities to create </w:t>
      </w:r>
      <w:r w:rsidRPr="0051091C">
        <w:rPr>
          <w:rFonts w:eastAsia="Helvetica Neue"/>
          <w:bCs/>
        </w:rPr>
        <w:t>creative tools for sharing information about SRHR</w:t>
      </w:r>
      <w:r w:rsidRPr="0051091C">
        <w:rPr>
          <w:rFonts w:eastAsia="Helvetica Neue"/>
        </w:rPr>
        <w:t xml:space="preserve"> and how to integrate these tools into people’s lives. UNICEF has identified the following standards to ensure high-quality participation of young persons with disabilities in the development of youth-friendly health services: </w:t>
      </w:r>
    </w:p>
    <w:p w14:paraId="62D5A4E3" w14:textId="77777777" w:rsidR="00533BC9" w:rsidRPr="00533BC9" w:rsidRDefault="00BC14E7" w:rsidP="006E6012">
      <w:pPr>
        <w:pStyle w:val="ListParagraph"/>
        <w:numPr>
          <w:ilvl w:val="0"/>
          <w:numId w:val="142"/>
        </w:numPr>
        <w:spacing w:before="60" w:after="60"/>
        <w:ind w:left="720" w:hanging="274"/>
        <w:rPr>
          <w:u w:val="single"/>
        </w:rPr>
      </w:pPr>
      <w:r w:rsidRPr="00533BC9">
        <w:rPr>
          <w:rFonts w:eastAsia="Helvetica Neue"/>
        </w:rPr>
        <w:t>“Participation of young persons with disabilities is embedded in the culture and practices of the organization.</w:t>
      </w:r>
    </w:p>
    <w:p w14:paraId="23C62880" w14:textId="77777777" w:rsidR="00533BC9" w:rsidRPr="00533BC9" w:rsidRDefault="00BC14E7" w:rsidP="006E6012">
      <w:pPr>
        <w:pStyle w:val="ListParagraph"/>
        <w:numPr>
          <w:ilvl w:val="0"/>
          <w:numId w:val="142"/>
        </w:numPr>
        <w:spacing w:before="60" w:after="60"/>
        <w:ind w:left="720" w:hanging="274"/>
        <w:rPr>
          <w:u w:val="single"/>
        </w:rPr>
      </w:pPr>
      <w:r w:rsidRPr="00533BC9">
        <w:rPr>
          <w:rFonts w:eastAsia="Helvetica Neue"/>
        </w:rPr>
        <w:t xml:space="preserve">There is a wide range of opportunities for young persons with disabilities to participate within the organization. </w:t>
      </w:r>
    </w:p>
    <w:p w14:paraId="57D458F5" w14:textId="77777777" w:rsidR="00533BC9" w:rsidRPr="00533BC9" w:rsidRDefault="00BC14E7" w:rsidP="006E6012">
      <w:pPr>
        <w:pStyle w:val="ListParagraph"/>
        <w:numPr>
          <w:ilvl w:val="0"/>
          <w:numId w:val="142"/>
        </w:numPr>
        <w:spacing w:before="60" w:after="60"/>
        <w:ind w:left="720" w:hanging="274"/>
        <w:rPr>
          <w:u w:val="single"/>
        </w:rPr>
      </w:pPr>
      <w:r w:rsidRPr="00533BC9">
        <w:rPr>
          <w:rFonts w:eastAsia="Helvetica Neue"/>
        </w:rPr>
        <w:t>Participation opportunities are inclusive.</w:t>
      </w:r>
    </w:p>
    <w:p w14:paraId="6C078998" w14:textId="77777777" w:rsidR="00533BC9" w:rsidRPr="00533BC9" w:rsidRDefault="00BC14E7" w:rsidP="006E6012">
      <w:pPr>
        <w:pStyle w:val="ListParagraph"/>
        <w:numPr>
          <w:ilvl w:val="0"/>
          <w:numId w:val="142"/>
        </w:numPr>
        <w:spacing w:before="60" w:after="60"/>
        <w:ind w:left="720" w:hanging="274"/>
        <w:rPr>
          <w:u w:val="single"/>
        </w:rPr>
      </w:pPr>
      <w:r w:rsidRPr="00533BC9">
        <w:rPr>
          <w:rFonts w:eastAsia="Helvetica Neue"/>
        </w:rPr>
        <w:t>Participation activities are accessible.</w:t>
      </w:r>
    </w:p>
    <w:p w14:paraId="60438401" w14:textId="77777777" w:rsidR="00533BC9" w:rsidRPr="00533BC9" w:rsidRDefault="00BC14E7" w:rsidP="006E6012">
      <w:pPr>
        <w:pStyle w:val="ListParagraph"/>
        <w:numPr>
          <w:ilvl w:val="0"/>
          <w:numId w:val="142"/>
        </w:numPr>
        <w:spacing w:before="60" w:after="60"/>
        <w:ind w:left="720" w:hanging="274"/>
        <w:rPr>
          <w:u w:val="single"/>
        </w:rPr>
      </w:pPr>
      <w:r w:rsidRPr="00533BC9">
        <w:rPr>
          <w:rFonts w:eastAsia="Helvetica Neue"/>
        </w:rPr>
        <w:t>Young persons with disabilities set the agenda.</w:t>
      </w:r>
    </w:p>
    <w:p w14:paraId="4074ED5F" w14:textId="77777777" w:rsidR="00533BC9" w:rsidRPr="00533BC9" w:rsidRDefault="00BC14E7" w:rsidP="006E6012">
      <w:pPr>
        <w:pStyle w:val="ListParagraph"/>
        <w:numPr>
          <w:ilvl w:val="0"/>
          <w:numId w:val="142"/>
        </w:numPr>
        <w:spacing w:before="60" w:after="60"/>
        <w:ind w:left="720" w:hanging="274"/>
        <w:rPr>
          <w:u w:val="single"/>
        </w:rPr>
      </w:pPr>
      <w:r w:rsidRPr="00533BC9">
        <w:rPr>
          <w:rFonts w:eastAsia="Helvetica Neue"/>
        </w:rPr>
        <w:t>Participation is a positive and meaningful experience for young people with disabilities.</w:t>
      </w:r>
    </w:p>
    <w:p w14:paraId="2235AA1F" w14:textId="77777777" w:rsidR="00533BC9" w:rsidRPr="00533BC9" w:rsidRDefault="00BC14E7" w:rsidP="006E6012">
      <w:pPr>
        <w:pStyle w:val="ListParagraph"/>
        <w:numPr>
          <w:ilvl w:val="0"/>
          <w:numId w:val="142"/>
        </w:numPr>
        <w:spacing w:before="60" w:after="60"/>
        <w:ind w:left="720" w:hanging="274"/>
        <w:rPr>
          <w:u w:val="single"/>
        </w:rPr>
      </w:pPr>
      <w:r w:rsidRPr="00533BC9">
        <w:rPr>
          <w:rFonts w:eastAsia="Helvetica Neue"/>
        </w:rPr>
        <w:t>Staff have appropriate attitudes, understanding and skills.</w:t>
      </w:r>
    </w:p>
    <w:p w14:paraId="24F6ECDD" w14:textId="77777777" w:rsidR="00533BC9" w:rsidRPr="00533BC9" w:rsidRDefault="00BC14E7" w:rsidP="006E6012">
      <w:pPr>
        <w:pStyle w:val="ListParagraph"/>
        <w:numPr>
          <w:ilvl w:val="0"/>
          <w:numId w:val="142"/>
        </w:numPr>
        <w:spacing w:before="60" w:after="60"/>
        <w:ind w:left="720" w:hanging="274"/>
        <w:rPr>
          <w:u w:val="single"/>
        </w:rPr>
      </w:pPr>
      <w:r w:rsidRPr="00533BC9">
        <w:rPr>
          <w:rFonts w:eastAsia="Helvetica Neue"/>
        </w:rPr>
        <w:t>Participation is monitored and evaluated.</w:t>
      </w:r>
    </w:p>
    <w:p w14:paraId="333895E0" w14:textId="77777777" w:rsidR="00533BC9" w:rsidRPr="00533BC9" w:rsidRDefault="00BC14E7" w:rsidP="006E6012">
      <w:pPr>
        <w:pStyle w:val="ListParagraph"/>
        <w:numPr>
          <w:ilvl w:val="0"/>
          <w:numId w:val="142"/>
        </w:numPr>
        <w:spacing w:before="60" w:after="60"/>
        <w:ind w:left="720" w:hanging="274"/>
        <w:rPr>
          <w:u w:val="single"/>
        </w:rPr>
      </w:pPr>
      <w:r w:rsidRPr="00533BC9">
        <w:rPr>
          <w:rFonts w:eastAsia="Helvetica Neue"/>
        </w:rPr>
        <w:t xml:space="preserve">Participation of disabled young persons brings about change. </w:t>
      </w:r>
    </w:p>
    <w:p w14:paraId="740A9F4D" w14:textId="77777777" w:rsidR="00533BC9" w:rsidRPr="00533BC9" w:rsidRDefault="00BC14E7" w:rsidP="006E6012">
      <w:pPr>
        <w:pStyle w:val="ListParagraph"/>
        <w:numPr>
          <w:ilvl w:val="0"/>
          <w:numId w:val="142"/>
        </w:numPr>
        <w:spacing w:before="60" w:after="60"/>
        <w:ind w:left="720" w:hanging="274"/>
        <w:rPr>
          <w:u w:val="single"/>
        </w:rPr>
      </w:pPr>
      <w:r w:rsidRPr="00533BC9">
        <w:rPr>
          <w:rFonts w:eastAsia="Helvetica Neue"/>
        </w:rPr>
        <w:t>The organization shows that it values young persons with disabilities’ participation”.</w:t>
      </w:r>
      <w:r w:rsidRPr="00B1674C">
        <w:rPr>
          <w:rStyle w:val="EndnoteReference"/>
          <w:rFonts w:eastAsia="Helvetica Neue"/>
        </w:rPr>
        <w:endnoteReference w:id="640"/>
      </w:r>
    </w:p>
    <w:p w14:paraId="216AA9B8" w14:textId="77777777" w:rsidR="00533BC9" w:rsidRPr="00533BC9" w:rsidRDefault="00BC14E7" w:rsidP="006E6012">
      <w:pPr>
        <w:pStyle w:val="ListParagraph"/>
        <w:numPr>
          <w:ilvl w:val="0"/>
          <w:numId w:val="141"/>
        </w:numPr>
        <w:rPr>
          <w:u w:val="single"/>
        </w:rPr>
      </w:pPr>
      <w:r w:rsidRPr="00533BC9">
        <w:rPr>
          <w:rFonts w:eastAsia="Helvetica Neue"/>
        </w:rPr>
        <w:t xml:space="preserve">Treat young persons with disabilities who are seeking services with </w:t>
      </w:r>
      <w:r w:rsidRPr="00533BC9">
        <w:rPr>
          <w:rFonts w:eastAsia="Helvetica Neue"/>
          <w:bCs/>
        </w:rPr>
        <w:t>respect</w:t>
      </w:r>
      <w:r w:rsidRPr="00533BC9">
        <w:rPr>
          <w:rFonts w:eastAsia="Helvetica Neue"/>
        </w:rPr>
        <w:t xml:space="preserve"> and protect their </w:t>
      </w:r>
      <w:r w:rsidRPr="00533BC9">
        <w:rPr>
          <w:rFonts w:eastAsia="Helvetica Neue"/>
          <w:bCs/>
        </w:rPr>
        <w:t>confidentiality</w:t>
      </w:r>
      <w:r w:rsidRPr="00533BC9">
        <w:rPr>
          <w:rFonts w:eastAsia="Helvetica Neue"/>
        </w:rPr>
        <w:t>. This is a key issue that adolescents and youth worldwide have identified as essential to making services youth friendly.</w:t>
      </w:r>
      <w:r w:rsidRPr="00B1674C">
        <w:rPr>
          <w:rStyle w:val="EndnoteReference"/>
          <w:rFonts w:eastAsia="Helvetica Neue"/>
        </w:rPr>
        <w:endnoteReference w:id="641"/>
      </w:r>
      <w:r w:rsidRPr="00533BC9">
        <w:rPr>
          <w:rFonts w:eastAsia="Helvetica Neue"/>
        </w:rPr>
        <w:t xml:space="preserve"> Advocate as necessary for laws, policies, and ethical guidelines that protect the confidentiality of adolescent and youth patients receiving SRHR services.</w:t>
      </w:r>
    </w:p>
    <w:p w14:paraId="3A7B0E5F" w14:textId="77777777" w:rsidR="00533BC9" w:rsidRPr="00533BC9" w:rsidRDefault="00BC14E7" w:rsidP="006E6012">
      <w:pPr>
        <w:pStyle w:val="ListParagraph"/>
        <w:numPr>
          <w:ilvl w:val="0"/>
          <w:numId w:val="141"/>
        </w:numPr>
        <w:rPr>
          <w:u w:val="single"/>
        </w:rPr>
      </w:pPr>
      <w:r w:rsidRPr="00533BC9">
        <w:rPr>
          <w:rFonts w:eastAsia="Helvetica Neue"/>
        </w:rPr>
        <w:t xml:space="preserve">Mentor and develop young persons with disabilities to become </w:t>
      </w:r>
      <w:r w:rsidRPr="00533BC9">
        <w:rPr>
          <w:rFonts w:eastAsia="Helvetica Neue"/>
          <w:bCs/>
        </w:rPr>
        <w:t>peer educators</w:t>
      </w:r>
      <w:r w:rsidRPr="00533BC9">
        <w:rPr>
          <w:rFonts w:eastAsia="Helvetica Neue"/>
        </w:rPr>
        <w:t xml:space="preserve"> to share SRHR information with other young persons with disabilities. </w:t>
      </w:r>
    </w:p>
    <w:p w14:paraId="37E1B2AC" w14:textId="77777777" w:rsidR="00533BC9" w:rsidRPr="00533BC9" w:rsidRDefault="00BC14E7" w:rsidP="006E6012">
      <w:pPr>
        <w:pStyle w:val="ListParagraph"/>
        <w:numPr>
          <w:ilvl w:val="0"/>
          <w:numId w:val="141"/>
        </w:numPr>
        <w:rPr>
          <w:u w:val="single"/>
        </w:rPr>
      </w:pPr>
      <w:r w:rsidRPr="00533BC9">
        <w:rPr>
          <w:rFonts w:eastAsia="Helvetica Neue"/>
        </w:rPr>
        <w:t xml:space="preserve">Create </w:t>
      </w:r>
      <w:r w:rsidRPr="00533BC9">
        <w:rPr>
          <w:rFonts w:eastAsia="Helvetica Neue"/>
          <w:bCs/>
        </w:rPr>
        <w:t>campaigns and programmes</w:t>
      </w:r>
      <w:r w:rsidRPr="00533BC9">
        <w:rPr>
          <w:rFonts w:eastAsia="Helvetica Neue"/>
        </w:rPr>
        <w:t xml:space="preserve"> that improve understanding and visibility about sexuality among young persons, including those with disabilities. These should address discrimination and misconceptions about sexuality and disabilities, such as the myth that persons with disabilities cannot have fulfilling relationships or an active sex life. Raise awareness among adolescents and youth with disabilities, along with their families, caregivers and health personnel, about the rights of young persons with disabilities and the importance of access to SRHR services.</w:t>
      </w:r>
      <w:r w:rsidRPr="00B1674C">
        <w:rPr>
          <w:rStyle w:val="EndnoteReference"/>
          <w:rFonts w:eastAsia="Helvetica Neue"/>
        </w:rPr>
        <w:endnoteReference w:id="642"/>
      </w:r>
    </w:p>
    <w:p w14:paraId="7944C9DA" w14:textId="3246A6E4" w:rsidR="00BC14E7" w:rsidRPr="00533BC9" w:rsidRDefault="00BC14E7" w:rsidP="006E6012">
      <w:pPr>
        <w:pStyle w:val="ListParagraph"/>
        <w:numPr>
          <w:ilvl w:val="0"/>
          <w:numId w:val="141"/>
        </w:numPr>
        <w:rPr>
          <w:u w:val="single"/>
        </w:rPr>
      </w:pPr>
      <w:r w:rsidRPr="00533BC9">
        <w:rPr>
          <w:rFonts w:eastAsia="Helvetica Neue"/>
        </w:rPr>
        <w:t xml:space="preserve">Use </w:t>
      </w:r>
      <w:r w:rsidRPr="00533BC9">
        <w:rPr>
          <w:rFonts w:eastAsia="Helvetica Neue"/>
          <w:bCs/>
        </w:rPr>
        <w:t>technology</w:t>
      </w:r>
      <w:r w:rsidRPr="00533BC9">
        <w:rPr>
          <w:rFonts w:eastAsia="Helvetica Neue"/>
        </w:rPr>
        <w:t xml:space="preserve"> to share information with young persons with and without disabilities. Incorporate young persons with disabilities into social media campaigns. Use text messaging and other messaging services to encourage information and experience sharing among peer </w:t>
      </w:r>
      <w:r w:rsidRPr="00533BC9">
        <w:rPr>
          <w:rFonts w:eastAsia="Helvetica Neue"/>
        </w:rPr>
        <w:lastRenderedPageBreak/>
        <w:t>groups; this has proven particularly effective among Deaf youth. Include mechanisms for accessing more information through links and codes to encourage deeper learning.</w:t>
      </w:r>
      <w:r w:rsidRPr="00B1674C">
        <w:rPr>
          <w:rStyle w:val="EndnoteReference"/>
          <w:rFonts w:eastAsia="Helvetica Neue"/>
        </w:rPr>
        <w:endnoteReference w:id="643"/>
      </w:r>
      <w:r w:rsidRPr="00533BC9">
        <w:rPr>
          <w:rFonts w:eastAsia="Helvetica Neue"/>
        </w:rPr>
        <w:t xml:space="preserve">   </w:t>
      </w:r>
    </w:p>
    <w:p w14:paraId="5F00B1D2" w14:textId="77777777" w:rsidR="00BC14E7" w:rsidRPr="00A64CBE" w:rsidRDefault="00BC14E7" w:rsidP="008304B7">
      <w:pPr>
        <w:pStyle w:val="Heading4"/>
        <w:spacing w:before="480"/>
        <w:rPr>
          <w:rFonts w:eastAsia="Helvetica Neue"/>
        </w:rPr>
      </w:pPr>
      <w:r w:rsidRPr="00A64CBE">
        <w:rPr>
          <w:rFonts w:eastAsia="Helvetica Neue"/>
        </w:rPr>
        <w:t xml:space="preserve">Guidelines for Action: Quality </w:t>
      </w:r>
    </w:p>
    <w:p w14:paraId="244216FA" w14:textId="77777777" w:rsidR="00533BC9" w:rsidRPr="00533BC9" w:rsidRDefault="00BC14E7" w:rsidP="006E6012">
      <w:pPr>
        <w:pStyle w:val="ListParagraph"/>
        <w:numPr>
          <w:ilvl w:val="0"/>
          <w:numId w:val="143"/>
        </w:numPr>
      </w:pPr>
      <w:r w:rsidRPr="00533BC9">
        <w:rPr>
          <w:rFonts w:eastAsia="Helvetica Neue"/>
        </w:rPr>
        <w:t xml:space="preserve">Adapt the WHO’s </w:t>
      </w:r>
      <w:r w:rsidRPr="00533BC9">
        <w:rPr>
          <w:rFonts w:eastAsia="Helvetica Neue"/>
          <w:b/>
        </w:rPr>
        <w:t>‘Core Competencies in Adolescent Health and Development for Primary Care Providers’</w:t>
      </w:r>
      <w:r w:rsidRPr="00B1674C">
        <w:rPr>
          <w:rStyle w:val="EndnoteReference"/>
          <w:rFonts w:eastAsia="Helvetica Neue"/>
        </w:rPr>
        <w:endnoteReference w:id="644"/>
      </w:r>
      <w:r w:rsidRPr="00533BC9">
        <w:rPr>
          <w:rFonts w:eastAsia="Helvetica Neue"/>
        </w:rPr>
        <w:t xml:space="preserve"> guidance, in conjunction with young persons with disabilities, to train healthcare service providers on service provision for adolescents with disabilities. </w:t>
      </w:r>
    </w:p>
    <w:p w14:paraId="38F3F6A0" w14:textId="4C78BF53" w:rsidR="00BC14E7" w:rsidRPr="00A64CBE" w:rsidRDefault="00BC14E7" w:rsidP="006E6012">
      <w:pPr>
        <w:pStyle w:val="ListParagraph"/>
        <w:numPr>
          <w:ilvl w:val="0"/>
          <w:numId w:val="143"/>
        </w:numPr>
      </w:pPr>
      <w:r w:rsidRPr="00533BC9">
        <w:rPr>
          <w:rFonts w:eastAsia="Helvetica Neue"/>
          <w:b/>
        </w:rPr>
        <w:t>Collect and disaggregate data by age, sex, and disability</w:t>
      </w:r>
      <w:r w:rsidRPr="00533BC9">
        <w:rPr>
          <w:rFonts w:eastAsia="Helvetica Neue"/>
        </w:rPr>
        <w:t xml:space="preserve"> to assess health services for young persons with disabilities. The Special Rapporteur on the Right of Everyone to the Enjoyment of the Highest Attainable Standard of Physical and Mental Health published a report on the rights of adolescents that details the mental health and SRHR needs of adolescents. The Special Rapporteur identifies the lack of data disaggregated by age, sex, and disability as one of the biggest challenges to promoting adolescents’ rights.</w:t>
      </w:r>
      <w:r w:rsidRPr="00B1674C">
        <w:rPr>
          <w:rStyle w:val="EndnoteReference"/>
          <w:rFonts w:eastAsia="Helvetica Neue"/>
        </w:rPr>
        <w:endnoteReference w:id="645"/>
      </w:r>
      <w:r w:rsidRPr="00533BC9">
        <w:rPr>
          <w:rFonts w:eastAsia="Helvetica Neue"/>
        </w:rPr>
        <w:t xml:space="preserve"> The report also emphasizes the need for disability- and age-appropriate services.</w:t>
      </w:r>
      <w:r w:rsidRPr="00B1674C">
        <w:rPr>
          <w:rStyle w:val="EndnoteReference"/>
          <w:rFonts w:eastAsia="Helvetica Neue"/>
        </w:rPr>
        <w:endnoteReference w:id="646"/>
      </w:r>
      <w:r w:rsidRPr="00533BC9">
        <w:rPr>
          <w:rFonts w:eastAsia="Helvetica Neue"/>
        </w:rPr>
        <w:t xml:space="preserve"> The standards laid out in the report provide additional guidance on how to realize the right to health for young persons with disabilities.</w:t>
      </w:r>
      <w:r w:rsidRPr="00B1674C">
        <w:rPr>
          <w:rStyle w:val="EndnoteReference"/>
          <w:rFonts w:eastAsia="Helvetica Neue"/>
        </w:rPr>
        <w:endnoteReference w:id="647"/>
      </w:r>
      <w:r w:rsidRPr="00533BC9">
        <w:rPr>
          <w:rFonts w:eastAsia="Helvetica Neue"/>
        </w:rPr>
        <w:t xml:space="preserve"> </w:t>
      </w:r>
      <w:r w:rsidR="009D6503">
        <w:rPr>
          <w:rFonts w:eastAsia="Helvetica Neue"/>
        </w:rPr>
        <w:br/>
      </w:r>
    </w:p>
    <w:p w14:paraId="3EC2C8D4" w14:textId="43E92568" w:rsidR="00533BC9" w:rsidRPr="003812DB" w:rsidRDefault="003812DB" w:rsidP="008304B7">
      <w:pPr>
        <w:pStyle w:val="Heading4"/>
        <w:ind w:hanging="90"/>
        <w:rPr>
          <w:rFonts w:eastAsia="Helvetica Neue"/>
          <w:color w:val="C00000"/>
        </w:rPr>
      </w:pPr>
      <w:r w:rsidRPr="00A6697D">
        <w:rPr>
          <w:noProof/>
        </w:rPr>
        <mc:AlternateContent>
          <mc:Choice Requires="wps">
            <w:drawing>
              <wp:inline distT="0" distB="0" distL="0" distR="0" wp14:anchorId="68B4445B" wp14:editId="77EB1F31">
                <wp:extent cx="5943600" cy="0"/>
                <wp:effectExtent l="0" t="38100" r="25400" b="38100"/>
                <wp:docPr id="35" name="Straight Connector 35" descr="Text box follows"/>
                <wp:cNvGraphicFramePr/>
                <a:graphic xmlns:a="http://schemas.openxmlformats.org/drawingml/2006/main">
                  <a:graphicData uri="http://schemas.microsoft.com/office/word/2010/wordprocessingShape">
                    <wps:wsp>
                      <wps:cNvCnPr/>
                      <wps:spPr>
                        <a:xfrm>
                          <a:off x="0" y="0"/>
                          <a:ext cx="5943600" cy="0"/>
                        </a:xfrm>
                        <a:prstGeom prst="line">
                          <a:avLst/>
                        </a:prstGeom>
                        <a:ln w="76200">
                          <a:solidFill>
                            <a:srgbClr val="9B4868"/>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2C347CF6" id="Straight Connector 35" o:spid="_x0000_s1026" alt="Text box follow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" strokecolor="#9b4868" strokeweight="6pt">
                <w10:anchorlock/>
              </v:line>
            </w:pict>
          </mc:Fallback>
        </mc:AlternateContent>
      </w:r>
      <w:r>
        <w:rPr>
          <w:rFonts w:eastAsia="Helvetica Neue"/>
          <w:color w:val="C00000"/>
        </w:rPr>
        <w:br/>
      </w:r>
      <w:r w:rsidRPr="00907C3D">
        <w:rPr>
          <w:rFonts w:eastAsia="Helvetica Neue"/>
          <w:color w:val="C00000"/>
          <w:sz w:val="16"/>
          <w:szCs w:val="16"/>
        </w:rPr>
        <w:br/>
      </w:r>
      <w:r w:rsidR="00BC14E7" w:rsidRPr="007B7686">
        <w:rPr>
          <w:rFonts w:eastAsia="Helvetica Neue"/>
          <w:color w:val="9B4868"/>
          <w:sz w:val="32"/>
          <w:szCs w:val="32"/>
        </w:rPr>
        <w:t>Humanitarian Emergencies—Young Persons’ Access to Health Information and Services</w:t>
      </w:r>
    </w:p>
    <w:p w14:paraId="0AB6D167" w14:textId="75E6F6B9" w:rsidR="00BC14E7" w:rsidRPr="00533BC9" w:rsidRDefault="00BC14E7" w:rsidP="00533BC9">
      <w:pPr>
        <w:rPr>
          <w:rFonts w:eastAsia="Helvetica Neue"/>
        </w:rPr>
      </w:pPr>
      <w:r w:rsidRPr="00A64CBE">
        <w:rPr>
          <w:rFonts w:eastAsia="Helvetica Neue"/>
        </w:rPr>
        <w:t xml:space="preserve">Ensure that minimum standards are followed for all services offered and provided to young </w:t>
      </w:r>
      <w:r>
        <w:rPr>
          <w:rFonts w:eastAsia="Helvetica Neue"/>
        </w:rPr>
        <w:t>persons</w:t>
      </w:r>
      <w:r w:rsidRPr="00A64CBE">
        <w:rPr>
          <w:rFonts w:eastAsia="Helvetica Neue"/>
        </w:rPr>
        <w:t xml:space="preserve"> with disabilities</w:t>
      </w:r>
      <w:r>
        <w:rPr>
          <w:rFonts w:eastAsia="Helvetica Neue"/>
        </w:rPr>
        <w:t xml:space="preserve"> during humanitarian emergencies</w:t>
      </w:r>
      <w:r w:rsidRPr="00A64CBE">
        <w:rPr>
          <w:rFonts w:eastAsia="Helvetica Neue"/>
        </w:rPr>
        <w:t xml:space="preserve">.  </w:t>
      </w:r>
      <w:r w:rsidRPr="00A64CBE">
        <w:rPr>
          <w:color w:val="000000" w:themeColor="text1"/>
          <w:szCs w:val="20"/>
        </w:rPr>
        <w:t>UNFP</w:t>
      </w:r>
      <w:r w:rsidRPr="00A64CBE">
        <w:rPr>
          <w:color w:val="000000" w:themeColor="text1"/>
          <w:szCs w:val="20"/>
          <w:lang w:eastAsia="zh-CN"/>
        </w:rPr>
        <w:t xml:space="preserve">A and </w:t>
      </w:r>
      <w:r w:rsidRPr="00A64CBE">
        <w:rPr>
          <w:rFonts w:eastAsia="Helvetica Neue"/>
        </w:rPr>
        <w:t xml:space="preserve">Save the Children USA have developed comprehensive minimum standards and services for adolescent SRHR services during emergencies, as a companion to the </w:t>
      </w:r>
      <w:r w:rsidRPr="0018197A">
        <w:rPr>
          <w:rFonts w:eastAsia="Helvetica Neue"/>
          <w:b/>
        </w:rPr>
        <w:t>‘Inter-Agency Field Manual on Reproductive Health in Humanitarian Settings’</w:t>
      </w:r>
      <w:r w:rsidRPr="00A64CBE">
        <w:rPr>
          <w:rFonts w:eastAsia="Helvetica Neue"/>
        </w:rPr>
        <w:t>.</w:t>
      </w:r>
      <w:r w:rsidRPr="00B1674C">
        <w:rPr>
          <w:rStyle w:val="EndnoteReference"/>
          <w:rFonts w:eastAsia="Helvetica Neue"/>
        </w:rPr>
        <w:endnoteReference w:id="648"/>
      </w:r>
      <w:r w:rsidRPr="00A64CBE">
        <w:rPr>
          <w:rFonts w:eastAsia="Helvetica Neue"/>
        </w:rPr>
        <w:t xml:space="preserve"> These guidelines are not tailored to </w:t>
      </w:r>
      <w:r>
        <w:rPr>
          <w:rFonts w:eastAsia="Helvetica Neue"/>
        </w:rPr>
        <w:t>persons</w:t>
      </w:r>
      <w:r w:rsidRPr="00A64CBE">
        <w:rPr>
          <w:rFonts w:eastAsia="Helvetica Neue"/>
        </w:rPr>
        <w:t xml:space="preserve"> with disabilities, thus service providers should work with young </w:t>
      </w:r>
      <w:r>
        <w:rPr>
          <w:rFonts w:eastAsia="Helvetica Neue"/>
        </w:rPr>
        <w:t>persons</w:t>
      </w:r>
      <w:r w:rsidRPr="00A64CBE">
        <w:rPr>
          <w:rFonts w:eastAsia="Helvetica Neue"/>
        </w:rPr>
        <w:t xml:space="preserve"> with disabilities to understand how to implement these standards with the adaptations and accommodations required by young </w:t>
      </w:r>
      <w:r>
        <w:rPr>
          <w:rFonts w:eastAsia="Helvetica Neue"/>
        </w:rPr>
        <w:t>persons</w:t>
      </w:r>
      <w:r w:rsidRPr="00A64CBE">
        <w:rPr>
          <w:rFonts w:eastAsia="Helvetica Neue"/>
        </w:rPr>
        <w:t xml:space="preserve"> with disabilities.</w:t>
      </w:r>
    </w:p>
    <w:p w14:paraId="7033EDEA" w14:textId="3084E8E2" w:rsidR="00BC14E7" w:rsidRPr="00533BC9" w:rsidRDefault="00BC14E7" w:rsidP="00533BC9">
      <w:pPr>
        <w:rPr>
          <w:rFonts w:eastAsia="Helvetica Neue"/>
        </w:rPr>
      </w:pPr>
      <w:r w:rsidRPr="00533BC9">
        <w:rPr>
          <w:rFonts w:eastAsia="Helvetica Neue"/>
          <w:b/>
          <w:bCs/>
        </w:rPr>
        <w:t>‘Adolescent Sexual and Reproductive Health Toolkit for Humanitarian Settings: A Companion to the Inter-Agency Field Manual on Reproductive Health in Humanitarian Settings’</w:t>
      </w:r>
      <w:r w:rsidRPr="00B1674C">
        <w:rPr>
          <w:rStyle w:val="EndnoteReference"/>
          <w:rFonts w:eastAsia="Helvetica Neue"/>
        </w:rPr>
        <w:endnoteReference w:id="649"/>
      </w:r>
      <w:r w:rsidRPr="0018197A">
        <w:rPr>
          <w:rFonts w:eastAsia="Helvetica Neue"/>
        </w:rPr>
        <w:t xml:space="preserve"> –</w:t>
      </w:r>
      <w:r w:rsidRPr="00A64CBE">
        <w:rPr>
          <w:rFonts w:eastAsia="Helvetica Neue"/>
        </w:rPr>
        <w:t xml:space="preserve"> </w:t>
      </w:r>
      <w:r w:rsidRPr="0018197A">
        <w:rPr>
          <w:rFonts w:eastAsia="Helvetica Neue"/>
        </w:rPr>
        <w:t>Minimum Initial Service Package</w:t>
      </w:r>
      <w:r w:rsidRPr="00A64CBE">
        <w:rPr>
          <w:rFonts w:eastAsia="Helvetica Neue"/>
        </w:rPr>
        <w:t>:</w:t>
      </w:r>
    </w:p>
    <w:p w14:paraId="133B2904" w14:textId="77777777" w:rsidR="00BC14E7" w:rsidRPr="00A64CBE" w:rsidRDefault="00BC14E7" w:rsidP="006E6012">
      <w:pPr>
        <w:pStyle w:val="ListParagraph"/>
        <w:numPr>
          <w:ilvl w:val="0"/>
          <w:numId w:val="144"/>
        </w:numPr>
        <w:spacing w:before="60" w:after="60"/>
      </w:pPr>
      <w:r w:rsidRPr="00533BC9">
        <w:rPr>
          <w:rFonts w:eastAsia="Helvetica Neue"/>
        </w:rPr>
        <w:t>“Adolescent-friendly clinical services;</w:t>
      </w:r>
    </w:p>
    <w:p w14:paraId="5FA12D6E" w14:textId="77777777" w:rsidR="00BC14E7" w:rsidRPr="00A64CBE" w:rsidRDefault="00BC14E7" w:rsidP="006E6012">
      <w:pPr>
        <w:pStyle w:val="ListParagraph"/>
        <w:numPr>
          <w:ilvl w:val="0"/>
          <w:numId w:val="144"/>
        </w:numPr>
        <w:spacing w:before="60" w:after="60"/>
      </w:pPr>
      <w:r w:rsidRPr="00533BC9">
        <w:rPr>
          <w:rFonts w:eastAsia="Helvetica Neue"/>
        </w:rPr>
        <w:t>Clinical management of survivors of sexual violence;</w:t>
      </w:r>
    </w:p>
    <w:p w14:paraId="4558D0E4" w14:textId="77777777" w:rsidR="00BC14E7" w:rsidRPr="00A64CBE" w:rsidRDefault="00BC14E7" w:rsidP="006E6012">
      <w:pPr>
        <w:pStyle w:val="ListParagraph"/>
        <w:numPr>
          <w:ilvl w:val="0"/>
          <w:numId w:val="144"/>
        </w:numPr>
        <w:spacing w:before="60" w:after="60"/>
      </w:pPr>
      <w:r w:rsidRPr="00533BC9">
        <w:rPr>
          <w:rFonts w:eastAsia="Helvetica Neue"/>
        </w:rPr>
        <w:t>Treatment and referral of clients with obstetric emergencies;</w:t>
      </w:r>
    </w:p>
    <w:p w14:paraId="7B52A54C" w14:textId="77777777" w:rsidR="00BC14E7" w:rsidRPr="00A64CBE" w:rsidRDefault="00BC14E7" w:rsidP="006E6012">
      <w:pPr>
        <w:pStyle w:val="ListParagraph"/>
        <w:numPr>
          <w:ilvl w:val="0"/>
          <w:numId w:val="144"/>
        </w:numPr>
        <w:spacing w:before="60" w:after="60"/>
      </w:pPr>
      <w:r w:rsidRPr="00533BC9">
        <w:rPr>
          <w:rFonts w:eastAsia="Helvetica Neue"/>
        </w:rPr>
        <w:t>Standard precautions;</w:t>
      </w:r>
    </w:p>
    <w:p w14:paraId="2C9C5916" w14:textId="77777777" w:rsidR="00BC14E7" w:rsidRPr="00A64CBE" w:rsidRDefault="00BC14E7" w:rsidP="006E6012">
      <w:pPr>
        <w:pStyle w:val="ListParagraph"/>
        <w:numPr>
          <w:ilvl w:val="0"/>
          <w:numId w:val="144"/>
        </w:numPr>
        <w:spacing w:before="60" w:after="60"/>
      </w:pPr>
      <w:r w:rsidRPr="00533BC9">
        <w:rPr>
          <w:rFonts w:eastAsia="Helvetica Neue"/>
        </w:rPr>
        <w:t>Condom distribution”.</w:t>
      </w:r>
      <w:r w:rsidRPr="00B1674C">
        <w:rPr>
          <w:rStyle w:val="EndnoteReference"/>
          <w:rFonts w:eastAsia="Helvetica Neue"/>
        </w:rPr>
        <w:endnoteReference w:id="650"/>
      </w:r>
    </w:p>
    <w:p w14:paraId="3AEB3F39" w14:textId="59770774" w:rsidR="00BC14E7" w:rsidRPr="00A64CBE" w:rsidRDefault="00BC14E7" w:rsidP="007B7686">
      <w:pPr>
        <w:spacing w:before="360"/>
        <w:rPr>
          <w:rFonts w:ascii="Arial" w:eastAsia="Helvetica Neue" w:hAnsi="Arial" w:cs="Arial"/>
          <w:color w:val="000000"/>
        </w:rPr>
      </w:pPr>
      <w:r w:rsidRPr="00A64CBE">
        <w:rPr>
          <w:rFonts w:eastAsia="Helvetica Neue"/>
        </w:rPr>
        <w:t xml:space="preserve">Utilize the following techniques to improve service delivery to young </w:t>
      </w:r>
      <w:r>
        <w:rPr>
          <w:rFonts w:eastAsia="Helvetica Neue"/>
        </w:rPr>
        <w:t>persons</w:t>
      </w:r>
      <w:r w:rsidRPr="00A64CBE">
        <w:rPr>
          <w:rFonts w:eastAsia="Helvetica Neue"/>
        </w:rPr>
        <w:t xml:space="preserve"> with disabilities during humanitarian emergencies: </w:t>
      </w:r>
    </w:p>
    <w:p w14:paraId="6DE5308A" w14:textId="77777777" w:rsidR="00BC14E7" w:rsidRPr="00A64CBE" w:rsidRDefault="00BC14E7" w:rsidP="006E6012">
      <w:pPr>
        <w:pStyle w:val="ListParagraph"/>
        <w:numPr>
          <w:ilvl w:val="0"/>
          <w:numId w:val="145"/>
        </w:numPr>
        <w:spacing w:before="60" w:after="60"/>
      </w:pPr>
      <w:r w:rsidRPr="00533BC9">
        <w:rPr>
          <w:rFonts w:eastAsia="Helvetica Neue"/>
        </w:rPr>
        <w:lastRenderedPageBreak/>
        <w:t>Establish or identify safe spaces for adolescents.</w:t>
      </w:r>
      <w:r w:rsidRPr="00B1674C">
        <w:rPr>
          <w:rStyle w:val="EndnoteReference"/>
          <w:rFonts w:eastAsia="Helvetica Neue"/>
        </w:rPr>
        <w:endnoteReference w:id="651"/>
      </w:r>
    </w:p>
    <w:p w14:paraId="0C841F3D" w14:textId="77777777" w:rsidR="00BC14E7" w:rsidRPr="00A64CBE" w:rsidRDefault="00BC14E7" w:rsidP="006E6012">
      <w:pPr>
        <w:pStyle w:val="ListParagraph"/>
        <w:numPr>
          <w:ilvl w:val="0"/>
          <w:numId w:val="145"/>
        </w:numPr>
        <w:spacing w:before="60" w:after="60"/>
      </w:pPr>
      <w:r w:rsidRPr="00533BC9">
        <w:rPr>
          <w:rFonts w:eastAsia="Helvetica Neue"/>
        </w:rPr>
        <w:t xml:space="preserve">Twenty-four seven availability of clinical services. </w:t>
      </w:r>
    </w:p>
    <w:p w14:paraId="43AF1970" w14:textId="77777777" w:rsidR="00BC14E7" w:rsidRPr="00A64CBE" w:rsidRDefault="00BC14E7" w:rsidP="006E6012">
      <w:pPr>
        <w:pStyle w:val="ListParagraph"/>
        <w:numPr>
          <w:ilvl w:val="0"/>
          <w:numId w:val="145"/>
        </w:numPr>
        <w:spacing w:before="60" w:after="60"/>
      </w:pPr>
      <w:r w:rsidRPr="00533BC9">
        <w:rPr>
          <w:rFonts w:eastAsia="Helvetica Neue"/>
        </w:rPr>
        <w:t>Private triage areas.</w:t>
      </w:r>
    </w:p>
    <w:p w14:paraId="2F6FB2F5" w14:textId="77777777" w:rsidR="00BC14E7" w:rsidRPr="00A64CBE" w:rsidRDefault="00BC14E7" w:rsidP="006E6012">
      <w:pPr>
        <w:pStyle w:val="ListParagraph"/>
        <w:numPr>
          <w:ilvl w:val="0"/>
          <w:numId w:val="145"/>
        </w:numPr>
        <w:spacing w:before="60" w:after="60"/>
      </w:pPr>
      <w:r w:rsidRPr="00533BC9">
        <w:rPr>
          <w:rFonts w:eastAsia="Helvetica Neue"/>
        </w:rPr>
        <w:t xml:space="preserve">Same-sex service providers and support staff. </w:t>
      </w:r>
    </w:p>
    <w:p w14:paraId="6B312F9A" w14:textId="77777777" w:rsidR="00BC14E7" w:rsidRPr="00A64CBE" w:rsidRDefault="00BC14E7" w:rsidP="006E6012">
      <w:pPr>
        <w:pStyle w:val="ListParagraph"/>
        <w:numPr>
          <w:ilvl w:val="0"/>
          <w:numId w:val="145"/>
        </w:numPr>
        <w:spacing w:before="60" w:after="60"/>
      </w:pPr>
      <w:r w:rsidRPr="00533BC9">
        <w:rPr>
          <w:rFonts w:eastAsia="Helvetica Neue"/>
        </w:rPr>
        <w:t>Limited vaginal speculum examinations to pre-pubertal girls.</w:t>
      </w:r>
    </w:p>
    <w:p w14:paraId="58FC158A" w14:textId="77777777" w:rsidR="00BC14E7" w:rsidRPr="00A64CBE" w:rsidRDefault="00BC14E7" w:rsidP="006E6012">
      <w:pPr>
        <w:pStyle w:val="ListParagraph"/>
        <w:numPr>
          <w:ilvl w:val="0"/>
          <w:numId w:val="145"/>
        </w:numPr>
        <w:spacing w:before="60" w:after="60"/>
      </w:pPr>
      <w:r w:rsidRPr="00533BC9">
        <w:rPr>
          <w:rFonts w:eastAsia="Helvetica Neue"/>
        </w:rPr>
        <w:t>Non-judgmental service providers and support staff trained to ensure privacy and respect young victim/survivor’s dignity.</w:t>
      </w:r>
    </w:p>
    <w:p w14:paraId="59D32CDE" w14:textId="77777777" w:rsidR="00BC14E7" w:rsidRPr="00A64CBE" w:rsidRDefault="00BC14E7" w:rsidP="006E6012">
      <w:pPr>
        <w:pStyle w:val="ListParagraph"/>
        <w:numPr>
          <w:ilvl w:val="0"/>
          <w:numId w:val="145"/>
        </w:numPr>
        <w:spacing w:before="60" w:after="60"/>
      </w:pPr>
      <w:r w:rsidRPr="00533BC9">
        <w:rPr>
          <w:rFonts w:eastAsia="Helvetica Neue"/>
        </w:rPr>
        <w:t xml:space="preserve">Confidential services that do not require parental consent. </w:t>
      </w:r>
    </w:p>
    <w:p w14:paraId="16F40FB2" w14:textId="624CEA6F" w:rsidR="00BC14E7" w:rsidRPr="003812DB" w:rsidRDefault="00BC14E7" w:rsidP="006E6012">
      <w:pPr>
        <w:pStyle w:val="ListParagraph"/>
        <w:numPr>
          <w:ilvl w:val="0"/>
          <w:numId w:val="145"/>
        </w:numPr>
        <w:spacing w:before="60" w:after="60"/>
      </w:pPr>
      <w:r w:rsidRPr="00533BC9">
        <w:rPr>
          <w:rFonts w:eastAsia="Helvetica Neue"/>
        </w:rPr>
        <w:t>Service providers and support staff trained to identify sexual assault in males.</w:t>
      </w:r>
      <w:r w:rsidRPr="00B1674C">
        <w:rPr>
          <w:rStyle w:val="EndnoteReference"/>
          <w:rFonts w:eastAsia="Helvetica Neue"/>
        </w:rPr>
        <w:endnoteReference w:id="652"/>
      </w:r>
    </w:p>
    <w:p w14:paraId="3BCA947E" w14:textId="65AF7C63" w:rsidR="003812DB" w:rsidRPr="00533BC9" w:rsidRDefault="003812DB" w:rsidP="008304B7">
      <w:pPr>
        <w:spacing w:before="60" w:after="60"/>
        <w:ind w:hanging="90"/>
      </w:pPr>
      <w:r w:rsidRPr="00A6697D">
        <w:rPr>
          <w:noProof/>
        </w:rPr>
        <mc:AlternateContent>
          <mc:Choice Requires="wps">
            <w:drawing>
              <wp:inline distT="0" distB="0" distL="0" distR="0" wp14:anchorId="1843E145" wp14:editId="149EAD79">
                <wp:extent cx="5943600" cy="0"/>
                <wp:effectExtent l="0" t="12700" r="25400" b="25400"/>
                <wp:docPr id="36" name="Straight Connector 36" descr="Text box ends"/>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rgbClr val="9B4868"/>
                          </a:solidFill>
                        </a:ln>
                        <a:effectLst/>
                      </wps:spPr>
                      <wps:style>
                        <a:lnRef idx="2">
                          <a:schemeClr val="accent6"/>
                        </a:lnRef>
                        <a:fillRef idx="0">
                          <a:schemeClr val="accent6"/>
                        </a:fillRef>
                        <a:effectRef idx="1">
                          <a:schemeClr val="accent6"/>
                        </a:effectRef>
                        <a:fontRef idx="minor">
                          <a:schemeClr val="tx1"/>
                        </a:fontRef>
                      </wps:style>
                      <wps:bodyPr/>
                    </wps:wsp>
                  </a:graphicData>
                </a:graphic>
              </wp:inline>
            </w:drawing>
          </mc:Choice>
          <mc:Fallback>
            <w:pict>
              <v:line w14:anchorId="2D9D6894" id="Straight Connector 36" o:spid="_x0000_s1026" alt="Text box end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" strokecolor="#9b4868" strokeweight="3pt">
                <w10:anchorlock/>
              </v:line>
            </w:pict>
          </mc:Fallback>
        </mc:AlternateContent>
      </w:r>
    </w:p>
    <w:p w14:paraId="5EF356A8" w14:textId="77777777" w:rsidR="00BC14E7" w:rsidRPr="00907C3D" w:rsidRDefault="00BC14E7" w:rsidP="00907C3D">
      <w:pPr>
        <w:pStyle w:val="Heading3"/>
        <w:spacing w:before="480"/>
      </w:pPr>
      <w:r w:rsidRPr="00907C3D">
        <w:t>4.8.3</w:t>
      </w:r>
      <w:r w:rsidRPr="00907C3D">
        <w:tab/>
        <w:t xml:space="preserve">Indicators </w:t>
      </w:r>
    </w:p>
    <w:p w14:paraId="7E9680D4" w14:textId="77777777" w:rsidR="00BC14E7" w:rsidRPr="00A64CBE" w:rsidRDefault="00BC14E7" w:rsidP="00533BC9">
      <w:pPr>
        <w:rPr>
          <w:rFonts w:eastAsia="Helvetica Neue"/>
        </w:rPr>
      </w:pPr>
      <w:r w:rsidRPr="00A64CBE">
        <w:rPr>
          <w:rFonts w:eastAsia="Helvetica Neue"/>
        </w:rPr>
        <w:t xml:space="preserve">The following are illustrative of indicators that can be used to monitor and evaluate progress in the provision </w:t>
      </w:r>
      <w:r>
        <w:rPr>
          <w:rFonts w:eastAsia="Helvetica Neue"/>
        </w:rPr>
        <w:t xml:space="preserve">of </w:t>
      </w:r>
      <w:r w:rsidRPr="00A64CBE">
        <w:rPr>
          <w:rFonts w:eastAsia="Helvetica Neue"/>
        </w:rPr>
        <w:t xml:space="preserve">rights-based SRHR services for young </w:t>
      </w:r>
      <w:r>
        <w:rPr>
          <w:rFonts w:eastAsia="Helvetica Neue"/>
        </w:rPr>
        <w:t>persons</w:t>
      </w:r>
      <w:r w:rsidRPr="00A64CBE">
        <w:rPr>
          <w:rFonts w:eastAsia="Helvetica Neue"/>
        </w:rPr>
        <w:t xml:space="preserve"> with disabilities. This is not an exhaustive list, but rather a few examples demonstrating the level of specificity, subjects, and form that indicators around </w:t>
      </w:r>
      <w:r>
        <w:rPr>
          <w:rFonts w:eastAsia="Helvetica Neue"/>
        </w:rPr>
        <w:t>youth</w:t>
      </w:r>
      <w:r w:rsidRPr="00A64CBE">
        <w:rPr>
          <w:rFonts w:eastAsia="Helvetica Neue"/>
        </w:rPr>
        <w:t>-friendly SRHR services should take. Service providers should tailor the indicators to fit their programme settings and levels, including by specifying at which level and by whom indicator data should be collected.</w:t>
      </w:r>
    </w:p>
    <w:p w14:paraId="21A5B70E" w14:textId="77777777" w:rsidR="00BC14E7" w:rsidRPr="00A64CBE" w:rsidRDefault="00BC14E7" w:rsidP="006E6012">
      <w:pPr>
        <w:pStyle w:val="ListParagraph"/>
        <w:numPr>
          <w:ilvl w:val="0"/>
          <w:numId w:val="146"/>
        </w:numPr>
      </w:pPr>
      <w:r w:rsidRPr="00533BC9">
        <w:rPr>
          <w:rFonts w:eastAsia="Helvetica Neue"/>
        </w:rPr>
        <w:t>Percentage of young persons with disabilities aged 15-19 with comprehensive knowledge of HIV/AIDS.</w:t>
      </w:r>
      <w:r w:rsidRPr="00B1674C">
        <w:rPr>
          <w:rStyle w:val="EndnoteReference"/>
          <w:rFonts w:eastAsia="Helvetica Neue"/>
        </w:rPr>
        <w:endnoteReference w:id="653"/>
      </w:r>
    </w:p>
    <w:p w14:paraId="6D6C683A" w14:textId="77777777" w:rsidR="00BC14E7" w:rsidRPr="00A64CBE" w:rsidRDefault="00BC14E7" w:rsidP="006E6012">
      <w:pPr>
        <w:pStyle w:val="ListParagraph"/>
        <w:numPr>
          <w:ilvl w:val="0"/>
          <w:numId w:val="146"/>
        </w:numPr>
      </w:pPr>
      <w:r w:rsidRPr="00533BC9">
        <w:rPr>
          <w:rFonts w:eastAsia="Helvetica Neue"/>
        </w:rPr>
        <w:t>“Number and distribution of health facilities with basic adolescent-friendly service capacity per 10,000 adolescents”.</w:t>
      </w:r>
      <w:r w:rsidRPr="00B1674C">
        <w:rPr>
          <w:rStyle w:val="EndnoteReference"/>
          <w:rFonts w:eastAsia="Helvetica Neue"/>
        </w:rPr>
        <w:endnoteReference w:id="654"/>
      </w:r>
    </w:p>
    <w:p w14:paraId="72E77898" w14:textId="77777777" w:rsidR="00BC14E7" w:rsidRPr="00A64CBE" w:rsidRDefault="00BC14E7" w:rsidP="006E6012">
      <w:pPr>
        <w:pStyle w:val="ListParagraph"/>
        <w:numPr>
          <w:ilvl w:val="0"/>
          <w:numId w:val="146"/>
        </w:numPr>
      </w:pPr>
      <w:r w:rsidRPr="00533BC9">
        <w:rPr>
          <w:rFonts w:eastAsia="Helvetica Neue"/>
        </w:rPr>
        <w:t>Percentage of adolescent girls with disabilities between the ages of 9 and 13 years who have received the HPV vaccine.</w:t>
      </w:r>
      <w:r w:rsidRPr="00B1674C">
        <w:rPr>
          <w:rStyle w:val="EndnoteReference"/>
          <w:rFonts w:eastAsia="Helvetica Neue"/>
        </w:rPr>
        <w:endnoteReference w:id="655"/>
      </w:r>
      <w:r w:rsidRPr="00533BC9">
        <w:rPr>
          <w:rFonts w:eastAsia="Helvetica Neue"/>
        </w:rPr>
        <w:t xml:space="preserve"> </w:t>
      </w:r>
    </w:p>
    <w:p w14:paraId="350A656B" w14:textId="77777777" w:rsidR="00BC14E7" w:rsidRPr="00A64CBE" w:rsidRDefault="00BC14E7" w:rsidP="006E6012">
      <w:pPr>
        <w:pStyle w:val="ListParagraph"/>
        <w:numPr>
          <w:ilvl w:val="0"/>
          <w:numId w:val="146"/>
        </w:numPr>
      </w:pPr>
      <w:r w:rsidRPr="00533BC9">
        <w:rPr>
          <w:rFonts w:eastAsia="Helvetica Neue"/>
        </w:rPr>
        <w:t>Percentage of contraceptives and condoms distributed by age.</w:t>
      </w:r>
    </w:p>
    <w:p w14:paraId="6AE179A2" w14:textId="77777777" w:rsidR="00BC14E7" w:rsidRPr="00A64CBE" w:rsidRDefault="00BC14E7" w:rsidP="006E6012">
      <w:pPr>
        <w:pStyle w:val="ListParagraph"/>
        <w:numPr>
          <w:ilvl w:val="0"/>
          <w:numId w:val="146"/>
        </w:numPr>
      </w:pPr>
      <w:r w:rsidRPr="00533BC9">
        <w:rPr>
          <w:rFonts w:eastAsia="Helvetica Neue"/>
        </w:rPr>
        <w:t xml:space="preserve">Satisfaction and perception of the service by young persons with disabilities. </w:t>
      </w:r>
    </w:p>
    <w:p w14:paraId="67042BCB" w14:textId="77777777" w:rsidR="00BC14E7" w:rsidRPr="00A64CBE" w:rsidRDefault="00BC14E7" w:rsidP="006E6012">
      <w:pPr>
        <w:pStyle w:val="ListParagraph"/>
        <w:numPr>
          <w:ilvl w:val="0"/>
          <w:numId w:val="146"/>
        </w:numPr>
      </w:pPr>
      <w:r w:rsidRPr="00533BC9">
        <w:rPr>
          <w:rFonts w:eastAsia="Helvetica Neue"/>
        </w:rPr>
        <w:t xml:space="preserve">Percentage of service providers trained on providing adolescent-friendly health services to adolescents with disabilities. </w:t>
      </w:r>
    </w:p>
    <w:p w14:paraId="2610F2F9" w14:textId="77777777" w:rsidR="00BC14E7" w:rsidRPr="00A64CBE" w:rsidRDefault="00BC14E7" w:rsidP="00BC14E7">
      <w:pPr>
        <w:widowControl w:val="0"/>
        <w:pBdr>
          <w:top w:val="nil"/>
          <w:left w:val="nil"/>
          <w:bottom w:val="nil"/>
          <w:right w:val="nil"/>
          <w:between w:val="nil"/>
        </w:pBdr>
        <w:rPr>
          <w:rFonts w:ascii="Arial" w:eastAsia="Helvetica Neue" w:hAnsi="Arial" w:cs="Arial"/>
          <w:b/>
          <w:color w:val="000000"/>
        </w:rPr>
      </w:pPr>
    </w:p>
    <w:p w14:paraId="73460755" w14:textId="77777777" w:rsidR="00BC14E7" w:rsidRPr="00A64CBE" w:rsidRDefault="00BC14E7" w:rsidP="00BC14E7">
      <w:pPr>
        <w:widowControl w:val="0"/>
        <w:pBdr>
          <w:top w:val="nil"/>
          <w:left w:val="nil"/>
          <w:bottom w:val="nil"/>
          <w:right w:val="nil"/>
          <w:between w:val="nil"/>
        </w:pBdr>
        <w:spacing w:line="276" w:lineRule="auto"/>
        <w:rPr>
          <w:rFonts w:ascii="Arial" w:eastAsia="Helvetica Neue" w:hAnsi="Arial" w:cs="Arial"/>
          <w:b/>
          <w:color w:val="000000"/>
        </w:rPr>
        <w:sectPr w:rsidR="00BC14E7" w:rsidRPr="00A64CBE" w:rsidSect="002772C9">
          <w:endnotePr>
            <w:numFmt w:val="decimal"/>
          </w:endnotePr>
          <w:type w:val="continuous"/>
          <w:pgSz w:w="12240" w:h="15840"/>
          <w:pgMar w:top="900" w:right="1440" w:bottom="1440" w:left="1440" w:header="0" w:footer="720" w:gutter="0"/>
          <w:cols w:space="720"/>
        </w:sectPr>
      </w:pPr>
      <w:r w:rsidRPr="00A64CBE">
        <w:rPr>
          <w:rFonts w:ascii="Arial" w:hAnsi="Arial" w:cs="Arial"/>
        </w:rPr>
        <w:br w:type="page"/>
      </w:r>
    </w:p>
    <w:p w14:paraId="1D1A748F" w14:textId="4B774B65" w:rsidR="005B1703" w:rsidRPr="00A64CBE" w:rsidRDefault="003812DB" w:rsidP="00533BC9">
      <w:pPr>
        <w:pStyle w:val="Heading1"/>
      </w:pPr>
      <w:bookmarkStart w:id="30" w:name="Chapter5"/>
      <w:r>
        <w:lastRenderedPageBreak/>
        <w:t>Chapter</w:t>
      </w:r>
      <w:r w:rsidR="005B1703" w:rsidRPr="00A64CBE">
        <w:t xml:space="preserve"> 5: </w:t>
      </w:r>
      <w:bookmarkEnd w:id="30"/>
      <w:r>
        <w:t>Glossary</w:t>
      </w:r>
      <w:r w:rsidR="005B1703" w:rsidRPr="00A64CBE">
        <w:t xml:space="preserve"> </w:t>
      </w:r>
      <w:r>
        <w:t>and</w:t>
      </w:r>
      <w:r w:rsidR="005B1703" w:rsidRPr="00A64CBE">
        <w:t xml:space="preserve"> </w:t>
      </w:r>
      <w:r>
        <w:t>Resources</w:t>
      </w:r>
    </w:p>
    <w:p w14:paraId="779DF810" w14:textId="0CC70081" w:rsidR="005B1703" w:rsidRPr="00A64CBE" w:rsidRDefault="005B1703" w:rsidP="00533BC9">
      <w:pPr>
        <w:pStyle w:val="Heading2"/>
      </w:pPr>
      <w:bookmarkStart w:id="31" w:name="Glossary"/>
      <w:r w:rsidRPr="00A64CBE">
        <w:t>5.1</w:t>
      </w:r>
      <w:r w:rsidRPr="00A64CBE">
        <w:tab/>
      </w:r>
      <w:bookmarkEnd w:id="31"/>
      <w:r w:rsidRPr="00A64CBE">
        <w:t>Glossary</w:t>
      </w:r>
    </w:p>
    <w:p w14:paraId="4D4AC15E" w14:textId="77777777" w:rsidR="005B1703" w:rsidRPr="00C74FD8" w:rsidRDefault="005B1703" w:rsidP="00C74FD8">
      <w:pPr>
        <w:spacing w:after="240"/>
        <w:rPr>
          <w:rFonts w:eastAsia="Helvetica Neue" w:cstheme="majorHAnsi"/>
          <w:color w:val="000000"/>
        </w:rPr>
      </w:pPr>
      <w:r w:rsidRPr="00C74FD8">
        <w:rPr>
          <w:rFonts w:eastAsia="Helvetica Neue" w:cstheme="majorHAnsi"/>
          <w:b/>
          <w:color w:val="000000"/>
        </w:rPr>
        <w:t>Adolescents</w:t>
      </w:r>
      <w:r w:rsidRPr="00C74FD8">
        <w:rPr>
          <w:rFonts w:eastAsia="Helvetica Neue" w:cstheme="majorHAnsi"/>
          <w:color w:val="000000"/>
        </w:rPr>
        <w:t xml:space="preserve"> are boys and girls between the ages of 10 and 19 years old. The period is defined by the physical, cognitive, </w:t>
      </w:r>
      <w:r w:rsidRPr="00C74FD8">
        <w:rPr>
          <w:rFonts w:eastAsia="Helvetica Neue" w:cstheme="majorHAnsi"/>
          <w:color w:val="000000"/>
          <w:lang w:val="en-GB"/>
        </w:rPr>
        <w:t>behavioural</w:t>
      </w:r>
      <w:r w:rsidRPr="00C74FD8">
        <w:rPr>
          <w:rFonts w:eastAsia="Helvetica Neue" w:cstheme="majorHAnsi"/>
          <w:color w:val="000000"/>
        </w:rPr>
        <w:t xml:space="preserve"> and psychosocial changes taking place during the period and illustrated by increased sense of self, confidence, and independence.</w:t>
      </w:r>
      <w:r w:rsidRPr="00C74FD8">
        <w:rPr>
          <w:rStyle w:val="EndnoteReference"/>
          <w:rFonts w:eastAsia="Helvetica Neue" w:cstheme="majorHAnsi"/>
        </w:rPr>
        <w:endnoteReference w:id="656"/>
      </w:r>
    </w:p>
    <w:p w14:paraId="53704567" w14:textId="77777777" w:rsidR="005B1703" w:rsidRPr="00C74FD8" w:rsidRDefault="005B1703" w:rsidP="00C74FD8">
      <w:pPr>
        <w:spacing w:after="240"/>
        <w:rPr>
          <w:rFonts w:eastAsia="Helvetica Neue" w:cstheme="majorHAnsi"/>
        </w:rPr>
      </w:pPr>
      <w:r w:rsidRPr="00C74FD8">
        <w:rPr>
          <w:rFonts w:eastAsia="Helvetica Neue" w:cstheme="majorHAnsi"/>
          <w:b/>
          <w:color w:val="000000"/>
        </w:rPr>
        <w:t xml:space="preserve">Capacity </w:t>
      </w:r>
      <w:r w:rsidRPr="00C74FD8">
        <w:rPr>
          <w:rFonts w:eastAsia="Helvetica Neue" w:cstheme="majorHAnsi"/>
          <w:color w:val="000000"/>
        </w:rPr>
        <w:t xml:space="preserve">generally refers to </w:t>
      </w:r>
      <w:r w:rsidRPr="00C74FD8">
        <w:rPr>
          <w:rFonts w:eastAsia="Helvetica Neue" w:cstheme="majorHAnsi"/>
          <w:color w:val="000000" w:themeColor="text1"/>
          <w:highlight w:val="white"/>
        </w:rPr>
        <w:t>“a patient’s ability to understand the significant benefits, risks, and alternatives to proposed healthcare and to make and communicate a healthcare decision. It is question- and decision-specific and should be documented relative to each decision. Capacity to consent should be assessed and documented for each treatment or plan of treatment. An individual is presumed to have capacity to make a healthcare decision, to give or revoke an advance directive, and to designate or disqualify a surrogate</w:t>
      </w:r>
      <w:r w:rsidRPr="00C74FD8">
        <w:rPr>
          <w:rFonts w:eastAsia="Helvetica Neue" w:cstheme="majorHAnsi"/>
          <w:color w:val="000000" w:themeColor="text1"/>
        </w:rPr>
        <w:t>”.</w:t>
      </w:r>
      <w:r w:rsidRPr="00C74FD8">
        <w:rPr>
          <w:rFonts w:eastAsia="Helvetica Neue" w:cstheme="majorHAnsi"/>
          <w:color w:val="000000" w:themeColor="text1"/>
          <w:vertAlign w:val="superscript"/>
        </w:rPr>
        <w:endnoteReference w:id="657"/>
      </w:r>
      <w:r w:rsidRPr="00C74FD8">
        <w:rPr>
          <w:rFonts w:eastAsia="Helvetica Neue" w:cstheme="majorHAnsi"/>
          <w:color w:val="000000" w:themeColor="text1"/>
        </w:rPr>
        <w:t xml:space="preserve"> </w:t>
      </w:r>
      <w:r w:rsidRPr="00C74FD8">
        <w:rPr>
          <w:rFonts w:eastAsia="Helvetica Neue" w:cstheme="majorHAnsi"/>
        </w:rPr>
        <w:t xml:space="preserve">However, </w:t>
      </w:r>
      <w:r w:rsidRPr="00C74FD8">
        <w:rPr>
          <w:rFonts w:eastAsia="Helvetica Neue" w:cstheme="majorHAnsi"/>
          <w:color w:val="000000"/>
        </w:rPr>
        <w:t>service providers and support staff</w:t>
      </w:r>
      <w:r w:rsidRPr="00C74FD8">
        <w:rPr>
          <w:rFonts w:eastAsia="Helvetica Neue" w:cstheme="majorHAnsi"/>
        </w:rPr>
        <w:t xml:space="preserve"> must look to their national and local legal systems and professional standards for the definition applicable to their practice. </w:t>
      </w:r>
    </w:p>
    <w:p w14:paraId="09025F60" w14:textId="77777777" w:rsidR="005B1703" w:rsidRPr="00C74FD8" w:rsidRDefault="005B1703" w:rsidP="00C74FD8">
      <w:pPr>
        <w:spacing w:after="240"/>
        <w:rPr>
          <w:rFonts w:eastAsia="Helvetica Neue" w:cstheme="majorHAnsi"/>
          <w:color w:val="000000"/>
        </w:rPr>
      </w:pPr>
      <w:r w:rsidRPr="00C74FD8">
        <w:rPr>
          <w:rFonts w:eastAsia="Helvetica Neue" w:cstheme="majorHAnsi"/>
          <w:b/>
          <w:color w:val="000000"/>
        </w:rPr>
        <w:t>Comprehensive sexuality education (CSE)</w:t>
      </w:r>
      <w:r w:rsidRPr="00C74FD8">
        <w:rPr>
          <w:rFonts w:eastAsia="Helvetica Neue" w:cstheme="majorHAnsi"/>
          <w:color w:val="000000"/>
        </w:rPr>
        <w:t xml:space="preserve"> refers to sexuality education that is rights-based and assists people with obtaining accurate and age-appropriate information about all aspects of SRHR; healthy exploration of sexuality; empowerment; and positive thinking about sexuality and SRHR. CSE also supports the development of positive life skills and relationships.</w:t>
      </w:r>
      <w:r w:rsidRPr="00C74FD8">
        <w:rPr>
          <w:rStyle w:val="EndnoteReference"/>
          <w:rFonts w:eastAsia="Helvetica Neue" w:cstheme="majorHAnsi"/>
        </w:rPr>
        <w:endnoteReference w:id="658"/>
      </w:r>
    </w:p>
    <w:p w14:paraId="2DDB9BDE" w14:textId="77777777" w:rsidR="005B1703" w:rsidRPr="00C74FD8" w:rsidRDefault="005B1703" w:rsidP="00C74FD8">
      <w:pPr>
        <w:spacing w:after="240"/>
        <w:rPr>
          <w:rFonts w:eastAsia="Helvetica Neue" w:cstheme="majorHAnsi"/>
          <w:color w:val="000000"/>
        </w:rPr>
      </w:pPr>
      <w:r w:rsidRPr="00C74FD8">
        <w:rPr>
          <w:rFonts w:eastAsia="Helvetica Neue" w:cstheme="majorHAnsi"/>
          <w:b/>
          <w:color w:val="000000"/>
        </w:rPr>
        <w:t>Child marriage</w:t>
      </w:r>
      <w:r w:rsidRPr="00C74FD8">
        <w:rPr>
          <w:rFonts w:eastAsia="Helvetica Neue" w:cstheme="majorHAnsi"/>
          <w:color w:val="000000"/>
        </w:rPr>
        <w:t>, also known as early or forced marriage, occurs when one or both spouses are below the age of 18, and as such, not yet physically, physiologically, or psychologically ready for marriage.</w:t>
      </w:r>
      <w:r w:rsidRPr="00C74FD8">
        <w:rPr>
          <w:rStyle w:val="EndnoteReference"/>
          <w:rFonts w:eastAsia="Helvetica Neue" w:cstheme="majorHAnsi"/>
        </w:rPr>
        <w:t xml:space="preserve"> </w:t>
      </w:r>
      <w:r w:rsidRPr="00C74FD8">
        <w:rPr>
          <w:rFonts w:eastAsia="Helvetica Neue" w:cstheme="majorHAnsi"/>
          <w:color w:val="000000"/>
        </w:rPr>
        <w:t>Nor can the child consent to be formally bound.</w:t>
      </w:r>
      <w:r w:rsidRPr="00C74FD8">
        <w:rPr>
          <w:rStyle w:val="EndnoteReference"/>
          <w:rFonts w:eastAsia="Helvetica Neue" w:cstheme="majorHAnsi"/>
        </w:rPr>
        <w:endnoteReference w:id="659"/>
      </w:r>
    </w:p>
    <w:p w14:paraId="19CBB61F" w14:textId="4E2FA793" w:rsidR="005B1703" w:rsidRPr="00C74FD8" w:rsidRDefault="005B1703" w:rsidP="00C74FD8">
      <w:pPr>
        <w:spacing w:after="240"/>
        <w:rPr>
          <w:rFonts w:eastAsia="Helvetica Neue" w:cstheme="majorHAnsi"/>
          <w:color w:val="000000"/>
        </w:rPr>
      </w:pPr>
      <w:r w:rsidRPr="00C74FD8">
        <w:rPr>
          <w:rFonts w:eastAsia="Helvetica Neue" w:cstheme="majorHAnsi"/>
          <w:b/>
          <w:color w:val="000000"/>
        </w:rPr>
        <w:t>Economic violence</w:t>
      </w:r>
      <w:r w:rsidRPr="00C74FD8">
        <w:rPr>
          <w:rFonts w:eastAsia="Helvetica Neue" w:cstheme="majorHAnsi"/>
          <w:color w:val="000000"/>
        </w:rPr>
        <w:t xml:space="preserve"> involves denying a person access to and control over basic financial resources.</w:t>
      </w:r>
      <w:r w:rsidRPr="00C74FD8">
        <w:rPr>
          <w:rStyle w:val="EndnoteReference"/>
          <w:rFonts w:eastAsia="Helvetica Neue" w:cstheme="majorHAnsi"/>
        </w:rPr>
        <w:endnoteReference w:id="660"/>
      </w:r>
      <w:r w:rsidRPr="00C74FD8">
        <w:rPr>
          <w:rFonts w:eastAsia="Helvetica Neue" w:cstheme="majorHAnsi"/>
          <w:color w:val="000000"/>
        </w:rPr>
        <w:t xml:space="preserve"> Since many </w:t>
      </w:r>
      <w:r w:rsidR="00F47897">
        <w:rPr>
          <w:rFonts w:eastAsia="Helvetica Neue" w:cstheme="majorHAnsi"/>
          <w:color w:val="000000"/>
        </w:rPr>
        <w:t>persons</w:t>
      </w:r>
      <w:r w:rsidR="00F47897" w:rsidRPr="00C74FD8">
        <w:rPr>
          <w:rFonts w:eastAsia="Helvetica Neue" w:cstheme="majorHAnsi"/>
          <w:color w:val="000000"/>
        </w:rPr>
        <w:t xml:space="preserve"> </w:t>
      </w:r>
      <w:r w:rsidRPr="00C74FD8">
        <w:rPr>
          <w:rFonts w:eastAsia="Helvetica Neue" w:cstheme="majorHAnsi"/>
          <w:color w:val="000000"/>
        </w:rPr>
        <w:t xml:space="preserve">with disabilities are not given responsibility over their finances, </w:t>
      </w:r>
      <w:r w:rsidR="00F47897">
        <w:rPr>
          <w:rFonts w:eastAsia="Helvetica Neue" w:cstheme="majorHAnsi"/>
          <w:color w:val="000000"/>
        </w:rPr>
        <w:t>persons</w:t>
      </w:r>
      <w:r w:rsidR="00F47897" w:rsidRPr="00C74FD8">
        <w:rPr>
          <w:rFonts w:eastAsia="Helvetica Neue" w:cstheme="majorHAnsi"/>
          <w:color w:val="000000"/>
        </w:rPr>
        <w:t xml:space="preserve"> </w:t>
      </w:r>
      <w:r w:rsidRPr="00C74FD8">
        <w:rPr>
          <w:rFonts w:eastAsia="Helvetica Neue" w:cstheme="majorHAnsi"/>
          <w:color w:val="000000"/>
        </w:rPr>
        <w:t xml:space="preserve">with disabilities can be at risk of this form of violence. </w:t>
      </w:r>
    </w:p>
    <w:p w14:paraId="759C2DE5" w14:textId="77777777" w:rsidR="005B1703" w:rsidRPr="00C74FD8" w:rsidRDefault="005B1703" w:rsidP="00C74FD8">
      <w:pPr>
        <w:spacing w:after="240"/>
        <w:rPr>
          <w:rFonts w:eastAsia="Helvetica Neue" w:cstheme="majorHAnsi"/>
          <w:color w:val="000000"/>
        </w:rPr>
      </w:pPr>
      <w:r w:rsidRPr="00C74FD8">
        <w:rPr>
          <w:rFonts w:eastAsia="Helvetica Neue" w:cstheme="majorHAnsi"/>
          <w:b/>
          <w:color w:val="000000"/>
        </w:rPr>
        <w:t>Female genital mutilation</w:t>
      </w:r>
      <w:r w:rsidRPr="00C74FD8">
        <w:rPr>
          <w:rFonts w:eastAsia="Helvetica Neue" w:cstheme="majorHAnsi"/>
          <w:color w:val="000000"/>
        </w:rPr>
        <w:t>, or female genital cutting, “</w:t>
      </w:r>
      <w:r w:rsidRPr="00C74FD8">
        <w:rPr>
          <w:rFonts w:eastAsia="Helvetica Neue" w:cstheme="majorHAnsi"/>
          <w:color w:val="000000"/>
          <w:highlight w:val="white"/>
        </w:rPr>
        <w:t>comprises all procedures that involve partial or total removal of the external female genitalia, or other injury to the female genital organs for non-medical reasons</w:t>
      </w:r>
      <w:r w:rsidRPr="00C74FD8">
        <w:rPr>
          <w:rFonts w:eastAsia="Helvetica Neue" w:cstheme="majorHAnsi"/>
          <w:color w:val="000000"/>
        </w:rPr>
        <w:t>”.</w:t>
      </w:r>
      <w:r w:rsidRPr="00C74FD8">
        <w:rPr>
          <w:rStyle w:val="EndnoteReference"/>
          <w:rFonts w:eastAsia="Helvetica Neue" w:cstheme="majorHAnsi"/>
        </w:rPr>
        <w:endnoteReference w:id="661"/>
      </w:r>
      <w:r w:rsidRPr="00C74FD8">
        <w:rPr>
          <w:rStyle w:val="EndnoteReference"/>
          <w:rFonts w:eastAsia="Helvetica Neue" w:cstheme="majorHAnsi"/>
        </w:rPr>
        <w:t xml:space="preserve"> </w:t>
      </w:r>
      <w:r w:rsidRPr="00C74FD8">
        <w:rPr>
          <w:rFonts w:eastAsia="Helvetica Neue" w:cstheme="majorHAnsi"/>
          <w:color w:val="000000"/>
        </w:rPr>
        <w:t>Female genital mutilation is broadly recognized as a human rights violation.</w:t>
      </w:r>
      <w:r w:rsidRPr="00C74FD8">
        <w:rPr>
          <w:rStyle w:val="EndnoteReference"/>
          <w:rFonts w:eastAsia="Helvetica Neue" w:cstheme="majorHAnsi"/>
        </w:rPr>
        <w:endnoteReference w:id="662"/>
      </w:r>
    </w:p>
    <w:p w14:paraId="3941B568" w14:textId="77777777" w:rsidR="005B1703" w:rsidRPr="00C74FD8" w:rsidRDefault="005B1703" w:rsidP="00C74FD8">
      <w:pPr>
        <w:spacing w:after="240"/>
        <w:rPr>
          <w:rFonts w:eastAsia="Helvetica Neue" w:cstheme="majorHAnsi"/>
          <w:color w:val="000000"/>
        </w:rPr>
      </w:pPr>
      <w:r w:rsidRPr="00C74FD8">
        <w:rPr>
          <w:rFonts w:eastAsia="Helvetica Neue" w:cstheme="majorHAnsi"/>
          <w:b/>
          <w:color w:val="000000"/>
        </w:rPr>
        <w:t>Justice system</w:t>
      </w:r>
      <w:r w:rsidRPr="00C74FD8">
        <w:rPr>
          <w:rFonts w:eastAsia="Helvetica Neue" w:cstheme="majorHAnsi"/>
          <w:color w:val="000000"/>
        </w:rPr>
        <w:t xml:space="preserve"> refers to both formal and informal justice systems. Formal justice systems involve the State and its agents administering justice through the enforcement and application of laws. Mechanisms include law enforcement, criminal justice systems, and courts and judges.</w:t>
      </w:r>
      <w:r w:rsidRPr="00C74FD8">
        <w:rPr>
          <w:rStyle w:val="EndnoteReference"/>
          <w:rFonts w:eastAsia="Helvetica Neue" w:cstheme="majorHAnsi"/>
        </w:rPr>
        <w:endnoteReference w:id="663"/>
      </w:r>
      <w:r w:rsidRPr="00C74FD8">
        <w:rPr>
          <w:rFonts w:eastAsia="Helvetica Neue" w:cstheme="majorHAnsi"/>
          <w:color w:val="000000"/>
        </w:rPr>
        <w:t xml:space="preserve"> Informal justice systems refer to the range of mechanisms varying in formality involved in access to justice and rule of law but that exist outside of the traditional State justice structure. Informal justice systems may or may not be connected or recognized by the State. Mechanisms include systems involved in the “resolution of disputes and the regulation of conduct by adjudication or the assistance of a neutral third party that [] is not a part of the judiciary as established by law and/or whose substantive, procedural or structural foundation is not primarily based on statutory law”.</w:t>
      </w:r>
      <w:r w:rsidRPr="00C74FD8">
        <w:rPr>
          <w:rStyle w:val="EndnoteReference"/>
          <w:rFonts w:eastAsia="Helvetica Neue" w:cstheme="majorHAnsi"/>
        </w:rPr>
        <w:endnoteReference w:id="664"/>
      </w:r>
      <w:r w:rsidRPr="00C74FD8">
        <w:rPr>
          <w:rFonts w:eastAsia="Helvetica Neue" w:cstheme="majorHAnsi"/>
          <w:color w:val="000000"/>
        </w:rPr>
        <w:t xml:space="preserve"> </w:t>
      </w:r>
    </w:p>
    <w:p w14:paraId="2B346316" w14:textId="153C81E7" w:rsidR="005B1703" w:rsidRPr="00C74FD8" w:rsidRDefault="005B1703" w:rsidP="00C74FD8">
      <w:pPr>
        <w:spacing w:after="240"/>
        <w:rPr>
          <w:rFonts w:eastAsia="Helvetica Neue" w:cstheme="majorHAnsi"/>
          <w:color w:val="000000"/>
        </w:rPr>
      </w:pPr>
      <w:r w:rsidRPr="00C74FD8">
        <w:rPr>
          <w:rFonts w:eastAsia="Helvetica Neue" w:cstheme="majorHAnsi"/>
          <w:b/>
          <w:color w:val="000000"/>
        </w:rPr>
        <w:lastRenderedPageBreak/>
        <w:t>Forced marriage</w:t>
      </w:r>
      <w:r w:rsidRPr="00C74FD8">
        <w:rPr>
          <w:rFonts w:eastAsia="Helvetica Neue" w:cstheme="majorHAnsi"/>
          <w:color w:val="000000"/>
        </w:rPr>
        <w:t xml:space="preserve"> occurs when one or both spouses have not consented to be formally bound in marriage. Child or early marriage is a form of forced marriage, but young </w:t>
      </w:r>
      <w:r w:rsidR="00F47897">
        <w:rPr>
          <w:rFonts w:eastAsia="Helvetica Neue" w:cstheme="majorHAnsi"/>
          <w:color w:val="000000"/>
        </w:rPr>
        <w:t>persons</w:t>
      </w:r>
      <w:r w:rsidR="00F47897" w:rsidRPr="00C74FD8">
        <w:rPr>
          <w:rFonts w:eastAsia="Helvetica Neue" w:cstheme="majorHAnsi"/>
          <w:color w:val="000000"/>
        </w:rPr>
        <w:t xml:space="preserve"> </w:t>
      </w:r>
      <w:r w:rsidRPr="00C74FD8">
        <w:rPr>
          <w:rFonts w:eastAsia="Helvetica Neue" w:cstheme="majorHAnsi"/>
          <w:color w:val="000000"/>
        </w:rPr>
        <w:t>and women with disabilities over the age of 18 may also be subjected to forced marriage.</w:t>
      </w:r>
    </w:p>
    <w:p w14:paraId="4B39CF21" w14:textId="77777777" w:rsidR="005B1703" w:rsidRPr="00C74FD8" w:rsidRDefault="005B1703" w:rsidP="00C74FD8">
      <w:pPr>
        <w:pBdr>
          <w:top w:val="nil"/>
          <w:left w:val="nil"/>
          <w:bottom w:val="nil"/>
          <w:right w:val="nil"/>
          <w:between w:val="nil"/>
        </w:pBdr>
        <w:spacing w:after="240"/>
        <w:rPr>
          <w:rFonts w:eastAsia="Helvetica Neue" w:cstheme="majorHAnsi"/>
          <w:color w:val="000000"/>
        </w:rPr>
      </w:pPr>
      <w:r w:rsidRPr="00C74FD8">
        <w:rPr>
          <w:rFonts w:eastAsia="Helvetica Neue" w:cstheme="majorHAnsi"/>
          <w:b/>
          <w:color w:val="000000"/>
        </w:rPr>
        <w:t xml:space="preserve">Gender-based violence (GBV) </w:t>
      </w:r>
      <w:r w:rsidRPr="00C74FD8">
        <w:rPr>
          <w:rFonts w:eastAsia="Helvetica Neue" w:cstheme="majorHAnsi"/>
          <w:color w:val="000000"/>
        </w:rPr>
        <w:t xml:space="preserve">are acts of violence “perpetrated against a person’s will and that is based on socially ascribed (i.e. gender) differences between males and females. The term ‘gender-based violence’ is primarily used to underscore the fact that structural, gender-based power differentials between males and females around the world place females at risk for multiple forms of violence. As agreed in the </w:t>
      </w:r>
      <w:r w:rsidRPr="00C74FD8">
        <w:rPr>
          <w:rFonts w:eastAsia="Helvetica Neue" w:cstheme="majorHAnsi"/>
          <w:i/>
          <w:color w:val="000000"/>
        </w:rPr>
        <w:t>Declaration on the Elimination of Violence against Women</w:t>
      </w:r>
      <w:r w:rsidRPr="00C74FD8">
        <w:rPr>
          <w:rFonts w:eastAsia="Helvetica Neue" w:cstheme="majorHAnsi"/>
          <w:color w:val="000000"/>
        </w:rPr>
        <w:t xml:space="preserve"> (1993), this includes acts that inflict physical, mental or sexual harm or suffering, threats of such acts, coercion and other deprivations of liberty, whether occurring in public or in private life. The term is also used by some to describe some forms of sexual violence against males or targeted violence against LGBTI populations”.</w:t>
      </w:r>
      <w:r w:rsidRPr="00C74FD8">
        <w:rPr>
          <w:rStyle w:val="EndnoteReference"/>
          <w:rFonts w:eastAsia="Helvetica Neue" w:cstheme="majorHAnsi"/>
        </w:rPr>
        <w:endnoteReference w:id="665"/>
      </w:r>
    </w:p>
    <w:p w14:paraId="44327A3B" w14:textId="77777777" w:rsidR="005B1703" w:rsidRPr="00C74FD8" w:rsidRDefault="005B1703" w:rsidP="00C74FD8">
      <w:pPr>
        <w:spacing w:after="240"/>
        <w:rPr>
          <w:rFonts w:eastAsia="Helvetica Neue" w:cstheme="majorHAnsi"/>
          <w:color w:val="000000"/>
        </w:rPr>
      </w:pPr>
      <w:r w:rsidRPr="00C74FD8">
        <w:rPr>
          <w:rFonts w:eastAsia="Helvetica Neue" w:cstheme="majorHAnsi"/>
          <w:b/>
          <w:color w:val="000000"/>
        </w:rPr>
        <w:t>Harmful practices</w:t>
      </w:r>
      <w:r w:rsidRPr="00C74FD8">
        <w:rPr>
          <w:rFonts w:eastAsia="Helvetica Neue" w:cstheme="majorHAnsi"/>
          <w:color w:val="000000"/>
        </w:rPr>
        <w:t xml:space="preserve"> refers to practices, </w:t>
      </w:r>
      <w:r w:rsidRPr="00C74FD8">
        <w:rPr>
          <w:rFonts w:eastAsia="Helvetica Neue" w:cstheme="majorHAnsi"/>
          <w:color w:val="000000"/>
          <w:lang w:val="en-GB"/>
        </w:rPr>
        <w:t>behaviours</w:t>
      </w:r>
      <w:r w:rsidRPr="00C74FD8">
        <w:rPr>
          <w:rFonts w:eastAsia="Helvetica Neue" w:cstheme="majorHAnsi"/>
          <w:color w:val="000000"/>
        </w:rPr>
        <w:t xml:space="preserve"> and attitudes—often grounded in culture, religion, or superstition—that negatively affect the human rights and fundamental freedoms of women and young persons with disabilities.</w:t>
      </w:r>
      <w:r w:rsidRPr="00C74FD8">
        <w:rPr>
          <w:rStyle w:val="EndnoteReference"/>
          <w:rFonts w:eastAsia="Helvetica Neue" w:cstheme="majorHAnsi"/>
        </w:rPr>
        <w:endnoteReference w:id="666"/>
      </w:r>
      <w:r w:rsidRPr="00C74FD8">
        <w:rPr>
          <w:rFonts w:eastAsia="Helvetica Neue" w:cstheme="majorHAnsi"/>
          <w:color w:val="000000"/>
        </w:rPr>
        <w:t xml:space="preserve"> Examples of harmful practices include child or forced marriage, female genital mutilation, and </w:t>
      </w:r>
      <w:r w:rsidRPr="00C74FD8">
        <w:rPr>
          <w:rFonts w:eastAsia="Helvetica Neue" w:cstheme="majorHAnsi"/>
          <w:color w:val="000000"/>
          <w:lang w:val="en-GB"/>
        </w:rPr>
        <w:t>honour</w:t>
      </w:r>
      <w:r w:rsidRPr="00C74FD8">
        <w:rPr>
          <w:rFonts w:eastAsia="Helvetica Neue" w:cstheme="majorHAnsi"/>
          <w:color w:val="000000"/>
        </w:rPr>
        <w:t xml:space="preserve"> killings. </w:t>
      </w:r>
    </w:p>
    <w:p w14:paraId="7FA4C997" w14:textId="77777777" w:rsidR="005B1703" w:rsidRPr="00C74FD8" w:rsidRDefault="005B1703" w:rsidP="00C74FD8">
      <w:pPr>
        <w:spacing w:after="240"/>
        <w:rPr>
          <w:rFonts w:eastAsia="Helvetica Neue" w:cstheme="majorHAnsi"/>
          <w:color w:val="000000"/>
        </w:rPr>
      </w:pPr>
      <w:r w:rsidRPr="00C74FD8">
        <w:rPr>
          <w:rFonts w:eastAsia="Helvetica Neue" w:cstheme="majorHAnsi"/>
          <w:b/>
          <w:color w:val="000000"/>
        </w:rPr>
        <w:t>Healthcare service providers</w:t>
      </w:r>
      <w:r w:rsidRPr="00C74FD8">
        <w:rPr>
          <w:rFonts w:eastAsia="Helvetica Neue" w:cstheme="majorHAnsi"/>
          <w:color w:val="000000"/>
        </w:rPr>
        <w:t xml:space="preserve"> offer healthcare services in a systemic way. Examples include doctors, midwives, nurses, community health workers, and other individuals trained to provide health services.</w:t>
      </w:r>
      <w:r w:rsidRPr="00C74FD8">
        <w:rPr>
          <w:rStyle w:val="EndnoteReference"/>
          <w:rFonts w:eastAsia="Helvetica Neue" w:cstheme="majorHAnsi"/>
        </w:rPr>
        <w:endnoteReference w:id="667"/>
      </w:r>
    </w:p>
    <w:p w14:paraId="180986A5" w14:textId="77777777" w:rsidR="005B1703" w:rsidRPr="00C74FD8" w:rsidRDefault="005B1703" w:rsidP="00C74FD8">
      <w:pPr>
        <w:spacing w:after="240"/>
        <w:rPr>
          <w:rFonts w:eastAsia="Helvetica Neue" w:cstheme="majorHAnsi"/>
          <w:color w:val="000000"/>
        </w:rPr>
      </w:pPr>
      <w:r w:rsidRPr="00C74FD8">
        <w:rPr>
          <w:rFonts w:eastAsia="Helvetica Neue" w:cstheme="majorHAnsi"/>
          <w:b/>
          <w:color w:val="000000"/>
        </w:rPr>
        <w:t>Health system</w:t>
      </w:r>
      <w:r w:rsidRPr="00C74FD8">
        <w:rPr>
          <w:rFonts w:eastAsia="Helvetica Neue" w:cstheme="majorHAnsi"/>
          <w:color w:val="000000"/>
        </w:rPr>
        <w:t xml:space="preserve"> is defined by the WHO as “all the activities whose primary purpose is to promote, restore and/or maintain health” and “the people, institutions and resources, arranged together in accordance with established policies, to improve the health of the population they serve”.</w:t>
      </w:r>
      <w:r w:rsidRPr="00C74FD8">
        <w:rPr>
          <w:rStyle w:val="EndnoteReference"/>
          <w:rFonts w:eastAsia="Helvetica Neue" w:cstheme="majorHAnsi"/>
        </w:rPr>
        <w:endnoteReference w:id="668"/>
      </w:r>
    </w:p>
    <w:p w14:paraId="6A0909FC" w14:textId="77777777" w:rsidR="005B1703" w:rsidRPr="00C74FD8" w:rsidRDefault="005B1703" w:rsidP="00C74FD8">
      <w:pPr>
        <w:spacing w:after="240"/>
        <w:rPr>
          <w:rFonts w:eastAsia="Helvetica Neue" w:cstheme="majorHAnsi"/>
          <w:color w:val="000000"/>
        </w:rPr>
      </w:pPr>
      <w:r w:rsidRPr="00C74FD8">
        <w:rPr>
          <w:rFonts w:eastAsia="Helvetica Neue" w:cstheme="majorHAnsi"/>
          <w:b/>
          <w:color w:val="000000"/>
        </w:rPr>
        <w:t>Humanitarian emergencies</w:t>
      </w:r>
      <w:r w:rsidRPr="00C74FD8">
        <w:rPr>
          <w:rFonts w:eastAsia="Helvetica Neue" w:cstheme="majorHAnsi"/>
          <w:color w:val="000000"/>
        </w:rPr>
        <w:t xml:space="preserve"> are situations of armed conflict, natural disasters, and other situations of risk resulting in a need for humanitarian services and often involving internal displacement or refugee populations.</w:t>
      </w:r>
      <w:r w:rsidRPr="00C74FD8">
        <w:rPr>
          <w:rStyle w:val="EndnoteReference"/>
          <w:rFonts w:eastAsia="Helvetica Neue" w:cstheme="majorHAnsi"/>
        </w:rPr>
        <w:endnoteReference w:id="669"/>
      </w:r>
      <w:r w:rsidRPr="00C74FD8">
        <w:rPr>
          <w:rFonts w:eastAsia="Helvetica Neue" w:cstheme="majorHAnsi"/>
          <w:color w:val="000000"/>
        </w:rPr>
        <w:t xml:space="preserve"> States are required to fulfil their international legal obligations during emergencies, which includes taking all necessary measures to ensure the protection and safety of persons with disabilities.</w:t>
      </w:r>
      <w:r w:rsidRPr="00C74FD8">
        <w:rPr>
          <w:rStyle w:val="EndnoteReference"/>
          <w:rFonts w:eastAsia="Helvetica Neue" w:cstheme="majorHAnsi"/>
        </w:rPr>
        <w:endnoteReference w:id="670"/>
      </w:r>
      <w:r w:rsidRPr="00C74FD8">
        <w:rPr>
          <w:rFonts w:eastAsia="Helvetica Neue" w:cstheme="majorHAnsi"/>
          <w:color w:val="000000"/>
        </w:rPr>
        <w:t xml:space="preserve"> </w:t>
      </w:r>
    </w:p>
    <w:p w14:paraId="2801CE2B" w14:textId="77777777" w:rsidR="005B1703" w:rsidRPr="00C74FD8" w:rsidRDefault="005B1703" w:rsidP="00C74FD8">
      <w:pPr>
        <w:spacing w:after="240"/>
        <w:rPr>
          <w:rFonts w:eastAsia="Helvetica Neue" w:cstheme="majorHAnsi"/>
          <w:color w:val="000000"/>
        </w:rPr>
      </w:pPr>
      <w:r w:rsidRPr="00C74FD8">
        <w:rPr>
          <w:rFonts w:eastAsia="Helvetica Neue" w:cstheme="majorHAnsi"/>
          <w:b/>
          <w:color w:val="000000"/>
        </w:rPr>
        <w:t>Informed consent</w:t>
      </w:r>
      <w:r w:rsidRPr="00C74FD8">
        <w:rPr>
          <w:rFonts w:eastAsia="Helvetica Neue" w:cstheme="majorHAnsi"/>
          <w:color w:val="000000"/>
        </w:rPr>
        <w:t xml:space="preserve"> is the process of communication between a service provider and a service recipient that results in the service recipient providing consent voluntarily and without threats, intimidation, or inducements, for a service, referral, or dissemination of the person’s private information. The service recipient must receive counselling about the services available and potential alternatives in a language and form that is understandable to the service recipient. </w:t>
      </w:r>
    </w:p>
    <w:p w14:paraId="3A5CB03C" w14:textId="4D504A0B" w:rsidR="005B1703" w:rsidRPr="00C74FD8" w:rsidRDefault="005B1703" w:rsidP="00C74FD8">
      <w:pPr>
        <w:spacing w:after="240"/>
        <w:rPr>
          <w:rFonts w:eastAsia="Helvetica Neue" w:cstheme="majorHAnsi"/>
          <w:color w:val="000000"/>
        </w:rPr>
      </w:pPr>
      <w:r w:rsidRPr="00C74FD8">
        <w:rPr>
          <w:rFonts w:eastAsia="Helvetica Neue" w:cstheme="majorHAnsi"/>
          <w:b/>
          <w:color w:val="000000"/>
        </w:rPr>
        <w:t xml:space="preserve">Legal capacity </w:t>
      </w:r>
      <w:r w:rsidRPr="00C74FD8">
        <w:rPr>
          <w:rFonts w:eastAsia="Helvetica Neue" w:cstheme="majorHAnsi"/>
          <w:color w:val="000000"/>
        </w:rPr>
        <w:t xml:space="preserve">refers to the right of persons with disabilities to recognition everywhere as people before the law. Under international human rights law, persons with disabilities have a right to legal capacity—which is distinct and independent from mental capacity—on an equal basis with individuals without disabilities. Supported decision-making mechanisms may be necessary to empower </w:t>
      </w:r>
      <w:r w:rsidR="00F47897">
        <w:rPr>
          <w:rFonts w:eastAsia="Helvetica Neue" w:cstheme="majorHAnsi"/>
          <w:color w:val="000000"/>
        </w:rPr>
        <w:t>persons</w:t>
      </w:r>
      <w:r w:rsidR="00F47897" w:rsidRPr="00C74FD8">
        <w:rPr>
          <w:rFonts w:eastAsia="Helvetica Neue" w:cstheme="majorHAnsi"/>
          <w:color w:val="000000"/>
        </w:rPr>
        <w:t xml:space="preserve"> </w:t>
      </w:r>
      <w:r w:rsidRPr="00C74FD8">
        <w:rPr>
          <w:rFonts w:eastAsia="Helvetica Neue" w:cstheme="majorHAnsi"/>
          <w:color w:val="000000"/>
        </w:rPr>
        <w:t>with disabilities to exercise their right to legal capacity.</w:t>
      </w:r>
      <w:r w:rsidRPr="00C74FD8">
        <w:rPr>
          <w:rStyle w:val="EndnoteReference"/>
          <w:rFonts w:eastAsia="Helvetica Neue" w:cstheme="majorHAnsi"/>
        </w:rPr>
        <w:endnoteReference w:id="671"/>
      </w:r>
    </w:p>
    <w:p w14:paraId="4144436C" w14:textId="77777777" w:rsidR="005B1703" w:rsidRPr="00C74FD8" w:rsidRDefault="005B1703" w:rsidP="00C74FD8">
      <w:pPr>
        <w:spacing w:after="240"/>
        <w:rPr>
          <w:rFonts w:eastAsia="Helvetica Neue" w:cstheme="majorHAnsi"/>
          <w:color w:val="000000"/>
        </w:rPr>
      </w:pPr>
      <w:r w:rsidRPr="00C74FD8">
        <w:rPr>
          <w:rFonts w:eastAsia="Helvetica Neue" w:cstheme="majorHAnsi"/>
          <w:b/>
          <w:color w:val="000000"/>
        </w:rPr>
        <w:lastRenderedPageBreak/>
        <w:t>Medico-legal evidence</w:t>
      </w:r>
      <w:r w:rsidRPr="00C74FD8">
        <w:rPr>
          <w:rFonts w:eastAsia="Helvetica Neue" w:cstheme="majorHAnsi"/>
          <w:color w:val="000000"/>
        </w:rPr>
        <w:t xml:space="preserve"> is medical evidence for use in legal proceedings, particularly relating to sexual violence. The WHO defines it as “documented extra and </w:t>
      </w:r>
      <w:proofErr w:type="spellStart"/>
      <w:r w:rsidRPr="00C74FD8">
        <w:rPr>
          <w:rFonts w:eastAsia="Helvetica Neue" w:cstheme="majorHAnsi"/>
          <w:color w:val="000000"/>
        </w:rPr>
        <w:t>ano</w:t>
      </w:r>
      <w:proofErr w:type="spellEnd"/>
      <w:r w:rsidRPr="00C74FD8">
        <w:rPr>
          <w:rFonts w:eastAsia="Helvetica Neue" w:cstheme="majorHAnsi"/>
          <w:color w:val="000000"/>
        </w:rPr>
        <w:t xml:space="preserve">-genital injuries ... and emotional state ... as well as those ‘samples and specimens that are taken [from the victim’s body or clothing] solely for legal purposes.’ Such evidence includes saliva, seminal fluid ..., head hair, pubic hair ..., blood, urine ..., </w:t>
      </w:r>
      <w:proofErr w:type="spellStart"/>
      <w:r w:rsidRPr="00C74FD8">
        <w:rPr>
          <w:rFonts w:eastAsia="Helvetica Neue" w:cstheme="majorHAnsi"/>
          <w:color w:val="000000"/>
        </w:rPr>
        <w:t>fibre</w:t>
      </w:r>
      <w:proofErr w:type="spellEnd"/>
      <w:r w:rsidRPr="00C74FD8">
        <w:rPr>
          <w:rFonts w:eastAsia="Helvetica Neue" w:cstheme="majorHAnsi"/>
          <w:color w:val="000000"/>
        </w:rPr>
        <w:t>, debris and soil ...”.</w:t>
      </w:r>
      <w:r w:rsidRPr="00C74FD8">
        <w:rPr>
          <w:rStyle w:val="EndnoteReference"/>
          <w:rFonts w:eastAsia="Helvetica Neue" w:cstheme="majorHAnsi"/>
        </w:rPr>
        <w:endnoteReference w:id="672"/>
      </w:r>
    </w:p>
    <w:p w14:paraId="62CE23EC" w14:textId="77777777" w:rsidR="005B1703" w:rsidRPr="00C74FD8" w:rsidRDefault="005B1703" w:rsidP="00C74FD8">
      <w:pPr>
        <w:spacing w:after="240"/>
        <w:rPr>
          <w:rFonts w:eastAsia="Helvetica Neue" w:cstheme="majorHAnsi"/>
          <w:color w:val="000000"/>
        </w:rPr>
      </w:pPr>
      <w:r w:rsidRPr="00C74FD8">
        <w:rPr>
          <w:rFonts w:eastAsia="Helvetica Neue" w:cstheme="majorHAnsi"/>
          <w:b/>
          <w:color w:val="000000"/>
        </w:rPr>
        <w:t>Person with a disability</w:t>
      </w:r>
      <w:r w:rsidRPr="00C74FD8">
        <w:rPr>
          <w:rFonts w:eastAsia="Helvetica Neue" w:cstheme="majorHAnsi"/>
          <w:color w:val="000000"/>
        </w:rPr>
        <w:t xml:space="preserve"> is the person-first language used by the Convention on the Rights of Persons with Disabilities and “include[s] those who have long-term physical, mental, intellectual, or sensory impairments which in interaction with various barriers may hinder their full and effective participation in society on an equal basis with others.”</w:t>
      </w:r>
      <w:r w:rsidRPr="00C74FD8">
        <w:rPr>
          <w:rStyle w:val="EndnoteReference"/>
          <w:rFonts w:eastAsia="Helvetica Neue" w:cstheme="majorHAnsi"/>
        </w:rPr>
        <w:endnoteReference w:id="673"/>
      </w:r>
    </w:p>
    <w:p w14:paraId="04C64BF9" w14:textId="77777777" w:rsidR="005B1703" w:rsidRPr="00C74FD8" w:rsidRDefault="005B1703" w:rsidP="00C74FD8">
      <w:pPr>
        <w:spacing w:after="240"/>
        <w:rPr>
          <w:rFonts w:eastAsia="Helvetica Neue" w:cstheme="majorHAnsi"/>
          <w:color w:val="000000"/>
        </w:rPr>
      </w:pPr>
      <w:r w:rsidRPr="00C74FD8">
        <w:rPr>
          <w:rFonts w:eastAsia="Helvetica Neue" w:cstheme="majorHAnsi"/>
          <w:b/>
          <w:color w:val="000000"/>
        </w:rPr>
        <w:t>Psychological violence</w:t>
      </w:r>
      <w:r w:rsidRPr="00C74FD8">
        <w:rPr>
          <w:rFonts w:eastAsia="Helvetica Neue" w:cstheme="majorHAnsi"/>
          <w:color w:val="000000"/>
        </w:rPr>
        <w:t xml:space="preserve"> refers to </w:t>
      </w:r>
      <w:proofErr w:type="spellStart"/>
      <w:r w:rsidRPr="00C74FD8">
        <w:rPr>
          <w:rFonts w:eastAsia="Helvetica Neue" w:cstheme="majorHAnsi"/>
          <w:color w:val="000000"/>
        </w:rPr>
        <w:t>behaviour</w:t>
      </w:r>
      <w:proofErr w:type="spellEnd"/>
      <w:r w:rsidRPr="00C74FD8">
        <w:rPr>
          <w:rFonts w:eastAsia="Helvetica Neue" w:cstheme="majorHAnsi"/>
          <w:color w:val="000000"/>
        </w:rPr>
        <w:t xml:space="preserve"> that is controlling, isolating, humiliating or embarrassing and which causes the person upon whom it is perpetrated psychological distress.</w:t>
      </w:r>
      <w:r w:rsidRPr="00C74FD8">
        <w:rPr>
          <w:rStyle w:val="EndnoteReference"/>
          <w:rFonts w:eastAsia="Helvetica Neue" w:cstheme="majorHAnsi"/>
        </w:rPr>
        <w:endnoteReference w:id="674"/>
      </w:r>
      <w:r w:rsidRPr="00C74FD8">
        <w:rPr>
          <w:rFonts w:eastAsia="Helvetica Neue" w:cstheme="majorHAnsi"/>
          <w:color w:val="000000"/>
        </w:rPr>
        <w:t xml:space="preserve"> </w:t>
      </w:r>
    </w:p>
    <w:p w14:paraId="05394157" w14:textId="373BA665" w:rsidR="005B1703" w:rsidRPr="00C74FD8" w:rsidRDefault="005B1703" w:rsidP="00C74FD8">
      <w:pPr>
        <w:spacing w:after="240"/>
        <w:rPr>
          <w:rFonts w:eastAsia="Helvetica Neue" w:cstheme="majorHAnsi"/>
          <w:color w:val="000000"/>
        </w:rPr>
      </w:pPr>
      <w:r w:rsidRPr="00C74FD8">
        <w:rPr>
          <w:rFonts w:eastAsia="Helvetica Neue" w:cstheme="majorHAnsi"/>
          <w:b/>
          <w:color w:val="000000"/>
        </w:rPr>
        <w:t>Psychosocial disability</w:t>
      </w:r>
      <w:r w:rsidRPr="00C74FD8">
        <w:rPr>
          <w:rFonts w:eastAsia="Helvetica Neue" w:cstheme="majorHAnsi"/>
          <w:color w:val="000000"/>
        </w:rPr>
        <w:t xml:space="preserve"> is the term used to refer to people with what is otherwise known as a “mental impairment”. The term psychosocial disability is defined by the World Network of Users and Survivors of Psychiatry as “the interaction between psychological and social/cultural components of our disability. The psychological component refers to ways of thinking and processing our experiences and our perception of the world around us. The social/cultural component refers to societal and cultural limits for </w:t>
      </w:r>
      <w:proofErr w:type="spellStart"/>
      <w:r w:rsidRPr="00C74FD8">
        <w:rPr>
          <w:rFonts w:eastAsia="Helvetica Neue" w:cstheme="majorHAnsi"/>
          <w:color w:val="000000"/>
        </w:rPr>
        <w:t>behaviour</w:t>
      </w:r>
      <w:proofErr w:type="spellEnd"/>
      <w:r w:rsidRPr="00C74FD8">
        <w:rPr>
          <w:rFonts w:eastAsia="Helvetica Neue" w:cstheme="majorHAnsi"/>
          <w:color w:val="000000"/>
        </w:rPr>
        <w:t xml:space="preserve"> that interact with those psychological differences/madness as well as the stigma that the society attaches to labelling us as disabled”.</w:t>
      </w:r>
      <w:r w:rsidRPr="00C74FD8">
        <w:rPr>
          <w:rStyle w:val="EndnoteReference"/>
          <w:rFonts w:eastAsia="Helvetica Neue" w:cstheme="majorHAnsi"/>
        </w:rPr>
        <w:endnoteReference w:id="675"/>
      </w:r>
      <w:r w:rsidRPr="00C74FD8">
        <w:rPr>
          <w:rFonts w:eastAsia="Helvetica Neue" w:cstheme="majorHAnsi"/>
          <w:color w:val="000000"/>
        </w:rPr>
        <w:t xml:space="preserve"> Although the term “mental impairment” is used in the CRPD to refer to </w:t>
      </w:r>
      <w:r w:rsidR="00F47897">
        <w:rPr>
          <w:rFonts w:eastAsia="Helvetica Neue" w:cstheme="majorHAnsi"/>
          <w:color w:val="000000"/>
        </w:rPr>
        <w:t>persons</w:t>
      </w:r>
      <w:r w:rsidR="00F47897" w:rsidRPr="00C74FD8">
        <w:rPr>
          <w:rFonts w:eastAsia="Helvetica Neue" w:cstheme="majorHAnsi"/>
          <w:color w:val="000000"/>
        </w:rPr>
        <w:t xml:space="preserve"> </w:t>
      </w:r>
      <w:r w:rsidRPr="00C74FD8">
        <w:rPr>
          <w:rFonts w:eastAsia="Helvetica Neue" w:cstheme="majorHAnsi"/>
          <w:color w:val="000000"/>
        </w:rPr>
        <w:t xml:space="preserve">with psychiatric disabilities, the preferred term among </w:t>
      </w:r>
      <w:r w:rsidR="00F47897">
        <w:rPr>
          <w:rFonts w:eastAsia="Helvetica Neue" w:cstheme="majorHAnsi"/>
          <w:color w:val="000000"/>
        </w:rPr>
        <w:t>persons</w:t>
      </w:r>
      <w:r w:rsidR="00F47897" w:rsidRPr="00C74FD8">
        <w:rPr>
          <w:rFonts w:eastAsia="Helvetica Neue" w:cstheme="majorHAnsi"/>
          <w:color w:val="000000"/>
        </w:rPr>
        <w:t xml:space="preserve"> </w:t>
      </w:r>
      <w:r w:rsidRPr="00C74FD8">
        <w:rPr>
          <w:rFonts w:eastAsia="Helvetica Neue" w:cstheme="majorHAnsi"/>
          <w:color w:val="000000"/>
        </w:rPr>
        <w:t>with psychiatric disabilities is psychosocial disability.</w:t>
      </w:r>
      <w:r w:rsidRPr="00C74FD8">
        <w:rPr>
          <w:rStyle w:val="EndnoteReference"/>
          <w:rFonts w:eastAsia="Helvetica Neue" w:cstheme="majorHAnsi"/>
        </w:rPr>
        <w:endnoteReference w:id="676"/>
      </w:r>
      <w:r w:rsidRPr="00C74FD8">
        <w:rPr>
          <w:rFonts w:eastAsia="Helvetica Neue" w:cstheme="majorHAnsi"/>
          <w:color w:val="000000"/>
        </w:rPr>
        <w:t xml:space="preserve"> The term has no association with the psychosocial rehabilitation movement.</w:t>
      </w:r>
    </w:p>
    <w:p w14:paraId="25E10CDA" w14:textId="77777777" w:rsidR="005B1703" w:rsidRPr="00C74FD8" w:rsidRDefault="005B1703" w:rsidP="00C74FD8">
      <w:pPr>
        <w:spacing w:after="240"/>
        <w:rPr>
          <w:rFonts w:eastAsia="Helvetica Neue" w:cstheme="majorHAnsi"/>
          <w:color w:val="000000"/>
        </w:rPr>
      </w:pPr>
      <w:r w:rsidRPr="00C74FD8">
        <w:rPr>
          <w:rFonts w:eastAsia="Helvetica Neue" w:cstheme="majorHAnsi"/>
          <w:b/>
          <w:color w:val="000000"/>
        </w:rPr>
        <w:t xml:space="preserve">Reasonable accommodation </w:t>
      </w:r>
      <w:r w:rsidRPr="00C74FD8">
        <w:rPr>
          <w:rFonts w:eastAsia="Helvetica Neue" w:cstheme="majorHAnsi"/>
          <w:color w:val="000000"/>
        </w:rPr>
        <w:t>is defined by the CRPD as “necessary and appropriate modification and adjustments not imposing a disproportionate or undue burden, where needed in a particular case, to ensure to persons with disabilities the enjoyment or exercise on an equal basis with others of all human rights and fundamental freedoms”.</w:t>
      </w:r>
      <w:r w:rsidRPr="00C74FD8">
        <w:rPr>
          <w:rStyle w:val="EndnoteReference"/>
          <w:rFonts w:eastAsia="Helvetica Neue" w:cstheme="majorHAnsi"/>
        </w:rPr>
        <w:endnoteReference w:id="677"/>
      </w:r>
    </w:p>
    <w:p w14:paraId="102F5E20" w14:textId="77777777" w:rsidR="005B1703" w:rsidRPr="00C74FD8" w:rsidRDefault="005B1703" w:rsidP="00C74FD8">
      <w:pPr>
        <w:spacing w:after="240"/>
        <w:rPr>
          <w:rFonts w:eastAsia="Helvetica Neue" w:cstheme="majorHAnsi"/>
          <w:color w:val="000000"/>
        </w:rPr>
      </w:pPr>
      <w:r w:rsidRPr="00C74FD8">
        <w:rPr>
          <w:rFonts w:eastAsia="Helvetica Neue" w:cstheme="majorHAnsi"/>
          <w:b/>
          <w:color w:val="000000"/>
        </w:rPr>
        <w:t>Reproductive health</w:t>
      </w:r>
      <w:r w:rsidRPr="00C74FD8">
        <w:rPr>
          <w:rFonts w:eastAsia="Helvetica Neue" w:cstheme="majorHAnsi"/>
          <w:color w:val="000000"/>
        </w:rPr>
        <w:t xml:space="preserve"> refers to a person’s complete physical, mental and social well-being, not only the absence of disease or illness, in all matters relating to the reproductive system and to its functions and processes. Reproductive health includes the ability to enjoy a satisfying and safe sex life and the freedom and legal capacity to decide if, when, and how often to do so. For women and young persons with disabilities, this means the right to be free from forced sterilization, contraceptives and abortion; access to accessible information about reproductive health and safe, effective, affordable, and acceptable methods of family planning; and the right to access quality accessible maternal and newborn health services. </w:t>
      </w:r>
    </w:p>
    <w:p w14:paraId="57D15425" w14:textId="77777777" w:rsidR="005B1703" w:rsidRPr="00C74FD8" w:rsidRDefault="005B1703" w:rsidP="00C74FD8">
      <w:pPr>
        <w:spacing w:after="240"/>
        <w:rPr>
          <w:rFonts w:eastAsia="Helvetica Neue" w:cstheme="majorHAnsi"/>
          <w:color w:val="000000"/>
        </w:rPr>
      </w:pPr>
      <w:r w:rsidRPr="00C74FD8">
        <w:rPr>
          <w:rFonts w:eastAsia="Helvetica Neue" w:cstheme="majorHAnsi"/>
          <w:b/>
          <w:color w:val="000000"/>
        </w:rPr>
        <w:t>Reproductive rights</w:t>
      </w:r>
      <w:r w:rsidRPr="00C74FD8">
        <w:rPr>
          <w:rFonts w:eastAsia="Helvetica Neue" w:cstheme="majorHAnsi"/>
          <w:color w:val="000000"/>
        </w:rPr>
        <w:t xml:space="preserve"> are human rights recognized in national laws, international laws, and international human rights documents that uphold the rights of all people to decide freely and responsibly on the number, spacing and timing of their children and to have the information and means to do so, and the right to attain the highest standard of sexual and reproductive health. Women and young persons with disabilities, as with all rights-holders, must be free to make these decisions free of discrimination, coercion, or violence.</w:t>
      </w:r>
      <w:r w:rsidRPr="00C74FD8">
        <w:rPr>
          <w:rStyle w:val="EndnoteReference"/>
          <w:rFonts w:eastAsia="Helvetica Neue" w:cstheme="majorHAnsi"/>
        </w:rPr>
        <w:endnoteReference w:id="678"/>
      </w:r>
      <w:r w:rsidRPr="00C74FD8">
        <w:rPr>
          <w:rFonts w:eastAsia="Helvetica Neue" w:cstheme="majorHAnsi"/>
          <w:color w:val="000000"/>
        </w:rPr>
        <w:t xml:space="preserve"> </w:t>
      </w:r>
    </w:p>
    <w:p w14:paraId="5603A240" w14:textId="77777777" w:rsidR="005B1703" w:rsidRPr="00C74FD8" w:rsidRDefault="005B1703" w:rsidP="00C74FD8">
      <w:pPr>
        <w:spacing w:after="240"/>
        <w:rPr>
          <w:rFonts w:eastAsia="Helvetica Neue" w:cstheme="majorHAnsi"/>
          <w:color w:val="000000"/>
        </w:rPr>
      </w:pPr>
      <w:r w:rsidRPr="00C74FD8">
        <w:rPr>
          <w:rFonts w:eastAsia="Helvetica Neue" w:cstheme="majorHAnsi"/>
          <w:b/>
          <w:color w:val="000000"/>
        </w:rPr>
        <w:lastRenderedPageBreak/>
        <w:t>Sexual health</w:t>
      </w:r>
      <w:r w:rsidRPr="00C74FD8">
        <w:rPr>
          <w:rFonts w:eastAsia="Helvetica Neue" w:cstheme="majorHAnsi"/>
          <w:color w:val="000000"/>
        </w:rPr>
        <w:t xml:space="preserve"> is defined as </w:t>
      </w:r>
      <w:r w:rsidRPr="00C74FD8">
        <w:rPr>
          <w:rFonts w:eastAsia="Helvetica Neue" w:cstheme="majorHAnsi"/>
          <w:color w:val="000000"/>
          <w:highlight w:val="white"/>
        </w:rPr>
        <w:t>“a state of physical, emotional, mental and social well-being in relation to sexuality; it is not merely the absence of disease, dysfunction or infirmity. Sexual health requires a positive and respectful approach to sexuality and sexual relationships, as well as the possibility of having pleasurable and safe sexual experiences, free of coercion, discrimination and violence. For sexual health to be attained and maintained, the sexual rights of all persons must be respected, protected and fulfilled”.</w:t>
      </w:r>
      <w:r w:rsidRPr="00C74FD8">
        <w:rPr>
          <w:rStyle w:val="EndnoteReference"/>
          <w:rFonts w:eastAsia="Helvetica Neue" w:cstheme="majorHAnsi"/>
          <w:highlight w:val="white"/>
        </w:rPr>
        <w:endnoteReference w:id="679"/>
      </w:r>
    </w:p>
    <w:p w14:paraId="5D6B97C6" w14:textId="77777777" w:rsidR="005B1703" w:rsidRPr="00C74FD8" w:rsidRDefault="005B1703" w:rsidP="00C74FD8">
      <w:pPr>
        <w:spacing w:after="240"/>
        <w:rPr>
          <w:rFonts w:eastAsia="Helvetica Neue" w:cstheme="majorHAnsi"/>
          <w:color w:val="000000"/>
        </w:rPr>
      </w:pPr>
      <w:r w:rsidRPr="00C74FD8">
        <w:rPr>
          <w:rFonts w:eastAsia="Helvetica Neue" w:cstheme="majorHAnsi"/>
          <w:b/>
          <w:color w:val="000000"/>
        </w:rPr>
        <w:t>Sexual violence</w:t>
      </w:r>
      <w:r w:rsidRPr="00C74FD8">
        <w:rPr>
          <w:rFonts w:eastAsia="Helvetica Neue" w:cstheme="majorHAnsi"/>
          <w:color w:val="000000"/>
        </w:rPr>
        <w:t xml:space="preserve"> refers to abusive sexual contact, making a person engage in a sexual act without consent, and attempted or completed sex acts with a person who is unable to consent to sexual contact. It can take many forms, including any unintended or non-consensual sexual act, sexual harassment, and violent acts. A person may be unable to consent due to their disability (however, having a disability does not mean a person is automatically unable to consent to voluntary sexual conduct). Other reasons a person may be unable to consent include that the person is asleep, unconscious, ill, under pressure, or under the influence of drugs or alcohol.</w:t>
      </w:r>
      <w:r w:rsidRPr="00C74FD8">
        <w:rPr>
          <w:rStyle w:val="EndnoteReference"/>
          <w:rFonts w:eastAsia="Helvetica Neue" w:cstheme="majorHAnsi"/>
        </w:rPr>
        <w:endnoteReference w:id="680"/>
      </w:r>
    </w:p>
    <w:p w14:paraId="3E00ECB1" w14:textId="066B4151" w:rsidR="005B1703" w:rsidRPr="00C74FD8" w:rsidRDefault="005B1703" w:rsidP="00C74FD8">
      <w:pPr>
        <w:spacing w:after="240"/>
        <w:rPr>
          <w:rFonts w:eastAsia="Helvetica Neue" w:cstheme="majorHAnsi"/>
          <w:color w:val="000000"/>
        </w:rPr>
      </w:pPr>
      <w:r w:rsidRPr="00C74FD8">
        <w:rPr>
          <w:rFonts w:eastAsia="Helvetica Neue" w:cstheme="majorHAnsi"/>
          <w:b/>
          <w:color w:val="000000"/>
        </w:rPr>
        <w:t xml:space="preserve">Supported-decision making </w:t>
      </w:r>
      <w:r w:rsidRPr="00C74FD8">
        <w:rPr>
          <w:rFonts w:eastAsia="Helvetica Neue" w:cstheme="majorHAnsi"/>
          <w:color w:val="000000"/>
        </w:rPr>
        <w:t>refers to regimes that replace substitute decision-making models, such as guardianship. Supported decision-making “comprises various support options which give primacy to a person’s will and preferences and respect human rights norms. It should provide protection for all rights, including those related to autonomy (right to legal capacity, right to equal recognition before the law, right to choose where to live, etc.) and rights related to freedom from abuse and ill-treatment (right to life, right to physical integrity, etc.)”.</w:t>
      </w:r>
      <w:r w:rsidRPr="00C74FD8">
        <w:rPr>
          <w:rStyle w:val="EndnoteReference"/>
          <w:rFonts w:eastAsia="Helvetica Neue" w:cstheme="majorHAnsi"/>
        </w:rPr>
        <w:endnoteReference w:id="681"/>
      </w:r>
      <w:r w:rsidRPr="00C74FD8">
        <w:rPr>
          <w:rFonts w:eastAsia="Helvetica Neue" w:cstheme="majorHAnsi"/>
          <w:color w:val="000000"/>
        </w:rPr>
        <w:t xml:space="preserve"> Substituted decision-making models perpetuate power imbalances, which can make women and young </w:t>
      </w:r>
      <w:r w:rsidR="00F47897">
        <w:rPr>
          <w:rFonts w:eastAsia="Helvetica Neue" w:cstheme="majorHAnsi"/>
          <w:color w:val="000000"/>
        </w:rPr>
        <w:t>persons</w:t>
      </w:r>
      <w:r w:rsidR="00F47897" w:rsidRPr="00C74FD8">
        <w:rPr>
          <w:rFonts w:eastAsia="Helvetica Neue" w:cstheme="majorHAnsi"/>
          <w:color w:val="000000"/>
        </w:rPr>
        <w:t xml:space="preserve"> </w:t>
      </w:r>
      <w:r w:rsidRPr="00C74FD8">
        <w:rPr>
          <w:rFonts w:eastAsia="Helvetica Neue" w:cstheme="majorHAnsi"/>
          <w:color w:val="000000"/>
        </w:rPr>
        <w:t>with disabilities especially vulnerable to gender-based violence and other forms of abuse and ill-treatment.</w:t>
      </w:r>
      <w:r w:rsidRPr="00C74FD8">
        <w:rPr>
          <w:rStyle w:val="EndnoteReference"/>
          <w:rFonts w:eastAsia="Helvetica Neue" w:cstheme="majorHAnsi"/>
        </w:rPr>
        <w:endnoteReference w:id="682"/>
      </w:r>
    </w:p>
    <w:p w14:paraId="3F8D1A29" w14:textId="77777777" w:rsidR="005B1703" w:rsidRPr="00C74FD8" w:rsidRDefault="005B1703" w:rsidP="00C74FD8">
      <w:pPr>
        <w:spacing w:after="240"/>
        <w:rPr>
          <w:rFonts w:eastAsia="Helvetica Neue" w:cstheme="majorHAnsi"/>
          <w:color w:val="000000"/>
        </w:rPr>
      </w:pPr>
      <w:r w:rsidRPr="00C74FD8">
        <w:rPr>
          <w:rFonts w:eastAsia="Helvetica Neue" w:cstheme="majorHAnsi"/>
          <w:b/>
          <w:color w:val="000000"/>
        </w:rPr>
        <w:t>Survivor-</w:t>
      </w:r>
      <w:r w:rsidRPr="00C74FD8">
        <w:rPr>
          <w:rFonts w:eastAsia="Helvetica Neue" w:cstheme="majorHAnsi"/>
          <w:b/>
          <w:color w:val="000000"/>
          <w:lang w:val="en-GB"/>
        </w:rPr>
        <w:t>centred</w:t>
      </w:r>
      <w:r w:rsidRPr="00C74FD8">
        <w:rPr>
          <w:rFonts w:eastAsia="Helvetica Neue" w:cstheme="majorHAnsi"/>
          <w:color w:val="000000"/>
          <w:lang w:val="en-GB"/>
        </w:rPr>
        <w:t xml:space="preserve"> </w:t>
      </w:r>
      <w:r w:rsidRPr="00C74FD8">
        <w:rPr>
          <w:rFonts w:eastAsia="Helvetica Neue" w:cstheme="majorHAnsi"/>
          <w:color w:val="000000"/>
        </w:rPr>
        <w:t xml:space="preserve">services are those that </w:t>
      </w:r>
      <w:r w:rsidRPr="00C74FD8">
        <w:rPr>
          <w:rFonts w:eastAsia="Helvetica Neue" w:cstheme="majorHAnsi"/>
          <w:b/>
          <w:color w:val="000000"/>
        </w:rPr>
        <w:t>“</w:t>
      </w:r>
      <w:r w:rsidRPr="00C74FD8">
        <w:rPr>
          <w:rFonts w:eastAsia="Helvetica Neue" w:cstheme="majorHAnsi"/>
          <w:color w:val="000000"/>
        </w:rPr>
        <w:t>prioritize the rights, needs, dignity and choices of the survivor—including the survivor’s choice as to whether or not to access legal and judicial services”.</w:t>
      </w:r>
      <w:r w:rsidRPr="00C74FD8">
        <w:rPr>
          <w:rStyle w:val="EndnoteReference"/>
          <w:rFonts w:eastAsia="Helvetica Neue" w:cstheme="majorHAnsi"/>
        </w:rPr>
        <w:endnoteReference w:id="683"/>
      </w:r>
    </w:p>
    <w:p w14:paraId="377A339A" w14:textId="77777777" w:rsidR="005B1703" w:rsidRPr="00C74FD8" w:rsidRDefault="005B1703" w:rsidP="00C74FD8">
      <w:pPr>
        <w:spacing w:after="240"/>
        <w:rPr>
          <w:rFonts w:eastAsia="Helvetica Neue" w:cstheme="majorHAnsi"/>
          <w:color w:val="000000"/>
        </w:rPr>
      </w:pPr>
      <w:r w:rsidRPr="00C74FD8">
        <w:rPr>
          <w:rFonts w:eastAsia="Helvetica Neue" w:cstheme="majorHAnsi"/>
          <w:b/>
          <w:color w:val="000000"/>
        </w:rPr>
        <w:t>Twin-track approach</w:t>
      </w:r>
      <w:r w:rsidRPr="00C74FD8">
        <w:rPr>
          <w:rFonts w:eastAsia="Helvetica Neue" w:cstheme="majorHAnsi"/>
          <w:color w:val="000000"/>
        </w:rPr>
        <w:t xml:space="preserve"> has been defined by the Committee on the Rights of Persons with Disabilities as: “systematically mainstreaming the interests and rights of women and girls with disabilities across all national action plans, strategies and policies concerning women, childhood and disability, as well as in sectoral plans concerning, for example, gender equality, health, violence, education, political participation, employment, access to justice and social protection” and “targeted and monitored action aimed specifically at women with disabilities”.</w:t>
      </w:r>
      <w:r w:rsidRPr="00C74FD8">
        <w:rPr>
          <w:rStyle w:val="EndnoteReference"/>
          <w:rFonts w:eastAsia="Helvetica Neue" w:cstheme="majorHAnsi"/>
        </w:rPr>
        <w:endnoteReference w:id="684"/>
      </w:r>
    </w:p>
    <w:p w14:paraId="216C2445" w14:textId="77777777" w:rsidR="005B1703" w:rsidRPr="00C74FD8" w:rsidRDefault="005B1703" w:rsidP="00C74FD8">
      <w:pPr>
        <w:spacing w:after="240"/>
        <w:rPr>
          <w:rFonts w:eastAsia="Helvetica Neue" w:cstheme="majorHAnsi"/>
          <w:color w:val="000000"/>
        </w:rPr>
      </w:pPr>
      <w:r w:rsidRPr="00C74FD8">
        <w:rPr>
          <w:rFonts w:eastAsia="Helvetica Neue" w:cstheme="majorHAnsi"/>
          <w:b/>
          <w:color w:val="000000"/>
        </w:rPr>
        <w:t xml:space="preserve">Victim/survivor </w:t>
      </w:r>
      <w:r w:rsidRPr="00C74FD8">
        <w:rPr>
          <w:rFonts w:eastAsia="Helvetica Neue" w:cstheme="majorHAnsi"/>
          <w:color w:val="000000"/>
        </w:rPr>
        <w:t xml:space="preserve">is a person who has experienced or is currently experiencing GBV. There has been debate about the use of the terms victim and survivor. The UN Secretary-General’s </w:t>
      </w:r>
      <w:r w:rsidRPr="00C74FD8">
        <w:rPr>
          <w:rFonts w:eastAsia="Helvetica Neue" w:cstheme="majorHAnsi"/>
          <w:b/>
          <w:color w:val="000000"/>
        </w:rPr>
        <w:t>‘</w:t>
      </w:r>
      <w:r w:rsidRPr="00C74FD8">
        <w:rPr>
          <w:rFonts w:eastAsia="Helvetica Neue" w:cstheme="majorHAnsi"/>
          <w:b/>
          <w:i/>
          <w:color w:val="000000"/>
        </w:rPr>
        <w:t>In-Depth Study on Violence Against Women’</w:t>
      </w:r>
      <w:r w:rsidRPr="00C74FD8">
        <w:rPr>
          <w:rFonts w:eastAsia="Helvetica Neue" w:cstheme="majorHAnsi"/>
          <w:color w:val="000000"/>
        </w:rPr>
        <w:t xml:space="preserve"> explains that for some, “the term ‘victim’ should be avoided because it implies passivity, weakness and inherent vulnerability and fails to recognize the reality of women’s resilience and agency. For others, the term ‘survivor’ is problematic because it denies the sense of victimization experienced by women who have been the target of violent crime”.</w:t>
      </w:r>
      <w:r w:rsidRPr="00C74FD8">
        <w:rPr>
          <w:rStyle w:val="EndnoteReference"/>
          <w:rFonts w:eastAsia="Helvetica Neue" w:cstheme="majorHAnsi"/>
        </w:rPr>
        <w:endnoteReference w:id="685"/>
      </w:r>
      <w:r w:rsidRPr="00C74FD8">
        <w:rPr>
          <w:rFonts w:eastAsia="Helvetica Neue" w:cstheme="majorHAnsi"/>
          <w:color w:val="000000"/>
        </w:rPr>
        <w:t xml:space="preserve"> </w:t>
      </w:r>
    </w:p>
    <w:p w14:paraId="50755547" w14:textId="77777777" w:rsidR="005B1703" w:rsidRPr="00C74FD8" w:rsidRDefault="005B1703" w:rsidP="00C74FD8">
      <w:pPr>
        <w:spacing w:after="240"/>
        <w:rPr>
          <w:rFonts w:eastAsia="Helvetica Neue" w:cstheme="majorHAnsi"/>
          <w:color w:val="000000"/>
        </w:rPr>
      </w:pPr>
      <w:r w:rsidRPr="00C74FD8">
        <w:rPr>
          <w:rFonts w:eastAsia="Helvetica Neue" w:cstheme="majorHAnsi"/>
          <w:b/>
          <w:color w:val="000000"/>
        </w:rPr>
        <w:t xml:space="preserve">Virgin rape, </w:t>
      </w:r>
      <w:r w:rsidRPr="00C74FD8">
        <w:rPr>
          <w:rFonts w:eastAsia="Helvetica Neue" w:cstheme="majorHAnsi"/>
          <w:color w:val="000000"/>
        </w:rPr>
        <w:t xml:space="preserve">also known as virgin cleansing, is “the belief that people who have a sexually transmitted infection can rid themselves of the condition by transferring the infective organism </w:t>
      </w:r>
      <w:r w:rsidRPr="00C74FD8">
        <w:rPr>
          <w:rFonts w:eastAsia="Helvetica Neue" w:cstheme="majorHAnsi"/>
          <w:color w:val="000000"/>
        </w:rPr>
        <w:lastRenderedPageBreak/>
        <w:t>by having sexual intercourse with a virgin”.</w:t>
      </w:r>
      <w:r w:rsidRPr="00C74FD8">
        <w:rPr>
          <w:rStyle w:val="EndnoteReference"/>
          <w:rFonts w:eastAsia="Helvetica Neue" w:cstheme="majorHAnsi"/>
        </w:rPr>
        <w:endnoteReference w:id="686"/>
      </w:r>
      <w:r w:rsidRPr="00C74FD8">
        <w:rPr>
          <w:rFonts w:eastAsia="Helvetica Neue" w:cstheme="majorHAnsi"/>
          <w:color w:val="000000"/>
        </w:rPr>
        <w:t xml:space="preserve"> A more recent iteration of the practice has been documented in the targeting of individuals with disabilities by people who believe themselves to be infected with HIV.</w:t>
      </w:r>
      <w:r w:rsidRPr="00C74FD8">
        <w:rPr>
          <w:rStyle w:val="EndnoteReference"/>
          <w:rFonts w:eastAsia="Helvetica Neue" w:cstheme="majorHAnsi"/>
        </w:rPr>
        <w:t xml:space="preserve"> </w:t>
      </w:r>
      <w:r w:rsidRPr="00C74FD8">
        <w:rPr>
          <w:rStyle w:val="EndnoteReference"/>
          <w:rFonts w:eastAsia="Helvetica Neue" w:cstheme="majorHAnsi"/>
        </w:rPr>
        <w:endnoteReference w:id="687"/>
      </w:r>
      <w:r w:rsidRPr="00C74FD8">
        <w:rPr>
          <w:rFonts w:eastAsia="Helvetica Neue" w:cstheme="majorHAnsi"/>
          <w:color w:val="000000"/>
        </w:rPr>
        <w:t xml:space="preserve"> It is believed that individuals with disabilities are targeted because of the misperception that they are likely to be virgins and are easy targets. </w:t>
      </w:r>
    </w:p>
    <w:p w14:paraId="25F6E035" w14:textId="77777777" w:rsidR="005B1703" w:rsidRPr="00C74FD8" w:rsidRDefault="005B1703" w:rsidP="00C74FD8">
      <w:pPr>
        <w:spacing w:after="240"/>
        <w:rPr>
          <w:rFonts w:eastAsia="Helvetica Neue" w:cstheme="majorHAnsi"/>
          <w:color w:val="000000"/>
        </w:rPr>
      </w:pPr>
      <w:r w:rsidRPr="00C74FD8">
        <w:rPr>
          <w:rFonts w:eastAsia="Helvetica Neue" w:cstheme="majorHAnsi"/>
          <w:b/>
          <w:color w:val="000000"/>
        </w:rPr>
        <w:t>Violence against women</w:t>
      </w:r>
      <w:r w:rsidRPr="00C74FD8">
        <w:rPr>
          <w:rFonts w:eastAsia="Helvetica Neue" w:cstheme="majorHAnsi"/>
          <w:color w:val="000000"/>
        </w:rPr>
        <w:t xml:space="preserve"> is defined as “any act of gender-based violence that results in, or is likely to result in, physical, sexual or psychological harm or suffering to women, including threats of such acts, coercion or arbitrary deprivation of liberty, whether occurring in public or in private life”.</w:t>
      </w:r>
      <w:r w:rsidRPr="00C74FD8">
        <w:rPr>
          <w:rStyle w:val="EndnoteReference"/>
          <w:rFonts w:eastAsia="Helvetica Neue" w:cstheme="majorHAnsi"/>
        </w:rPr>
        <w:endnoteReference w:id="688"/>
      </w:r>
      <w:r w:rsidRPr="00C74FD8">
        <w:rPr>
          <w:rFonts w:eastAsia="Helvetica Neue" w:cstheme="majorHAnsi"/>
          <w:color w:val="000000"/>
        </w:rPr>
        <w:t xml:space="preserve"> This definition includes the many forms violence against women with disabilities can take, including intimate partner violence, caregiver violence, medical violence (e.g. forced sterilizations and other procedures, forced medication or overmedication), sexual violence, psychological violence, economic violence, institutional violence, and violence during emergencies. </w:t>
      </w:r>
    </w:p>
    <w:p w14:paraId="366C9221" w14:textId="77777777" w:rsidR="005B1703" w:rsidRPr="00C74FD8" w:rsidRDefault="005B1703" w:rsidP="00C74FD8">
      <w:pPr>
        <w:spacing w:after="240"/>
        <w:rPr>
          <w:rFonts w:eastAsia="Helvetica Neue" w:cstheme="majorHAnsi"/>
          <w:color w:val="000000"/>
        </w:rPr>
      </w:pPr>
      <w:r w:rsidRPr="00C74FD8">
        <w:rPr>
          <w:rFonts w:eastAsia="Helvetica Neue" w:cstheme="majorHAnsi"/>
          <w:b/>
          <w:color w:val="000000"/>
        </w:rPr>
        <w:t>Violence, non-partner</w:t>
      </w:r>
      <w:r w:rsidRPr="00C74FD8">
        <w:rPr>
          <w:rFonts w:eastAsia="Helvetica Neue" w:cstheme="majorHAnsi"/>
          <w:color w:val="000000"/>
        </w:rPr>
        <w:t xml:space="preserve"> is violence committed by a caregiver (non-partner), family member, friend, acquaintance, </w:t>
      </w:r>
      <w:r w:rsidRPr="00C74FD8">
        <w:rPr>
          <w:rFonts w:eastAsia="Helvetica Neue" w:cstheme="majorHAnsi"/>
          <w:color w:val="000000"/>
          <w:lang w:val="en-GB"/>
        </w:rPr>
        <w:t>neighbour</w:t>
      </w:r>
      <w:r w:rsidRPr="00C74FD8">
        <w:rPr>
          <w:rFonts w:eastAsia="Helvetica Neue" w:cstheme="majorHAnsi"/>
          <w:color w:val="000000"/>
        </w:rPr>
        <w:t xml:space="preserve">, work colleague or stranger. Frequently, non-partner violence is committed by a person familiar to the victim/survivor. For persons with disabilities, offenders can serve in a caregiver role for the person either in the person’s home or in an institutional setting. </w:t>
      </w:r>
    </w:p>
    <w:p w14:paraId="64CE2332" w14:textId="77777777" w:rsidR="005B1703" w:rsidRPr="00C74FD8" w:rsidRDefault="005B1703" w:rsidP="00C74FD8">
      <w:pPr>
        <w:spacing w:after="240"/>
        <w:rPr>
          <w:rFonts w:eastAsia="Helvetica Neue" w:cstheme="majorHAnsi"/>
          <w:color w:val="000000"/>
        </w:rPr>
      </w:pPr>
      <w:r w:rsidRPr="00C74FD8">
        <w:rPr>
          <w:rFonts w:eastAsia="Helvetica Neue" w:cstheme="majorHAnsi"/>
          <w:b/>
          <w:color w:val="000000"/>
        </w:rPr>
        <w:t>Violence, intimate partner</w:t>
      </w:r>
      <w:r w:rsidRPr="00C74FD8">
        <w:rPr>
          <w:rFonts w:eastAsia="Helvetica Neue" w:cstheme="majorHAnsi"/>
          <w:color w:val="000000"/>
        </w:rPr>
        <w:t xml:space="preserve"> refers to the range of sexual, psychological and physical acts that can be used against women and young persons with disabilities by a current or former intimate partner, without that person’s consent. For persons with disabilities, intimate partner violence is regularly perpetrated by partners who are also caregivers for that person, which can often prevent such violence being identified.</w:t>
      </w:r>
    </w:p>
    <w:p w14:paraId="33B2B2E4" w14:textId="5DBB991A" w:rsidR="005E00FF" w:rsidRPr="00C74FD8" w:rsidRDefault="005B1703" w:rsidP="00C74FD8">
      <w:pPr>
        <w:spacing w:after="240"/>
        <w:rPr>
          <w:rStyle w:val="EndnoteReference"/>
          <w:rFonts w:eastAsia="Helvetica Neue" w:cstheme="majorHAnsi"/>
        </w:rPr>
      </w:pPr>
      <w:r w:rsidRPr="00C74FD8">
        <w:rPr>
          <w:rFonts w:eastAsia="Helvetica Neue" w:cstheme="majorHAnsi"/>
          <w:b/>
          <w:color w:val="000000"/>
        </w:rPr>
        <w:t xml:space="preserve">Young </w:t>
      </w:r>
      <w:r w:rsidR="00F47897">
        <w:rPr>
          <w:rFonts w:eastAsia="Helvetica Neue" w:cstheme="majorHAnsi"/>
          <w:b/>
          <w:color w:val="000000"/>
        </w:rPr>
        <w:t>persons</w:t>
      </w:r>
      <w:r w:rsidR="00F47897" w:rsidRPr="00C74FD8">
        <w:rPr>
          <w:rFonts w:eastAsia="Helvetica Neue" w:cstheme="majorHAnsi"/>
          <w:color w:val="000000"/>
        </w:rPr>
        <w:t xml:space="preserve"> </w:t>
      </w:r>
      <w:r w:rsidRPr="00C74FD8">
        <w:rPr>
          <w:rFonts w:eastAsia="Helvetica Neue" w:cstheme="majorHAnsi"/>
          <w:color w:val="000000"/>
        </w:rPr>
        <w:t>refers to girls, boys, young women, and young men from age 10 to 24 years old, encompassing the globally accepted definitions of adolescents (an age range of 10 to19) and youth (an age range of 15 to 24).</w:t>
      </w:r>
      <w:r w:rsidRPr="00C74FD8">
        <w:rPr>
          <w:rStyle w:val="EndnoteReference"/>
          <w:rFonts w:eastAsia="Helvetica Neue" w:cstheme="majorHAnsi"/>
        </w:rPr>
        <w:endnoteReference w:id="689"/>
      </w:r>
    </w:p>
    <w:p w14:paraId="1596A7E1" w14:textId="07ED3FBC" w:rsidR="005B1703" w:rsidRPr="00C74FD8" w:rsidRDefault="005B1703" w:rsidP="00C74FD8">
      <w:pPr>
        <w:spacing w:after="240"/>
        <w:rPr>
          <w:rStyle w:val="EndnoteReference"/>
          <w:rFonts w:eastAsia="Helvetica Neue" w:cstheme="majorHAnsi"/>
        </w:rPr>
      </w:pPr>
      <w:r w:rsidRPr="00C74FD8">
        <w:rPr>
          <w:rFonts w:eastAsia="Helvetica Neue" w:cstheme="majorHAnsi"/>
          <w:b/>
          <w:color w:val="000000"/>
        </w:rPr>
        <w:t xml:space="preserve">Youth </w:t>
      </w:r>
      <w:r w:rsidRPr="00C74FD8">
        <w:rPr>
          <w:rFonts w:eastAsia="Helvetica Neue" w:cstheme="majorHAnsi"/>
          <w:color w:val="000000"/>
        </w:rPr>
        <w:t>refers to young women and men from age 15 to 24.</w:t>
      </w:r>
      <w:r w:rsidRPr="00C74FD8">
        <w:rPr>
          <w:rStyle w:val="EndnoteReference"/>
          <w:rFonts w:eastAsia="Helvetica Neue" w:cstheme="majorHAnsi"/>
        </w:rPr>
        <w:endnoteReference w:id="690"/>
      </w:r>
    </w:p>
    <w:p w14:paraId="7EA37811" w14:textId="60421A56" w:rsidR="001F1DE8" w:rsidRDefault="001F1DE8">
      <w:pPr>
        <w:rPr>
          <w:rFonts w:ascii="Arial" w:eastAsia="Helvetica Neue" w:hAnsi="Arial" w:cs="Arial"/>
          <w:b/>
          <w:color w:val="000000"/>
          <w:u w:val="single"/>
        </w:rPr>
      </w:pPr>
      <w:r>
        <w:rPr>
          <w:rFonts w:ascii="Arial" w:eastAsia="Helvetica Neue" w:hAnsi="Arial" w:cs="Arial"/>
          <w:b/>
          <w:color w:val="000000"/>
          <w:u w:val="single"/>
        </w:rPr>
        <w:br w:type="page"/>
      </w:r>
    </w:p>
    <w:p w14:paraId="0F252C8F" w14:textId="7EB8279C" w:rsidR="001F1DE8" w:rsidRPr="00C9349D" w:rsidRDefault="001F1DE8" w:rsidP="004B4BB2">
      <w:pPr>
        <w:pStyle w:val="Heading2"/>
      </w:pPr>
      <w:bookmarkStart w:id="32" w:name="Resources"/>
      <w:r w:rsidRPr="00C9349D">
        <w:lastRenderedPageBreak/>
        <w:t>5.2</w:t>
      </w:r>
      <w:r w:rsidRPr="00C9349D">
        <w:tab/>
      </w:r>
      <w:bookmarkEnd w:id="32"/>
      <w:r w:rsidRPr="00C9349D">
        <w:t>Resources</w:t>
      </w:r>
    </w:p>
    <w:p w14:paraId="51211BCD" w14:textId="77777777" w:rsidR="007154F1" w:rsidRPr="00E95958" w:rsidRDefault="001F1DE8" w:rsidP="00E95958">
      <w:pPr>
        <w:autoSpaceDE w:val="0"/>
        <w:autoSpaceDN w:val="0"/>
        <w:adjustRightInd w:val="0"/>
        <w:spacing w:after="320" w:line="280" w:lineRule="exact"/>
        <w:ind w:right="-90"/>
        <w:rPr>
          <w:rFonts w:eastAsia="Helvetica,Times New Roman" w:cstheme="majorHAnsi"/>
          <w:color w:val="000000" w:themeColor="text1"/>
          <w:kern w:val="2"/>
        </w:rPr>
      </w:pPr>
      <w:r w:rsidRPr="00E95958">
        <w:rPr>
          <w:rStyle w:val="Hyperlink"/>
          <w:rFonts w:eastAsia="Helvetica,Times New Roman" w:cstheme="majorHAnsi"/>
          <w:color w:val="000000" w:themeColor="text1"/>
          <w:kern w:val="2"/>
          <w:u w:val="none"/>
        </w:rPr>
        <w:t xml:space="preserve">Ann M. </w:t>
      </w:r>
      <w:proofErr w:type="spellStart"/>
      <w:r w:rsidRPr="00E95958">
        <w:rPr>
          <w:rStyle w:val="Hyperlink"/>
          <w:rFonts w:eastAsia="Helvetica,Times New Roman" w:cstheme="majorHAnsi"/>
          <w:color w:val="000000" w:themeColor="text1"/>
          <w:kern w:val="2"/>
          <w:u w:val="none"/>
        </w:rPr>
        <w:t>Starrs</w:t>
      </w:r>
      <w:proofErr w:type="spellEnd"/>
      <w:r w:rsidRPr="00E95958">
        <w:rPr>
          <w:rStyle w:val="Hyperlink"/>
          <w:rFonts w:eastAsia="Helvetica,Times New Roman" w:cstheme="majorHAnsi"/>
          <w:color w:val="000000" w:themeColor="text1"/>
          <w:kern w:val="2"/>
          <w:u w:val="none"/>
        </w:rPr>
        <w:t xml:space="preserve"> et. al.,</w:t>
      </w:r>
      <w:r w:rsidRPr="00E95958">
        <w:rPr>
          <w:rStyle w:val="Hyperlink"/>
          <w:rFonts w:eastAsia="Helvetica,Times New Roman" w:cstheme="majorHAnsi"/>
          <w:color w:val="000000" w:themeColor="text1"/>
          <w:kern w:val="2"/>
        </w:rPr>
        <w:t xml:space="preserve"> </w:t>
      </w:r>
      <w:r w:rsidRPr="00E95958">
        <w:rPr>
          <w:rFonts w:cstheme="majorHAnsi"/>
          <w:i/>
          <w:iCs/>
          <w:color w:val="000000" w:themeColor="text1"/>
          <w:kern w:val="2"/>
          <w:lang w:val="en-GB"/>
        </w:rPr>
        <w:t>Accelerate Progress - Sexual and Reproductive Health and Rights for All: Report of the Guttmacher–Lancet Commission</w:t>
      </w:r>
      <w:r w:rsidRPr="00E95958">
        <w:rPr>
          <w:rFonts w:cstheme="majorHAnsi"/>
          <w:kern w:val="2"/>
        </w:rPr>
        <w:t xml:space="preserve">, </w:t>
      </w:r>
      <w:r w:rsidRPr="00E95958">
        <w:rPr>
          <w:rFonts w:cstheme="majorHAnsi"/>
          <w:smallCaps/>
          <w:color w:val="000000" w:themeColor="text1"/>
          <w:kern w:val="2"/>
        </w:rPr>
        <w:t>The Lancet</w:t>
      </w:r>
      <w:r w:rsidRPr="00E95958">
        <w:rPr>
          <w:rFonts w:cstheme="majorHAnsi"/>
          <w:i/>
          <w:iCs/>
          <w:color w:val="000000" w:themeColor="text1"/>
          <w:kern w:val="2"/>
          <w:lang w:val="en-GB"/>
        </w:rPr>
        <w:t xml:space="preserve"> </w:t>
      </w:r>
      <w:r w:rsidRPr="00E95958">
        <w:rPr>
          <w:rFonts w:cstheme="majorHAnsi"/>
          <w:iCs/>
          <w:color w:val="000000" w:themeColor="text1"/>
          <w:kern w:val="2"/>
          <w:lang w:val="en-GB"/>
        </w:rPr>
        <w:t xml:space="preserve">7-57 (May. 9, 2018), </w:t>
      </w:r>
      <w:hyperlink r:id="rId16" w:history="1">
        <w:r w:rsidRPr="00E95958">
          <w:rPr>
            <w:rStyle w:val="Hyperlink"/>
            <w:rFonts w:cstheme="majorHAnsi"/>
            <w:iCs/>
            <w:kern w:val="2"/>
            <w:lang w:val="en-GB"/>
          </w:rPr>
          <w:t>https://www.thelancet.com/journals/lancet/article/PIIS0140-6736(18)30293-9/fulltext?code=lancet-site</w:t>
        </w:r>
      </w:hyperlink>
    </w:p>
    <w:p w14:paraId="5DC613ED" w14:textId="1DB202C6" w:rsidR="001F1DE8" w:rsidRPr="00E95958" w:rsidRDefault="001F1DE8" w:rsidP="00E95958">
      <w:pPr>
        <w:autoSpaceDE w:val="0"/>
        <w:autoSpaceDN w:val="0"/>
        <w:adjustRightInd w:val="0"/>
        <w:spacing w:after="320" w:line="280" w:lineRule="exact"/>
        <w:ind w:right="-90"/>
        <w:rPr>
          <w:rFonts w:eastAsia="Helvetica,Times New Roman" w:cstheme="majorHAnsi"/>
          <w:color w:val="000000" w:themeColor="text1"/>
          <w:kern w:val="2"/>
        </w:rPr>
      </w:pPr>
      <w:r w:rsidRPr="00E95958">
        <w:rPr>
          <w:rFonts w:eastAsia="Helvetica Neue" w:cstheme="majorHAnsi"/>
          <w:smallCaps/>
          <w:color w:val="000000"/>
          <w:kern w:val="2"/>
          <w:highlight w:val="white"/>
        </w:rPr>
        <w:t>The Adolescent Kit For Expression and Innovation</w:t>
      </w:r>
      <w:r w:rsidRPr="00E95958">
        <w:rPr>
          <w:rFonts w:eastAsia="Helvetica Neue" w:cstheme="majorHAnsi"/>
          <w:color w:val="000000"/>
          <w:kern w:val="2"/>
          <w:highlight w:val="white"/>
        </w:rPr>
        <w:t xml:space="preserve">, </w:t>
      </w:r>
      <w:r w:rsidRPr="00E95958">
        <w:rPr>
          <w:rStyle w:val="Hyperlink"/>
          <w:rFonts w:eastAsia="Helvetica Neue"/>
        </w:rPr>
        <w:t>http://adolescentkit.org/</w:t>
      </w:r>
      <w:r w:rsidRPr="00E95958">
        <w:rPr>
          <w:rFonts w:eastAsia="Helvetica Neue" w:cstheme="majorHAnsi"/>
          <w:color w:val="000000"/>
          <w:kern w:val="2"/>
          <w:highlight w:val="white"/>
        </w:rPr>
        <w:t> </w:t>
      </w:r>
    </w:p>
    <w:p w14:paraId="357DE171" w14:textId="77777777" w:rsidR="001F1DE8" w:rsidRPr="00E95958" w:rsidRDefault="001F1DE8" w:rsidP="00E95958">
      <w:pPr>
        <w:widowControl w:val="0"/>
        <w:pBdr>
          <w:top w:val="nil"/>
          <w:left w:val="nil"/>
          <w:bottom w:val="nil"/>
          <w:right w:val="nil"/>
          <w:between w:val="nil"/>
        </w:pBdr>
        <w:spacing w:after="320" w:line="280" w:lineRule="exact"/>
        <w:ind w:right="-90"/>
        <w:rPr>
          <w:rFonts w:eastAsia="Helvetica Neue" w:cstheme="majorHAnsi"/>
          <w:color w:val="000000"/>
          <w:kern w:val="2"/>
        </w:rPr>
      </w:pPr>
      <w:r w:rsidRPr="00E95958">
        <w:rPr>
          <w:rFonts w:eastAsia="Helvetica Neue" w:cstheme="majorHAnsi"/>
          <w:smallCaps/>
          <w:color w:val="000000"/>
          <w:kern w:val="2"/>
        </w:rPr>
        <w:t>Canadian Disability Policy Alliance, Primary Care Accessibility Checklist</w:t>
      </w:r>
      <w:r w:rsidRPr="00E95958">
        <w:rPr>
          <w:rFonts w:eastAsia="Helvetica Neue" w:cstheme="majorHAnsi"/>
          <w:color w:val="000000"/>
          <w:kern w:val="2"/>
        </w:rPr>
        <w:t xml:space="preserve"> (2008), </w:t>
      </w:r>
      <w:hyperlink r:id="rId17">
        <w:r w:rsidRPr="00E95958">
          <w:rPr>
            <w:rStyle w:val="Hyperlink"/>
            <w:rFonts w:eastAsia="Helvetica Neue" w:cstheme="majorHAnsi"/>
            <w:kern w:val="2"/>
          </w:rPr>
          <w:t>http://69.89.31.83/~disabio5/wp-content/uploads/2012/09/FHT-access-chklst-24-Jun-111.pdf</w:t>
        </w:r>
      </w:hyperlink>
    </w:p>
    <w:p w14:paraId="2FDF7F47" w14:textId="7E9D571D" w:rsidR="001F1DE8" w:rsidRPr="00E95958" w:rsidRDefault="001F1DE8" w:rsidP="00E95958">
      <w:pPr>
        <w:pBdr>
          <w:top w:val="nil"/>
          <w:left w:val="nil"/>
          <w:bottom w:val="nil"/>
          <w:right w:val="nil"/>
          <w:between w:val="nil"/>
        </w:pBdr>
        <w:spacing w:after="320" w:line="280" w:lineRule="exact"/>
        <w:ind w:right="-90"/>
        <w:rPr>
          <w:rFonts w:eastAsia="Helvetica Neue" w:cstheme="majorHAnsi"/>
          <w:color w:val="000000"/>
          <w:kern w:val="2"/>
        </w:rPr>
      </w:pPr>
      <w:r w:rsidRPr="00E95958">
        <w:rPr>
          <w:rFonts w:eastAsia="Helvetica Neue" w:cstheme="majorHAnsi"/>
          <w:smallCaps/>
          <w:color w:val="000000"/>
          <w:kern w:val="2"/>
        </w:rPr>
        <w:t xml:space="preserve">Carolyn </w:t>
      </w:r>
      <w:proofErr w:type="spellStart"/>
      <w:r w:rsidRPr="00E95958">
        <w:rPr>
          <w:rFonts w:eastAsia="Helvetica Neue" w:cstheme="majorHAnsi"/>
          <w:smallCaps/>
          <w:color w:val="000000"/>
          <w:kern w:val="2"/>
        </w:rPr>
        <w:t>Frohmader</w:t>
      </w:r>
      <w:proofErr w:type="spellEnd"/>
      <w:r w:rsidRPr="00E95958">
        <w:rPr>
          <w:rFonts w:eastAsia="Helvetica Neue" w:cstheme="majorHAnsi"/>
          <w:smallCaps/>
          <w:color w:val="000000"/>
          <w:kern w:val="2"/>
        </w:rPr>
        <w:t xml:space="preserve"> and Stephanie </w:t>
      </w:r>
      <w:proofErr w:type="spellStart"/>
      <w:r w:rsidRPr="00E95958">
        <w:rPr>
          <w:rFonts w:eastAsia="Helvetica Neue" w:cstheme="majorHAnsi"/>
          <w:smallCaps/>
          <w:color w:val="000000"/>
          <w:kern w:val="2"/>
        </w:rPr>
        <w:t>Ortoleva</w:t>
      </w:r>
      <w:proofErr w:type="spellEnd"/>
      <w:r w:rsidRPr="00E95958">
        <w:rPr>
          <w:rFonts w:eastAsia="Helvetica Neue" w:cstheme="majorHAnsi"/>
          <w:smallCaps/>
          <w:color w:val="000000"/>
          <w:kern w:val="2"/>
        </w:rPr>
        <w:t>, Issues Paper: The Sexual and Reproductive Rights of Women and Girls with Disabilities</w:t>
      </w:r>
      <w:r w:rsidRPr="00E95958">
        <w:rPr>
          <w:rFonts w:eastAsia="Helvetica Neue" w:cstheme="majorHAnsi"/>
          <w:color w:val="000000"/>
          <w:kern w:val="2"/>
        </w:rPr>
        <w:t xml:space="preserve"> (July 1, 2013), </w:t>
      </w:r>
      <w:hyperlink r:id="rId18" w:history="1">
        <w:r w:rsidR="004B4BB2" w:rsidRPr="00E95958">
          <w:rPr>
            <w:rStyle w:val="Hyperlink"/>
            <w:rFonts w:eastAsia="Helvetica Neue" w:cstheme="majorHAnsi"/>
            <w:kern w:val="2"/>
          </w:rPr>
          <w:t>http://womenenabled.org/pdfs/issues_paper_srr_women_and_girls_with_disabilities_final.pdf</w:t>
        </w:r>
      </w:hyperlink>
      <w:r w:rsidRPr="00E95958">
        <w:rPr>
          <w:rStyle w:val="Hyperlink"/>
          <w:rFonts w:eastAsia="Helvetica Neue" w:cstheme="majorHAnsi"/>
          <w:kern w:val="2"/>
        </w:rPr>
        <w:t>.</w:t>
      </w:r>
      <w:r w:rsidRPr="00E95958">
        <w:rPr>
          <w:rFonts w:eastAsia="Helvetica Neue" w:cstheme="majorHAnsi"/>
          <w:color w:val="000000"/>
          <w:kern w:val="2"/>
        </w:rPr>
        <w:t xml:space="preserve"> </w:t>
      </w:r>
    </w:p>
    <w:p w14:paraId="42B66F5C" w14:textId="77777777" w:rsidR="001F1DE8" w:rsidRPr="00E95958" w:rsidRDefault="001F1DE8" w:rsidP="00E95958">
      <w:pPr>
        <w:spacing w:after="320" w:line="280" w:lineRule="exact"/>
        <w:ind w:right="-90"/>
        <w:rPr>
          <w:rFonts w:eastAsia="Helvetica Neue" w:cstheme="majorHAnsi"/>
          <w:color w:val="000000"/>
          <w:kern w:val="2"/>
        </w:rPr>
      </w:pPr>
      <w:r w:rsidRPr="00E95958">
        <w:rPr>
          <w:rFonts w:eastAsia="Helvetica Neue" w:cstheme="majorHAnsi"/>
          <w:smallCaps/>
          <w:color w:val="000000"/>
          <w:kern w:val="2"/>
        </w:rPr>
        <w:t xml:space="preserve">Cathy </w:t>
      </w:r>
      <w:proofErr w:type="spellStart"/>
      <w:r w:rsidRPr="00E95958">
        <w:rPr>
          <w:rFonts w:eastAsia="Helvetica Neue" w:cstheme="majorHAnsi"/>
          <w:smallCaps/>
          <w:color w:val="000000"/>
          <w:kern w:val="2"/>
        </w:rPr>
        <w:t>Hoog</w:t>
      </w:r>
      <w:proofErr w:type="spellEnd"/>
      <w:r w:rsidRPr="00E95958">
        <w:rPr>
          <w:rFonts w:eastAsia="Helvetica Neue" w:cstheme="majorHAnsi"/>
          <w:smallCaps/>
          <w:color w:val="000000"/>
          <w:kern w:val="2"/>
        </w:rPr>
        <w:t>, Model Protocol on Screening Practices for Domestic Violence Victims with Disabilities, Washington State Coalition Against Domestic Violence</w:t>
      </w:r>
      <w:r w:rsidRPr="00E95958">
        <w:rPr>
          <w:rFonts w:eastAsia="Helvetica Neue" w:cstheme="majorHAnsi"/>
          <w:color w:val="000000"/>
          <w:kern w:val="2"/>
        </w:rPr>
        <w:t xml:space="preserve">  (Jan. 2010), </w:t>
      </w:r>
      <w:hyperlink r:id="rId19">
        <w:r w:rsidRPr="00E95958">
          <w:rPr>
            <w:rStyle w:val="Hyperlink"/>
            <w:rFonts w:eastAsia="Helvetica Neue" w:cstheme="majorHAnsi"/>
            <w:kern w:val="2"/>
          </w:rPr>
          <w:t>https://wscadv.org/wpcontent/uploads/2015/06/protocol_disability_identification.pdf</w:t>
        </w:r>
      </w:hyperlink>
    </w:p>
    <w:p w14:paraId="477A18CB" w14:textId="77777777" w:rsidR="001F1DE8" w:rsidRPr="00E95958" w:rsidRDefault="001F1DE8" w:rsidP="00E95958">
      <w:pPr>
        <w:spacing w:after="320" w:line="280" w:lineRule="exact"/>
        <w:ind w:right="-90"/>
        <w:rPr>
          <w:rFonts w:eastAsia="Helvetica Neue" w:cstheme="majorHAnsi"/>
          <w:color w:val="000000"/>
          <w:kern w:val="2"/>
        </w:rPr>
      </w:pPr>
      <w:r w:rsidRPr="00E95958">
        <w:rPr>
          <w:rFonts w:eastAsiaTheme="minorHAnsi" w:cstheme="majorHAnsi"/>
          <w:iCs/>
          <w:smallCaps/>
          <w:color w:val="000000" w:themeColor="text1"/>
          <w:kern w:val="2"/>
        </w:rPr>
        <w:t xml:space="preserve">Caroline van </w:t>
      </w:r>
      <w:proofErr w:type="spellStart"/>
      <w:r w:rsidRPr="00E95958">
        <w:rPr>
          <w:rFonts w:eastAsiaTheme="minorHAnsi" w:cstheme="majorHAnsi"/>
          <w:iCs/>
          <w:smallCaps/>
          <w:color w:val="000000" w:themeColor="text1"/>
          <w:kern w:val="2"/>
        </w:rPr>
        <w:t>Slobbe</w:t>
      </w:r>
      <w:proofErr w:type="spellEnd"/>
      <w:r w:rsidRPr="00E95958">
        <w:rPr>
          <w:rFonts w:eastAsiaTheme="minorHAnsi" w:cstheme="majorHAnsi"/>
          <w:iCs/>
          <w:smallCaps/>
          <w:color w:val="000000" w:themeColor="text1"/>
          <w:kern w:val="2"/>
        </w:rPr>
        <w:t>, Dutch Coalition on Disability and Development, Share-Net International, Everybody Matters: Good Practices for Inclusion of People with Disabilities in Sexual and Reproductive Health and Rights Programmes (</w:t>
      </w:r>
      <w:r w:rsidRPr="00E95958">
        <w:rPr>
          <w:rFonts w:eastAsiaTheme="minorHAnsi" w:cstheme="majorHAnsi"/>
          <w:kern w:val="2"/>
        </w:rPr>
        <w:t xml:space="preserve">Claire Stout, Bianca </w:t>
      </w:r>
      <w:proofErr w:type="spellStart"/>
      <w:r w:rsidRPr="00E95958">
        <w:rPr>
          <w:rFonts w:eastAsiaTheme="minorHAnsi" w:cstheme="majorHAnsi"/>
          <w:kern w:val="2"/>
        </w:rPr>
        <w:t>Tolboom</w:t>
      </w:r>
      <w:proofErr w:type="spellEnd"/>
      <w:r w:rsidRPr="00E95958">
        <w:rPr>
          <w:rFonts w:eastAsiaTheme="minorHAnsi" w:cstheme="majorHAnsi"/>
          <w:kern w:val="2"/>
        </w:rPr>
        <w:t xml:space="preserve"> &amp; </w:t>
      </w:r>
      <w:proofErr w:type="spellStart"/>
      <w:r w:rsidRPr="00E95958">
        <w:rPr>
          <w:rFonts w:eastAsiaTheme="minorHAnsi" w:cstheme="majorHAnsi"/>
          <w:kern w:val="2"/>
        </w:rPr>
        <w:t>Lieke</w:t>
      </w:r>
      <w:proofErr w:type="spellEnd"/>
      <w:r w:rsidRPr="00E95958">
        <w:rPr>
          <w:rFonts w:eastAsiaTheme="minorHAnsi" w:cstheme="majorHAnsi"/>
          <w:kern w:val="2"/>
        </w:rPr>
        <w:t xml:space="preserve"> </w:t>
      </w:r>
      <w:proofErr w:type="spellStart"/>
      <w:r w:rsidRPr="00E95958">
        <w:rPr>
          <w:rFonts w:eastAsiaTheme="minorHAnsi" w:cstheme="majorHAnsi"/>
          <w:kern w:val="2"/>
        </w:rPr>
        <w:t>Scheewe</w:t>
      </w:r>
      <w:proofErr w:type="spellEnd"/>
      <w:r w:rsidRPr="00E95958">
        <w:rPr>
          <w:rFonts w:eastAsiaTheme="minorHAnsi" w:cstheme="majorHAnsi"/>
          <w:kern w:val="2"/>
        </w:rPr>
        <w:t xml:space="preserve"> eds. 2017), </w:t>
      </w:r>
      <w:hyperlink r:id="rId20" w:history="1">
        <w:r w:rsidRPr="00E95958">
          <w:rPr>
            <w:rStyle w:val="Hyperlink"/>
            <w:rFonts w:eastAsiaTheme="minorHAnsi" w:cstheme="majorHAnsi"/>
            <w:kern w:val="2"/>
          </w:rPr>
          <w:t>http://share-netinternational.org/everybody-matters/</w:t>
        </w:r>
      </w:hyperlink>
    </w:p>
    <w:p w14:paraId="0E1ED2A7" w14:textId="77777777" w:rsidR="001F1DE8" w:rsidRPr="00E95958" w:rsidRDefault="001F1DE8" w:rsidP="00E95958">
      <w:pPr>
        <w:spacing w:after="320" w:line="280" w:lineRule="exact"/>
        <w:ind w:right="-90"/>
        <w:rPr>
          <w:rFonts w:eastAsia="Helvetica Neue" w:cstheme="majorHAnsi"/>
          <w:color w:val="000000"/>
          <w:kern w:val="2"/>
        </w:rPr>
      </w:pPr>
      <w:r w:rsidRPr="00E95958">
        <w:rPr>
          <w:rFonts w:eastAsia="Helvetica Neue" w:cstheme="majorHAnsi"/>
          <w:smallCaps/>
          <w:color w:val="000000"/>
          <w:kern w:val="2"/>
        </w:rPr>
        <w:t>Centre for Community Organizations, Accessibility Checklist for Organizers and Facilitators</w:t>
      </w:r>
      <w:r w:rsidRPr="00E95958">
        <w:rPr>
          <w:rFonts w:eastAsia="Helvetica Neue" w:cstheme="majorHAnsi"/>
          <w:color w:val="000000"/>
          <w:kern w:val="2"/>
        </w:rPr>
        <w:t xml:space="preserve"> (2015), </w:t>
      </w:r>
      <w:hyperlink r:id="rId21">
        <w:r w:rsidRPr="00E95958">
          <w:rPr>
            <w:rStyle w:val="Hyperlink"/>
            <w:rFonts w:eastAsia="Helvetica Neue" w:cstheme="majorHAnsi"/>
            <w:kern w:val="2"/>
          </w:rPr>
          <w:t>http://coco-net.org/wp-content/uploads/2016/01/Access-Checklist-EN.pdf</w:t>
        </w:r>
      </w:hyperlink>
    </w:p>
    <w:p w14:paraId="1962F14D" w14:textId="77777777" w:rsidR="001F1DE8" w:rsidRPr="00E95958" w:rsidRDefault="001F1DE8" w:rsidP="00E95958">
      <w:pPr>
        <w:pBdr>
          <w:top w:val="nil"/>
          <w:left w:val="nil"/>
          <w:bottom w:val="nil"/>
          <w:right w:val="nil"/>
          <w:between w:val="nil"/>
        </w:pBdr>
        <w:spacing w:after="320" w:line="280" w:lineRule="exact"/>
        <w:ind w:right="-90"/>
        <w:rPr>
          <w:rFonts w:eastAsia="Helvetica Neue" w:cstheme="majorHAnsi"/>
          <w:color w:val="000000"/>
          <w:kern w:val="2"/>
        </w:rPr>
      </w:pPr>
      <w:r w:rsidRPr="00E95958">
        <w:rPr>
          <w:rFonts w:eastAsia="Helvetica Neue" w:cstheme="majorHAnsi"/>
          <w:i/>
          <w:color w:val="000000"/>
          <w:kern w:val="2"/>
        </w:rPr>
        <w:t>Circle Curriculum</w:t>
      </w:r>
      <w:r w:rsidRPr="00E95958">
        <w:rPr>
          <w:rFonts w:eastAsia="Helvetica Neue" w:cstheme="majorHAnsi"/>
          <w:color w:val="000000"/>
          <w:kern w:val="2"/>
        </w:rPr>
        <w:t xml:space="preserve">, </w:t>
      </w:r>
      <w:r w:rsidRPr="00E95958">
        <w:rPr>
          <w:rFonts w:eastAsia="Helvetica Neue" w:cstheme="majorHAnsi"/>
          <w:smallCaps/>
          <w:color w:val="000000"/>
          <w:kern w:val="2"/>
        </w:rPr>
        <w:t>James Stanfield: K-12 Specialists in Special Education</w:t>
      </w:r>
      <w:r w:rsidRPr="00E95958">
        <w:rPr>
          <w:rFonts w:eastAsia="Helvetica Neue" w:cstheme="majorHAnsi"/>
          <w:color w:val="000000"/>
          <w:kern w:val="2"/>
        </w:rPr>
        <w:t xml:space="preserve"> (2017),  </w:t>
      </w:r>
      <w:hyperlink r:id="rId22">
        <w:r w:rsidRPr="00E95958">
          <w:rPr>
            <w:rStyle w:val="Hyperlink"/>
            <w:rFonts w:eastAsia="Helvetica Neue" w:cstheme="majorHAnsi"/>
            <w:kern w:val="2"/>
          </w:rPr>
          <w:t>https://www.stanfield.com/product/circles-curriculum-bundle-w1037-3/</w:t>
        </w:r>
      </w:hyperlink>
    </w:p>
    <w:p w14:paraId="58D24A34" w14:textId="77777777" w:rsidR="001F1DE8" w:rsidRPr="00E95958" w:rsidRDefault="001F1DE8" w:rsidP="00E95958">
      <w:pPr>
        <w:spacing w:after="320" w:line="280" w:lineRule="exact"/>
        <w:ind w:right="-90"/>
        <w:rPr>
          <w:rFonts w:eastAsia="Helvetica Neue" w:cstheme="majorHAnsi"/>
          <w:color w:val="000000"/>
          <w:kern w:val="2"/>
        </w:rPr>
      </w:pPr>
      <w:proofErr w:type="spellStart"/>
      <w:r w:rsidRPr="00E95958">
        <w:rPr>
          <w:rFonts w:eastAsia="Helvetica Neue" w:cstheme="majorHAnsi"/>
          <w:smallCaps/>
          <w:color w:val="000000"/>
          <w:kern w:val="2"/>
        </w:rPr>
        <w:t>Channtey</w:t>
      </w:r>
      <w:proofErr w:type="spellEnd"/>
      <w:r w:rsidRPr="00E95958">
        <w:rPr>
          <w:rFonts w:eastAsia="Helvetica Neue" w:cstheme="majorHAnsi"/>
          <w:smallCaps/>
          <w:color w:val="000000"/>
          <w:kern w:val="2"/>
        </w:rPr>
        <w:t xml:space="preserve"> Heng, et. al., Challenging Discrimination Against Women with Disabilities: A Community Toolkit</w:t>
      </w:r>
      <w:r w:rsidRPr="00E95958">
        <w:rPr>
          <w:rFonts w:eastAsia="Helvetica Neue" w:cstheme="majorHAnsi"/>
          <w:color w:val="000000"/>
          <w:kern w:val="2"/>
        </w:rPr>
        <w:t xml:space="preserve"> (Nov. 2012),</w:t>
      </w:r>
      <w:r w:rsidRPr="00E95958">
        <w:rPr>
          <w:rFonts w:eastAsia="Helvetica Neue" w:cstheme="majorHAnsi"/>
          <w:i/>
          <w:color w:val="000000"/>
          <w:kern w:val="2"/>
        </w:rPr>
        <w:t xml:space="preserve"> </w:t>
      </w:r>
      <w:hyperlink r:id="rId23">
        <w:r w:rsidRPr="00E95958">
          <w:rPr>
            <w:rStyle w:val="Hyperlink"/>
            <w:rFonts w:eastAsia="Helvetica Neue" w:cstheme="majorHAnsi"/>
            <w:kern w:val="2"/>
          </w:rPr>
          <w:t>http://banteaysrei.info/wp-content/uploads/2013/03/A-Community-Training-Toolkit-EN.pdf</w:t>
        </w:r>
      </w:hyperlink>
    </w:p>
    <w:p w14:paraId="3609423E" w14:textId="77777777" w:rsidR="001F1DE8" w:rsidRPr="00E95958" w:rsidRDefault="001F1DE8" w:rsidP="00E95958">
      <w:pPr>
        <w:pBdr>
          <w:top w:val="nil"/>
          <w:left w:val="nil"/>
          <w:bottom w:val="nil"/>
          <w:right w:val="nil"/>
          <w:between w:val="nil"/>
        </w:pBdr>
        <w:spacing w:after="320" w:line="280" w:lineRule="exact"/>
        <w:ind w:right="-90"/>
        <w:rPr>
          <w:rFonts w:eastAsia="Helvetica Neue" w:cstheme="majorHAnsi"/>
          <w:color w:val="000000"/>
          <w:kern w:val="2"/>
        </w:rPr>
      </w:pPr>
      <w:proofErr w:type="spellStart"/>
      <w:r w:rsidRPr="00E95958">
        <w:rPr>
          <w:rFonts w:eastAsia="Helvetica Neue" w:cstheme="majorHAnsi"/>
          <w:smallCaps/>
          <w:color w:val="000000"/>
          <w:kern w:val="2"/>
        </w:rPr>
        <w:t>DiAnn</w:t>
      </w:r>
      <w:proofErr w:type="spellEnd"/>
      <w:r w:rsidRPr="00E95958">
        <w:rPr>
          <w:rFonts w:eastAsia="Helvetica Neue" w:cstheme="majorHAnsi"/>
          <w:smallCaps/>
          <w:color w:val="000000"/>
          <w:kern w:val="2"/>
        </w:rPr>
        <w:t xml:space="preserve"> L. Baxley &amp; Anna L. </w:t>
      </w:r>
      <w:proofErr w:type="spellStart"/>
      <w:r w:rsidRPr="00E95958">
        <w:rPr>
          <w:rFonts w:eastAsia="Helvetica Neue" w:cstheme="majorHAnsi"/>
          <w:smallCaps/>
          <w:color w:val="000000"/>
          <w:kern w:val="2"/>
        </w:rPr>
        <w:t>Zendell</w:t>
      </w:r>
      <w:proofErr w:type="spellEnd"/>
      <w:r w:rsidRPr="00E95958">
        <w:rPr>
          <w:rFonts w:eastAsia="Helvetica Neue" w:cstheme="majorHAnsi"/>
          <w:smallCaps/>
          <w:color w:val="000000"/>
          <w:kern w:val="2"/>
        </w:rPr>
        <w:t>, Sexuality Across the Lifespan: Sexuality Education for Children and Adolescents with Developmental Disabilities. An Instructional Manual for Educators of Individuals with Developmental Disabilities</w:t>
      </w:r>
      <w:r w:rsidRPr="00E95958">
        <w:rPr>
          <w:rFonts w:eastAsia="Helvetica Neue" w:cstheme="majorHAnsi"/>
          <w:color w:val="000000"/>
          <w:kern w:val="2"/>
        </w:rPr>
        <w:t xml:space="preserve"> (2011),  </w:t>
      </w:r>
      <w:hyperlink r:id="rId24">
        <w:r w:rsidRPr="00E95958">
          <w:rPr>
            <w:rStyle w:val="Hyperlink"/>
            <w:rFonts w:eastAsia="Helvetica Neue" w:cstheme="majorHAnsi"/>
            <w:kern w:val="2"/>
          </w:rPr>
          <w:t>http://www.fddc.org/sites/default/files/file/publications/Sexuality%20Guide-Educators-English.pdf</w:t>
        </w:r>
      </w:hyperlink>
      <w:r w:rsidRPr="00E95958">
        <w:rPr>
          <w:rFonts w:eastAsia="Helvetica Neue" w:cstheme="majorHAnsi"/>
          <w:color w:val="000000"/>
          <w:kern w:val="2"/>
        </w:rPr>
        <w:t xml:space="preserve"> </w:t>
      </w:r>
    </w:p>
    <w:p w14:paraId="3D9C1A86" w14:textId="77777777" w:rsidR="001F1DE8" w:rsidRPr="00E95958" w:rsidRDefault="001F1DE8" w:rsidP="00E95958">
      <w:pPr>
        <w:pBdr>
          <w:top w:val="nil"/>
          <w:left w:val="nil"/>
          <w:bottom w:val="nil"/>
          <w:right w:val="nil"/>
          <w:between w:val="nil"/>
        </w:pBdr>
        <w:spacing w:after="320" w:line="280" w:lineRule="exact"/>
        <w:ind w:right="-90"/>
        <w:rPr>
          <w:rFonts w:eastAsia="Helvetica Neue" w:cstheme="majorHAnsi"/>
          <w:smallCaps/>
          <w:color w:val="000000"/>
          <w:kern w:val="2"/>
        </w:rPr>
      </w:pPr>
      <w:proofErr w:type="spellStart"/>
      <w:r w:rsidRPr="00E95958">
        <w:rPr>
          <w:rFonts w:eastAsia="Helvetica Neue" w:cstheme="majorHAnsi"/>
          <w:smallCaps/>
          <w:color w:val="000000"/>
          <w:kern w:val="2"/>
        </w:rPr>
        <w:t>DisAbled</w:t>
      </w:r>
      <w:proofErr w:type="spellEnd"/>
      <w:r w:rsidRPr="00E95958">
        <w:rPr>
          <w:rFonts w:eastAsia="Helvetica Neue" w:cstheme="majorHAnsi"/>
          <w:smallCaps/>
          <w:color w:val="000000"/>
          <w:kern w:val="2"/>
        </w:rPr>
        <w:t xml:space="preserve"> Women’s Network Canada / </w:t>
      </w:r>
      <w:proofErr w:type="spellStart"/>
      <w:r w:rsidRPr="00E95958">
        <w:rPr>
          <w:rFonts w:eastAsia="Helvetica Neue" w:cstheme="majorHAnsi"/>
          <w:smallCaps/>
          <w:color w:val="000000"/>
          <w:kern w:val="2"/>
        </w:rPr>
        <w:t>Réseau</w:t>
      </w:r>
      <w:proofErr w:type="spellEnd"/>
      <w:r w:rsidRPr="00E95958">
        <w:rPr>
          <w:rFonts w:eastAsia="Helvetica Neue" w:cstheme="majorHAnsi"/>
          <w:smallCaps/>
          <w:color w:val="000000"/>
          <w:kern w:val="2"/>
        </w:rPr>
        <w:t xml:space="preserve"> </w:t>
      </w:r>
      <w:proofErr w:type="spellStart"/>
      <w:r w:rsidRPr="00E95958">
        <w:rPr>
          <w:rFonts w:eastAsia="Helvetica Neue" w:cstheme="majorHAnsi"/>
          <w:smallCaps/>
          <w:color w:val="000000"/>
          <w:kern w:val="2"/>
        </w:rPr>
        <w:t>d’Action</w:t>
      </w:r>
      <w:proofErr w:type="spellEnd"/>
      <w:r w:rsidRPr="00E95958">
        <w:rPr>
          <w:rFonts w:eastAsia="Helvetica Neue" w:cstheme="majorHAnsi"/>
          <w:smallCaps/>
          <w:color w:val="000000"/>
          <w:kern w:val="2"/>
        </w:rPr>
        <w:t xml:space="preserve"> des Femmes </w:t>
      </w:r>
      <w:proofErr w:type="spellStart"/>
      <w:r w:rsidRPr="00E95958">
        <w:rPr>
          <w:rFonts w:eastAsia="Helvetica Neue" w:cstheme="majorHAnsi"/>
          <w:smallCaps/>
          <w:color w:val="000000"/>
          <w:kern w:val="2"/>
        </w:rPr>
        <w:t>Handicapées</w:t>
      </w:r>
      <w:proofErr w:type="spellEnd"/>
      <w:r w:rsidRPr="00E95958">
        <w:rPr>
          <w:rFonts w:eastAsia="Helvetica Neue" w:cstheme="majorHAnsi"/>
          <w:smallCaps/>
          <w:color w:val="000000"/>
          <w:kern w:val="2"/>
        </w:rPr>
        <w:t xml:space="preserve"> (DAWN/RAFH Canada), Our Health Matters! Improving Access to Cancer Identification &amp; General Healthcare for People with Disabilities &amp; Deaf People Toolkit</w:t>
      </w:r>
      <w:r w:rsidRPr="00E95958">
        <w:rPr>
          <w:rFonts w:eastAsia="Helvetica Neue" w:cstheme="majorHAnsi"/>
          <w:color w:val="000000"/>
          <w:kern w:val="2"/>
        </w:rPr>
        <w:t xml:space="preserve"> (2012), </w:t>
      </w:r>
      <w:hyperlink r:id="rId25">
        <w:r w:rsidRPr="00E95958">
          <w:rPr>
            <w:rStyle w:val="Hyperlink"/>
            <w:rFonts w:eastAsia="Helvetica Neue" w:cstheme="majorHAnsi"/>
            <w:kern w:val="2"/>
          </w:rPr>
          <w:t>http://www.dawncanada.net/main/wp-content/uploads/2014/10/Our-Heath-Matters.pdf</w:t>
        </w:r>
      </w:hyperlink>
      <w:r w:rsidRPr="00E95958">
        <w:rPr>
          <w:rFonts w:eastAsia="Helvetica Neue" w:cstheme="majorHAnsi"/>
          <w:color w:val="000000"/>
          <w:kern w:val="2"/>
        </w:rPr>
        <w:t xml:space="preserve"> </w:t>
      </w:r>
    </w:p>
    <w:p w14:paraId="5F97CFB1" w14:textId="77777777" w:rsidR="001F1DE8" w:rsidRPr="00E95958" w:rsidRDefault="001F1DE8" w:rsidP="00E95958">
      <w:pPr>
        <w:spacing w:after="320" w:line="280" w:lineRule="exact"/>
        <w:ind w:right="-90"/>
        <w:rPr>
          <w:rFonts w:eastAsia="Helvetica Neue" w:cstheme="majorHAnsi"/>
          <w:color w:val="000000"/>
          <w:kern w:val="2"/>
        </w:rPr>
      </w:pPr>
      <w:r w:rsidRPr="00E95958">
        <w:rPr>
          <w:rFonts w:eastAsia="Helvetica Neue" w:cstheme="majorHAnsi"/>
          <w:smallCaps/>
          <w:color w:val="000000"/>
          <w:kern w:val="2"/>
        </w:rPr>
        <w:lastRenderedPageBreak/>
        <w:t xml:space="preserve">Doris </w:t>
      </w:r>
      <w:proofErr w:type="spellStart"/>
      <w:r w:rsidRPr="00E95958">
        <w:rPr>
          <w:rFonts w:eastAsia="Helvetica Neue" w:cstheme="majorHAnsi"/>
          <w:smallCaps/>
          <w:color w:val="000000"/>
          <w:kern w:val="2"/>
        </w:rPr>
        <w:t>Rajan</w:t>
      </w:r>
      <w:proofErr w:type="spellEnd"/>
      <w:r w:rsidRPr="00E95958">
        <w:rPr>
          <w:rFonts w:eastAsia="Helvetica Neue" w:cstheme="majorHAnsi"/>
          <w:smallCaps/>
          <w:color w:val="000000"/>
          <w:kern w:val="2"/>
        </w:rPr>
        <w:t>, DAWN/RAFH Canada, Women with Disabilities &amp; Breast Cancer Screening: An Environmental Scan. Identified Problems, Strategies and Recommended Next Steps</w:t>
      </w:r>
      <w:r w:rsidRPr="00E95958">
        <w:rPr>
          <w:rFonts w:eastAsia="Helvetica Neue" w:cstheme="majorHAnsi"/>
          <w:color w:val="000000"/>
          <w:kern w:val="2"/>
        </w:rPr>
        <w:t xml:space="preserve"> (2012)</w:t>
      </w:r>
    </w:p>
    <w:p w14:paraId="663F7FBF" w14:textId="77777777" w:rsidR="001F1DE8" w:rsidRPr="00E95958" w:rsidRDefault="001F1DE8" w:rsidP="00E95958">
      <w:pPr>
        <w:pStyle w:val="EndnoteText"/>
        <w:ind w:left="0" w:right="-90" w:firstLine="0"/>
        <w:rPr>
          <w:color w:val="000000" w:themeColor="text1"/>
        </w:rPr>
      </w:pPr>
      <w:proofErr w:type="spellStart"/>
      <w:r w:rsidRPr="00E95958">
        <w:rPr>
          <w:smallCaps/>
          <w:color w:val="000000" w:themeColor="text1"/>
        </w:rPr>
        <w:t>Guttamacher</w:t>
      </w:r>
      <w:proofErr w:type="spellEnd"/>
      <w:r w:rsidRPr="00E95958">
        <w:rPr>
          <w:smallCaps/>
          <w:color w:val="000000" w:themeColor="text1"/>
        </w:rPr>
        <w:t xml:space="preserve"> Institute, Fact Sheet: Induced Abortion Worldwide </w:t>
      </w:r>
      <w:r w:rsidRPr="00E95958">
        <w:rPr>
          <w:color w:val="000000" w:themeColor="text1"/>
        </w:rPr>
        <w:t xml:space="preserve">(Mar. 2018), </w:t>
      </w:r>
      <w:hyperlink r:id="rId26" w:history="1">
        <w:r w:rsidRPr="00E95958">
          <w:rPr>
            <w:rStyle w:val="Hyperlink"/>
            <w:iCs/>
            <w:kern w:val="2"/>
          </w:rPr>
          <w:t>https://www.guttmacher.org/fact-sheet/induced-abortion-worldwide</w:t>
        </w:r>
      </w:hyperlink>
    </w:p>
    <w:p w14:paraId="0B1BEA59" w14:textId="77777777" w:rsidR="001F1DE8" w:rsidRPr="00E95958" w:rsidRDefault="001F1DE8" w:rsidP="00E95958">
      <w:pPr>
        <w:pBdr>
          <w:top w:val="nil"/>
          <w:left w:val="nil"/>
          <w:bottom w:val="nil"/>
          <w:right w:val="nil"/>
          <w:between w:val="nil"/>
        </w:pBdr>
        <w:spacing w:after="320" w:line="280" w:lineRule="exact"/>
        <w:ind w:right="-90"/>
        <w:rPr>
          <w:rFonts w:eastAsia="Helvetica Neue" w:cstheme="majorHAnsi"/>
          <w:color w:val="000000"/>
          <w:kern w:val="2"/>
          <w:highlight w:val="white"/>
        </w:rPr>
      </w:pPr>
      <w:r w:rsidRPr="00E95958">
        <w:rPr>
          <w:rFonts w:eastAsia="Helvetica Neue" w:cstheme="majorHAnsi"/>
          <w:smallCaps/>
          <w:color w:val="000000"/>
          <w:kern w:val="2"/>
          <w:highlight w:val="white"/>
        </w:rPr>
        <w:t>Humanity &amp; Inclusion, Gender and Disability Intersectionality in Practice: Women and Girls with Disabilities Addressing Discrimination and Violence in Africa (</w:t>
      </w:r>
      <w:r w:rsidRPr="00E95958">
        <w:rPr>
          <w:rFonts w:eastAsia="Helvetica Neue" w:cstheme="majorHAnsi"/>
          <w:color w:val="000000"/>
          <w:kern w:val="2"/>
          <w:highlight w:val="white"/>
        </w:rPr>
        <w:t xml:space="preserve">2018), </w:t>
      </w:r>
      <w:hyperlink r:id="rId27" w:history="1">
        <w:r w:rsidRPr="00E95958">
          <w:rPr>
            <w:rStyle w:val="Hyperlink"/>
            <w:rFonts w:eastAsia="Helvetica Neue" w:cstheme="majorHAnsi"/>
            <w:kern w:val="2"/>
          </w:rPr>
          <w:t>https://admin.makingitwork-crpd.org/sites/default/files/2018-06/MIW_GenderAndDisability_Report-June2018.pdf</w:t>
        </w:r>
      </w:hyperlink>
      <w:r w:rsidRPr="00E95958">
        <w:rPr>
          <w:rFonts w:eastAsia="Helvetica Neue" w:cstheme="majorHAnsi"/>
          <w:kern w:val="2"/>
        </w:rPr>
        <w:t xml:space="preserve"> </w:t>
      </w:r>
    </w:p>
    <w:p w14:paraId="3D923FA1" w14:textId="77777777" w:rsidR="001F1DE8" w:rsidRPr="00E95958" w:rsidRDefault="001F1DE8" w:rsidP="00E95958">
      <w:pPr>
        <w:pBdr>
          <w:top w:val="nil"/>
          <w:left w:val="nil"/>
          <w:bottom w:val="nil"/>
          <w:right w:val="nil"/>
          <w:between w:val="nil"/>
        </w:pBdr>
        <w:spacing w:after="320" w:line="280" w:lineRule="exact"/>
        <w:ind w:right="-90"/>
        <w:rPr>
          <w:rFonts w:eastAsia="Helvetica Neue" w:cstheme="majorHAnsi"/>
          <w:color w:val="000000"/>
          <w:kern w:val="2"/>
        </w:rPr>
      </w:pPr>
      <w:r w:rsidRPr="00E95958">
        <w:rPr>
          <w:rFonts w:eastAsia="Helvetica Neue" w:cstheme="majorHAnsi"/>
          <w:smallCaps/>
          <w:color w:val="000000"/>
          <w:kern w:val="2"/>
          <w:highlight w:val="white"/>
        </w:rPr>
        <w:t xml:space="preserve">Human Rights Watch, What to do if someone hurts you or does bad things to you: Information about Gender-Based Violence for People with Disabilities </w:t>
      </w:r>
      <w:r w:rsidRPr="00E95958">
        <w:rPr>
          <w:rFonts w:eastAsia="Helvetica Neue" w:cstheme="majorHAnsi"/>
          <w:color w:val="000000"/>
          <w:kern w:val="2"/>
          <w:highlight w:val="white"/>
        </w:rPr>
        <w:t xml:space="preserve">(Mar. 2015), </w:t>
      </w:r>
      <w:r w:rsidRPr="00E95958">
        <w:rPr>
          <w:rStyle w:val="Hyperlink"/>
          <w:rFonts w:eastAsia="Helvetica Neue" w:cstheme="majorHAnsi"/>
          <w:kern w:val="2"/>
          <w:highlight w:val="white"/>
        </w:rPr>
        <w:t>https://www.hrw.org/sites/default/files/accessible_document/gender_based_violence_etr_final.pdf</w:t>
      </w:r>
    </w:p>
    <w:p w14:paraId="432C1185" w14:textId="7D231B31" w:rsidR="001F1DE8" w:rsidRPr="00E95958" w:rsidRDefault="001F1DE8" w:rsidP="00E95958">
      <w:pPr>
        <w:spacing w:after="320" w:line="280" w:lineRule="exact"/>
        <w:ind w:right="-90"/>
        <w:rPr>
          <w:rFonts w:eastAsia="Helvetica Neue" w:cstheme="majorHAnsi"/>
          <w:color w:val="000000"/>
          <w:kern w:val="2"/>
        </w:rPr>
      </w:pPr>
      <w:r w:rsidRPr="00E95958">
        <w:rPr>
          <w:rFonts w:eastAsia="Helvetica Neue" w:cstheme="majorHAnsi"/>
          <w:smallCaps/>
          <w:color w:val="000000"/>
          <w:kern w:val="2"/>
        </w:rPr>
        <w:t>International Federation of Gynecology and Obstetrics (FIGO), Ethical Issues in Obstetrics and Gynecology by the FIGO Committee for the Study of Ethical Aspects of Human Reproduction and Women’s Health</w:t>
      </w:r>
      <w:r w:rsidRPr="00E95958">
        <w:rPr>
          <w:rFonts w:eastAsia="Helvetica Neue" w:cstheme="majorHAnsi"/>
          <w:color w:val="000000"/>
          <w:kern w:val="2"/>
        </w:rPr>
        <w:t xml:space="preserve"> (Oct. 2012), </w:t>
      </w:r>
      <w:hyperlink r:id="rId28" w:history="1">
        <w:r w:rsidR="00D90491" w:rsidRPr="00E95958">
          <w:rPr>
            <w:rStyle w:val="Hyperlink"/>
            <w:rFonts w:eastAsia="Helvetica Neue" w:cstheme="majorHAnsi"/>
            <w:kern w:val="2"/>
          </w:rPr>
          <w:t>http://www.figo.org/sites/default/files/uploads/wg-publications/ethics/English%20Ethical%20Issues%20in%20Obstetrics%20and%20Gynecology.pdf</w:t>
        </w:r>
      </w:hyperlink>
    </w:p>
    <w:p w14:paraId="3E527A07" w14:textId="54E63C8F" w:rsidR="001F1DE8" w:rsidRPr="00E95958" w:rsidRDefault="001F1DE8" w:rsidP="00E95958">
      <w:pPr>
        <w:pStyle w:val="EndnoteText"/>
        <w:ind w:left="0" w:right="-90" w:firstLine="0"/>
        <w:rPr>
          <w:rStyle w:val="Hyperlink"/>
          <w:iCs/>
          <w:kern w:val="2"/>
        </w:rPr>
      </w:pPr>
      <w:r w:rsidRPr="00E95958">
        <w:t xml:space="preserve">International Federation of Gynecology and Obstetrics (FIGO), International Society of Obstetric Fistula Surgeons (ISOFS), United Nations Population Fund (UNFPA), </w:t>
      </w:r>
      <w:proofErr w:type="spellStart"/>
      <w:r w:rsidRPr="00E95958">
        <w:t>EngenderHealth</w:t>
      </w:r>
      <w:proofErr w:type="spellEnd"/>
      <w:r w:rsidRPr="00E95958">
        <w:t xml:space="preserve">, &amp; Royal College of </w:t>
      </w:r>
      <w:proofErr w:type="spellStart"/>
      <w:r w:rsidRPr="00E95958">
        <w:t>Obstetrictians</w:t>
      </w:r>
      <w:proofErr w:type="spellEnd"/>
      <w:r w:rsidRPr="00E95958">
        <w:t xml:space="preserve"> and Gynecologists (RCOG), Global Competency-Based Fistula Surgery Training Manual (June 2011), </w:t>
      </w:r>
      <w:hyperlink r:id="rId29" w:history="1">
        <w:r w:rsidRPr="00E95958">
          <w:rPr>
            <w:rStyle w:val="Hyperlink"/>
            <w:iCs/>
            <w:kern w:val="2"/>
          </w:rPr>
          <w:t>https://www.figo.org/sites/default/files/uploads/wg-publications/fistula/FIGO_Global_Competency-Based_Fistula_Surgery_Training_Manual_0.pdf</w:t>
        </w:r>
      </w:hyperlink>
    </w:p>
    <w:p w14:paraId="57A43ED5" w14:textId="77777777" w:rsidR="001F1DE8" w:rsidRPr="00E95958" w:rsidRDefault="001F1DE8" w:rsidP="00E95958">
      <w:pPr>
        <w:pStyle w:val="EndnoteText"/>
        <w:ind w:left="0" w:right="-90" w:firstLine="0"/>
        <w:rPr>
          <w:rStyle w:val="Hyperlink"/>
          <w:iCs/>
          <w:kern w:val="2"/>
        </w:rPr>
      </w:pPr>
      <w:r w:rsidRPr="00E95958">
        <w:rPr>
          <w:smallCaps/>
          <w:color w:val="000000" w:themeColor="text1"/>
          <w:lang w:val="en-GB"/>
        </w:rPr>
        <w:t>Inter-Agency Standing Committee (IASC), The Gender Handbook for Humanitarian Action (</w:t>
      </w:r>
      <w:r w:rsidRPr="00E95958">
        <w:rPr>
          <w:color w:val="000000" w:themeColor="text1"/>
          <w:lang w:val="en-GB"/>
        </w:rPr>
        <w:t>2</w:t>
      </w:r>
      <w:r w:rsidRPr="00E95958">
        <w:rPr>
          <w:color w:val="000000" w:themeColor="text1"/>
          <w:vertAlign w:val="superscript"/>
          <w:lang w:val="en-GB"/>
        </w:rPr>
        <w:t>nd</w:t>
      </w:r>
      <w:r w:rsidRPr="00E95958">
        <w:rPr>
          <w:color w:val="000000" w:themeColor="text1"/>
          <w:lang w:val="en-GB"/>
        </w:rPr>
        <w:t xml:space="preserve"> ed. </w:t>
      </w:r>
      <w:r w:rsidRPr="00E95958">
        <w:rPr>
          <w:smallCaps/>
          <w:color w:val="000000" w:themeColor="text1"/>
          <w:lang w:val="en-GB"/>
        </w:rPr>
        <w:t xml:space="preserve">2017), </w:t>
      </w:r>
      <w:r w:rsidRPr="00E95958">
        <w:rPr>
          <w:rStyle w:val="Hyperlink"/>
          <w:kern w:val="2"/>
        </w:rPr>
        <w:t>https://interagencystandingcommittee.org/system/files/2018-iasc_gender_handbook_for_humanitarian_action_eng_0.pdf</w:t>
      </w:r>
    </w:p>
    <w:p w14:paraId="76D24CAA" w14:textId="77777777" w:rsidR="001F1DE8" w:rsidRPr="00E95958" w:rsidRDefault="001F1DE8" w:rsidP="00E95958">
      <w:pPr>
        <w:spacing w:after="320" w:line="280" w:lineRule="exact"/>
        <w:ind w:right="-90"/>
        <w:rPr>
          <w:rFonts w:eastAsia="Helvetica Neue" w:cstheme="majorHAnsi"/>
          <w:color w:val="000000"/>
          <w:kern w:val="2"/>
        </w:rPr>
      </w:pPr>
      <w:r w:rsidRPr="00E95958">
        <w:rPr>
          <w:rFonts w:eastAsia="Helvetica Neue" w:cstheme="majorHAnsi"/>
          <w:smallCaps/>
          <w:color w:val="000000"/>
          <w:kern w:val="2"/>
        </w:rPr>
        <w:t>IASC, Guidelines for Integrating Gender-based Violence Interventions in Humanitarian Action</w:t>
      </w:r>
      <w:r w:rsidRPr="00E95958">
        <w:rPr>
          <w:rFonts w:eastAsia="Helvetica Neue" w:cstheme="majorHAnsi"/>
          <w:color w:val="000000"/>
          <w:kern w:val="2"/>
        </w:rPr>
        <w:t xml:space="preserve"> (Aug. 2015), </w:t>
      </w:r>
      <w:hyperlink r:id="rId30">
        <w:r w:rsidRPr="00E95958">
          <w:rPr>
            <w:rStyle w:val="Hyperlink"/>
            <w:rFonts w:eastAsia="Helvetica Neue" w:cstheme="majorHAnsi"/>
            <w:kern w:val="2"/>
          </w:rPr>
          <w:t>https://interagencystandingcommittee.org/system/files/2015-iasc-gender-based-violence-guidelines_lo-res.pdf</w:t>
        </w:r>
      </w:hyperlink>
    </w:p>
    <w:p w14:paraId="6C533308" w14:textId="77777777" w:rsidR="001F1DE8" w:rsidRPr="00E95958" w:rsidRDefault="001F1DE8" w:rsidP="00E95958">
      <w:pPr>
        <w:pBdr>
          <w:top w:val="nil"/>
          <w:left w:val="nil"/>
          <w:bottom w:val="nil"/>
          <w:right w:val="nil"/>
          <w:between w:val="nil"/>
        </w:pBdr>
        <w:spacing w:after="320" w:line="280" w:lineRule="exact"/>
        <w:ind w:right="-90"/>
        <w:rPr>
          <w:rFonts w:eastAsia="Helvetica Neue" w:cstheme="majorHAnsi"/>
          <w:color w:val="000000"/>
          <w:kern w:val="2"/>
        </w:rPr>
      </w:pPr>
      <w:r w:rsidRPr="00E95958">
        <w:rPr>
          <w:rFonts w:eastAsia="Helvetica Neue" w:cstheme="majorHAnsi"/>
          <w:smallCaps/>
          <w:color w:val="000000"/>
          <w:kern w:val="2"/>
        </w:rPr>
        <w:t>IASC, IASC Guidelines on Mental Health and Psychosocial Support in Emergency Settings</w:t>
      </w:r>
      <w:r w:rsidRPr="00E95958">
        <w:rPr>
          <w:rFonts w:eastAsia="Helvetica Neue" w:cstheme="majorHAnsi"/>
          <w:color w:val="000000"/>
          <w:kern w:val="2"/>
        </w:rPr>
        <w:t xml:space="preserve"> (2007), </w:t>
      </w:r>
      <w:hyperlink r:id="rId31">
        <w:r w:rsidRPr="00E95958">
          <w:rPr>
            <w:rStyle w:val="Hyperlink"/>
            <w:rFonts w:eastAsia="Helvetica Neue" w:cstheme="majorHAnsi"/>
            <w:kern w:val="2"/>
          </w:rPr>
          <w:t>http://www.who.int/mental_health/emergencies/guidelines_iasc_mental_health_psychosocial_june_2007.pdf</w:t>
        </w:r>
      </w:hyperlink>
    </w:p>
    <w:p w14:paraId="0D088C7F" w14:textId="77777777" w:rsidR="001F1DE8" w:rsidRPr="00E95958" w:rsidRDefault="001F1DE8" w:rsidP="00E95958">
      <w:pPr>
        <w:pBdr>
          <w:top w:val="nil"/>
          <w:left w:val="nil"/>
          <w:bottom w:val="nil"/>
          <w:right w:val="nil"/>
          <w:between w:val="nil"/>
        </w:pBdr>
        <w:spacing w:after="320" w:line="280" w:lineRule="exact"/>
        <w:ind w:right="-90"/>
        <w:rPr>
          <w:rFonts w:eastAsia="Helvetica Neue" w:cstheme="majorHAnsi"/>
          <w:color w:val="000000"/>
          <w:kern w:val="2"/>
        </w:rPr>
      </w:pPr>
      <w:r w:rsidRPr="00E95958">
        <w:rPr>
          <w:rFonts w:eastAsia="Helvetica Neue" w:cstheme="majorHAnsi"/>
          <w:smallCaps/>
          <w:color w:val="000000"/>
          <w:kern w:val="2"/>
        </w:rPr>
        <w:t xml:space="preserve">IASC Reference Group for Mental Health and Psychosocial Support in Emergency Settings, IASC Guidelines on Mental Health and Psychosocial Support in Humanitarian Emergencies: What Humanitarian Health Actors Should Know? </w:t>
      </w:r>
      <w:r w:rsidRPr="00E95958">
        <w:rPr>
          <w:rFonts w:eastAsia="Helvetica Neue" w:cstheme="majorHAnsi"/>
          <w:color w:val="000000"/>
          <w:kern w:val="2"/>
        </w:rPr>
        <w:t xml:space="preserve">(2010), </w:t>
      </w:r>
      <w:hyperlink r:id="rId32">
        <w:r w:rsidRPr="00E95958">
          <w:rPr>
            <w:rStyle w:val="Hyperlink"/>
            <w:rFonts w:eastAsia="Helvetica Neue" w:cstheme="majorHAnsi"/>
            <w:kern w:val="2"/>
          </w:rPr>
          <w:t>https://interagencystandingcommittee.org/system/files/legacy_files/IASC%20RG%20doc%20health%20audience.pdf</w:t>
        </w:r>
      </w:hyperlink>
      <w:r w:rsidRPr="00E95958">
        <w:rPr>
          <w:rFonts w:eastAsia="Helvetica Neue" w:cstheme="majorHAnsi"/>
          <w:color w:val="000000"/>
          <w:kern w:val="2"/>
        </w:rPr>
        <w:t xml:space="preserve"> </w:t>
      </w:r>
    </w:p>
    <w:p w14:paraId="2D61F279" w14:textId="77777777" w:rsidR="001F1DE8" w:rsidRPr="00E95958" w:rsidRDefault="001F1DE8" w:rsidP="00E95958">
      <w:pPr>
        <w:spacing w:after="320" w:line="280" w:lineRule="exact"/>
        <w:ind w:right="-90"/>
        <w:rPr>
          <w:rFonts w:cstheme="majorHAnsi"/>
          <w:kern w:val="2"/>
        </w:rPr>
      </w:pPr>
      <w:r w:rsidRPr="00E95958">
        <w:rPr>
          <w:rFonts w:cstheme="majorHAnsi"/>
          <w:i/>
          <w:kern w:val="2"/>
        </w:rPr>
        <w:t>Minimum Initial Service Package,</w:t>
      </w:r>
      <w:r w:rsidRPr="00E95958">
        <w:rPr>
          <w:rFonts w:cstheme="majorHAnsi"/>
          <w:kern w:val="2"/>
        </w:rPr>
        <w:t xml:space="preserve"> </w:t>
      </w:r>
      <w:r w:rsidRPr="00E95958">
        <w:rPr>
          <w:rFonts w:cstheme="majorHAnsi"/>
          <w:smallCaps/>
          <w:kern w:val="2"/>
        </w:rPr>
        <w:t>Inter-Agency Working Group on Reproductive Health in Crises</w:t>
      </w:r>
      <w:r w:rsidRPr="00E95958">
        <w:rPr>
          <w:rFonts w:cstheme="majorHAnsi"/>
          <w:kern w:val="2"/>
        </w:rPr>
        <w:t xml:space="preserve"> (2011), </w:t>
      </w:r>
      <w:hyperlink r:id="rId33" w:history="1">
        <w:r w:rsidRPr="00E95958">
          <w:rPr>
            <w:rStyle w:val="Hyperlink"/>
            <w:rFonts w:cstheme="majorHAnsi"/>
            <w:kern w:val="2"/>
          </w:rPr>
          <w:t>http://iawg.net/minimum-initial-service-package</w:t>
        </w:r>
      </w:hyperlink>
    </w:p>
    <w:p w14:paraId="0AB05DC8" w14:textId="77777777" w:rsidR="001F1DE8" w:rsidRPr="00E95958" w:rsidRDefault="001F1DE8" w:rsidP="00E95958">
      <w:pPr>
        <w:spacing w:after="320" w:line="280" w:lineRule="exact"/>
        <w:ind w:right="-90"/>
        <w:rPr>
          <w:rFonts w:eastAsia="Helvetica Neue" w:cstheme="majorHAnsi"/>
          <w:color w:val="000000"/>
          <w:kern w:val="2"/>
        </w:rPr>
      </w:pPr>
      <w:r w:rsidRPr="00E95958">
        <w:rPr>
          <w:rFonts w:eastAsia="Helvetica Neue" w:cstheme="majorHAnsi"/>
          <w:smallCaps/>
          <w:color w:val="000000"/>
          <w:kern w:val="2"/>
        </w:rPr>
        <w:lastRenderedPageBreak/>
        <w:t xml:space="preserve">Illinois Coalition Against Sexual Assault (ICASA), Illinois Sexual Assault Nurse Examiner (SANE) Picture Guides, </w:t>
      </w:r>
      <w:hyperlink r:id="rId34">
        <w:r w:rsidRPr="00E95958">
          <w:rPr>
            <w:rStyle w:val="Hyperlink"/>
            <w:rFonts w:eastAsia="Helvetica Neue" w:cstheme="majorHAnsi"/>
            <w:kern w:val="2"/>
          </w:rPr>
          <w:t>http://www.icasa.org/index.aspx?PageID=1045</w:t>
        </w:r>
      </w:hyperlink>
      <w:r w:rsidRPr="00E95958">
        <w:rPr>
          <w:rFonts w:eastAsia="Helvetica Neue" w:cstheme="majorHAnsi"/>
          <w:color w:val="000000"/>
          <w:kern w:val="2"/>
        </w:rPr>
        <w:t xml:space="preserve"> </w:t>
      </w:r>
    </w:p>
    <w:p w14:paraId="4B78C84F" w14:textId="77777777" w:rsidR="001F1DE8" w:rsidRPr="00E95958" w:rsidRDefault="001F1DE8" w:rsidP="00E95958">
      <w:pPr>
        <w:pBdr>
          <w:top w:val="nil"/>
          <w:left w:val="nil"/>
          <w:bottom w:val="nil"/>
          <w:right w:val="nil"/>
          <w:between w:val="nil"/>
        </w:pBdr>
        <w:spacing w:after="320" w:line="280" w:lineRule="exact"/>
        <w:ind w:right="-90"/>
        <w:rPr>
          <w:rFonts w:eastAsia="Helvetica Neue" w:cstheme="majorHAnsi"/>
          <w:color w:val="000000"/>
          <w:kern w:val="2"/>
        </w:rPr>
      </w:pPr>
      <w:r w:rsidRPr="00E95958">
        <w:rPr>
          <w:rFonts w:eastAsia="Helvetica Neue" w:cstheme="majorHAnsi"/>
          <w:smallCaps/>
          <w:color w:val="000000"/>
          <w:kern w:val="2"/>
        </w:rPr>
        <w:t>Illinois Imagines Project, Our Rights, Right Now: Women with Disabilities and Sexual Violence Education Guide</w:t>
      </w:r>
      <w:r w:rsidRPr="00E95958">
        <w:rPr>
          <w:rFonts w:eastAsia="Helvetica Neue" w:cstheme="majorHAnsi"/>
          <w:color w:val="000000"/>
          <w:kern w:val="2"/>
        </w:rPr>
        <w:t xml:space="preserve"> (May 2010), </w:t>
      </w:r>
      <w:hyperlink r:id="rId35">
        <w:r w:rsidRPr="00E95958">
          <w:rPr>
            <w:rStyle w:val="Hyperlink"/>
            <w:rFonts w:eastAsia="Helvetica Neue" w:cstheme="majorHAnsi"/>
            <w:kern w:val="2"/>
          </w:rPr>
          <w:t>http://www.icasa.org/docs/illinois%20imagines/mini%20module%204%20education%20guide.pdf</w:t>
        </w:r>
      </w:hyperlink>
      <w:r w:rsidRPr="00E95958">
        <w:rPr>
          <w:rFonts w:eastAsia="Helvetica Neue" w:cstheme="majorHAnsi"/>
          <w:color w:val="000000"/>
          <w:kern w:val="2"/>
        </w:rPr>
        <w:t xml:space="preserve">  </w:t>
      </w:r>
    </w:p>
    <w:p w14:paraId="412CA986" w14:textId="77777777" w:rsidR="001F1DE8" w:rsidRPr="00E95958" w:rsidRDefault="001F1DE8" w:rsidP="00E95958">
      <w:pPr>
        <w:pStyle w:val="EndnoteText"/>
        <w:ind w:left="0" w:right="-90" w:firstLine="0"/>
        <w:rPr>
          <w:rFonts w:eastAsia="Times New Roman"/>
          <w:color w:val="000000" w:themeColor="text1"/>
        </w:rPr>
      </w:pPr>
      <w:r w:rsidRPr="00E95958">
        <w:rPr>
          <w:smallCaps/>
          <w:color w:val="000000" w:themeColor="text1"/>
        </w:rPr>
        <w:t xml:space="preserve">IPAS, Access for Everybody: Disability Inclusion in Abortion and Contraceptive Care – GUIDE (2018), </w:t>
      </w:r>
      <w:hyperlink r:id="rId36" w:history="1">
        <w:r w:rsidRPr="00E95958">
          <w:rPr>
            <w:rStyle w:val="Hyperlink"/>
            <w:iCs/>
            <w:kern w:val="2"/>
          </w:rPr>
          <w:t>http://www.srhr-ask-us.org/wp-content/uploads/2018/09/3-Access-for-everybody_Guide.pdf</w:t>
        </w:r>
      </w:hyperlink>
    </w:p>
    <w:p w14:paraId="1391BA64" w14:textId="77777777" w:rsidR="001F1DE8" w:rsidRPr="00E95958" w:rsidRDefault="001F1DE8" w:rsidP="00E95958">
      <w:pPr>
        <w:spacing w:after="320" w:line="280" w:lineRule="exact"/>
        <w:ind w:right="-90"/>
        <w:rPr>
          <w:rFonts w:eastAsia="Helvetica Neue" w:cstheme="majorHAnsi"/>
          <w:color w:val="000000"/>
          <w:kern w:val="2"/>
          <w:highlight w:val="white"/>
        </w:rPr>
      </w:pPr>
      <w:r w:rsidRPr="00E95958">
        <w:rPr>
          <w:rFonts w:eastAsia="Helvetica Neue" w:cstheme="majorHAnsi"/>
          <w:smallCaps/>
          <w:color w:val="000000"/>
          <w:kern w:val="2"/>
        </w:rPr>
        <w:t xml:space="preserve">Jane Maxwell, Julia Watts </w:t>
      </w:r>
      <w:proofErr w:type="spellStart"/>
      <w:r w:rsidRPr="00E95958">
        <w:rPr>
          <w:rFonts w:eastAsia="Helvetica Neue" w:cstheme="majorHAnsi"/>
          <w:smallCaps/>
          <w:color w:val="000000"/>
          <w:kern w:val="2"/>
        </w:rPr>
        <w:t>Belser</w:t>
      </w:r>
      <w:proofErr w:type="spellEnd"/>
      <w:r w:rsidRPr="00E95958">
        <w:rPr>
          <w:rFonts w:eastAsia="Helvetica Neue" w:cstheme="majorHAnsi"/>
          <w:smallCaps/>
          <w:color w:val="000000"/>
          <w:kern w:val="2"/>
        </w:rPr>
        <w:t xml:space="preserve">, &amp; Darlena David, Hesperian Health Guides, A Health Handbook for Women with Disabilities </w:t>
      </w:r>
      <w:r w:rsidRPr="00E95958">
        <w:rPr>
          <w:rFonts w:eastAsia="Helvetica Neue" w:cstheme="majorHAnsi"/>
          <w:color w:val="000000"/>
          <w:kern w:val="2"/>
          <w:highlight w:val="white"/>
        </w:rPr>
        <w:t>(2007), </w:t>
      </w:r>
      <w:r w:rsidRPr="00E95958">
        <w:rPr>
          <w:rStyle w:val="Hyperlink"/>
          <w:rFonts w:eastAsia="Helvetica Neue" w:cstheme="majorHAnsi"/>
          <w:kern w:val="2"/>
          <w:highlight w:val="white"/>
        </w:rPr>
        <w:t>http://hesperian.org/books-and-resources/</w:t>
      </w:r>
    </w:p>
    <w:p w14:paraId="4A86C6C8" w14:textId="77777777" w:rsidR="001F1DE8" w:rsidRPr="00E95958" w:rsidRDefault="001F1DE8" w:rsidP="00E95958">
      <w:pPr>
        <w:spacing w:after="320" w:line="280" w:lineRule="exact"/>
        <w:ind w:right="-90"/>
        <w:rPr>
          <w:rFonts w:eastAsia="Helvetica Neue" w:cstheme="majorHAnsi"/>
          <w:color w:val="000000"/>
          <w:kern w:val="2"/>
          <w:highlight w:val="white"/>
        </w:rPr>
      </w:pPr>
      <w:r w:rsidRPr="00E95958">
        <w:rPr>
          <w:rFonts w:eastAsia="Helvetica Neue" w:cstheme="majorHAnsi"/>
          <w:smallCaps/>
          <w:color w:val="000000"/>
          <w:kern w:val="2"/>
        </w:rPr>
        <w:t>Nancy Smith, et. al., Vera Institute of Justice, Measuring Capacity to Serve Survivors with Disabilities: Domestic Violence/ Rape Crisis Dual Agencies</w:t>
      </w:r>
      <w:r w:rsidRPr="00E95958">
        <w:rPr>
          <w:rFonts w:eastAsia="Helvetica Neue" w:cstheme="majorHAnsi"/>
          <w:color w:val="000000"/>
          <w:kern w:val="2"/>
        </w:rPr>
        <w:t xml:space="preserve"> (Sept. 2015), </w:t>
      </w:r>
      <w:hyperlink r:id="rId37">
        <w:r w:rsidRPr="00E95958">
          <w:rPr>
            <w:rStyle w:val="Hyperlink"/>
            <w:rFonts w:eastAsia="Helvetica Neue" w:cstheme="majorHAnsi"/>
            <w:kern w:val="2"/>
          </w:rPr>
          <w:t>https://www.vera.org/publications/measuring-capacity-to-serve-survivors-with-disabilities</w:t>
        </w:r>
      </w:hyperlink>
    </w:p>
    <w:p w14:paraId="1529BF2C" w14:textId="77777777" w:rsidR="001F1DE8" w:rsidRPr="00E95958" w:rsidRDefault="001F1DE8" w:rsidP="00E95958">
      <w:pPr>
        <w:pBdr>
          <w:top w:val="nil"/>
          <w:left w:val="nil"/>
          <w:bottom w:val="nil"/>
          <w:right w:val="nil"/>
          <w:between w:val="nil"/>
        </w:pBdr>
        <w:spacing w:after="320" w:line="280" w:lineRule="exact"/>
        <w:ind w:right="-90"/>
        <w:rPr>
          <w:rFonts w:eastAsia="Helvetica Neue" w:cstheme="majorHAnsi"/>
          <w:color w:val="000000"/>
          <w:kern w:val="2"/>
        </w:rPr>
      </w:pPr>
      <w:r w:rsidRPr="00E95958">
        <w:rPr>
          <w:rFonts w:eastAsia="Helvetica Neue" w:cstheme="majorHAnsi"/>
          <w:smallCaps/>
          <w:color w:val="000000"/>
          <w:kern w:val="2"/>
        </w:rPr>
        <w:t>Pacific Disability Forum &amp; Fiji Disabled Peoples’ Federation, Toolkit on Eliminating Violence Against Women and Girls with Disabilities in Fiji</w:t>
      </w:r>
      <w:r w:rsidRPr="00E95958">
        <w:rPr>
          <w:rFonts w:eastAsia="Helvetica Neue" w:cstheme="majorHAnsi"/>
          <w:color w:val="000000"/>
          <w:kern w:val="2"/>
        </w:rPr>
        <w:t xml:space="preserve"> (2014),  </w:t>
      </w:r>
      <w:hyperlink r:id="rId38">
        <w:r w:rsidRPr="00E95958">
          <w:rPr>
            <w:rStyle w:val="Hyperlink"/>
            <w:rFonts w:eastAsia="Helvetica Neue" w:cstheme="majorHAnsi"/>
            <w:kern w:val="2"/>
          </w:rPr>
          <w:t>http://www.pacificdisability.org/getattachment/Resources/PDF-Resources/Toolkit-on-Eliminating-Violence-Against-Women-And-Girls-With-Disabilities-In-Fiji-(1).pdf.aspx</w:t>
        </w:r>
      </w:hyperlink>
    </w:p>
    <w:p w14:paraId="3E3DBFDA" w14:textId="77777777" w:rsidR="001F1DE8" w:rsidRPr="00E95958" w:rsidRDefault="001F1DE8" w:rsidP="00E95958">
      <w:pPr>
        <w:pBdr>
          <w:top w:val="nil"/>
          <w:left w:val="nil"/>
          <w:bottom w:val="nil"/>
          <w:right w:val="nil"/>
          <w:between w:val="nil"/>
        </w:pBdr>
        <w:spacing w:after="320" w:line="280" w:lineRule="exact"/>
        <w:ind w:right="-90"/>
        <w:rPr>
          <w:rFonts w:eastAsia="Helvetica Neue" w:cstheme="majorHAnsi"/>
          <w:color w:val="000000"/>
          <w:kern w:val="2"/>
        </w:rPr>
      </w:pPr>
      <w:r w:rsidRPr="00E95958">
        <w:rPr>
          <w:rFonts w:eastAsia="Helvetica Neue" w:cstheme="majorHAnsi"/>
          <w:smallCaps/>
          <w:color w:val="000000"/>
          <w:kern w:val="2"/>
        </w:rPr>
        <w:t>Plan International, International Centre for Evidence and Disability, SAME, &amp; London School of Hygiene and Tropical Medicine, Protect Us! Inclusion of children with disabilities in child protection (</w:t>
      </w:r>
      <w:r w:rsidRPr="00E95958">
        <w:rPr>
          <w:rFonts w:eastAsia="Helvetica Neue" w:cstheme="majorHAnsi"/>
          <w:color w:val="000000"/>
          <w:kern w:val="2"/>
        </w:rPr>
        <w:t xml:space="preserve">2016), </w:t>
      </w:r>
      <w:hyperlink r:id="rId39">
        <w:r w:rsidRPr="00E95958">
          <w:rPr>
            <w:rStyle w:val="Hyperlink"/>
            <w:rFonts w:eastAsia="Helvetica Neue" w:cstheme="majorHAnsi"/>
            <w:kern w:val="2"/>
          </w:rPr>
          <w:t>https://plan-international.org/publications/protect-us</w:t>
        </w:r>
      </w:hyperlink>
    </w:p>
    <w:p w14:paraId="3041050C" w14:textId="77777777" w:rsidR="001F1DE8" w:rsidRPr="00E95958" w:rsidRDefault="001F1DE8" w:rsidP="00E95958">
      <w:pPr>
        <w:pBdr>
          <w:top w:val="nil"/>
          <w:left w:val="nil"/>
          <w:bottom w:val="nil"/>
          <w:right w:val="nil"/>
          <w:between w:val="nil"/>
        </w:pBdr>
        <w:spacing w:after="320" w:line="280" w:lineRule="exact"/>
        <w:ind w:right="-90"/>
        <w:rPr>
          <w:rFonts w:eastAsia="Helvetica Neue" w:cstheme="majorHAnsi"/>
          <w:color w:val="000000"/>
          <w:kern w:val="2"/>
          <w:lang w:val="fr-FR"/>
        </w:rPr>
      </w:pPr>
      <w:r w:rsidRPr="00E95958">
        <w:rPr>
          <w:rFonts w:eastAsia="Arial" w:cstheme="majorHAnsi"/>
          <w:smallCaps/>
          <w:color w:val="000000"/>
          <w:kern w:val="2"/>
          <w:lang w:val="fr-FR"/>
        </w:rPr>
        <w:t>Programa de Educación Sexual (ANEP- CODICEN); Instituto Interamericano sobre Discapacidad y Desarrollo Inclusivo (iiDi); UNFPA, UNICEF, Es Parte De La Vida: Material de Apoyo Sobre Educación Sexual y Discapacidad para Compartir en Familia</w:t>
      </w:r>
      <w:r w:rsidRPr="00E95958">
        <w:rPr>
          <w:rFonts w:eastAsia="Helvetica Neue" w:cstheme="majorHAnsi"/>
          <w:color w:val="000000"/>
          <w:kern w:val="2"/>
          <w:lang w:val="fr-FR"/>
        </w:rPr>
        <w:t xml:space="preserve"> (2012)</w:t>
      </w:r>
      <w:r w:rsidRPr="00E95958">
        <w:rPr>
          <w:rFonts w:eastAsia="Helvetica Neue" w:cstheme="majorHAnsi"/>
          <w:i/>
          <w:color w:val="000000"/>
          <w:kern w:val="2"/>
          <w:lang w:val="fr-FR"/>
        </w:rPr>
        <w:t xml:space="preserve">, </w:t>
      </w:r>
      <w:hyperlink r:id="rId40">
        <w:r w:rsidRPr="00E95958">
          <w:rPr>
            <w:rStyle w:val="Hyperlink"/>
            <w:rFonts w:eastAsia="Helvetica Neue" w:cstheme="majorHAnsi"/>
            <w:kern w:val="2"/>
          </w:rPr>
          <w:t>http://www.unfpa.org.uy/userfiles/informacion/items/972_pdf.pdf</w:t>
        </w:r>
      </w:hyperlink>
    </w:p>
    <w:p w14:paraId="3AF0EF64" w14:textId="77777777" w:rsidR="001F1DE8" w:rsidRPr="00E95958" w:rsidRDefault="001F1DE8" w:rsidP="00E95958">
      <w:pPr>
        <w:spacing w:after="320" w:line="280" w:lineRule="exact"/>
        <w:ind w:right="-90"/>
        <w:rPr>
          <w:rFonts w:eastAsia="Helvetica Neue" w:cstheme="majorHAnsi"/>
          <w:color w:val="000000"/>
          <w:kern w:val="2"/>
        </w:rPr>
      </w:pPr>
      <w:r w:rsidRPr="00E95958">
        <w:rPr>
          <w:rFonts w:eastAsia="Helvetica Neue" w:cstheme="majorHAnsi"/>
          <w:smallCaps/>
          <w:color w:val="000000"/>
          <w:kern w:val="2"/>
        </w:rPr>
        <w:t>Safe Austin, In My Jurisdiction: Responding to Crimes Against People with Disabilities, Deaf Individuals, and Older Adults</w:t>
      </w:r>
      <w:r w:rsidRPr="00E95958">
        <w:rPr>
          <w:rFonts w:eastAsia="Helvetica Neue" w:cstheme="majorHAnsi"/>
          <w:color w:val="000000"/>
          <w:kern w:val="2"/>
        </w:rPr>
        <w:t xml:space="preserve"> (2007), </w:t>
      </w:r>
      <w:hyperlink r:id="rId41">
        <w:r w:rsidRPr="00E95958">
          <w:rPr>
            <w:rStyle w:val="Hyperlink"/>
            <w:rFonts w:eastAsia="Helvetica Neue" w:cstheme="majorHAnsi"/>
            <w:kern w:val="2"/>
          </w:rPr>
          <w:t>http://safeaustin.org/wp-content/uploads/2013/12/Law-Enforcement-Curriculum-packaged.pdf</w:t>
        </w:r>
      </w:hyperlink>
      <w:r w:rsidRPr="00E95958">
        <w:rPr>
          <w:rStyle w:val="Hyperlink"/>
          <w:rFonts w:eastAsia="Helvetica Neue" w:cstheme="majorHAnsi"/>
          <w:kern w:val="2"/>
        </w:rPr>
        <w:t>.</w:t>
      </w:r>
    </w:p>
    <w:p w14:paraId="0B9BCA70" w14:textId="77777777" w:rsidR="001F1DE8" w:rsidRPr="00E95958" w:rsidRDefault="001F1DE8" w:rsidP="00E95958">
      <w:pPr>
        <w:spacing w:after="320" w:line="280" w:lineRule="exact"/>
        <w:ind w:right="-90"/>
        <w:rPr>
          <w:rFonts w:eastAsia="Helvetica Neue" w:cstheme="majorHAnsi"/>
          <w:kern w:val="2"/>
        </w:rPr>
      </w:pPr>
      <w:r w:rsidRPr="00E95958">
        <w:rPr>
          <w:rFonts w:eastAsia="Helvetica Neue" w:cstheme="majorHAnsi"/>
          <w:smallCaps/>
          <w:color w:val="000000"/>
          <w:kern w:val="2"/>
        </w:rPr>
        <w:t>Shelah S. Bloom &amp; UNAID, Violence Against Women and Girls- A Compendium of Monitoring and Evaluation Indicators: Measure Evaluation</w:t>
      </w:r>
      <w:r w:rsidRPr="00E95958">
        <w:rPr>
          <w:rFonts w:eastAsia="Helvetica Neue" w:cstheme="majorHAnsi"/>
          <w:color w:val="000000"/>
          <w:kern w:val="2"/>
        </w:rPr>
        <w:t xml:space="preserve"> (2008), </w:t>
      </w:r>
      <w:hyperlink r:id="rId42" w:history="1">
        <w:r w:rsidRPr="00E95958">
          <w:rPr>
            <w:rStyle w:val="Hyperlink"/>
            <w:rFonts w:eastAsia="Helvetica Neue" w:cstheme="majorHAnsi"/>
            <w:kern w:val="2"/>
          </w:rPr>
          <w:t>https://www.measureevaluation.org/resources/tools/gender/violence-against-women-and-girls-compendium-of-indicators</w:t>
        </w:r>
      </w:hyperlink>
    </w:p>
    <w:p w14:paraId="01EE0133" w14:textId="77777777" w:rsidR="007154F1" w:rsidRPr="00E95958" w:rsidRDefault="001F1DE8" w:rsidP="00E95958">
      <w:pPr>
        <w:spacing w:after="320" w:line="280" w:lineRule="exact"/>
        <w:ind w:right="-90"/>
        <w:rPr>
          <w:rFonts w:eastAsia="Helvetica Neue" w:cstheme="majorHAnsi"/>
          <w:color w:val="000000"/>
          <w:kern w:val="2"/>
        </w:rPr>
      </w:pPr>
      <w:r w:rsidRPr="00E95958">
        <w:rPr>
          <w:rFonts w:eastAsia="Helvetica Neue" w:cstheme="majorHAnsi"/>
          <w:color w:val="000000"/>
          <w:kern w:val="2"/>
        </w:rPr>
        <w:t xml:space="preserve">Stephanie </w:t>
      </w:r>
      <w:proofErr w:type="spellStart"/>
      <w:r w:rsidRPr="00E95958">
        <w:rPr>
          <w:rFonts w:eastAsia="Helvetica Neue" w:cstheme="majorHAnsi"/>
          <w:color w:val="000000"/>
          <w:kern w:val="2"/>
        </w:rPr>
        <w:t>Ortoleva</w:t>
      </w:r>
      <w:proofErr w:type="spellEnd"/>
      <w:r w:rsidRPr="00E95958">
        <w:rPr>
          <w:rFonts w:eastAsia="Helvetica Neue" w:cstheme="majorHAnsi"/>
          <w:color w:val="000000"/>
          <w:kern w:val="2"/>
        </w:rPr>
        <w:t xml:space="preserve">, </w:t>
      </w:r>
      <w:r w:rsidRPr="00E95958">
        <w:rPr>
          <w:rFonts w:eastAsia="Helvetica Neue" w:cstheme="majorHAnsi"/>
          <w:i/>
          <w:color w:val="000000"/>
          <w:kern w:val="2"/>
        </w:rPr>
        <w:t>Inaccessible Justice: Human Rights, Persons with Disabilities and the Legal System</w:t>
      </w:r>
      <w:r w:rsidRPr="00E95958">
        <w:rPr>
          <w:rFonts w:eastAsia="Helvetica Neue" w:cstheme="majorHAnsi"/>
          <w:color w:val="000000"/>
          <w:kern w:val="2"/>
        </w:rPr>
        <w:t xml:space="preserve">, 17 </w:t>
      </w:r>
      <w:r w:rsidRPr="00E95958">
        <w:rPr>
          <w:rFonts w:eastAsia="Helvetica Neue" w:cstheme="majorHAnsi"/>
          <w:smallCaps/>
          <w:color w:val="000000"/>
          <w:kern w:val="2"/>
        </w:rPr>
        <w:t>ILSA Journal of Int’l and Comparative Law</w:t>
      </w:r>
      <w:r w:rsidRPr="00E95958">
        <w:rPr>
          <w:rFonts w:eastAsia="Helvetica Neue" w:cstheme="majorHAnsi"/>
          <w:color w:val="000000"/>
          <w:kern w:val="2"/>
        </w:rPr>
        <w:t xml:space="preserve"> 281 (2011).</w:t>
      </w:r>
    </w:p>
    <w:p w14:paraId="68E52683" w14:textId="3DF88408" w:rsidR="001F1DE8" w:rsidRPr="00E95958" w:rsidRDefault="001F1DE8" w:rsidP="00E95958">
      <w:pPr>
        <w:spacing w:after="320" w:line="280" w:lineRule="exact"/>
        <w:ind w:right="-90"/>
        <w:rPr>
          <w:rFonts w:eastAsia="Helvetica Neue" w:cstheme="majorHAnsi"/>
          <w:color w:val="000000"/>
          <w:kern w:val="2"/>
        </w:rPr>
      </w:pPr>
      <w:r w:rsidRPr="00E95958">
        <w:rPr>
          <w:rFonts w:eastAsia="Helvetica Neue" w:cstheme="majorHAnsi"/>
          <w:color w:val="000000"/>
          <w:kern w:val="2"/>
          <w:highlight w:val="white"/>
        </w:rPr>
        <w:t>Various Authors,</w:t>
      </w:r>
      <w:r w:rsidRPr="00E95958">
        <w:rPr>
          <w:rFonts w:eastAsia="Helvetica Neue" w:cstheme="majorHAnsi"/>
          <w:smallCaps/>
          <w:color w:val="000000"/>
          <w:kern w:val="2"/>
          <w:highlight w:val="white"/>
        </w:rPr>
        <w:t xml:space="preserve"> Sexuality and Disability</w:t>
      </w:r>
      <w:r w:rsidRPr="00E95958">
        <w:rPr>
          <w:rFonts w:eastAsia="Helvetica Neue" w:cstheme="majorHAnsi"/>
          <w:color w:val="000000"/>
          <w:kern w:val="2"/>
          <w:highlight w:val="white"/>
        </w:rPr>
        <w:t xml:space="preserve">, </w:t>
      </w:r>
      <w:hyperlink r:id="rId43">
        <w:r w:rsidRPr="00E95958">
          <w:rPr>
            <w:rStyle w:val="Hyperlink"/>
            <w:rFonts w:eastAsia="Helvetica Neue"/>
            <w:highlight w:val="white"/>
          </w:rPr>
          <w:t>http://blog.sexualityanddisability.org/</w:t>
        </w:r>
      </w:hyperlink>
    </w:p>
    <w:p w14:paraId="2CD9BEFA" w14:textId="77777777" w:rsidR="001F1DE8" w:rsidRPr="00E95958" w:rsidRDefault="001F1DE8" w:rsidP="00E95958">
      <w:pPr>
        <w:spacing w:after="320" w:line="280" w:lineRule="exact"/>
        <w:ind w:right="-90"/>
        <w:rPr>
          <w:rFonts w:eastAsia="Helvetica Neue" w:cstheme="majorHAnsi"/>
          <w:color w:val="000000"/>
          <w:kern w:val="2"/>
        </w:rPr>
      </w:pPr>
      <w:r w:rsidRPr="00E95958">
        <w:rPr>
          <w:rFonts w:eastAsia="Helvetica Neue" w:cstheme="majorHAnsi"/>
          <w:smallCaps/>
          <w:color w:val="000000"/>
          <w:kern w:val="2"/>
        </w:rPr>
        <w:lastRenderedPageBreak/>
        <w:t>Table Manners and Beyond: The Gynecological Exam for Women with Developmental Disabilities and Other Functional Limitations</w:t>
      </w:r>
      <w:r w:rsidRPr="00E95958">
        <w:rPr>
          <w:rFonts w:eastAsia="Helvetica Neue" w:cstheme="majorHAnsi"/>
          <w:color w:val="000000"/>
          <w:kern w:val="2"/>
        </w:rPr>
        <w:t xml:space="preserve"> (Katherine M. Simpson ed. May 2001)</w:t>
      </w:r>
    </w:p>
    <w:p w14:paraId="2C953992" w14:textId="77777777" w:rsidR="001F1DE8" w:rsidRPr="00E95958" w:rsidRDefault="001F1DE8" w:rsidP="00E95958">
      <w:pPr>
        <w:pBdr>
          <w:top w:val="nil"/>
          <w:left w:val="nil"/>
          <w:bottom w:val="nil"/>
          <w:right w:val="nil"/>
          <w:between w:val="nil"/>
        </w:pBdr>
        <w:spacing w:after="320" w:line="280" w:lineRule="exact"/>
        <w:ind w:right="-90"/>
        <w:rPr>
          <w:rFonts w:eastAsia="Helvetica Neue" w:cstheme="majorHAnsi"/>
          <w:color w:val="000000"/>
          <w:kern w:val="2"/>
        </w:rPr>
      </w:pPr>
      <w:r w:rsidRPr="00E95958">
        <w:rPr>
          <w:rFonts w:eastAsia="Helvetica Neue" w:cstheme="majorHAnsi"/>
          <w:smallCaps/>
          <w:color w:val="000000"/>
          <w:kern w:val="2"/>
        </w:rPr>
        <w:t>UNAIDS, Agenda for Zero-Discrimination in Health Care</w:t>
      </w:r>
      <w:r w:rsidRPr="00E95958">
        <w:rPr>
          <w:rFonts w:eastAsia="Helvetica Neue" w:cstheme="majorHAnsi"/>
          <w:color w:val="000000"/>
          <w:kern w:val="2"/>
        </w:rPr>
        <w:t xml:space="preserve"> (2016), </w:t>
      </w:r>
      <w:hyperlink r:id="rId44">
        <w:r w:rsidRPr="00E95958">
          <w:rPr>
            <w:rStyle w:val="Hyperlink"/>
            <w:rFonts w:eastAsia="Helvetica Neue" w:cstheme="majorHAnsi"/>
            <w:kern w:val="2"/>
          </w:rPr>
          <w:t>http://www.unaids.org/sites/default/files/media_asset/Agenda-zero-discrimination-healthcare_en.pdf</w:t>
        </w:r>
      </w:hyperlink>
    </w:p>
    <w:p w14:paraId="4FCF719E" w14:textId="77777777" w:rsidR="001F1DE8" w:rsidRPr="00E95958" w:rsidRDefault="001F1DE8" w:rsidP="00E95958">
      <w:pPr>
        <w:pBdr>
          <w:top w:val="nil"/>
          <w:left w:val="nil"/>
          <w:bottom w:val="nil"/>
          <w:right w:val="nil"/>
          <w:between w:val="nil"/>
        </w:pBdr>
        <w:spacing w:after="320" w:line="280" w:lineRule="exact"/>
        <w:ind w:right="-90"/>
        <w:rPr>
          <w:rFonts w:eastAsia="Helvetica Neue" w:cstheme="majorHAnsi"/>
          <w:color w:val="000000"/>
          <w:kern w:val="2"/>
        </w:rPr>
      </w:pPr>
      <w:r w:rsidRPr="00E95958">
        <w:rPr>
          <w:rFonts w:eastAsia="Helvetica Neue" w:cstheme="majorHAnsi"/>
          <w:smallCaps/>
          <w:color w:val="000000"/>
          <w:kern w:val="2"/>
        </w:rPr>
        <w:t>United Nations Department of Economic and Social Affairs (UNDESA) Division for Social Policy and Development (DSPD), Toolkit on Disability for Africa: Module 8 - Access to Justice for Persons with Disabilities</w:t>
      </w:r>
      <w:r w:rsidRPr="00E95958">
        <w:rPr>
          <w:rFonts w:eastAsia="Helvetica Neue" w:cstheme="majorHAnsi"/>
          <w:color w:val="000000"/>
          <w:kern w:val="2"/>
        </w:rPr>
        <w:t xml:space="preserve">, </w:t>
      </w:r>
      <w:hyperlink r:id="rId45">
        <w:r w:rsidRPr="00E95958">
          <w:rPr>
            <w:rStyle w:val="Hyperlink"/>
            <w:rFonts w:eastAsia="Helvetica Neue" w:cstheme="majorHAnsi"/>
            <w:kern w:val="2"/>
          </w:rPr>
          <w:t>http://www.un.org/esa/socdev/documents/disability/Toolkit/Access-to-justice.pdf</w:t>
        </w:r>
      </w:hyperlink>
    </w:p>
    <w:p w14:paraId="759F6F8C" w14:textId="77777777" w:rsidR="007154F1" w:rsidRPr="00E95958" w:rsidRDefault="001F1DE8" w:rsidP="00E95958">
      <w:pPr>
        <w:spacing w:after="320" w:line="280" w:lineRule="exact"/>
        <w:ind w:right="-90"/>
        <w:rPr>
          <w:rStyle w:val="Hyperlink"/>
          <w:rFonts w:eastAsia="Helvetica Neue" w:cstheme="majorHAnsi"/>
          <w:kern w:val="2"/>
        </w:rPr>
      </w:pPr>
      <w:r w:rsidRPr="00E95958">
        <w:rPr>
          <w:rFonts w:eastAsia="Helvetica Neue" w:cstheme="majorHAnsi"/>
          <w:smallCaps/>
          <w:color w:val="000000"/>
          <w:kern w:val="2"/>
        </w:rPr>
        <w:t xml:space="preserve">United Nations Educational, Scientific and Cultural Organization (UNESCO), Revised Edition International Technical Guidance on Sexuality Education: An Evidence-Informed Approach </w:t>
      </w:r>
      <w:r w:rsidRPr="00E95958">
        <w:rPr>
          <w:rFonts w:eastAsia="Helvetica Neue" w:cstheme="majorHAnsi"/>
          <w:color w:val="000000"/>
          <w:kern w:val="2"/>
        </w:rPr>
        <w:t xml:space="preserve">16 (2018), </w:t>
      </w:r>
      <w:hyperlink r:id="rId46" w:history="1">
        <w:r w:rsidRPr="00E95958">
          <w:rPr>
            <w:rStyle w:val="Hyperlink"/>
            <w:rFonts w:eastAsia="Helvetica Neue" w:cstheme="majorHAnsi"/>
            <w:kern w:val="2"/>
          </w:rPr>
          <w:t>http://www.unaids.org/sites/default/files/media_asset/ITGSE_en.pdf</w:t>
        </w:r>
      </w:hyperlink>
    </w:p>
    <w:p w14:paraId="7EA6880D" w14:textId="6F67A12F" w:rsidR="001F1DE8" w:rsidRPr="00E95958" w:rsidRDefault="001F1DE8" w:rsidP="00E95958">
      <w:pPr>
        <w:spacing w:after="320" w:line="280" w:lineRule="exact"/>
        <w:ind w:right="-90"/>
        <w:rPr>
          <w:rFonts w:eastAsia="Helvetica Neue" w:cstheme="majorHAnsi"/>
          <w:color w:val="0000FF" w:themeColor="hyperlink"/>
          <w:kern w:val="2"/>
          <w:u w:val="single"/>
        </w:rPr>
      </w:pPr>
      <w:r w:rsidRPr="00E95958">
        <w:rPr>
          <w:rFonts w:eastAsia="Helvetica Neue" w:cstheme="majorHAnsi"/>
          <w:smallCaps/>
          <w:color w:val="000000"/>
          <w:kern w:val="2"/>
        </w:rPr>
        <w:t xml:space="preserve">United Nations Population Fund (UNFPA), </w:t>
      </w:r>
      <w:proofErr w:type="spellStart"/>
      <w:r w:rsidRPr="00E95958">
        <w:rPr>
          <w:rFonts w:eastAsia="Helvetica Neue" w:cstheme="majorHAnsi"/>
          <w:smallCaps/>
          <w:color w:val="000000"/>
          <w:kern w:val="2"/>
        </w:rPr>
        <w:t>Promundo</w:t>
      </w:r>
      <w:proofErr w:type="spellEnd"/>
      <w:r w:rsidRPr="00E95958">
        <w:rPr>
          <w:rFonts w:eastAsia="Helvetica Neue" w:cstheme="majorHAnsi"/>
          <w:smallCaps/>
          <w:color w:val="000000"/>
          <w:kern w:val="2"/>
        </w:rPr>
        <w:t xml:space="preserve"> &amp; </w:t>
      </w:r>
      <w:proofErr w:type="spellStart"/>
      <w:r w:rsidRPr="00E95958">
        <w:rPr>
          <w:rFonts w:eastAsia="Helvetica Neue" w:cstheme="majorHAnsi"/>
          <w:smallCaps/>
          <w:color w:val="000000"/>
          <w:kern w:val="2"/>
        </w:rPr>
        <w:t>MenEngage</w:t>
      </w:r>
      <w:proofErr w:type="spellEnd"/>
      <w:r w:rsidRPr="00E95958">
        <w:rPr>
          <w:rFonts w:eastAsia="Helvetica Neue" w:cstheme="majorHAnsi"/>
          <w:smallCaps/>
          <w:color w:val="000000"/>
          <w:kern w:val="2"/>
        </w:rPr>
        <w:t xml:space="preserve"> Alliance, Strengthening Civil Society Organizations and Government Partnerships to Scale Up Approaches Engaging Men and Boys for Gender Equality and Sexual and Reproductive Health and Rights: A Tool for Action </w:t>
      </w:r>
      <w:r w:rsidRPr="00E95958">
        <w:rPr>
          <w:rFonts w:eastAsia="Helvetica Neue" w:cstheme="majorHAnsi"/>
          <w:color w:val="000000"/>
          <w:kern w:val="2"/>
        </w:rPr>
        <w:t xml:space="preserve">(Dec. 2016), </w:t>
      </w:r>
      <w:hyperlink r:id="rId47">
        <w:r w:rsidRPr="00E95958">
          <w:rPr>
            <w:rStyle w:val="Hyperlink"/>
            <w:rFonts w:cstheme="majorHAnsi"/>
            <w:kern w:val="2"/>
          </w:rPr>
          <w:t>http://www.unfpa.org/publications/strengthening-civil-society-organizations-and-government-partnerships-scale-approaches</w:t>
        </w:r>
      </w:hyperlink>
      <w:r w:rsidRPr="00E95958">
        <w:rPr>
          <w:rFonts w:eastAsia="Helvetica Neue" w:cstheme="majorHAnsi"/>
          <w:color w:val="000000"/>
          <w:kern w:val="2"/>
        </w:rPr>
        <w:t xml:space="preserve"> </w:t>
      </w:r>
    </w:p>
    <w:p w14:paraId="02A7885E" w14:textId="77777777" w:rsidR="001F1DE8" w:rsidRPr="00E95958" w:rsidRDefault="001F1DE8" w:rsidP="00E95958">
      <w:pPr>
        <w:pBdr>
          <w:top w:val="nil"/>
          <w:left w:val="nil"/>
          <w:bottom w:val="nil"/>
          <w:right w:val="nil"/>
          <w:between w:val="nil"/>
        </w:pBdr>
        <w:spacing w:after="320" w:line="280" w:lineRule="exact"/>
        <w:ind w:right="-90"/>
        <w:rPr>
          <w:rFonts w:eastAsia="Helvetica Neue" w:cstheme="majorHAnsi"/>
          <w:color w:val="000000"/>
          <w:kern w:val="2"/>
        </w:rPr>
      </w:pPr>
      <w:r w:rsidRPr="00E95958">
        <w:rPr>
          <w:rFonts w:eastAsia="Helvetica Neue" w:cstheme="majorHAnsi"/>
          <w:smallCaps/>
          <w:color w:val="000000"/>
          <w:kern w:val="2"/>
        </w:rPr>
        <w:t xml:space="preserve">UNFPA &amp; </w:t>
      </w:r>
      <w:proofErr w:type="spellStart"/>
      <w:r w:rsidRPr="00E95958">
        <w:rPr>
          <w:rFonts w:eastAsia="Helvetica Neue" w:cstheme="majorHAnsi"/>
          <w:smallCaps/>
          <w:color w:val="000000"/>
          <w:kern w:val="2"/>
        </w:rPr>
        <w:t>Promundo</w:t>
      </w:r>
      <w:proofErr w:type="spellEnd"/>
      <w:r w:rsidRPr="00E95958">
        <w:rPr>
          <w:rFonts w:eastAsia="Helvetica Neue" w:cstheme="majorHAnsi"/>
          <w:smallCaps/>
          <w:color w:val="000000"/>
          <w:kern w:val="2"/>
        </w:rPr>
        <w:t>, Adolescent Boys and Young Men: Engaging Them as Supporters of Gender Equality and Health and Understanding their Vulnerabilities (</w:t>
      </w:r>
      <w:r w:rsidRPr="00E95958">
        <w:rPr>
          <w:rFonts w:eastAsia="Helvetica Neue" w:cstheme="majorHAnsi"/>
          <w:color w:val="000000"/>
          <w:kern w:val="2"/>
        </w:rPr>
        <w:t>Mar. 2016</w:t>
      </w:r>
      <w:r w:rsidRPr="00E95958">
        <w:rPr>
          <w:rFonts w:eastAsia="Helvetica Neue" w:cstheme="majorHAnsi"/>
          <w:smallCaps/>
          <w:color w:val="000000"/>
          <w:kern w:val="2"/>
        </w:rPr>
        <w:t xml:space="preserve">), </w:t>
      </w:r>
      <w:hyperlink r:id="rId48">
        <w:r w:rsidRPr="00E95958">
          <w:rPr>
            <w:rStyle w:val="Hyperlink"/>
            <w:rFonts w:eastAsia="Helvetica Neue"/>
          </w:rPr>
          <w:t>http://www.unfpa.org/publications/adolescent-boys-and-young-men</w:t>
        </w:r>
      </w:hyperlink>
    </w:p>
    <w:p w14:paraId="285A5350" w14:textId="77777777" w:rsidR="001F1DE8" w:rsidRPr="00E95958" w:rsidRDefault="001F1DE8" w:rsidP="00E95958">
      <w:pPr>
        <w:spacing w:after="320" w:line="280" w:lineRule="exact"/>
        <w:ind w:right="-90"/>
        <w:rPr>
          <w:rFonts w:eastAsia="Helvetica Neue" w:cstheme="majorHAnsi"/>
          <w:color w:val="000000"/>
          <w:kern w:val="2"/>
        </w:rPr>
      </w:pPr>
      <w:r w:rsidRPr="00E95958">
        <w:rPr>
          <w:rFonts w:eastAsia="Helvetica Neue" w:cstheme="majorHAnsi"/>
          <w:smallCaps/>
          <w:color w:val="000000"/>
          <w:kern w:val="2"/>
        </w:rPr>
        <w:t xml:space="preserve">UNFPA, International Technical Guidance on Out of School Comprehensive Sexuality Education: An Evidence-Informed Approach for Non-Formal Out-of-School Programmes </w:t>
      </w:r>
      <w:r w:rsidRPr="00E95958">
        <w:rPr>
          <w:rFonts w:eastAsia="Helvetica Neue" w:cstheme="majorHAnsi"/>
          <w:color w:val="000000"/>
          <w:kern w:val="2"/>
        </w:rPr>
        <w:t>(forthcoming 2018/2019)</w:t>
      </w:r>
    </w:p>
    <w:p w14:paraId="6BEC7274" w14:textId="77777777" w:rsidR="001F1DE8" w:rsidRPr="00E95958" w:rsidRDefault="001F1DE8" w:rsidP="00E95958">
      <w:pPr>
        <w:spacing w:after="320" w:line="280" w:lineRule="exact"/>
        <w:ind w:right="-90"/>
        <w:rPr>
          <w:rFonts w:eastAsia="Helvetica Neue" w:cstheme="majorHAnsi"/>
          <w:color w:val="000000"/>
          <w:kern w:val="2"/>
        </w:rPr>
      </w:pPr>
      <w:r w:rsidRPr="00E95958">
        <w:rPr>
          <w:rFonts w:eastAsia="Helvetica Neue" w:cstheme="majorHAnsi"/>
          <w:smallCaps/>
          <w:color w:val="000000"/>
          <w:kern w:val="2"/>
        </w:rPr>
        <w:t xml:space="preserve">UNFPA, UN Women, World Health Organization (WHO), United Nations Development Programme (UNDP), </w:t>
      </w:r>
      <w:r w:rsidRPr="00E95958">
        <w:rPr>
          <w:rFonts w:eastAsia="Helvetica Neue" w:cstheme="majorHAnsi"/>
          <w:color w:val="000000"/>
          <w:kern w:val="2"/>
        </w:rPr>
        <w:t>and</w:t>
      </w:r>
      <w:r w:rsidRPr="00E95958">
        <w:rPr>
          <w:rFonts w:eastAsia="Helvetica Neue" w:cstheme="majorHAnsi"/>
          <w:smallCaps/>
          <w:color w:val="000000"/>
          <w:kern w:val="2"/>
        </w:rPr>
        <w:t xml:space="preserve"> United Nations Office on Drugs and Crime (UNODC), Essential Services for Women and Girls Subject to Violence (2015), </w:t>
      </w:r>
      <w:hyperlink r:id="rId49">
        <w:r w:rsidRPr="00E95958">
          <w:rPr>
            <w:rStyle w:val="Hyperlink"/>
            <w:rFonts w:eastAsia="Helvetica Neue" w:cstheme="majorHAnsi"/>
            <w:kern w:val="2"/>
          </w:rPr>
          <w:t>http://www.unfpa.org/publications/essential-services-package-women-and-girls-subject-violence</w:t>
        </w:r>
      </w:hyperlink>
      <w:r w:rsidRPr="00E95958">
        <w:rPr>
          <w:rFonts w:eastAsia="Helvetica Neue" w:cstheme="majorHAnsi"/>
          <w:color w:val="000000"/>
          <w:kern w:val="2"/>
        </w:rPr>
        <w:t xml:space="preserve"> </w:t>
      </w:r>
    </w:p>
    <w:p w14:paraId="4F7700A2" w14:textId="7C876602" w:rsidR="001F1DE8" w:rsidRPr="00E95958" w:rsidRDefault="001F1DE8" w:rsidP="00E95958">
      <w:pPr>
        <w:pBdr>
          <w:top w:val="nil"/>
          <w:left w:val="nil"/>
          <w:bottom w:val="nil"/>
          <w:right w:val="nil"/>
          <w:between w:val="nil"/>
        </w:pBdr>
        <w:spacing w:after="320" w:line="280" w:lineRule="exact"/>
        <w:ind w:right="-90"/>
        <w:rPr>
          <w:rFonts w:eastAsia="Helvetica Neue" w:cstheme="majorHAnsi"/>
          <w:color w:val="000000"/>
          <w:kern w:val="2"/>
        </w:rPr>
      </w:pPr>
      <w:r w:rsidRPr="00E95958">
        <w:rPr>
          <w:rFonts w:eastAsia="Helvetica Neue" w:cstheme="majorHAnsi"/>
          <w:smallCaps/>
          <w:color w:val="000000"/>
          <w:kern w:val="2"/>
        </w:rPr>
        <w:t>UNFPA, Minimum Standards for Prevention and Response to Gender-Based Violence in Emergencies</w:t>
      </w:r>
      <w:r w:rsidRPr="00E95958">
        <w:rPr>
          <w:rFonts w:eastAsia="Helvetica Neue" w:cstheme="majorHAnsi"/>
          <w:color w:val="000000"/>
          <w:kern w:val="2"/>
        </w:rPr>
        <w:t xml:space="preserve"> (2015), </w:t>
      </w:r>
      <w:hyperlink r:id="rId50" w:history="1">
        <w:r w:rsidR="00DB2DC5" w:rsidRPr="00E95958">
          <w:rPr>
            <w:rStyle w:val="Hyperlink"/>
            <w:rFonts w:eastAsia="Helvetica Neue" w:cstheme="majorHAnsi"/>
            <w:kern w:val="2"/>
          </w:rPr>
          <w:t>http://www.unfpa.org/sites/default/files/pubpdf/GBVIE.Minimum.Standards.Publication.FINAL.ENG.pdf</w:t>
        </w:r>
      </w:hyperlink>
      <w:r w:rsidRPr="00E95958">
        <w:rPr>
          <w:rStyle w:val="Hyperlink"/>
          <w:rFonts w:eastAsia="Helvetica Neue" w:cstheme="majorHAnsi"/>
          <w:kern w:val="2"/>
        </w:rPr>
        <w:t>.</w:t>
      </w:r>
    </w:p>
    <w:p w14:paraId="3AD2CC77" w14:textId="77777777" w:rsidR="001F1DE8" w:rsidRPr="00E95958" w:rsidRDefault="001F1DE8" w:rsidP="00E95958">
      <w:pPr>
        <w:spacing w:after="320" w:line="280" w:lineRule="exact"/>
        <w:ind w:right="-90"/>
        <w:rPr>
          <w:rFonts w:eastAsia="Helvetica Neue" w:cstheme="majorHAnsi"/>
          <w:smallCaps/>
          <w:color w:val="000000"/>
          <w:kern w:val="2"/>
        </w:rPr>
      </w:pPr>
      <w:r w:rsidRPr="00E95958">
        <w:rPr>
          <w:rFonts w:eastAsia="Helvetica Neue" w:cstheme="majorHAnsi"/>
          <w:smallCaps/>
          <w:color w:val="000000"/>
          <w:kern w:val="2"/>
        </w:rPr>
        <w:t xml:space="preserve">UNFPA, Danish Institute for Human Rights, &amp; OHCHR, Reproductive Rights are Human Rights: A Handbook for National Human Rights Institutions, U.N. Doc. </w:t>
      </w:r>
      <w:r w:rsidRPr="00E95958">
        <w:rPr>
          <w:rFonts w:eastAsia="Helvetica Neue" w:cstheme="majorHAnsi"/>
          <w:color w:val="000000"/>
          <w:kern w:val="2"/>
        </w:rPr>
        <w:t xml:space="preserve">HR/PUB/14/16 (2014), </w:t>
      </w:r>
      <w:hyperlink r:id="rId51">
        <w:r w:rsidRPr="00E95958">
          <w:rPr>
            <w:rStyle w:val="Hyperlink"/>
            <w:rFonts w:eastAsia="Helvetica Neue" w:cstheme="majorHAnsi"/>
            <w:kern w:val="2"/>
          </w:rPr>
          <w:t>http://www.ohchr.org/Documents/Publications/NHRIHandbook.pdf</w:t>
        </w:r>
      </w:hyperlink>
    </w:p>
    <w:p w14:paraId="0403091B" w14:textId="77777777" w:rsidR="001F1DE8" w:rsidRPr="00E95958" w:rsidRDefault="001F1DE8" w:rsidP="00E95958">
      <w:pPr>
        <w:widowControl w:val="0"/>
        <w:spacing w:after="320" w:line="280" w:lineRule="exact"/>
        <w:ind w:right="-90"/>
        <w:rPr>
          <w:rFonts w:eastAsia="Helvetica Neue" w:cstheme="majorHAnsi"/>
          <w:color w:val="000000"/>
          <w:kern w:val="2"/>
        </w:rPr>
      </w:pPr>
      <w:r w:rsidRPr="00E95958">
        <w:rPr>
          <w:rFonts w:eastAsia="Helvetica Neue" w:cstheme="majorHAnsi"/>
          <w:smallCaps/>
          <w:color w:val="000000"/>
          <w:kern w:val="2"/>
        </w:rPr>
        <w:t>UNFPA, UNFPA Operational Guidance for Comprehensive Sexuality Education: A Focus on Human Rights and Gender</w:t>
      </w:r>
      <w:r w:rsidRPr="00E95958">
        <w:rPr>
          <w:rFonts w:eastAsia="Helvetica Neue" w:cstheme="majorHAnsi"/>
          <w:color w:val="000000"/>
          <w:kern w:val="2"/>
        </w:rPr>
        <w:t xml:space="preserve"> (2014), </w:t>
      </w:r>
      <w:hyperlink r:id="rId52">
        <w:r w:rsidRPr="00E95958">
          <w:rPr>
            <w:rStyle w:val="Hyperlink"/>
            <w:rFonts w:eastAsia="Helvetica Neue"/>
          </w:rPr>
          <w:t>http://www.unfpa.org/sites/default/files/pubpdf/UNFPA_OperationalGuidance_WEB3.pdf</w:t>
        </w:r>
      </w:hyperlink>
    </w:p>
    <w:p w14:paraId="0A37778B" w14:textId="77777777" w:rsidR="001F1DE8" w:rsidRPr="00E95958" w:rsidRDefault="001F1DE8" w:rsidP="00E95958">
      <w:pPr>
        <w:spacing w:after="320" w:line="280" w:lineRule="exact"/>
        <w:ind w:right="-90"/>
        <w:rPr>
          <w:rFonts w:eastAsia="Helvetica Neue" w:cstheme="majorHAnsi"/>
          <w:color w:val="000000"/>
          <w:kern w:val="2"/>
        </w:rPr>
      </w:pPr>
      <w:r w:rsidRPr="00E95958">
        <w:rPr>
          <w:rFonts w:eastAsia="Helvetica Neue" w:cstheme="majorHAnsi"/>
          <w:smallCaps/>
          <w:color w:val="000000"/>
          <w:kern w:val="2"/>
        </w:rPr>
        <w:lastRenderedPageBreak/>
        <w:t xml:space="preserve">UNFPA, Addressing Violence against Women and Girls in Sexual and Reproductive Health Services </w:t>
      </w:r>
      <w:r w:rsidRPr="00E95958">
        <w:rPr>
          <w:rFonts w:eastAsia="Helvetica Neue" w:cstheme="majorHAnsi"/>
          <w:color w:val="000000"/>
          <w:kern w:val="2"/>
        </w:rPr>
        <w:t xml:space="preserve">(2010), </w:t>
      </w:r>
      <w:hyperlink r:id="rId53">
        <w:r w:rsidRPr="00E95958">
          <w:rPr>
            <w:rStyle w:val="Hyperlink"/>
            <w:rFonts w:eastAsia="Helvetica Neue"/>
          </w:rPr>
          <w:t>http://www.unfpa.org/publications/addressing-violence-against-women-and-girls-sexual-and-reproductive-health-services</w:t>
        </w:r>
      </w:hyperlink>
    </w:p>
    <w:p w14:paraId="34DC9915" w14:textId="77777777" w:rsidR="001F1DE8" w:rsidRPr="00E95958" w:rsidRDefault="001F1DE8" w:rsidP="00E95958">
      <w:pPr>
        <w:spacing w:after="320" w:line="280" w:lineRule="exact"/>
        <w:ind w:right="-90"/>
        <w:rPr>
          <w:rFonts w:eastAsia="Helvetica Neue" w:cstheme="majorHAnsi"/>
          <w:color w:val="000000"/>
          <w:kern w:val="2"/>
        </w:rPr>
      </w:pPr>
      <w:r w:rsidRPr="00E95958">
        <w:rPr>
          <w:rFonts w:eastAsia="Helvetica Neue" w:cstheme="majorHAnsi"/>
          <w:smallCaps/>
          <w:color w:val="000000"/>
          <w:kern w:val="2"/>
        </w:rPr>
        <w:t>UNFPA &amp; Save the Children USA, Adolescent Sexual and Reproductive Health Toolkit for Humanitarian Settings: A Companion to the Inter-Agency Field Manual on Reproductive Health in Humanitarian Settings</w:t>
      </w:r>
      <w:r w:rsidRPr="00E95958">
        <w:rPr>
          <w:rFonts w:eastAsia="Helvetica Neue" w:cstheme="majorHAnsi"/>
          <w:color w:val="000000"/>
          <w:kern w:val="2"/>
        </w:rPr>
        <w:t xml:space="preserve"> (Sept. 2009), </w:t>
      </w:r>
      <w:hyperlink r:id="rId54">
        <w:r w:rsidRPr="00E95958">
          <w:rPr>
            <w:rStyle w:val="Hyperlink"/>
            <w:rFonts w:eastAsia="Helvetica Neue"/>
          </w:rPr>
          <w:t>http://www.unfpa.org/publications/adolescent-sexual-and-reproductive-health-toolkit-humanitarian-settings</w:t>
        </w:r>
      </w:hyperlink>
    </w:p>
    <w:p w14:paraId="543C796A" w14:textId="77777777" w:rsidR="001F1DE8" w:rsidRPr="00E95958" w:rsidRDefault="001F1DE8" w:rsidP="00E95958">
      <w:pPr>
        <w:spacing w:after="320" w:line="280" w:lineRule="exact"/>
        <w:ind w:right="-90"/>
        <w:rPr>
          <w:rFonts w:eastAsia="Helvetica Neue" w:cstheme="majorHAnsi"/>
          <w:color w:val="000000"/>
          <w:kern w:val="2"/>
        </w:rPr>
      </w:pPr>
      <w:r w:rsidRPr="00E95958">
        <w:rPr>
          <w:rFonts w:eastAsia="Helvetica Neue" w:cstheme="majorHAnsi"/>
          <w:color w:val="000000"/>
          <w:kern w:val="2"/>
        </w:rPr>
        <w:t xml:space="preserve">UNFPA and WHO, </w:t>
      </w:r>
      <w:r w:rsidRPr="00E95958">
        <w:rPr>
          <w:rFonts w:eastAsia="Helvetica Neue" w:cstheme="majorHAnsi"/>
          <w:smallCaps/>
          <w:color w:val="000000"/>
          <w:kern w:val="2"/>
        </w:rPr>
        <w:t>Promoting Sexual and Reproductive Health for Persons with Disabilities</w:t>
      </w:r>
      <w:r w:rsidRPr="00E95958">
        <w:rPr>
          <w:rFonts w:eastAsia="Helvetica Neue" w:cstheme="majorHAnsi"/>
          <w:color w:val="000000"/>
          <w:kern w:val="2"/>
        </w:rPr>
        <w:t xml:space="preserve"> (2009), </w:t>
      </w:r>
      <w:hyperlink r:id="rId55">
        <w:r w:rsidRPr="00E95958">
          <w:rPr>
            <w:rStyle w:val="Hyperlink"/>
            <w:rFonts w:eastAsia="Helvetica Neue"/>
          </w:rPr>
          <w:t>http://www.unfpa.org/publications/promoting-sexual-and-reproductive-health-persons-disabilities</w:t>
        </w:r>
      </w:hyperlink>
      <w:r w:rsidRPr="00E95958">
        <w:rPr>
          <w:rFonts w:eastAsia="Helvetica Neue" w:cstheme="majorHAnsi"/>
          <w:color w:val="000000"/>
          <w:kern w:val="2"/>
        </w:rPr>
        <w:t xml:space="preserve"> </w:t>
      </w:r>
    </w:p>
    <w:p w14:paraId="46DB252B" w14:textId="77777777" w:rsidR="001F1DE8" w:rsidRPr="00E95958" w:rsidRDefault="001F1DE8" w:rsidP="00E95958">
      <w:pPr>
        <w:spacing w:after="320" w:line="280" w:lineRule="exact"/>
        <w:ind w:right="-90"/>
        <w:rPr>
          <w:rFonts w:eastAsia="Helvetica Neue" w:cstheme="majorHAnsi"/>
          <w:color w:val="000000"/>
          <w:kern w:val="2"/>
        </w:rPr>
      </w:pPr>
      <w:r w:rsidRPr="00E95958">
        <w:rPr>
          <w:rFonts w:eastAsia="Helvetica Neue" w:cstheme="majorHAnsi"/>
          <w:smallCaps/>
          <w:color w:val="000000"/>
          <w:kern w:val="2"/>
        </w:rPr>
        <w:t>UNFPA, Make It Matter: 10 Key Advocacy Messages to Prevent HIV in Girls and Young Women (</w:t>
      </w:r>
      <w:r w:rsidRPr="00E95958">
        <w:rPr>
          <w:rFonts w:eastAsia="Helvetica Neue" w:cstheme="majorHAnsi"/>
          <w:color w:val="000000"/>
          <w:kern w:val="2"/>
        </w:rPr>
        <w:t xml:space="preserve">2007), </w:t>
      </w:r>
      <w:hyperlink r:id="rId56">
        <w:r w:rsidRPr="00E95958">
          <w:rPr>
            <w:rStyle w:val="Hyperlink"/>
            <w:rFonts w:eastAsia="Helvetica Neue"/>
          </w:rPr>
          <w:t>http://www.unfpa.org/publications/make-it-matter</w:t>
        </w:r>
      </w:hyperlink>
    </w:p>
    <w:p w14:paraId="580810FE" w14:textId="77777777" w:rsidR="001F1DE8" w:rsidRPr="00E95958" w:rsidRDefault="001F1DE8" w:rsidP="00E95958">
      <w:pPr>
        <w:spacing w:after="320" w:line="280" w:lineRule="exact"/>
        <w:ind w:right="-90"/>
        <w:rPr>
          <w:rFonts w:cstheme="majorHAnsi"/>
          <w:kern w:val="2"/>
        </w:rPr>
      </w:pPr>
      <w:r w:rsidRPr="00E95958">
        <w:rPr>
          <w:rFonts w:cstheme="majorHAnsi"/>
          <w:smallCaps/>
          <w:color w:val="000000" w:themeColor="text1"/>
          <w:kern w:val="2"/>
        </w:rPr>
        <w:t>UNFPA</w:t>
      </w:r>
      <w:r w:rsidRPr="00E95958">
        <w:rPr>
          <w:rFonts w:cstheme="majorHAnsi"/>
          <w:smallCaps/>
          <w:color w:val="000000" w:themeColor="text1"/>
          <w:kern w:val="2"/>
          <w:lang w:eastAsia="zh-CN"/>
        </w:rPr>
        <w:t>,</w:t>
      </w:r>
      <w:r w:rsidRPr="00E95958">
        <w:rPr>
          <w:rFonts w:cstheme="majorHAnsi"/>
          <w:smallCaps/>
          <w:color w:val="000000" w:themeColor="text1"/>
          <w:kern w:val="2"/>
        </w:rPr>
        <w:t xml:space="preserve"> Minimum Initial Service Package (MISP) </w:t>
      </w:r>
      <w:r w:rsidRPr="00E95958">
        <w:rPr>
          <w:rFonts w:cstheme="majorHAnsi"/>
          <w:color w:val="000000" w:themeColor="text1"/>
          <w:kern w:val="2"/>
        </w:rPr>
        <w:t xml:space="preserve">(Apr. 2015), </w:t>
      </w:r>
      <w:hyperlink r:id="rId57" w:history="1">
        <w:r w:rsidRPr="00E95958">
          <w:rPr>
            <w:rStyle w:val="Hyperlink"/>
            <w:rFonts w:cstheme="majorHAnsi"/>
            <w:kern w:val="2"/>
          </w:rPr>
          <w:t>https://www.unfpa.org/sites/default/files/resource-pdf/MISP_Objectives.pdf</w:t>
        </w:r>
      </w:hyperlink>
    </w:p>
    <w:p w14:paraId="0E0ED519" w14:textId="77777777" w:rsidR="001F1DE8" w:rsidRPr="00E95958" w:rsidRDefault="001F1DE8" w:rsidP="00E95958">
      <w:pPr>
        <w:pBdr>
          <w:top w:val="nil"/>
          <w:left w:val="nil"/>
          <w:bottom w:val="nil"/>
          <w:right w:val="nil"/>
          <w:between w:val="nil"/>
        </w:pBdr>
        <w:spacing w:after="320" w:line="280" w:lineRule="exact"/>
        <w:ind w:right="-90"/>
        <w:rPr>
          <w:rFonts w:eastAsia="Helvetica Neue" w:cstheme="majorHAnsi"/>
          <w:color w:val="000000"/>
          <w:kern w:val="2"/>
        </w:rPr>
      </w:pPr>
      <w:r w:rsidRPr="00E95958">
        <w:rPr>
          <w:rFonts w:eastAsia="Helvetica Neue" w:cstheme="majorHAnsi"/>
          <w:smallCaps/>
          <w:color w:val="000000"/>
          <w:kern w:val="2"/>
        </w:rPr>
        <w:t xml:space="preserve">United Nations High Commissioner for Refugees (UNHCR), Working with Persons with Disabilities in Forced Displacement </w:t>
      </w:r>
      <w:r w:rsidRPr="00E95958">
        <w:rPr>
          <w:rFonts w:eastAsia="Helvetica Neue" w:cstheme="majorHAnsi"/>
          <w:color w:val="000000"/>
          <w:kern w:val="2"/>
        </w:rPr>
        <w:t xml:space="preserve">(2011), </w:t>
      </w:r>
      <w:hyperlink r:id="rId58">
        <w:r w:rsidRPr="00E95958">
          <w:rPr>
            <w:rStyle w:val="Hyperlink"/>
            <w:rFonts w:eastAsia="Helvetica Neue"/>
          </w:rPr>
          <w:t>http://www.unhcr.org/en-us/publications/manuals/4ec3c81c9/working-persons-disabilities-forced-displacement.html</w:t>
        </w:r>
      </w:hyperlink>
      <w:r w:rsidRPr="00E95958">
        <w:rPr>
          <w:rFonts w:eastAsia="Helvetica Neue" w:cstheme="majorHAnsi"/>
          <w:color w:val="000000"/>
          <w:kern w:val="2"/>
        </w:rPr>
        <w:t xml:space="preserve"> </w:t>
      </w:r>
    </w:p>
    <w:p w14:paraId="4963C152" w14:textId="77777777" w:rsidR="001F1DE8" w:rsidRPr="00E95958" w:rsidRDefault="001F1DE8" w:rsidP="00E95958">
      <w:pPr>
        <w:spacing w:after="320" w:line="280" w:lineRule="exact"/>
        <w:ind w:right="-90"/>
        <w:rPr>
          <w:rFonts w:eastAsia="Helvetica Neue" w:cstheme="majorHAnsi"/>
          <w:color w:val="000000"/>
          <w:kern w:val="2"/>
        </w:rPr>
      </w:pPr>
      <w:r w:rsidRPr="00E95958">
        <w:rPr>
          <w:rFonts w:eastAsia="Helvetica Neue" w:cstheme="majorHAnsi"/>
          <w:smallCaps/>
          <w:color w:val="000000"/>
          <w:kern w:val="2"/>
        </w:rPr>
        <w:t>UNHCR, Sexual and Gender-Based Violence against Refugees, Returnees and Internally Displaced Persons, Guidelines for Prevention and Response: Guidelines for Prevention and Response</w:t>
      </w:r>
      <w:r w:rsidRPr="00E95958">
        <w:rPr>
          <w:rFonts w:eastAsia="Helvetica Neue" w:cstheme="majorHAnsi"/>
          <w:color w:val="000000"/>
          <w:kern w:val="2"/>
        </w:rPr>
        <w:t xml:space="preserve"> (May 2003), </w:t>
      </w:r>
      <w:r w:rsidRPr="00E95958">
        <w:rPr>
          <w:rStyle w:val="Hyperlink"/>
          <w:rFonts w:eastAsia="Helvetica Neue"/>
        </w:rPr>
        <w:t>http://www.unhcr.org/en-us/protection/women/3f696bcc4/sexual-gender-based-violence-against-refugees-returnees-internally-displaced.html</w:t>
      </w:r>
      <w:r w:rsidRPr="00E95958">
        <w:rPr>
          <w:rFonts w:eastAsia="Helvetica Neue" w:cstheme="majorHAnsi"/>
          <w:color w:val="000000"/>
          <w:kern w:val="2"/>
        </w:rPr>
        <w:t xml:space="preserve">   </w:t>
      </w:r>
    </w:p>
    <w:p w14:paraId="6FE3EDB4" w14:textId="77777777" w:rsidR="001F1DE8" w:rsidRPr="00E95958" w:rsidRDefault="001F1DE8" w:rsidP="00E95958">
      <w:pPr>
        <w:spacing w:after="320" w:line="280" w:lineRule="exact"/>
        <w:ind w:right="-90"/>
        <w:rPr>
          <w:rFonts w:eastAsia="Helvetica Neue" w:cstheme="majorHAnsi"/>
          <w:color w:val="000000"/>
          <w:kern w:val="2"/>
        </w:rPr>
      </w:pPr>
      <w:r w:rsidRPr="00E95958">
        <w:rPr>
          <w:rFonts w:eastAsia="Helvetica Neue" w:cstheme="majorHAnsi"/>
          <w:smallCaps/>
          <w:color w:val="000000"/>
          <w:kern w:val="2"/>
        </w:rPr>
        <w:t>UNICEF, Ending Violence against Children: Six Strategies for Action</w:t>
      </w:r>
      <w:r w:rsidRPr="00E95958">
        <w:rPr>
          <w:rFonts w:eastAsia="Helvetica Neue" w:cstheme="majorHAnsi"/>
          <w:color w:val="000000"/>
          <w:kern w:val="2"/>
        </w:rPr>
        <w:t xml:space="preserve"> (Sept. 2014), </w:t>
      </w:r>
      <w:hyperlink r:id="rId59">
        <w:r w:rsidRPr="00E95958">
          <w:rPr>
            <w:rStyle w:val="Hyperlink"/>
            <w:rFonts w:eastAsia="Helvetica Neue"/>
          </w:rPr>
          <w:t>https://www.unicef.org/publications/files/Ending_Violence_Against_Children_Six_strategies_for_action_EN_9_Oct_2014.pdf</w:t>
        </w:r>
      </w:hyperlink>
      <w:r w:rsidRPr="00E95958">
        <w:rPr>
          <w:rFonts w:eastAsia="Helvetica Neue" w:cstheme="majorHAnsi"/>
          <w:color w:val="000000"/>
          <w:kern w:val="2"/>
        </w:rPr>
        <w:t xml:space="preserve"> </w:t>
      </w:r>
    </w:p>
    <w:p w14:paraId="59CC8B8E" w14:textId="77777777" w:rsidR="001F1DE8" w:rsidRPr="00E95958" w:rsidRDefault="001F1DE8" w:rsidP="00E95958">
      <w:pPr>
        <w:spacing w:after="320" w:line="280" w:lineRule="exact"/>
        <w:ind w:right="-90"/>
        <w:rPr>
          <w:rFonts w:eastAsia="Helvetica Neue" w:cstheme="majorHAnsi"/>
          <w:color w:val="000000"/>
          <w:kern w:val="2"/>
        </w:rPr>
      </w:pPr>
      <w:r w:rsidRPr="00E95958">
        <w:rPr>
          <w:rFonts w:eastAsia="Helvetica Neue" w:cstheme="majorHAnsi"/>
          <w:smallCaps/>
          <w:color w:val="000000"/>
          <w:kern w:val="2"/>
        </w:rPr>
        <w:t xml:space="preserve">United Nations International Children's Emergency Fund </w:t>
      </w:r>
      <w:r w:rsidRPr="00E95958">
        <w:rPr>
          <w:rFonts w:eastAsia="Helvetica Neue" w:cstheme="majorHAnsi"/>
          <w:color w:val="000000"/>
          <w:kern w:val="2"/>
        </w:rPr>
        <w:t xml:space="preserve">(UNICEF), </w:t>
      </w:r>
      <w:r w:rsidRPr="00E95958">
        <w:rPr>
          <w:rFonts w:eastAsia="Helvetica Neue" w:cstheme="majorHAnsi"/>
          <w:smallCaps/>
          <w:color w:val="000000"/>
          <w:kern w:val="2"/>
        </w:rPr>
        <w:t>Take Us Seriously!  Engaging children with disabilities in decisions affecting their lives</w:t>
      </w:r>
      <w:r w:rsidRPr="00E95958">
        <w:rPr>
          <w:rFonts w:eastAsia="Helvetica Neue" w:cstheme="majorHAnsi"/>
          <w:color w:val="000000"/>
          <w:kern w:val="2"/>
        </w:rPr>
        <w:t xml:space="preserve"> (2012), </w:t>
      </w:r>
      <w:hyperlink r:id="rId60">
        <w:r w:rsidRPr="00E95958">
          <w:rPr>
            <w:rStyle w:val="Hyperlink"/>
            <w:rFonts w:eastAsia="Helvetica Neue"/>
          </w:rPr>
          <w:t>https://www.unicef.org/disabilities/files/Take_Us_Seriously.pdf</w:t>
        </w:r>
      </w:hyperlink>
      <w:r w:rsidRPr="00E95958">
        <w:rPr>
          <w:rStyle w:val="Hyperlink"/>
          <w:rFonts w:eastAsia="Helvetica Neue"/>
        </w:rPr>
        <w:t>.</w:t>
      </w:r>
    </w:p>
    <w:p w14:paraId="41B25AFC" w14:textId="77777777" w:rsidR="001F1DE8" w:rsidRPr="00E95958" w:rsidRDefault="001F1DE8" w:rsidP="00E95958">
      <w:pPr>
        <w:spacing w:after="320" w:line="280" w:lineRule="exact"/>
        <w:ind w:right="-90"/>
        <w:rPr>
          <w:rFonts w:eastAsia="Helvetica Neue" w:cstheme="majorHAnsi"/>
          <w:color w:val="000000"/>
          <w:kern w:val="2"/>
        </w:rPr>
      </w:pPr>
      <w:r w:rsidRPr="00E95958">
        <w:rPr>
          <w:rFonts w:eastAsia="Helvetica Neue" w:cstheme="majorHAnsi"/>
          <w:smallCaps/>
          <w:color w:val="000000"/>
          <w:kern w:val="2"/>
        </w:rPr>
        <w:t xml:space="preserve">USAID &amp; Handicap International, Disability Inclusive Sexual and Reproductive Health Component: Training of Trainers Manual on Disability – Inclusive HIV and Sexual Reproductive Health for Health Workers </w:t>
      </w:r>
      <w:r w:rsidRPr="00E95958">
        <w:rPr>
          <w:rFonts w:eastAsia="Helvetica Neue" w:cstheme="majorHAnsi"/>
          <w:color w:val="000000"/>
          <w:kern w:val="2"/>
        </w:rPr>
        <w:t xml:space="preserve">(Sept. 2011) </w:t>
      </w:r>
    </w:p>
    <w:p w14:paraId="660848FD" w14:textId="77777777" w:rsidR="001F1DE8" w:rsidRPr="00E95958" w:rsidRDefault="001F1DE8" w:rsidP="00E95958">
      <w:pPr>
        <w:spacing w:after="320" w:line="280" w:lineRule="exact"/>
        <w:ind w:right="-90"/>
        <w:rPr>
          <w:rFonts w:eastAsia="Helvetica Neue" w:cstheme="majorHAnsi"/>
          <w:color w:val="000000"/>
          <w:kern w:val="2"/>
        </w:rPr>
      </w:pPr>
      <w:r w:rsidRPr="00E95958">
        <w:rPr>
          <w:rFonts w:eastAsia="Helvetica Neue" w:cstheme="majorHAnsi"/>
          <w:smallCaps/>
          <w:color w:val="000000"/>
          <w:kern w:val="2"/>
        </w:rPr>
        <w:t xml:space="preserve">Vanderbilt Kennedy Center for Excellence in Developmental Disabilities, Health Care for Adults with Intellectual and Developmental Disabilities: Toolkit for Primary Care Providers (2017), </w:t>
      </w:r>
      <w:hyperlink r:id="rId61">
        <w:r w:rsidRPr="00E95958">
          <w:rPr>
            <w:rStyle w:val="Hyperlink"/>
            <w:rFonts w:eastAsia="Helvetica Neue"/>
          </w:rPr>
          <w:t>http://vkc.mc.vanderbilt.edu/etoolkit/</w:t>
        </w:r>
      </w:hyperlink>
    </w:p>
    <w:p w14:paraId="7C7639E5" w14:textId="77777777" w:rsidR="001F1DE8" w:rsidRPr="00E95958" w:rsidRDefault="001F1DE8" w:rsidP="00E95958">
      <w:pPr>
        <w:pBdr>
          <w:top w:val="nil"/>
          <w:left w:val="nil"/>
          <w:bottom w:val="nil"/>
          <w:right w:val="nil"/>
          <w:between w:val="nil"/>
        </w:pBdr>
        <w:spacing w:after="320" w:line="280" w:lineRule="exact"/>
        <w:ind w:right="-90"/>
        <w:rPr>
          <w:rFonts w:eastAsia="Helvetica Neue" w:cstheme="majorHAnsi"/>
          <w:color w:val="000000"/>
          <w:kern w:val="2"/>
        </w:rPr>
      </w:pPr>
      <w:r w:rsidRPr="00E95958">
        <w:rPr>
          <w:rFonts w:eastAsia="Helvetica Neue" w:cstheme="majorHAnsi"/>
          <w:i/>
          <w:color w:val="000000"/>
          <w:kern w:val="2"/>
        </w:rPr>
        <w:t>The Healthy Bodies Toolkit</w:t>
      </w:r>
      <w:r w:rsidRPr="00E95958">
        <w:rPr>
          <w:rFonts w:eastAsia="Helvetica Neue" w:cstheme="majorHAnsi"/>
          <w:color w:val="000000"/>
          <w:kern w:val="2"/>
        </w:rPr>
        <w:t xml:space="preserve">, </w:t>
      </w:r>
      <w:r w:rsidRPr="00E95958">
        <w:rPr>
          <w:rFonts w:eastAsia="Helvetica Neue" w:cstheme="majorHAnsi"/>
          <w:smallCaps/>
          <w:color w:val="000000"/>
          <w:kern w:val="2"/>
        </w:rPr>
        <w:t>Vanderbilt Kennedy Center</w:t>
      </w:r>
      <w:r w:rsidRPr="00E95958">
        <w:rPr>
          <w:rFonts w:eastAsia="Helvetica Neue" w:cstheme="majorHAnsi"/>
          <w:color w:val="000000"/>
          <w:kern w:val="2"/>
        </w:rPr>
        <w:t xml:space="preserve"> (June 2013),  </w:t>
      </w:r>
      <w:hyperlink r:id="rId62">
        <w:r w:rsidRPr="00E95958">
          <w:rPr>
            <w:rStyle w:val="Hyperlink"/>
            <w:rFonts w:eastAsia="Helvetica Neue"/>
          </w:rPr>
          <w:t>http://vkc.mc.vanderbilt.edu/healthybodies/index.html</w:t>
        </w:r>
      </w:hyperlink>
    </w:p>
    <w:p w14:paraId="07967553" w14:textId="77777777" w:rsidR="001F1DE8" w:rsidRPr="00E95958" w:rsidRDefault="001F1DE8" w:rsidP="00E95958">
      <w:pPr>
        <w:spacing w:after="320" w:line="280" w:lineRule="exact"/>
        <w:ind w:right="-90"/>
        <w:rPr>
          <w:rFonts w:eastAsia="Helvetica Neue" w:cstheme="majorHAnsi"/>
          <w:color w:val="000000"/>
          <w:kern w:val="2"/>
        </w:rPr>
      </w:pPr>
      <w:r w:rsidRPr="00E95958">
        <w:rPr>
          <w:rFonts w:eastAsia="Helvetica Neue" w:cstheme="majorHAnsi"/>
          <w:smallCaps/>
          <w:color w:val="000000"/>
          <w:kern w:val="2"/>
          <w:highlight w:val="white"/>
        </w:rPr>
        <w:lastRenderedPageBreak/>
        <w:t>Wisconsin's Violence Against Women with Disabilities and Deaf Women Project, A Practical Guide for Creating Trauma-Informed Disability, Domestic Violence and Sexual Assault Organizations</w:t>
      </w:r>
      <w:r w:rsidRPr="00E95958">
        <w:rPr>
          <w:rFonts w:eastAsia="Helvetica Neue" w:cstheme="majorHAnsi"/>
          <w:color w:val="000000"/>
          <w:kern w:val="2"/>
          <w:highlight w:val="white"/>
        </w:rPr>
        <w:t xml:space="preserve"> (Dec. 2011), </w:t>
      </w:r>
      <w:r w:rsidRPr="00E95958">
        <w:rPr>
          <w:rFonts w:eastAsia="Helvetica Neue" w:cstheme="majorHAnsi"/>
          <w:i/>
          <w:color w:val="000000"/>
          <w:kern w:val="2"/>
          <w:highlight w:val="white"/>
        </w:rPr>
        <w:t xml:space="preserve">available at </w:t>
      </w:r>
      <w:hyperlink r:id="rId63">
        <w:r w:rsidRPr="00E95958">
          <w:rPr>
            <w:rStyle w:val="Hyperlink"/>
            <w:rFonts w:eastAsia="Helvetica Neue"/>
            <w:highlight w:val="white"/>
          </w:rPr>
          <w:t>https://www.endabusepwd.org/publications/guide-for-creating-trauma-informed-organizations/</w:t>
        </w:r>
      </w:hyperlink>
      <w:r w:rsidRPr="00E95958">
        <w:rPr>
          <w:rFonts w:eastAsia="Helvetica Neue" w:cstheme="majorHAnsi"/>
          <w:color w:val="000000"/>
          <w:kern w:val="2"/>
          <w:highlight w:val="white"/>
        </w:rPr>
        <w:t xml:space="preserve"> </w:t>
      </w:r>
    </w:p>
    <w:p w14:paraId="0223EFDD" w14:textId="1FC5FC69" w:rsidR="001F1DE8" w:rsidRPr="00E95958" w:rsidRDefault="001F1DE8" w:rsidP="00E95958">
      <w:pPr>
        <w:pStyle w:val="EndnoteText"/>
        <w:ind w:left="0" w:right="-90" w:firstLine="0"/>
        <w:rPr>
          <w:iCs/>
          <w:kern w:val="2"/>
        </w:rPr>
      </w:pPr>
      <w:r w:rsidRPr="00E95958">
        <w:rPr>
          <w:iCs/>
          <w:smallCaps/>
          <w:kern w:val="2"/>
        </w:rPr>
        <w:t xml:space="preserve">White Ribbon Alliance, Respectful Maternity Care: The Universal Rights of Childbearing Women (Oct. 2011), </w:t>
      </w:r>
      <w:hyperlink r:id="rId64" w:history="1">
        <w:r w:rsidRPr="00E95958">
          <w:rPr>
            <w:rStyle w:val="Hyperlink"/>
          </w:rPr>
          <w:t>https://www.whiteribbonalliance.org/respectfulcare</w:t>
        </w:r>
      </w:hyperlink>
    </w:p>
    <w:p w14:paraId="4EC0BB8A" w14:textId="77777777" w:rsidR="001F1DE8" w:rsidRPr="00E95958" w:rsidRDefault="001F1DE8" w:rsidP="00E95958">
      <w:pPr>
        <w:pStyle w:val="EndnoteText"/>
        <w:ind w:left="0" w:right="-90" w:firstLine="0"/>
        <w:rPr>
          <w:smallCaps/>
          <w:color w:val="000000"/>
        </w:rPr>
      </w:pPr>
      <w:r w:rsidRPr="00E95958">
        <w:rPr>
          <w:smallCaps/>
          <w:color w:val="000000"/>
        </w:rPr>
        <w:t xml:space="preserve">WHO, WHO Recommendations Intrapartum Care for a Positive Childbirth Experience  (2018), </w:t>
      </w:r>
      <w:hyperlink r:id="rId65" w:history="1">
        <w:r w:rsidRPr="00E95958">
          <w:rPr>
            <w:rStyle w:val="Hyperlink"/>
            <w:kern w:val="2"/>
          </w:rPr>
          <w:t>http://apps.who.int/iris/bitstream/handle/10665/260178/9789241550215-eng.pdf?sequence=1</w:t>
        </w:r>
      </w:hyperlink>
      <w:r w:rsidRPr="00E95958">
        <w:rPr>
          <w:smallCaps/>
        </w:rPr>
        <w:t xml:space="preserve"> </w:t>
      </w:r>
    </w:p>
    <w:p w14:paraId="1578785F" w14:textId="77777777" w:rsidR="001F1DE8" w:rsidRPr="00E95958" w:rsidRDefault="001F1DE8" w:rsidP="00E95958">
      <w:pPr>
        <w:widowControl w:val="0"/>
        <w:spacing w:after="320" w:line="280" w:lineRule="exact"/>
        <w:ind w:right="-90"/>
        <w:rPr>
          <w:rStyle w:val="Hyperlink"/>
          <w:rFonts w:eastAsia="Helvetica Neue"/>
        </w:rPr>
      </w:pPr>
      <w:r w:rsidRPr="00E95958">
        <w:rPr>
          <w:rFonts w:eastAsia="Helvetica Neue" w:cstheme="majorHAnsi"/>
          <w:smallCaps/>
          <w:color w:val="000000"/>
          <w:kern w:val="2"/>
        </w:rPr>
        <w:t>WHO, Consolidated Guideline on Sexual and Reproductive Health and Rights of Women Living with HIV: Executive Summary</w:t>
      </w:r>
      <w:r w:rsidRPr="00E95958">
        <w:rPr>
          <w:rFonts w:eastAsia="Helvetica Neue" w:cstheme="majorHAnsi"/>
          <w:color w:val="000000"/>
          <w:kern w:val="2"/>
        </w:rPr>
        <w:t xml:space="preserve"> (2017), </w:t>
      </w:r>
      <w:hyperlink r:id="rId66">
        <w:r w:rsidRPr="00E95958">
          <w:rPr>
            <w:rStyle w:val="Hyperlink"/>
            <w:rFonts w:eastAsia="Helvetica Neue"/>
          </w:rPr>
          <w:t>http://apps.who.int/iris/bitstream/10665/254634/1/WHO-RHR-17.03-eng.pdf?ua=1</w:t>
        </w:r>
      </w:hyperlink>
    </w:p>
    <w:p w14:paraId="4AC2E2A1" w14:textId="77777777" w:rsidR="001F1DE8" w:rsidRPr="00E95958" w:rsidRDefault="001F1DE8" w:rsidP="00E95958">
      <w:pPr>
        <w:pStyle w:val="EndnoteText"/>
        <w:ind w:left="0" w:right="-90" w:firstLine="0"/>
        <w:rPr>
          <w:smallCaps/>
          <w:color w:val="000000"/>
        </w:rPr>
      </w:pPr>
      <w:r w:rsidRPr="00E95958">
        <w:rPr>
          <w:smallCaps/>
          <w:color w:val="000000"/>
        </w:rPr>
        <w:t>WHO, WHO Recommendations on Maternal Health  (2017),</w:t>
      </w:r>
      <w:r w:rsidRPr="00E95958">
        <w:t xml:space="preserve"> </w:t>
      </w:r>
      <w:hyperlink r:id="rId67" w:history="1">
        <w:r w:rsidRPr="00E95958">
          <w:rPr>
            <w:rStyle w:val="Hyperlink"/>
            <w:kern w:val="2"/>
          </w:rPr>
          <w:t>http://www.who.int/maternal_child_adolescent/documents/maternal-health-recommendations/en/</w:t>
        </w:r>
      </w:hyperlink>
      <w:r w:rsidRPr="00E95958">
        <w:rPr>
          <w:smallCaps/>
        </w:rPr>
        <w:t xml:space="preserve"> </w:t>
      </w:r>
    </w:p>
    <w:p w14:paraId="2739A3EA" w14:textId="77777777" w:rsidR="001F1DE8" w:rsidRPr="00E95958" w:rsidRDefault="001F1DE8" w:rsidP="00E95958">
      <w:pPr>
        <w:pStyle w:val="EndnoteText"/>
        <w:ind w:left="0" w:right="-90" w:firstLine="0"/>
        <w:rPr>
          <w:smallCaps/>
          <w:color w:val="000000"/>
        </w:rPr>
      </w:pPr>
      <w:r w:rsidRPr="00E95958">
        <w:rPr>
          <w:smallCaps/>
          <w:color w:val="000000"/>
        </w:rPr>
        <w:t>WHO, WHO Recommendations on Newborn Health  (2017),</w:t>
      </w:r>
      <w:r w:rsidRPr="00E95958">
        <w:t xml:space="preserve"> </w:t>
      </w:r>
      <w:hyperlink r:id="rId68" w:history="1">
        <w:r w:rsidRPr="00E95958">
          <w:rPr>
            <w:rStyle w:val="Hyperlink"/>
            <w:kern w:val="2"/>
          </w:rPr>
          <w:t>http://www.who.int/maternal_child_adolescent/documents/newborn-health-recommendations/en/</w:t>
        </w:r>
      </w:hyperlink>
      <w:r w:rsidRPr="00E95958">
        <w:rPr>
          <w:smallCaps/>
        </w:rPr>
        <w:t xml:space="preserve"> </w:t>
      </w:r>
    </w:p>
    <w:p w14:paraId="09D04E39" w14:textId="77777777" w:rsidR="001F1DE8" w:rsidRPr="00E95958" w:rsidRDefault="001F1DE8" w:rsidP="00E95958">
      <w:pPr>
        <w:pStyle w:val="EndnoteText"/>
        <w:ind w:left="0" w:right="-90" w:firstLine="0"/>
      </w:pPr>
      <w:r w:rsidRPr="00E95958">
        <w:t xml:space="preserve">WHO, Quality of Care in Contraceptive Information and Services, Based on Human Rights Standards: A Checklist for Health Care Providers (2017), </w:t>
      </w:r>
      <w:hyperlink r:id="rId69" w:history="1">
        <w:r w:rsidRPr="00E95958">
          <w:rPr>
            <w:rStyle w:val="Hyperlink"/>
            <w:kern w:val="2"/>
          </w:rPr>
          <w:t>http://apps.who.int/iris/bitstream/handle/10665/254826/9789241512091-eng.pdf?sequence=1</w:t>
        </w:r>
      </w:hyperlink>
      <w:r w:rsidRPr="00E95958">
        <w:t xml:space="preserve"> </w:t>
      </w:r>
    </w:p>
    <w:p w14:paraId="47BE30C8" w14:textId="77777777" w:rsidR="001F1DE8" w:rsidRPr="00E95958" w:rsidRDefault="001F1DE8" w:rsidP="00E95958">
      <w:pPr>
        <w:spacing w:after="320" w:line="280" w:lineRule="exact"/>
        <w:ind w:right="-90"/>
        <w:rPr>
          <w:rFonts w:eastAsia="Helvetica Neue" w:cstheme="majorHAnsi"/>
          <w:smallCaps/>
          <w:color w:val="000000"/>
          <w:kern w:val="2"/>
        </w:rPr>
      </w:pPr>
      <w:r w:rsidRPr="00E95958">
        <w:rPr>
          <w:rFonts w:eastAsia="Helvetica Neue" w:cstheme="majorHAnsi"/>
          <w:smallCaps/>
          <w:color w:val="000000"/>
          <w:kern w:val="2"/>
        </w:rPr>
        <w:t xml:space="preserve">WHO, Strengthening Health Systems to Respond to Women Subjected to Intimate Partner Violence or Sexual Violence: A Manual for Health Managers (2017), </w:t>
      </w:r>
      <w:hyperlink r:id="rId70" w:history="1">
        <w:r w:rsidRPr="00E95958">
          <w:rPr>
            <w:rStyle w:val="Hyperlink"/>
            <w:rFonts w:eastAsia="Helvetica Neue" w:cstheme="majorHAnsi"/>
            <w:kern w:val="2"/>
          </w:rPr>
          <w:t>http://apps.who.int/iris/bitstream/handle/10665/259489/9789241513005-eng.pdf?sequence=1</w:t>
        </w:r>
      </w:hyperlink>
      <w:r w:rsidRPr="00E95958">
        <w:rPr>
          <w:rFonts w:eastAsia="Helvetica Neue" w:cstheme="majorHAnsi"/>
          <w:smallCaps/>
          <w:kern w:val="2"/>
        </w:rPr>
        <w:t xml:space="preserve"> </w:t>
      </w:r>
    </w:p>
    <w:p w14:paraId="6463FF60" w14:textId="77777777" w:rsidR="001F1DE8" w:rsidRPr="00E95958" w:rsidRDefault="001F1DE8" w:rsidP="00E95958">
      <w:pPr>
        <w:pStyle w:val="EndnoteText"/>
        <w:ind w:left="0" w:right="-90" w:firstLine="0"/>
        <w:rPr>
          <w:smallCaps/>
          <w:color w:val="000000"/>
        </w:rPr>
      </w:pPr>
      <w:r w:rsidRPr="00E95958">
        <w:rPr>
          <w:smallCaps/>
          <w:color w:val="000000"/>
        </w:rPr>
        <w:t xml:space="preserve">WHO, WHO Recommendations on Antenatal Care for a Positive Pregnancy Experience  (2016), </w:t>
      </w:r>
      <w:hyperlink r:id="rId71" w:history="1">
        <w:r w:rsidRPr="00E95958">
          <w:rPr>
            <w:rStyle w:val="Hyperlink"/>
            <w:kern w:val="2"/>
          </w:rPr>
          <w:t>http://apps.who.int/iris/bitstream/handle/10665/250796/9789241549912-eng.pdf?sequence=1</w:t>
        </w:r>
      </w:hyperlink>
      <w:r w:rsidRPr="00E95958">
        <w:rPr>
          <w:smallCaps/>
        </w:rPr>
        <w:t xml:space="preserve"> </w:t>
      </w:r>
    </w:p>
    <w:p w14:paraId="65D2401E" w14:textId="77777777" w:rsidR="001F1DE8" w:rsidRPr="00E95958" w:rsidRDefault="001F1DE8" w:rsidP="00E95958">
      <w:pPr>
        <w:spacing w:after="320" w:line="280" w:lineRule="exact"/>
        <w:ind w:right="-90"/>
        <w:rPr>
          <w:rFonts w:eastAsia="Helvetica Neue" w:cstheme="majorHAnsi"/>
          <w:color w:val="000000"/>
          <w:kern w:val="2"/>
        </w:rPr>
      </w:pPr>
      <w:r w:rsidRPr="00E95958">
        <w:rPr>
          <w:rFonts w:eastAsia="Helvetica Neue" w:cstheme="majorHAnsi"/>
          <w:smallCaps/>
          <w:color w:val="000000"/>
          <w:kern w:val="2"/>
        </w:rPr>
        <w:t>WHO &amp; UNFPA, Ensuring Human Rights within Contraceptive Service Delivery: Implementation Guide</w:t>
      </w:r>
      <w:r w:rsidRPr="00E95958">
        <w:rPr>
          <w:rFonts w:eastAsia="Helvetica Neue" w:cstheme="majorHAnsi"/>
          <w:color w:val="000000"/>
          <w:kern w:val="2"/>
        </w:rPr>
        <w:t xml:space="preserve"> (Mar. 2015), </w:t>
      </w:r>
      <w:hyperlink r:id="rId72">
        <w:r w:rsidRPr="00E95958">
          <w:rPr>
            <w:rStyle w:val="Hyperlink"/>
            <w:rFonts w:eastAsia="Helvetica Neue"/>
          </w:rPr>
          <w:t>http://www.who.int/reproductivehealth/publications/family_planning/hr-contraceptive-service-delivery/en/</w:t>
        </w:r>
      </w:hyperlink>
    </w:p>
    <w:p w14:paraId="14C922D6" w14:textId="3BB797F2" w:rsidR="001F1DE8" w:rsidRPr="00E95958" w:rsidRDefault="001F1DE8" w:rsidP="00E95958">
      <w:pPr>
        <w:spacing w:after="320" w:line="280" w:lineRule="exact"/>
        <w:ind w:right="-90"/>
        <w:rPr>
          <w:rFonts w:eastAsia="Helvetica Neue" w:cstheme="majorHAnsi"/>
          <w:color w:val="000000"/>
          <w:kern w:val="2"/>
        </w:rPr>
      </w:pPr>
      <w:r w:rsidRPr="00E95958">
        <w:rPr>
          <w:rFonts w:eastAsia="Helvetica Neue" w:cstheme="majorHAnsi"/>
          <w:color w:val="000000"/>
          <w:kern w:val="2"/>
        </w:rPr>
        <w:t xml:space="preserve">WHO, UNFPA, UNICEF, </w:t>
      </w:r>
      <w:r w:rsidRPr="00E95958">
        <w:rPr>
          <w:rFonts w:eastAsia="Helvetica Neue" w:cstheme="majorHAnsi"/>
          <w:smallCaps/>
          <w:color w:val="000000"/>
          <w:kern w:val="2"/>
        </w:rPr>
        <w:t>Pregnancy, Childbirth, Postpartum and Newborn Care: A Guide for Essential Practice</w:t>
      </w:r>
      <w:r w:rsidRPr="00E95958">
        <w:rPr>
          <w:rFonts w:eastAsia="Helvetica Neue" w:cstheme="majorHAnsi"/>
          <w:color w:val="000000"/>
          <w:kern w:val="2"/>
        </w:rPr>
        <w:t xml:space="preserve"> (3</w:t>
      </w:r>
      <w:r w:rsidRPr="00E95958">
        <w:rPr>
          <w:rStyle w:val="EndnoteReference"/>
          <w:rFonts w:eastAsia="Helvetica Neue" w:cstheme="majorHAnsi"/>
          <w:kern w:val="2"/>
        </w:rPr>
        <w:t>rd</w:t>
      </w:r>
      <w:r w:rsidRPr="00E95958">
        <w:rPr>
          <w:rFonts w:eastAsia="Helvetica Neue" w:cstheme="majorHAnsi"/>
          <w:color w:val="000000"/>
          <w:kern w:val="2"/>
        </w:rPr>
        <w:t xml:space="preserve"> ed. 2015),</w:t>
      </w:r>
      <w:r w:rsidR="00D90491" w:rsidRPr="00E95958">
        <w:rPr>
          <w:rFonts w:eastAsia="Helvetica Neue" w:cstheme="majorHAnsi"/>
          <w:color w:val="000000"/>
          <w:kern w:val="2"/>
        </w:rPr>
        <w:t xml:space="preserve"> </w:t>
      </w:r>
      <w:hyperlink r:id="rId73">
        <w:r w:rsidRPr="00E95958">
          <w:rPr>
            <w:rStyle w:val="Hyperlink"/>
            <w:rFonts w:eastAsia="Helvetica Neue"/>
          </w:rPr>
          <w:t>http://www.who.int/maternal_child_adolescent/documents/imca-essential-practice-guide/en/</w:t>
        </w:r>
      </w:hyperlink>
    </w:p>
    <w:p w14:paraId="4FB320F6" w14:textId="572009CD" w:rsidR="001F1DE8" w:rsidRPr="00E95958" w:rsidRDefault="001F1DE8" w:rsidP="00E95958">
      <w:pPr>
        <w:pBdr>
          <w:top w:val="nil"/>
          <w:left w:val="nil"/>
          <w:bottom w:val="nil"/>
          <w:right w:val="nil"/>
          <w:between w:val="nil"/>
        </w:pBdr>
        <w:spacing w:after="320" w:line="280" w:lineRule="exact"/>
        <w:ind w:right="-90"/>
        <w:rPr>
          <w:rFonts w:eastAsia="Helvetica Neue" w:cstheme="majorHAnsi"/>
          <w:color w:val="000000"/>
          <w:kern w:val="2"/>
        </w:rPr>
      </w:pPr>
      <w:r w:rsidRPr="00E95958">
        <w:rPr>
          <w:rFonts w:eastAsia="Helvetica Neue" w:cstheme="majorHAnsi"/>
          <w:smallCaps/>
          <w:color w:val="000000"/>
          <w:kern w:val="2"/>
        </w:rPr>
        <w:t>WHO, Safe Abortion: Technical &amp; Policy Guidance for Health Systems – Legal and Policy Considerations</w:t>
      </w:r>
      <w:r w:rsidRPr="00E95958">
        <w:rPr>
          <w:rFonts w:eastAsia="Helvetica Neue" w:cstheme="majorHAnsi"/>
          <w:color w:val="000000"/>
          <w:kern w:val="2"/>
        </w:rPr>
        <w:t xml:space="preserve"> (2015)</w:t>
      </w:r>
      <w:r w:rsidRPr="00E95958">
        <w:rPr>
          <w:rFonts w:eastAsia="Helvetica Neue" w:cstheme="majorHAnsi"/>
          <w:i/>
          <w:color w:val="000000"/>
          <w:kern w:val="2"/>
        </w:rPr>
        <w:t>,</w:t>
      </w:r>
      <w:r w:rsidRPr="00E95958">
        <w:rPr>
          <w:rFonts w:eastAsia="Helvetica Neue" w:cstheme="majorHAnsi"/>
          <w:color w:val="000000"/>
          <w:kern w:val="2"/>
        </w:rPr>
        <w:t xml:space="preserve"> </w:t>
      </w:r>
      <w:hyperlink r:id="rId74" w:history="1">
        <w:r w:rsidR="00D90491" w:rsidRPr="00E95958">
          <w:rPr>
            <w:rStyle w:val="Hyperlink"/>
            <w:rFonts w:eastAsia="Helvetica Neue"/>
          </w:rPr>
          <w:t>http://www.who.int/reproductivehealth/publications/unsafe_abortion/sa_legal_policy_considerations/en/</w:t>
        </w:r>
      </w:hyperlink>
      <w:r w:rsidRPr="00E95958">
        <w:rPr>
          <w:rFonts w:eastAsia="Helvetica Neue" w:cstheme="majorHAnsi"/>
          <w:color w:val="000000"/>
          <w:kern w:val="2"/>
        </w:rPr>
        <w:t xml:space="preserve"> </w:t>
      </w:r>
    </w:p>
    <w:p w14:paraId="0F9DF46A" w14:textId="77777777" w:rsidR="001F1DE8" w:rsidRPr="00E95958" w:rsidRDefault="001F1DE8" w:rsidP="00E95958">
      <w:pPr>
        <w:widowControl w:val="0"/>
        <w:spacing w:after="320" w:line="280" w:lineRule="exact"/>
        <w:ind w:right="-90"/>
        <w:rPr>
          <w:rFonts w:eastAsia="Helvetica Neue" w:cstheme="majorHAnsi"/>
          <w:color w:val="000000"/>
          <w:kern w:val="2"/>
        </w:rPr>
      </w:pPr>
      <w:r w:rsidRPr="00E95958">
        <w:rPr>
          <w:rFonts w:eastAsia="Helvetica Neue" w:cstheme="majorHAnsi"/>
          <w:color w:val="000000"/>
          <w:kern w:val="2"/>
        </w:rPr>
        <w:t xml:space="preserve">WHO, </w:t>
      </w:r>
      <w:r w:rsidRPr="00E95958">
        <w:rPr>
          <w:rFonts w:eastAsia="Helvetica Neue" w:cstheme="majorHAnsi"/>
          <w:smallCaps/>
          <w:color w:val="000000"/>
          <w:kern w:val="2"/>
        </w:rPr>
        <w:t xml:space="preserve">WHO Recommendations on Health Promotion Interventions for Maternal and Newborn Health 2015 </w:t>
      </w:r>
      <w:r w:rsidRPr="00E95958">
        <w:rPr>
          <w:rFonts w:eastAsia="Helvetica Neue" w:cstheme="majorHAnsi"/>
          <w:color w:val="000000"/>
          <w:kern w:val="2"/>
        </w:rPr>
        <w:t xml:space="preserve">(2015), </w:t>
      </w:r>
      <w:hyperlink r:id="rId75">
        <w:r w:rsidRPr="00E95958">
          <w:rPr>
            <w:rStyle w:val="Hyperlink"/>
            <w:rFonts w:eastAsia="Helvetica Neue"/>
          </w:rPr>
          <w:t>http://www.who.int/maternal_child_adolescent/documents/health-</w:t>
        </w:r>
        <w:r w:rsidRPr="00E95958">
          <w:rPr>
            <w:rStyle w:val="Hyperlink"/>
            <w:rFonts w:eastAsia="Helvetica Neue"/>
          </w:rPr>
          <w:lastRenderedPageBreak/>
          <w:t>promotion-interventions/en/</w:t>
        </w:r>
      </w:hyperlink>
    </w:p>
    <w:p w14:paraId="20B594E2" w14:textId="77777777" w:rsidR="001F1DE8" w:rsidRPr="00E95958" w:rsidRDefault="001F1DE8" w:rsidP="00E95958">
      <w:pPr>
        <w:pBdr>
          <w:top w:val="nil"/>
          <w:left w:val="nil"/>
          <w:bottom w:val="nil"/>
          <w:right w:val="nil"/>
          <w:between w:val="nil"/>
        </w:pBdr>
        <w:spacing w:after="320" w:line="280" w:lineRule="exact"/>
        <w:ind w:right="-90"/>
        <w:rPr>
          <w:rFonts w:eastAsia="Helvetica Neue" w:cstheme="majorHAnsi"/>
          <w:color w:val="000000"/>
          <w:kern w:val="2"/>
        </w:rPr>
      </w:pPr>
      <w:r w:rsidRPr="00E95958">
        <w:rPr>
          <w:rFonts w:eastAsia="Helvetica Neue" w:cstheme="majorHAnsi"/>
          <w:smallCaps/>
          <w:color w:val="000000"/>
          <w:kern w:val="2"/>
        </w:rPr>
        <w:t>WHO, Clinical Practice Handbook for Safe Abortion</w:t>
      </w:r>
      <w:r w:rsidRPr="00E95958">
        <w:rPr>
          <w:rFonts w:eastAsia="Helvetica Neue" w:cstheme="majorHAnsi"/>
          <w:color w:val="000000"/>
          <w:kern w:val="2"/>
        </w:rPr>
        <w:t xml:space="preserve"> (2014), </w:t>
      </w:r>
      <w:hyperlink r:id="rId76">
        <w:r w:rsidRPr="00E95958">
          <w:rPr>
            <w:rStyle w:val="Hyperlink"/>
            <w:rFonts w:eastAsia="Helvetica Neue"/>
          </w:rPr>
          <w:t>http://www.who.int/reproductivehealth/publications/unsafe_abortion/clinical-practice-safe-abortion/en/</w:t>
        </w:r>
      </w:hyperlink>
      <w:r w:rsidRPr="00E95958">
        <w:rPr>
          <w:rFonts w:eastAsia="Helvetica Neue" w:cstheme="majorHAnsi"/>
          <w:color w:val="000000"/>
          <w:kern w:val="2"/>
        </w:rPr>
        <w:t xml:space="preserve"> </w:t>
      </w:r>
    </w:p>
    <w:p w14:paraId="193143D7" w14:textId="77777777" w:rsidR="007154F1" w:rsidRPr="00E95958" w:rsidRDefault="001F1DE8" w:rsidP="00E95958">
      <w:pPr>
        <w:pBdr>
          <w:top w:val="nil"/>
          <w:left w:val="nil"/>
          <w:bottom w:val="nil"/>
          <w:right w:val="nil"/>
          <w:between w:val="nil"/>
        </w:pBdr>
        <w:spacing w:after="320" w:line="280" w:lineRule="exact"/>
        <w:ind w:right="-90"/>
        <w:rPr>
          <w:rStyle w:val="Hyperlink"/>
          <w:rFonts w:eastAsia="Helvetica Neue"/>
        </w:rPr>
      </w:pPr>
      <w:r w:rsidRPr="00E95958">
        <w:rPr>
          <w:rFonts w:eastAsia="Helvetica Neue" w:cstheme="majorHAnsi"/>
          <w:smallCaps/>
          <w:color w:val="000000"/>
          <w:kern w:val="2"/>
        </w:rPr>
        <w:t>WHO, Comprehensive Cervical Cancer Control: A Guide to Essential Practice</w:t>
      </w:r>
      <w:r w:rsidRPr="00E95958">
        <w:rPr>
          <w:rFonts w:eastAsia="Helvetica Neue" w:cstheme="majorHAnsi"/>
          <w:color w:val="000000"/>
          <w:kern w:val="2"/>
        </w:rPr>
        <w:t xml:space="preserve"> (2</w:t>
      </w:r>
      <w:r w:rsidRPr="00E95958">
        <w:rPr>
          <w:rStyle w:val="EndnoteReference"/>
          <w:rFonts w:eastAsia="Helvetica Neue" w:cstheme="majorHAnsi"/>
          <w:kern w:val="2"/>
        </w:rPr>
        <w:t>nd</w:t>
      </w:r>
      <w:r w:rsidRPr="00E95958">
        <w:rPr>
          <w:rFonts w:eastAsia="Helvetica Neue" w:cstheme="majorHAnsi"/>
          <w:color w:val="000000"/>
          <w:kern w:val="2"/>
        </w:rPr>
        <w:t xml:space="preserve"> ed., Dec. 2014),</w:t>
      </w:r>
      <w:r w:rsidR="00D90491" w:rsidRPr="00E95958">
        <w:rPr>
          <w:rFonts w:eastAsia="Helvetica Neue" w:cstheme="majorHAnsi"/>
          <w:color w:val="000000"/>
          <w:kern w:val="2"/>
        </w:rPr>
        <w:t xml:space="preserve"> </w:t>
      </w:r>
      <w:hyperlink r:id="rId77">
        <w:r w:rsidRPr="00E95958">
          <w:rPr>
            <w:rStyle w:val="Hyperlink"/>
            <w:rFonts w:eastAsia="Helvetica Neue"/>
          </w:rPr>
          <w:t>http://www.who.int/reproductivehealth/publications/cancers/cervical-cancer-guide/en/</w:t>
        </w:r>
      </w:hyperlink>
      <w:r w:rsidRPr="00E95958">
        <w:rPr>
          <w:rStyle w:val="Hyperlink"/>
          <w:rFonts w:eastAsia="Helvetica Neue"/>
        </w:rPr>
        <w:t xml:space="preserve"> </w:t>
      </w:r>
    </w:p>
    <w:p w14:paraId="61AECFEB" w14:textId="60EA57A5" w:rsidR="001F1DE8" w:rsidRPr="00E95958" w:rsidRDefault="001F1DE8" w:rsidP="00E95958">
      <w:pPr>
        <w:pBdr>
          <w:top w:val="nil"/>
          <w:left w:val="nil"/>
          <w:bottom w:val="nil"/>
          <w:right w:val="nil"/>
          <w:between w:val="nil"/>
        </w:pBdr>
        <w:spacing w:after="320" w:line="280" w:lineRule="exact"/>
        <w:ind w:right="-90"/>
        <w:rPr>
          <w:rStyle w:val="Hyperlink"/>
          <w:rFonts w:eastAsia="Helvetica Neue"/>
        </w:rPr>
      </w:pPr>
      <w:r w:rsidRPr="00E95958">
        <w:rPr>
          <w:rFonts w:eastAsia="Helvetica Neue" w:cstheme="majorHAnsi"/>
          <w:color w:val="000000"/>
          <w:kern w:val="2"/>
        </w:rPr>
        <w:t xml:space="preserve">WHO, </w:t>
      </w:r>
      <w:r w:rsidRPr="00E95958">
        <w:rPr>
          <w:rFonts w:eastAsia="Helvetica Neue" w:cstheme="majorHAnsi"/>
          <w:smallCaps/>
          <w:color w:val="000000"/>
          <w:kern w:val="2"/>
        </w:rPr>
        <w:t>Counselling for Maternal and Newborn Health Care: A Handbook for</w:t>
      </w:r>
      <w:r w:rsidR="00D90491" w:rsidRPr="00E95958">
        <w:rPr>
          <w:rFonts w:eastAsia="Helvetica Neue" w:cstheme="majorHAnsi"/>
          <w:smallCaps/>
          <w:color w:val="000000"/>
          <w:kern w:val="2"/>
        </w:rPr>
        <w:t xml:space="preserve"> </w:t>
      </w:r>
      <w:r w:rsidRPr="00E95958">
        <w:rPr>
          <w:rFonts w:eastAsia="Helvetica Neue" w:cstheme="majorHAnsi"/>
          <w:smallCaps/>
          <w:color w:val="000000"/>
          <w:kern w:val="2"/>
        </w:rPr>
        <w:t>Building Skills</w:t>
      </w:r>
      <w:r w:rsidRPr="00E95958">
        <w:rPr>
          <w:rFonts w:eastAsia="Helvetica Neue" w:cstheme="majorHAnsi"/>
          <w:color w:val="000000"/>
          <w:kern w:val="2"/>
        </w:rPr>
        <w:t xml:space="preserve"> (2013),</w:t>
      </w:r>
      <w:r w:rsidR="00D90491" w:rsidRPr="00E95958">
        <w:rPr>
          <w:rFonts w:eastAsia="Helvetica Neue" w:cstheme="majorHAnsi"/>
          <w:color w:val="000000"/>
          <w:kern w:val="2"/>
        </w:rPr>
        <w:t xml:space="preserve"> </w:t>
      </w:r>
      <w:hyperlink r:id="rId78">
        <w:r w:rsidRPr="00E95958">
          <w:rPr>
            <w:rStyle w:val="Hyperlink"/>
            <w:rFonts w:eastAsia="Helvetica Neue"/>
          </w:rPr>
          <w:t>http://www.who.int/maternal_child_adolescent/documents/9789241547628/en/</w:t>
        </w:r>
      </w:hyperlink>
    </w:p>
    <w:p w14:paraId="5238655D" w14:textId="77777777" w:rsidR="001F1DE8" w:rsidRPr="00E95958" w:rsidRDefault="001F1DE8" w:rsidP="00E95958">
      <w:pPr>
        <w:spacing w:after="320" w:line="280" w:lineRule="exact"/>
        <w:ind w:right="-90"/>
        <w:rPr>
          <w:rFonts w:eastAsia="Helvetica Neue" w:cstheme="majorHAnsi"/>
          <w:kern w:val="2"/>
        </w:rPr>
      </w:pPr>
      <w:r w:rsidRPr="00E95958">
        <w:rPr>
          <w:rFonts w:eastAsia="Helvetica Neue" w:cstheme="majorHAnsi"/>
          <w:smallCaps/>
          <w:color w:val="000000"/>
          <w:kern w:val="2"/>
        </w:rPr>
        <w:t>WHO, Guidance Note on Disability and Emergency Risk Management for Health</w:t>
      </w:r>
      <w:r w:rsidRPr="00E95958">
        <w:rPr>
          <w:rFonts w:eastAsia="Helvetica Neue" w:cstheme="majorHAnsi"/>
          <w:color w:val="000000"/>
          <w:kern w:val="2"/>
        </w:rPr>
        <w:t xml:space="preserve"> (Jonathan Abrahams, Natalie Jessup, Alana Officer, Peta Sandison &amp; Valérie Scherrer eds. 2013), </w:t>
      </w:r>
      <w:hyperlink r:id="rId79" w:history="1">
        <w:r w:rsidRPr="00E95958">
          <w:rPr>
            <w:rStyle w:val="Hyperlink"/>
            <w:rFonts w:eastAsia="Helvetica Neue" w:cstheme="majorHAnsi"/>
            <w:kern w:val="2"/>
          </w:rPr>
          <w:t>http://apps.who.int/iris/bitstream/10665/90369/1/9789241506243_eng.pdf</w:t>
        </w:r>
      </w:hyperlink>
    </w:p>
    <w:p w14:paraId="7A37B62A" w14:textId="77777777" w:rsidR="001F1DE8" w:rsidRPr="00E95958" w:rsidRDefault="001F1DE8" w:rsidP="00E95958">
      <w:pPr>
        <w:widowControl w:val="0"/>
        <w:spacing w:after="320" w:line="280" w:lineRule="exact"/>
        <w:ind w:right="-90"/>
        <w:rPr>
          <w:rFonts w:eastAsia="Helvetica Neue" w:cstheme="majorHAnsi"/>
          <w:color w:val="000000"/>
          <w:kern w:val="2"/>
        </w:rPr>
      </w:pPr>
      <w:r w:rsidRPr="00E95958">
        <w:rPr>
          <w:rFonts w:eastAsia="Helvetica Neue" w:cstheme="majorHAnsi"/>
          <w:color w:val="000000"/>
          <w:kern w:val="2"/>
        </w:rPr>
        <w:t xml:space="preserve">WHO, </w:t>
      </w:r>
      <w:r w:rsidRPr="00E95958">
        <w:rPr>
          <w:rFonts w:eastAsia="Helvetica Neue" w:cstheme="majorHAnsi"/>
          <w:smallCaps/>
          <w:color w:val="000000"/>
          <w:kern w:val="2"/>
        </w:rPr>
        <w:t>Responding to Intimate Partner Violence and Sexual Violence against Women: WHO Clinical and Policy Guidelines</w:t>
      </w:r>
      <w:r w:rsidRPr="00E95958">
        <w:rPr>
          <w:rFonts w:eastAsia="Helvetica Neue" w:cstheme="majorHAnsi"/>
          <w:color w:val="000000"/>
          <w:kern w:val="2"/>
        </w:rPr>
        <w:t xml:space="preserve"> (2013), </w:t>
      </w:r>
      <w:hyperlink r:id="rId80">
        <w:r w:rsidRPr="00E95958">
          <w:rPr>
            <w:rStyle w:val="Hyperlink"/>
            <w:rFonts w:eastAsia="Helvetica Neue"/>
          </w:rPr>
          <w:t>http://apps.who.int/iris/bitstream/10665/85240/1/9789241548595_eng.pdf</w:t>
        </w:r>
      </w:hyperlink>
    </w:p>
    <w:p w14:paraId="2D5C1CB1" w14:textId="77777777" w:rsidR="001F1DE8" w:rsidRPr="00E95958" w:rsidRDefault="001F1DE8" w:rsidP="00E95958">
      <w:pPr>
        <w:pBdr>
          <w:top w:val="nil"/>
          <w:left w:val="nil"/>
          <w:bottom w:val="nil"/>
          <w:right w:val="nil"/>
          <w:between w:val="nil"/>
        </w:pBdr>
        <w:spacing w:after="320" w:line="280" w:lineRule="exact"/>
        <w:ind w:right="-90"/>
        <w:rPr>
          <w:rFonts w:eastAsia="Helvetica Neue" w:cstheme="majorHAnsi"/>
          <w:color w:val="000000"/>
          <w:kern w:val="2"/>
        </w:rPr>
      </w:pPr>
      <w:r w:rsidRPr="00E95958">
        <w:rPr>
          <w:rFonts w:eastAsia="Helvetica Neue" w:cstheme="majorHAnsi"/>
          <w:smallCaps/>
          <w:color w:val="000000"/>
          <w:kern w:val="2"/>
        </w:rPr>
        <w:t xml:space="preserve">WHO, Making Health Services Adolescent Friendly: Developing National Quality Standards for Adolescent Friendly Health Services </w:t>
      </w:r>
      <w:r w:rsidRPr="00E95958">
        <w:rPr>
          <w:rFonts w:eastAsia="Helvetica Neue" w:cstheme="majorHAnsi"/>
          <w:color w:val="000000"/>
          <w:kern w:val="2"/>
        </w:rPr>
        <w:t xml:space="preserve">(2012), </w:t>
      </w:r>
      <w:hyperlink r:id="rId81">
        <w:r w:rsidRPr="00E95958">
          <w:rPr>
            <w:rStyle w:val="Hyperlink"/>
            <w:rFonts w:eastAsia="Helvetica Neue"/>
          </w:rPr>
          <w:t>http://www.who.int/maternal_child_adolescent/documents/adolescent_friendly_services/en/</w:t>
        </w:r>
      </w:hyperlink>
    </w:p>
    <w:p w14:paraId="4E1D669C" w14:textId="77777777" w:rsidR="001F1DE8" w:rsidRPr="00E95958" w:rsidRDefault="001F1DE8" w:rsidP="00E95958">
      <w:pPr>
        <w:pBdr>
          <w:top w:val="nil"/>
          <w:left w:val="nil"/>
          <w:bottom w:val="nil"/>
          <w:right w:val="nil"/>
          <w:between w:val="nil"/>
        </w:pBdr>
        <w:spacing w:after="320" w:line="280" w:lineRule="exact"/>
        <w:ind w:right="-90"/>
        <w:rPr>
          <w:rFonts w:eastAsia="Helvetica Neue" w:cstheme="majorHAnsi"/>
          <w:color w:val="000000"/>
          <w:kern w:val="2"/>
        </w:rPr>
      </w:pPr>
      <w:r w:rsidRPr="00E95958">
        <w:rPr>
          <w:rFonts w:eastAsia="Helvetica Neue" w:cstheme="majorHAnsi"/>
          <w:smallCaps/>
          <w:color w:val="000000"/>
          <w:kern w:val="2"/>
        </w:rPr>
        <w:t>WHO, Safe Abortion: Technical &amp; Policy Guidance for Health Systems (2</w:t>
      </w:r>
      <w:r w:rsidRPr="00E95958">
        <w:rPr>
          <w:rFonts w:eastAsia="Helvetica Neue" w:cstheme="majorHAnsi"/>
          <w:smallCaps/>
          <w:color w:val="000000"/>
          <w:kern w:val="2"/>
          <w:vertAlign w:val="superscript"/>
        </w:rPr>
        <w:t>nd</w:t>
      </w:r>
      <w:r w:rsidRPr="00E95958">
        <w:rPr>
          <w:rFonts w:eastAsia="Helvetica Neue" w:cstheme="majorHAnsi"/>
          <w:smallCaps/>
          <w:color w:val="000000"/>
          <w:kern w:val="2"/>
        </w:rPr>
        <w:t xml:space="preserve"> </w:t>
      </w:r>
      <w:r w:rsidRPr="00E95958">
        <w:rPr>
          <w:rFonts w:eastAsia="Helvetica Neue" w:cstheme="majorHAnsi"/>
          <w:color w:val="000000"/>
          <w:kern w:val="2"/>
        </w:rPr>
        <w:t>ed., 2012),</w:t>
      </w:r>
      <w:r w:rsidRPr="00E95958">
        <w:rPr>
          <w:rFonts w:eastAsia="Helvetica Neue" w:cstheme="majorHAnsi"/>
          <w:kern w:val="2"/>
        </w:rPr>
        <w:t xml:space="preserve"> </w:t>
      </w:r>
      <w:hyperlink r:id="rId82">
        <w:r w:rsidRPr="00E95958">
          <w:rPr>
            <w:rStyle w:val="Hyperlink"/>
            <w:rFonts w:eastAsia="Helvetica Neue"/>
          </w:rPr>
          <w:t>http://apps.who.int/iris/bitstream/10665/70914/1/9789241548434_eng.pdf?ua=1</w:t>
        </w:r>
      </w:hyperlink>
    </w:p>
    <w:p w14:paraId="3660B7C2" w14:textId="77777777" w:rsidR="007154F1" w:rsidRPr="00E95958" w:rsidRDefault="001F1DE8" w:rsidP="00E95958">
      <w:pPr>
        <w:pBdr>
          <w:top w:val="nil"/>
          <w:left w:val="nil"/>
          <w:bottom w:val="nil"/>
          <w:right w:val="nil"/>
          <w:between w:val="nil"/>
        </w:pBdr>
        <w:spacing w:after="320" w:line="280" w:lineRule="exact"/>
        <w:ind w:right="-90"/>
        <w:rPr>
          <w:rFonts w:eastAsia="Helvetica Neue" w:cstheme="majorHAnsi"/>
          <w:color w:val="000000"/>
          <w:kern w:val="2"/>
        </w:rPr>
      </w:pPr>
      <w:r w:rsidRPr="00E95958">
        <w:rPr>
          <w:rFonts w:eastAsia="Helvetica Neue" w:cstheme="majorHAnsi"/>
          <w:smallCaps/>
          <w:color w:val="000000"/>
          <w:kern w:val="2"/>
        </w:rPr>
        <w:t>WHO and World Bank Group (WBG),</w:t>
      </w:r>
      <w:r w:rsidRPr="00E95958">
        <w:rPr>
          <w:rFonts w:eastAsia="Helvetica Neue" w:cstheme="majorHAnsi"/>
          <w:color w:val="000000"/>
          <w:kern w:val="2"/>
        </w:rPr>
        <w:t xml:space="preserve"> </w:t>
      </w:r>
      <w:r w:rsidRPr="00E95958">
        <w:rPr>
          <w:rFonts w:eastAsia="Helvetica Neue" w:cstheme="majorHAnsi"/>
          <w:smallCaps/>
          <w:color w:val="000000"/>
          <w:kern w:val="2"/>
        </w:rPr>
        <w:t>World Report on Disability</w:t>
      </w:r>
      <w:r w:rsidRPr="00E95958">
        <w:rPr>
          <w:rFonts w:eastAsia="Helvetica Neue" w:cstheme="majorHAnsi"/>
          <w:color w:val="000000"/>
          <w:kern w:val="2"/>
        </w:rPr>
        <w:t xml:space="preserve"> (2011),</w:t>
      </w:r>
      <w:r w:rsidRPr="00E95958">
        <w:rPr>
          <w:rFonts w:eastAsia="Helvetica Neue" w:cstheme="majorHAnsi"/>
          <w:i/>
          <w:color w:val="000000"/>
          <w:kern w:val="2"/>
        </w:rPr>
        <w:t xml:space="preserve">  </w:t>
      </w:r>
      <w:hyperlink r:id="rId83">
        <w:r w:rsidRPr="00E95958">
          <w:rPr>
            <w:rStyle w:val="Hyperlink"/>
            <w:rFonts w:eastAsia="Helvetica Neue"/>
          </w:rPr>
          <w:t>http://www.who.int.disabilities/world_report/2011/en/index.html</w:t>
        </w:r>
      </w:hyperlink>
    </w:p>
    <w:p w14:paraId="4D33B991" w14:textId="4935F765" w:rsidR="001F1DE8" w:rsidRPr="00E95958" w:rsidRDefault="001F1DE8" w:rsidP="00E95958">
      <w:pPr>
        <w:pBdr>
          <w:top w:val="nil"/>
          <w:left w:val="nil"/>
          <w:bottom w:val="nil"/>
          <w:right w:val="nil"/>
          <w:between w:val="nil"/>
        </w:pBdr>
        <w:spacing w:after="320" w:line="280" w:lineRule="exact"/>
        <w:ind w:right="-90"/>
        <w:rPr>
          <w:rFonts w:eastAsia="Helvetica Neue" w:cstheme="majorHAnsi"/>
          <w:color w:val="000000"/>
          <w:kern w:val="2"/>
        </w:rPr>
      </w:pPr>
      <w:r w:rsidRPr="00E95958">
        <w:rPr>
          <w:rFonts w:eastAsia="Helvetica Neue" w:cstheme="majorHAnsi"/>
          <w:smallCaps/>
          <w:color w:val="000000"/>
          <w:kern w:val="2"/>
        </w:rPr>
        <w:t>WHO, Working with Individuals, Families and Communities to Improve Maternal</w:t>
      </w:r>
      <w:r w:rsidR="00D90491" w:rsidRPr="00E95958">
        <w:rPr>
          <w:rFonts w:eastAsia="Helvetica Neue" w:cstheme="majorHAnsi"/>
          <w:smallCaps/>
          <w:color w:val="000000"/>
          <w:kern w:val="2"/>
        </w:rPr>
        <w:t xml:space="preserve"> </w:t>
      </w:r>
      <w:r w:rsidRPr="00E95958">
        <w:rPr>
          <w:rFonts w:eastAsia="Helvetica Neue" w:cstheme="majorHAnsi"/>
          <w:smallCaps/>
          <w:color w:val="000000"/>
          <w:kern w:val="2"/>
        </w:rPr>
        <w:t>and Newborn Health</w:t>
      </w:r>
      <w:r w:rsidRPr="00E95958">
        <w:rPr>
          <w:rFonts w:eastAsia="Helvetica Neue" w:cstheme="majorHAnsi"/>
          <w:color w:val="000000"/>
          <w:kern w:val="2"/>
        </w:rPr>
        <w:t xml:space="preserve"> (2010), </w:t>
      </w:r>
      <w:hyperlink r:id="rId84">
        <w:r w:rsidRPr="00E95958">
          <w:rPr>
            <w:rStyle w:val="Hyperlink"/>
            <w:rFonts w:eastAsia="Helvetica Neue"/>
          </w:rPr>
          <w:t>http://www.who.int/maternal_child_adolescent/documents/who_fch_rhr_0311/en/</w:t>
        </w:r>
      </w:hyperlink>
    </w:p>
    <w:p w14:paraId="6B1EF28A" w14:textId="77777777" w:rsidR="001F1DE8" w:rsidRPr="00E95958" w:rsidRDefault="001F1DE8" w:rsidP="00E95958">
      <w:pPr>
        <w:spacing w:after="320" w:line="280" w:lineRule="exact"/>
        <w:ind w:right="-90"/>
        <w:rPr>
          <w:rFonts w:cstheme="majorHAnsi"/>
          <w:kern w:val="2"/>
        </w:rPr>
      </w:pPr>
      <w:r w:rsidRPr="00E95958">
        <w:rPr>
          <w:rFonts w:cstheme="majorHAnsi"/>
          <w:smallCaps/>
          <w:kern w:val="2"/>
        </w:rPr>
        <w:t>WHO, Obstetric Fistula: Guiding Principles for Clinical Management and Programme Development</w:t>
      </w:r>
      <w:r w:rsidRPr="00E95958">
        <w:rPr>
          <w:rFonts w:cstheme="majorHAnsi"/>
          <w:kern w:val="2"/>
        </w:rPr>
        <w:t xml:space="preserve"> (Gwyneth Lewis, Luc de </w:t>
      </w:r>
      <w:proofErr w:type="spellStart"/>
      <w:r w:rsidRPr="00E95958">
        <w:rPr>
          <w:rFonts w:cstheme="majorHAnsi"/>
          <w:kern w:val="2"/>
        </w:rPr>
        <w:t>Bernis</w:t>
      </w:r>
      <w:proofErr w:type="spellEnd"/>
      <w:r w:rsidRPr="00E95958">
        <w:rPr>
          <w:rFonts w:cstheme="majorHAnsi"/>
          <w:kern w:val="2"/>
        </w:rPr>
        <w:t xml:space="preserve"> eds. 2006), </w:t>
      </w:r>
      <w:r w:rsidRPr="00E95958">
        <w:rPr>
          <w:rStyle w:val="Hyperlink"/>
        </w:rPr>
        <w:t>http://apps.who.int/iris/bitstream/handle/10665/43343/9241593679_eng.pdf?sequence=1</w:t>
      </w:r>
    </w:p>
    <w:p w14:paraId="756E0C06" w14:textId="77777777" w:rsidR="001F1DE8" w:rsidRPr="00E95958" w:rsidRDefault="001F1DE8" w:rsidP="00E95958">
      <w:pPr>
        <w:pBdr>
          <w:top w:val="nil"/>
          <w:left w:val="nil"/>
          <w:bottom w:val="nil"/>
          <w:right w:val="nil"/>
          <w:between w:val="nil"/>
        </w:pBdr>
        <w:spacing w:after="320" w:line="280" w:lineRule="exact"/>
        <w:ind w:right="-90"/>
        <w:rPr>
          <w:rFonts w:eastAsia="Helvetica Neue" w:cstheme="majorHAnsi"/>
          <w:kern w:val="2"/>
        </w:rPr>
      </w:pPr>
      <w:r w:rsidRPr="00E95958">
        <w:rPr>
          <w:rFonts w:cstheme="majorHAnsi"/>
          <w:i/>
          <w:kern w:val="2"/>
        </w:rPr>
        <w:t>Women with Disabilities,</w:t>
      </w:r>
      <w:r w:rsidRPr="00E95958">
        <w:rPr>
          <w:rFonts w:cstheme="majorHAnsi"/>
          <w:kern w:val="2"/>
        </w:rPr>
        <w:t xml:space="preserve"> </w:t>
      </w:r>
      <w:r w:rsidRPr="00E95958">
        <w:rPr>
          <w:rFonts w:cstheme="majorHAnsi"/>
          <w:smallCaps/>
          <w:kern w:val="2"/>
        </w:rPr>
        <w:t>The American College of Obstetricians and Gynecologists</w:t>
      </w:r>
      <w:r w:rsidRPr="00E95958">
        <w:rPr>
          <w:rFonts w:cstheme="majorHAnsi"/>
          <w:kern w:val="2"/>
        </w:rPr>
        <w:t xml:space="preserve">, </w:t>
      </w:r>
      <w:hyperlink r:id="rId85" w:history="1">
        <w:r w:rsidRPr="00E95958">
          <w:rPr>
            <w:rStyle w:val="Hyperlink"/>
            <w:rFonts w:cstheme="majorHAnsi"/>
            <w:kern w:val="2"/>
          </w:rPr>
          <w:t>https://www.acog.org/About-ACOG/ACOG-Departments/Women-with-Disabilities</w:t>
        </w:r>
      </w:hyperlink>
    </w:p>
    <w:p w14:paraId="65479EA8" w14:textId="77777777" w:rsidR="001F1DE8" w:rsidRPr="00E95958" w:rsidRDefault="001F1DE8" w:rsidP="00E95958">
      <w:pPr>
        <w:pBdr>
          <w:top w:val="nil"/>
          <w:left w:val="nil"/>
          <w:bottom w:val="nil"/>
          <w:right w:val="nil"/>
          <w:between w:val="nil"/>
        </w:pBdr>
        <w:spacing w:after="320" w:line="280" w:lineRule="exact"/>
        <w:ind w:right="-90"/>
        <w:rPr>
          <w:rFonts w:eastAsia="Helvetica Neue" w:cstheme="majorHAnsi"/>
          <w:color w:val="000000"/>
          <w:kern w:val="2"/>
        </w:rPr>
      </w:pPr>
      <w:r w:rsidRPr="00E95958">
        <w:rPr>
          <w:rFonts w:eastAsia="Helvetica Neue" w:cstheme="majorHAnsi"/>
          <w:smallCaps/>
          <w:color w:val="000000"/>
          <w:kern w:val="2"/>
        </w:rPr>
        <w:t>Women with Disabilities Australia (WWDA), More than Just a Ramp: A Guide for Women’s Refuges to Develop Disabilities Discrimination Act Action Plans</w:t>
      </w:r>
      <w:r w:rsidRPr="00E95958">
        <w:rPr>
          <w:rFonts w:eastAsia="Helvetica Neue" w:cstheme="majorHAnsi"/>
          <w:color w:val="000000"/>
          <w:kern w:val="2"/>
        </w:rPr>
        <w:t xml:space="preserve"> (2007), </w:t>
      </w:r>
      <w:hyperlink r:id="rId86">
        <w:r w:rsidRPr="00E95958">
          <w:rPr>
            <w:rStyle w:val="Hyperlink"/>
            <w:rFonts w:eastAsia="Helvetica Neue"/>
          </w:rPr>
          <w:t>http://wwda.org.au/wp-content/uploads/2013/12/More_Than_Just_A_Ramp.pdf</w:t>
        </w:r>
      </w:hyperlink>
      <w:r w:rsidRPr="00E95958">
        <w:rPr>
          <w:rStyle w:val="Hyperlink"/>
          <w:rFonts w:eastAsia="Helvetica Neue"/>
        </w:rPr>
        <w:t>.</w:t>
      </w:r>
      <w:r w:rsidRPr="00E95958">
        <w:rPr>
          <w:rFonts w:eastAsia="Helvetica Neue" w:cstheme="majorHAnsi"/>
          <w:color w:val="000000"/>
          <w:kern w:val="2"/>
        </w:rPr>
        <w:t xml:space="preserve">  </w:t>
      </w:r>
    </w:p>
    <w:p w14:paraId="63FA1639" w14:textId="77777777" w:rsidR="001F1DE8" w:rsidRPr="00E95958" w:rsidRDefault="001F1DE8" w:rsidP="00E95958">
      <w:pPr>
        <w:spacing w:after="320" w:line="280" w:lineRule="exact"/>
        <w:ind w:right="-90"/>
        <w:rPr>
          <w:rFonts w:eastAsia="Helvetica Neue" w:cstheme="majorHAnsi"/>
          <w:color w:val="000000"/>
          <w:kern w:val="2"/>
        </w:rPr>
      </w:pPr>
      <w:r w:rsidRPr="00E95958">
        <w:rPr>
          <w:rFonts w:eastAsia="Helvetica Neue" w:cstheme="majorHAnsi"/>
          <w:smallCaps/>
          <w:color w:val="000000"/>
          <w:kern w:val="2"/>
        </w:rPr>
        <w:t>Women’s Refugee Commission (WRC), Strengthening the Role of Women with Disabilities in Humanitarian Action: A Facilitator’s Guide</w:t>
      </w:r>
      <w:r w:rsidRPr="00E95958">
        <w:rPr>
          <w:rFonts w:eastAsia="Helvetica Neue" w:cstheme="majorHAnsi"/>
          <w:color w:val="000000"/>
          <w:kern w:val="2"/>
        </w:rPr>
        <w:t xml:space="preserve"> (Feb. 2017), </w:t>
      </w:r>
      <w:hyperlink r:id="rId87">
        <w:r w:rsidRPr="00E95958">
          <w:rPr>
            <w:rStyle w:val="Hyperlink"/>
            <w:rFonts w:eastAsia="Helvetica Neue"/>
          </w:rPr>
          <w:t>https://www.womensrefugeecommission.org/populations/disabilities/research-and-resources/1443-humanitarian-facilitators-guide</w:t>
        </w:r>
      </w:hyperlink>
    </w:p>
    <w:p w14:paraId="2FCA87CF" w14:textId="77777777" w:rsidR="001F1DE8" w:rsidRPr="00E95958" w:rsidRDefault="001F1DE8" w:rsidP="00E95958">
      <w:pPr>
        <w:pBdr>
          <w:top w:val="nil"/>
          <w:left w:val="nil"/>
          <w:bottom w:val="nil"/>
          <w:right w:val="nil"/>
          <w:between w:val="nil"/>
        </w:pBdr>
        <w:spacing w:after="320" w:line="280" w:lineRule="exact"/>
        <w:ind w:right="-90"/>
        <w:rPr>
          <w:rFonts w:eastAsia="Helvetica Neue" w:cstheme="majorHAnsi"/>
          <w:kern w:val="2"/>
        </w:rPr>
      </w:pPr>
      <w:r w:rsidRPr="00E95958">
        <w:rPr>
          <w:rFonts w:eastAsia="Helvetica Neue" w:cstheme="majorHAnsi"/>
          <w:smallCaps/>
          <w:color w:val="000000"/>
          <w:kern w:val="2"/>
        </w:rPr>
        <w:t>WRC and International Rescue Committee (IRC), Gender-based Violence against Children and Youth with Disabilities: A Toolkit for Child Protection Actors</w:t>
      </w:r>
      <w:r w:rsidRPr="00E95958">
        <w:rPr>
          <w:rFonts w:eastAsia="Helvetica Neue" w:cstheme="majorHAnsi"/>
          <w:color w:val="000000"/>
          <w:kern w:val="2"/>
        </w:rPr>
        <w:t xml:space="preserve"> (Feb. 2016), </w:t>
      </w:r>
      <w:hyperlink r:id="rId88" w:history="1">
        <w:r w:rsidRPr="00E95958">
          <w:rPr>
            <w:rStyle w:val="Hyperlink"/>
            <w:rFonts w:eastAsia="Helvetica Neue" w:cstheme="majorHAnsi"/>
            <w:kern w:val="2"/>
          </w:rPr>
          <w:t>https://www.womensrefugeecommission.org/populations/disabilities/research-and-resources/1289-youth-disabilities-toolkit</w:t>
        </w:r>
      </w:hyperlink>
    </w:p>
    <w:p w14:paraId="41237AAD" w14:textId="77777777" w:rsidR="001F1DE8" w:rsidRPr="00E95958" w:rsidRDefault="001F1DE8" w:rsidP="00E95958">
      <w:pPr>
        <w:spacing w:after="320" w:line="280" w:lineRule="exact"/>
        <w:ind w:right="-90"/>
        <w:rPr>
          <w:rFonts w:eastAsia="Helvetica Neue" w:cstheme="majorHAnsi"/>
          <w:color w:val="000000"/>
          <w:kern w:val="2"/>
        </w:rPr>
      </w:pPr>
      <w:r w:rsidRPr="00E95958">
        <w:rPr>
          <w:rFonts w:eastAsia="Helvetica Neue" w:cstheme="majorHAnsi"/>
          <w:smallCaps/>
          <w:color w:val="000000"/>
          <w:kern w:val="2"/>
        </w:rPr>
        <w:t>WRC and IRC, Building Capacity for Disability Inclusion in Gender-Based Violence Programming in Humanitarian Settings: Toolkit for GBV Practitioners</w:t>
      </w:r>
      <w:r w:rsidRPr="00E95958">
        <w:rPr>
          <w:rFonts w:eastAsia="Helvetica Neue" w:cstheme="majorHAnsi"/>
          <w:color w:val="000000"/>
          <w:kern w:val="2"/>
        </w:rPr>
        <w:t xml:space="preserve"> (2015), </w:t>
      </w:r>
      <w:hyperlink r:id="rId89">
        <w:r w:rsidRPr="00E95958">
          <w:rPr>
            <w:rStyle w:val="Hyperlink"/>
            <w:rFonts w:eastAsia="Helvetica Neue"/>
          </w:rPr>
          <w:t>https://www.womensrefugeecommission.org/component/zdocs/document/download/1173</w:t>
        </w:r>
      </w:hyperlink>
    </w:p>
    <w:p w14:paraId="1631C23E" w14:textId="77777777" w:rsidR="001F1DE8" w:rsidRPr="00E95958" w:rsidRDefault="001F1DE8" w:rsidP="00E95958">
      <w:pPr>
        <w:spacing w:after="320" w:line="280" w:lineRule="exact"/>
        <w:ind w:right="-90"/>
        <w:rPr>
          <w:rFonts w:eastAsia="Helvetica Neue" w:cstheme="majorHAnsi"/>
          <w:color w:val="000000"/>
          <w:kern w:val="2"/>
        </w:rPr>
      </w:pPr>
      <w:r w:rsidRPr="00E95958">
        <w:rPr>
          <w:rFonts w:eastAsia="Helvetica Neue" w:cstheme="majorHAnsi"/>
          <w:smallCaps/>
          <w:color w:val="000000"/>
          <w:kern w:val="2"/>
        </w:rPr>
        <w:t xml:space="preserve">WRC and IRC, “I See That It Is Possible:” Building Capacity for Disability Inclusion in Gender-based Violence Programming in Humanitarian Settings </w:t>
      </w:r>
      <w:r w:rsidRPr="00E95958">
        <w:rPr>
          <w:rFonts w:eastAsia="Helvetica Neue" w:cstheme="majorHAnsi"/>
          <w:color w:val="000000"/>
          <w:kern w:val="2"/>
        </w:rPr>
        <w:t xml:space="preserve">(May 2015), </w:t>
      </w:r>
      <w:hyperlink r:id="rId90">
        <w:r w:rsidRPr="00E95958">
          <w:rPr>
            <w:rStyle w:val="Hyperlink"/>
            <w:rFonts w:eastAsia="Helvetica Neue"/>
          </w:rPr>
          <w:t>https://www.womensrefugeecommission.org/component/zdocs/document/945-building-capacity-for-disability-inclusion-gender-based-violence-gbv-programming-in-humanitarian-settings</w:t>
        </w:r>
      </w:hyperlink>
    </w:p>
    <w:p w14:paraId="1C431299" w14:textId="77777777" w:rsidR="001F1DE8" w:rsidRPr="00E95958" w:rsidRDefault="001F1DE8" w:rsidP="00E95958">
      <w:pPr>
        <w:spacing w:after="320" w:line="280" w:lineRule="exact"/>
        <w:ind w:right="-90"/>
        <w:rPr>
          <w:rFonts w:cstheme="majorHAnsi"/>
          <w:kern w:val="2"/>
        </w:rPr>
      </w:pPr>
      <w:r w:rsidRPr="00E95958">
        <w:rPr>
          <w:rFonts w:eastAsia="Helvetica Neue" w:cstheme="majorHAnsi"/>
          <w:smallCaps/>
          <w:color w:val="000000"/>
          <w:kern w:val="2"/>
        </w:rPr>
        <w:t>WRC, Disability Inclusion: Translating Policy into Practice in Humanitarian Action</w:t>
      </w:r>
      <w:r w:rsidRPr="00E95958">
        <w:rPr>
          <w:rFonts w:eastAsia="Helvetica Neue" w:cstheme="majorHAnsi"/>
          <w:color w:val="000000"/>
          <w:kern w:val="2"/>
        </w:rPr>
        <w:t xml:space="preserve"> (Mar. 2014), </w:t>
      </w:r>
      <w:hyperlink r:id="rId91">
        <w:r w:rsidRPr="00E95958">
          <w:rPr>
            <w:rStyle w:val="Hyperlink"/>
            <w:rFonts w:eastAsia="Helvetica Neue"/>
          </w:rPr>
          <w:t>https://www.womensrefugeecommission.org/disabilities/disability-inclusion</w:t>
        </w:r>
      </w:hyperlink>
    </w:p>
    <w:p w14:paraId="1343E1E9" w14:textId="77777777" w:rsidR="007154F1" w:rsidRDefault="007154F1">
      <w:pPr>
        <w:spacing w:before="0" w:after="0"/>
        <w:rPr>
          <w:rFonts w:eastAsia="Helvetica Neue"/>
          <w:b/>
          <w:color w:val="E36C0A" w:themeColor="accent6" w:themeShade="BF"/>
          <w:kern w:val="24"/>
          <w:sz w:val="32"/>
          <w:szCs w:val="32"/>
        </w:rPr>
      </w:pPr>
      <w:r>
        <w:br w:type="page"/>
      </w:r>
    </w:p>
    <w:p w14:paraId="62F94050" w14:textId="2CBD768E" w:rsidR="001F1DE8" w:rsidRDefault="007154F1" w:rsidP="00D826BE">
      <w:pPr>
        <w:pStyle w:val="Heading1"/>
        <w:ind w:left="-270"/>
      </w:pPr>
      <w:r>
        <w:lastRenderedPageBreak/>
        <w:t>Endnotes</w:t>
      </w:r>
    </w:p>
    <w:sectPr w:rsidR="001F1DE8" w:rsidSect="002772C9">
      <w:endnotePr>
        <w:numFmt w:val="decimal"/>
      </w:endnotePr>
      <w:type w:val="continuous"/>
      <w:pgSz w:w="12240" w:h="15840"/>
      <w:pgMar w:top="900" w:right="1440" w:bottom="14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41A269" w14:textId="77777777" w:rsidR="00B90992" w:rsidRPr="005E00FF" w:rsidRDefault="00B90992" w:rsidP="007154F1">
      <w:pPr>
        <w:pStyle w:val="Footer"/>
        <w:spacing w:before="0" w:after="0"/>
      </w:pPr>
    </w:p>
  </w:endnote>
  <w:endnote w:type="continuationSeparator" w:id="0">
    <w:p w14:paraId="098F68CC" w14:textId="77777777" w:rsidR="00B90992" w:rsidRPr="005E00FF" w:rsidRDefault="00B90992" w:rsidP="007154F1">
      <w:pPr>
        <w:pStyle w:val="Footer"/>
        <w:spacing w:before="0" w:after="0"/>
      </w:pPr>
    </w:p>
  </w:endnote>
  <w:endnote w:type="continuationNotice" w:id="1">
    <w:p w14:paraId="5ED06CCB" w14:textId="77777777" w:rsidR="00B90992" w:rsidRDefault="00B90992">
      <w:pPr>
        <w:spacing w:before="0" w:after="0"/>
      </w:pPr>
    </w:p>
  </w:endnote>
  <w:endnote w:id="2">
    <w:p w14:paraId="0D6B6194" w14:textId="6B938C63" w:rsidR="002772C9" w:rsidRPr="00E95958" w:rsidRDefault="002772C9" w:rsidP="00D826BE">
      <w:pPr>
        <w:pStyle w:val="EndnoteText"/>
        <w:ind w:left="-225" w:hanging="135"/>
      </w:pPr>
      <w:r w:rsidRPr="00B3695D">
        <w:rPr>
          <w:vertAlign w:val="superscript"/>
        </w:rPr>
        <w:endnoteRef/>
      </w:r>
      <w:r w:rsidRPr="00B3695D">
        <w:t xml:space="preserve"> </w:t>
      </w:r>
      <w:r w:rsidRPr="00E95958">
        <w:t>Convention on the Rights of Persons with Disabilities, art. 1, G.A. Res. 61/106, U.N. Doc. A/RES/61/106 (Dec. 13, 2006) [hereinafter CRPD]</w:t>
      </w:r>
    </w:p>
  </w:endnote>
  <w:endnote w:id="3">
    <w:p w14:paraId="6B8B313C" w14:textId="77777777" w:rsidR="002772C9" w:rsidRPr="00E95958" w:rsidRDefault="002772C9" w:rsidP="00D826BE">
      <w:pPr>
        <w:pStyle w:val="EndnoteText"/>
        <w:ind w:left="-225" w:hanging="135"/>
      </w:pPr>
      <w:r w:rsidRPr="00E95958">
        <w:rPr>
          <w:vertAlign w:val="superscript"/>
        </w:rPr>
        <w:endnoteRef/>
      </w:r>
      <w:r w:rsidRPr="00E95958">
        <w:t xml:space="preserve"> UNICEF, </w:t>
      </w:r>
      <w:r w:rsidRPr="00E95958">
        <w:rPr>
          <w:smallCaps/>
        </w:rPr>
        <w:t>Take Us Seriously!  Engaging children with disabilities in decisions affecting their lives</w:t>
      </w:r>
      <w:r w:rsidRPr="00E95958">
        <w:t xml:space="preserve"> 5 (2012), </w:t>
      </w:r>
      <w:hyperlink r:id="rId1">
        <w:r w:rsidRPr="00F3261F">
          <w:rPr>
            <w:rStyle w:val="Hyperlink"/>
            <w:rFonts w:cs="Times New Roman"/>
          </w:rPr>
          <w:t>https://www.unicef.org/disabilities/files/Take_Us_Seriously.pdf</w:t>
        </w:r>
      </w:hyperlink>
      <w:r w:rsidRPr="00E95958">
        <w:t>.</w:t>
      </w:r>
    </w:p>
  </w:endnote>
  <w:endnote w:id="4">
    <w:p w14:paraId="55ECB169" w14:textId="77777777" w:rsidR="002772C9" w:rsidRPr="00E95958" w:rsidRDefault="002772C9" w:rsidP="00D826BE">
      <w:pPr>
        <w:pStyle w:val="EndnoteText"/>
        <w:ind w:left="-225" w:hanging="135"/>
      </w:pPr>
      <w:r w:rsidRPr="00E95958">
        <w:rPr>
          <w:vertAlign w:val="superscript"/>
        </w:rPr>
        <w:endnoteRef/>
      </w:r>
      <w:r w:rsidRPr="00E95958">
        <w:t xml:space="preserve"> World Health Organization (WHO), </w:t>
      </w:r>
      <w:r w:rsidRPr="00E95958">
        <w:rPr>
          <w:i/>
        </w:rPr>
        <w:t xml:space="preserve">Disability and Health: Fact Sheet </w:t>
      </w:r>
      <w:r w:rsidRPr="00E95958">
        <w:t>(Nov. 2016),</w:t>
      </w:r>
      <w:r w:rsidRPr="00E95958">
        <w:rPr>
          <w:i/>
        </w:rPr>
        <w:t xml:space="preserve">  </w:t>
      </w:r>
      <w:hyperlink r:id="rId2">
        <w:r w:rsidRPr="00F3261F">
          <w:rPr>
            <w:rStyle w:val="Hyperlink"/>
            <w:rFonts w:cs="Times New Roman"/>
          </w:rPr>
          <w:t>http://www.who.int/mediacentre/factsheets/fs352/en</w:t>
        </w:r>
        <w:r w:rsidRPr="00E95958">
          <w:t>/</w:t>
        </w:r>
      </w:hyperlink>
      <w:r w:rsidRPr="00E95958">
        <w:t>.</w:t>
      </w:r>
    </w:p>
  </w:endnote>
  <w:endnote w:id="5">
    <w:p w14:paraId="745EECDF" w14:textId="77777777" w:rsidR="002772C9" w:rsidRPr="00E95958" w:rsidRDefault="002772C9" w:rsidP="00D826BE">
      <w:pPr>
        <w:pStyle w:val="EndnoteText"/>
        <w:ind w:left="-225" w:hanging="135"/>
      </w:pPr>
      <w:r w:rsidRPr="00E95958">
        <w:rPr>
          <w:vertAlign w:val="superscript"/>
        </w:rPr>
        <w:endnoteRef/>
      </w:r>
      <w:r w:rsidRPr="00E95958">
        <w:t xml:space="preserve"> WHO and World Bank Group (WBG), </w:t>
      </w:r>
      <w:r w:rsidRPr="00E95958">
        <w:rPr>
          <w:smallCaps/>
        </w:rPr>
        <w:t xml:space="preserve">World Report on Disability </w:t>
      </w:r>
      <w:r w:rsidRPr="00E95958">
        <w:t>28 (2011),</w:t>
      </w:r>
      <w:r w:rsidRPr="00E95958">
        <w:rPr>
          <w:i/>
        </w:rPr>
        <w:t xml:space="preserve">  </w:t>
      </w:r>
      <w:hyperlink r:id="rId3">
        <w:r w:rsidRPr="00F3261F">
          <w:rPr>
            <w:rStyle w:val="Hyperlink"/>
            <w:rFonts w:cs="Times New Roman"/>
          </w:rPr>
          <w:t>http://www.who.int.disabilities/world_report/2011/en/index.html</w:t>
        </w:r>
      </w:hyperlink>
      <w:r w:rsidRPr="00E95958">
        <w:t xml:space="preserve"> [hereinafter </w:t>
      </w:r>
      <w:r w:rsidRPr="00E95958">
        <w:rPr>
          <w:smallCaps/>
        </w:rPr>
        <w:t>World Report on Disability].</w:t>
      </w:r>
    </w:p>
  </w:endnote>
  <w:endnote w:id="6">
    <w:p w14:paraId="78B21E25" w14:textId="77777777" w:rsidR="002772C9" w:rsidRPr="00E95958" w:rsidRDefault="002772C9" w:rsidP="00D826BE">
      <w:pPr>
        <w:pStyle w:val="EndnoteText"/>
        <w:ind w:left="-225" w:hanging="135"/>
      </w:pPr>
      <w:r w:rsidRPr="00E95958">
        <w:rPr>
          <w:vertAlign w:val="superscript"/>
        </w:rPr>
        <w:endnoteRef/>
      </w:r>
      <w:r w:rsidRPr="00E95958">
        <w:t xml:space="preserve"> </w:t>
      </w:r>
      <w:r w:rsidRPr="00E95958">
        <w:rPr>
          <w:smallCaps/>
        </w:rPr>
        <w:t>United Nations Department of Economic and Social Affairs (UNDESA), Fact Sheet: Youth with Disabilities</w:t>
      </w:r>
      <w:r w:rsidRPr="00E95958">
        <w:t xml:space="preserve"> 1-2, </w:t>
      </w:r>
      <w:hyperlink r:id="rId4">
        <w:r w:rsidRPr="00F3261F">
          <w:rPr>
            <w:rStyle w:val="Hyperlink"/>
            <w:rFonts w:cs="Times New Roman"/>
          </w:rPr>
          <w:t>https://social.un.org/youthyear/docs/Fact%20sheet%20youth%20with%20disabilities.pdf</w:t>
        </w:r>
      </w:hyperlink>
      <w:r w:rsidRPr="00E95958">
        <w:t xml:space="preserve"> </w:t>
      </w:r>
    </w:p>
  </w:endnote>
  <w:endnote w:id="7">
    <w:p w14:paraId="643B6A73" w14:textId="77777777" w:rsidR="002772C9" w:rsidRPr="00E95958" w:rsidRDefault="002772C9" w:rsidP="00D826BE">
      <w:pPr>
        <w:pStyle w:val="EndnoteText"/>
        <w:ind w:left="-225" w:hanging="135"/>
      </w:pPr>
      <w:r w:rsidRPr="00E95958">
        <w:rPr>
          <w:vertAlign w:val="superscript"/>
        </w:rPr>
        <w:endnoteRef/>
      </w:r>
      <w:r w:rsidRPr="00E95958">
        <w:t xml:space="preserve"> Estimate of 9.84 million people calculated from data collected from the WHO and World Bank’s </w:t>
      </w:r>
      <w:r w:rsidRPr="00E95958">
        <w:rPr>
          <w:smallCaps/>
        </w:rPr>
        <w:t>World Report on Disability</w:t>
      </w:r>
      <w:r w:rsidRPr="00E95958">
        <w:t xml:space="preserve"> (15 per cent of the world population has a disability) and UNHCR’s 2016 </w:t>
      </w:r>
      <w:r w:rsidRPr="00E95958">
        <w:rPr>
          <w:smallCaps/>
        </w:rPr>
        <w:t>Global Trends</w:t>
      </w:r>
      <w:r w:rsidRPr="00E95958">
        <w:t xml:space="preserve"> report on forced displacement (65.6 people are forcibly displaced worldwide). </w:t>
      </w:r>
      <w:r w:rsidRPr="00E95958">
        <w:rPr>
          <w:smallCaps/>
        </w:rPr>
        <w:t>United Nations High Commissioner for Refugees (UNHCR),</w:t>
      </w:r>
      <w:r w:rsidRPr="00E95958">
        <w:t xml:space="preserve"> </w:t>
      </w:r>
      <w:r w:rsidRPr="00E95958">
        <w:rPr>
          <w:smallCaps/>
        </w:rPr>
        <w:t>Global Trends: Forced Displacement in 2016</w:t>
      </w:r>
      <w:r w:rsidRPr="00E95958">
        <w:t xml:space="preserve"> 5 (2017), </w:t>
      </w:r>
      <w:r w:rsidRPr="00F3261F">
        <w:rPr>
          <w:rStyle w:val="Hyperlink"/>
          <w:rFonts w:cs="Times New Roman"/>
        </w:rPr>
        <w:t>http://www.unhcr.org/afr/statistics/unhcrstats/5943e8a34/global-trends-forced-displacement-2016.html</w:t>
      </w:r>
      <w:r w:rsidRPr="00E95958">
        <w:t xml:space="preserve">; </w:t>
      </w:r>
      <w:r w:rsidRPr="00E95958">
        <w:rPr>
          <w:smallCaps/>
        </w:rPr>
        <w:t xml:space="preserve">World Report on Disability, </w:t>
      </w:r>
      <w:r w:rsidRPr="00E95958">
        <w:rPr>
          <w:i/>
        </w:rPr>
        <w:t xml:space="preserve">supra </w:t>
      </w:r>
      <w:r w:rsidRPr="00E95958">
        <w:t xml:space="preserve">note 4, at 7. </w:t>
      </w:r>
    </w:p>
  </w:endnote>
  <w:endnote w:id="8">
    <w:p w14:paraId="566FA51A" w14:textId="77777777" w:rsidR="002772C9" w:rsidRPr="00E95958" w:rsidRDefault="002772C9" w:rsidP="00D826BE">
      <w:pPr>
        <w:pStyle w:val="EndnoteText"/>
        <w:ind w:left="-225" w:hanging="135"/>
      </w:pPr>
      <w:r w:rsidRPr="00E95958">
        <w:rPr>
          <w:vertAlign w:val="superscript"/>
        </w:rPr>
        <w:endnoteRef/>
      </w:r>
      <w:r w:rsidRPr="00E95958">
        <w:t xml:space="preserve"> </w:t>
      </w:r>
      <w:r w:rsidRPr="00E95958">
        <w:rPr>
          <w:smallCaps/>
        </w:rPr>
        <w:t>HelpAge International and Handicap International, Hidden victims of the Syrian crisis: disabled, injured and older refugees</w:t>
      </w:r>
      <w:r w:rsidRPr="00E95958">
        <w:t xml:space="preserve"> 6 (April 2014), </w:t>
      </w:r>
      <w:r w:rsidRPr="00E95958">
        <w:rPr>
          <w:i/>
        </w:rPr>
        <w:t>available at</w:t>
      </w:r>
      <w:r w:rsidRPr="00E95958">
        <w:t xml:space="preserve"> </w:t>
      </w:r>
      <w:hyperlink r:id="rId5">
        <w:r w:rsidRPr="00F3261F">
          <w:rPr>
            <w:rStyle w:val="Hyperlink"/>
            <w:rFonts w:cs="Times New Roman"/>
          </w:rPr>
          <w:t>http://www.refworld.org/docid/538855b24.html</w:t>
        </w:r>
      </w:hyperlink>
      <w:r w:rsidRPr="00E95958">
        <w:t>.</w:t>
      </w:r>
    </w:p>
  </w:endnote>
  <w:endnote w:id="9">
    <w:p w14:paraId="141DC2CB" w14:textId="77777777" w:rsidR="002772C9" w:rsidRPr="00E95958" w:rsidRDefault="002772C9" w:rsidP="00D826BE">
      <w:pPr>
        <w:pStyle w:val="EndnoteText"/>
        <w:ind w:left="-225" w:hanging="135"/>
      </w:pPr>
      <w:r w:rsidRPr="00E95958">
        <w:rPr>
          <w:vertAlign w:val="superscript"/>
        </w:rPr>
        <w:endnoteRef/>
      </w:r>
      <w:r w:rsidRPr="00E95958">
        <w:t xml:space="preserve"> CRPD, </w:t>
      </w:r>
      <w:r w:rsidRPr="00E95958">
        <w:rPr>
          <w:i/>
        </w:rPr>
        <w:t>supra</w:t>
      </w:r>
      <w:r w:rsidRPr="00E95958">
        <w:t xml:space="preserve"> note 1, at art 2. </w:t>
      </w:r>
      <w:r w:rsidRPr="00E95958">
        <w:tab/>
      </w:r>
    </w:p>
  </w:endnote>
  <w:endnote w:id="10">
    <w:p w14:paraId="54C6B23F" w14:textId="77777777" w:rsidR="002772C9" w:rsidRPr="00E95958" w:rsidRDefault="002772C9" w:rsidP="00D826BE">
      <w:pPr>
        <w:pStyle w:val="EndnoteText"/>
        <w:ind w:left="-225" w:hanging="135"/>
        <w:rPr>
          <w:smallCaps/>
        </w:rPr>
      </w:pPr>
      <w:r w:rsidRPr="00E95958">
        <w:rPr>
          <w:vertAlign w:val="superscript"/>
        </w:rPr>
        <w:endnoteRef/>
      </w:r>
      <w:r w:rsidRPr="00E95958">
        <w:t xml:space="preserve"> </w:t>
      </w:r>
      <w:r w:rsidRPr="00E95958">
        <w:rPr>
          <w:smallCaps/>
        </w:rPr>
        <w:t xml:space="preserve">United Nations Population Fund (UNFPA), UN Women, World Health Organization (WHO), United Nations Development Programme (UNDP), </w:t>
      </w:r>
      <w:r w:rsidRPr="00E95958">
        <w:t>and</w:t>
      </w:r>
      <w:r w:rsidRPr="00E95958">
        <w:rPr>
          <w:smallCaps/>
        </w:rPr>
        <w:t xml:space="preserve"> United Nations Office on Drugs and Crime (UNODC), Essential Services for Women and Girls Subject to Violence (Module 1) 19 (2015), </w:t>
      </w:r>
      <w:hyperlink r:id="rId6">
        <w:r w:rsidRPr="00E95958">
          <w:rPr>
            <w:color w:val="0000FF" w:themeColor="hyperlink"/>
            <w:kern w:val="2"/>
            <w:u w:val="single"/>
          </w:rPr>
          <w:t>http://www.unfpa.org/publications/essential-services-package-women-and-girls-subject-violence</w:t>
        </w:r>
      </w:hyperlink>
      <w:r w:rsidRPr="00E95958">
        <w:t xml:space="preserve"> [hereinafter </w:t>
      </w:r>
      <w:r w:rsidRPr="00E95958">
        <w:rPr>
          <w:smallCaps/>
        </w:rPr>
        <w:t xml:space="preserve">Essential Services for Women and Girls Subject to Violence]. </w:t>
      </w:r>
    </w:p>
  </w:endnote>
  <w:endnote w:id="11">
    <w:p w14:paraId="65B1062F" w14:textId="167DA6DB" w:rsidR="002772C9" w:rsidRPr="00E95958" w:rsidRDefault="002772C9" w:rsidP="00D826BE">
      <w:pPr>
        <w:pStyle w:val="EndnoteText"/>
        <w:ind w:left="-225" w:hanging="135"/>
      </w:pPr>
      <w:r w:rsidRPr="00E95958">
        <w:rPr>
          <w:vertAlign w:val="superscript"/>
        </w:rPr>
        <w:endnoteRef/>
      </w:r>
      <w:r w:rsidRPr="00E95958">
        <w:rPr>
          <w:smallCaps/>
        </w:rPr>
        <w:t xml:space="preserve"> Essential Services for Women and Girls Subject to Violence (Module 1),</w:t>
      </w:r>
      <w:r w:rsidRPr="00E95958">
        <w:rPr>
          <w:i/>
        </w:rPr>
        <w:t xml:space="preserve"> supra </w:t>
      </w:r>
      <w:r w:rsidRPr="00E95958">
        <w:t xml:space="preserve">note 9, at 19. </w:t>
      </w:r>
    </w:p>
  </w:endnote>
  <w:endnote w:id="12">
    <w:p w14:paraId="5347171C" w14:textId="77777777" w:rsidR="002772C9" w:rsidRPr="00E95958" w:rsidRDefault="002772C9" w:rsidP="00D826BE">
      <w:pPr>
        <w:pStyle w:val="EndnoteText"/>
        <w:ind w:left="-135" w:hanging="225"/>
      </w:pPr>
      <w:r w:rsidRPr="00E95958">
        <w:rPr>
          <w:vertAlign w:val="superscript"/>
        </w:rPr>
        <w:endnoteRef/>
      </w:r>
      <w:r w:rsidRPr="00E95958">
        <w:t xml:space="preserve"> </w:t>
      </w:r>
      <w:r w:rsidRPr="00E95958">
        <w:rPr>
          <w:i/>
        </w:rPr>
        <w:t>See</w:t>
      </w:r>
      <w:r w:rsidRPr="00E95958">
        <w:t xml:space="preserve"> Rashida Manjoo (Special Rapporteur on Violence Against Women), </w:t>
      </w:r>
      <w:r w:rsidRPr="00E95958">
        <w:rPr>
          <w:i/>
        </w:rPr>
        <w:t>Report of the Special Rapporteur on Violence against Women, Its Causes and Consequences: Women with Disabilities</w:t>
      </w:r>
      <w:r w:rsidRPr="00E95958">
        <w:t xml:space="preserve">, para. 31, U.N. Doc. A/67/227 (Aug. 3, 2012), </w:t>
      </w:r>
      <w:hyperlink r:id="rId7">
        <w:r w:rsidRPr="00E95958">
          <w:rPr>
            <w:rStyle w:val="Hyperlink"/>
          </w:rPr>
          <w:t>http://undocs.org/A/67/227</w:t>
        </w:r>
      </w:hyperlink>
      <w:r w:rsidRPr="00E95958">
        <w:t xml:space="preserve"> [hereinafter </w:t>
      </w:r>
      <w:r w:rsidRPr="00E95958">
        <w:rPr>
          <w:i/>
        </w:rPr>
        <w:t>Report of the Special Rapporteur on Violence against Women with Disabilities</w:t>
      </w:r>
      <w:r w:rsidRPr="00E95958">
        <w:t xml:space="preserve">]; Office of the United Nations High Commissioner for Human Rights (OHCHR), </w:t>
      </w:r>
      <w:r w:rsidRPr="00E95958">
        <w:rPr>
          <w:i/>
        </w:rPr>
        <w:t>Thematic Study on the Issue of Violence Against Women and Girls and Disability</w:t>
      </w:r>
      <w:r w:rsidRPr="00E95958">
        <w:t xml:space="preserve">, para. 37, U.N. Doc. A/HRC/20/5 (Mar. 30 2012). </w:t>
      </w:r>
      <w:hyperlink r:id="rId8">
        <w:r w:rsidRPr="00E95958">
          <w:rPr>
            <w:rStyle w:val="Hyperlink"/>
          </w:rPr>
          <w:t>http://www2.ohchr.org/english/issues/women/docs/A.HRC.20.5.pdf</w:t>
        </w:r>
      </w:hyperlink>
    </w:p>
  </w:endnote>
  <w:endnote w:id="13">
    <w:p w14:paraId="694E656F" w14:textId="77777777" w:rsidR="002772C9" w:rsidRPr="00E95958" w:rsidRDefault="002772C9" w:rsidP="00E95958">
      <w:pPr>
        <w:pStyle w:val="EndnoteText"/>
        <w:ind w:left="-153" w:hanging="207"/>
      </w:pPr>
      <w:r w:rsidRPr="00E95958">
        <w:rPr>
          <w:vertAlign w:val="superscript"/>
        </w:rPr>
        <w:endnoteRef/>
      </w:r>
      <w:r w:rsidRPr="00E95958">
        <w:t xml:space="preserve"> </w:t>
      </w:r>
      <w:r w:rsidRPr="00E95958">
        <w:rPr>
          <w:smallCaps/>
        </w:rPr>
        <w:t>Carolyn Frohmader and Stephanie Ortoleva, Issues Paper: The Sexual and Reproductive Rights of Women and Girls with Disabilities</w:t>
      </w:r>
      <w:r w:rsidRPr="00E95958">
        <w:t xml:space="preserve"> 7 (July 1, 2013), </w:t>
      </w:r>
      <w:hyperlink r:id="rId9">
        <w:r w:rsidRPr="00E95958">
          <w:rPr>
            <w:rStyle w:val="Hyperlink"/>
          </w:rPr>
          <w:t>http://womenenabled.org/pdfs/issues_paper_srr_women_and_girls_with_disabilities_final.pdf</w:t>
        </w:r>
      </w:hyperlink>
      <w:r w:rsidRPr="00E95958">
        <w:t xml:space="preserve">. </w:t>
      </w:r>
    </w:p>
  </w:endnote>
  <w:endnote w:id="14">
    <w:p w14:paraId="44E6F587" w14:textId="049BBA26" w:rsidR="002772C9" w:rsidRPr="00E95958" w:rsidRDefault="002772C9" w:rsidP="00E95958">
      <w:pPr>
        <w:pStyle w:val="EndnoteText"/>
        <w:ind w:left="-153" w:hanging="207"/>
      </w:pPr>
      <w:r w:rsidRPr="00E95958">
        <w:rPr>
          <w:vertAlign w:val="superscript"/>
        </w:rPr>
        <w:endnoteRef/>
      </w:r>
      <w:r w:rsidRPr="00E95958">
        <w:t xml:space="preserve"> </w:t>
      </w:r>
      <w:r w:rsidRPr="00E95958">
        <w:rPr>
          <w:i/>
        </w:rPr>
        <w:t>Report of the Special Rapporteur on Violence against Women with Disabilities</w:t>
      </w:r>
      <w:r w:rsidRPr="00E95958">
        <w:t xml:space="preserve">, </w:t>
      </w:r>
      <w:r w:rsidRPr="00E95958">
        <w:rPr>
          <w:i/>
        </w:rPr>
        <w:t>supra</w:t>
      </w:r>
      <w:r w:rsidRPr="00E95958">
        <w:t xml:space="preserve"> note 11, paras. 34, 43.</w:t>
      </w:r>
    </w:p>
  </w:endnote>
  <w:endnote w:id="15">
    <w:p w14:paraId="4376F266" w14:textId="25C60134" w:rsidR="002772C9" w:rsidRPr="00E95958" w:rsidRDefault="002772C9" w:rsidP="00E95958">
      <w:pPr>
        <w:pStyle w:val="EndnoteText"/>
        <w:ind w:left="-153" w:hanging="207"/>
      </w:pPr>
      <w:r w:rsidRPr="00E95958">
        <w:rPr>
          <w:vertAlign w:val="superscript"/>
        </w:rPr>
        <w:endnoteRef/>
      </w:r>
      <w:r w:rsidRPr="00E95958">
        <w:t xml:space="preserve"> </w:t>
      </w:r>
      <w:r w:rsidRPr="00E95958">
        <w:rPr>
          <w:i/>
        </w:rPr>
        <w:t>Report of the Special Rapporteur on Violence against Women with Disabilities</w:t>
      </w:r>
      <w:r w:rsidRPr="00E95958">
        <w:t xml:space="preserve">, </w:t>
      </w:r>
      <w:r w:rsidRPr="00E95958">
        <w:rPr>
          <w:i/>
        </w:rPr>
        <w:t>supra</w:t>
      </w:r>
      <w:r w:rsidRPr="00E95958">
        <w:t xml:space="preserve"> note 11, paras. 34, 41-45; Karen Hughes, Mark A Bellis, Lisa Jones, Sara Wood, Geoff Bates, Lindsay Eckley, Ellie McCoy, Christopher Mikton, Tom Shakespeare, &amp; Alana Officer</w:t>
      </w:r>
      <w:r w:rsidRPr="00E95958">
        <w:rPr>
          <w:i/>
        </w:rPr>
        <w:t>, Prevalence and risk of violence against adults with disabilities: a systematic review and meta-analysis of observational studies,</w:t>
      </w:r>
      <w:r w:rsidRPr="00E95958">
        <w:rPr>
          <w:rFonts w:ascii="MS Gothic" w:eastAsia="MS Gothic" w:hAnsi="MS Gothic" w:cs="MS Gothic" w:hint="eastAsia"/>
          <w:i/>
        </w:rPr>
        <w:t> </w:t>
      </w:r>
      <w:r w:rsidRPr="00E95958">
        <w:t xml:space="preserve">379 </w:t>
      </w:r>
      <w:r w:rsidRPr="00E95958">
        <w:rPr>
          <w:smallCaps/>
        </w:rPr>
        <w:t>The Lancet</w:t>
      </w:r>
      <w:r w:rsidRPr="00E95958">
        <w:rPr>
          <w:i/>
        </w:rPr>
        <w:t xml:space="preserve"> </w:t>
      </w:r>
      <w:r w:rsidRPr="00E95958">
        <w:t>1621,</w:t>
      </w:r>
      <w:r w:rsidRPr="00E95958">
        <w:rPr>
          <w:i/>
        </w:rPr>
        <w:t xml:space="preserve"> </w:t>
      </w:r>
      <w:r w:rsidRPr="00E95958">
        <w:t xml:space="preserve">1626-28 (Feb. 28, 2012). </w:t>
      </w:r>
    </w:p>
  </w:endnote>
  <w:endnote w:id="16">
    <w:p w14:paraId="5FEC320C" w14:textId="205B1178" w:rsidR="002772C9" w:rsidRPr="00E95958" w:rsidRDefault="002772C9" w:rsidP="00E95958">
      <w:pPr>
        <w:pStyle w:val="EndnoteText"/>
        <w:ind w:left="-153" w:hanging="207"/>
        <w:rPr>
          <w:i/>
        </w:rPr>
      </w:pPr>
      <w:r w:rsidRPr="00E95958">
        <w:rPr>
          <w:vertAlign w:val="superscript"/>
        </w:rPr>
        <w:endnoteRef/>
      </w:r>
      <w:r w:rsidRPr="00E95958">
        <w:t xml:space="preserve"> </w:t>
      </w:r>
      <w:r w:rsidRPr="00E95958">
        <w:rPr>
          <w:smallCaps/>
        </w:rPr>
        <w:t>Human Rights Watch, “As if we weren’t human”: Discrimination and Violence Against Women with Disabilities in Northern Uganda</w:t>
      </w:r>
      <w:r w:rsidRPr="00E95958">
        <w:rPr>
          <w:i/>
        </w:rPr>
        <w:t xml:space="preserve"> </w:t>
      </w:r>
      <w:r w:rsidRPr="00E95958">
        <w:t>(2010),</w:t>
      </w:r>
      <w:r w:rsidRPr="00E95958">
        <w:rPr>
          <w:i/>
        </w:rPr>
        <w:t xml:space="preserve"> </w:t>
      </w:r>
      <w:hyperlink r:id="rId10">
        <w:r w:rsidRPr="00E95958">
          <w:rPr>
            <w:rStyle w:val="Hyperlink"/>
          </w:rPr>
          <w:t>https://www.hrw.org/report/2010/08/26/if-we-werent-human/discrimination-and-violence-against-women-disabilities-northern</w:t>
        </w:r>
      </w:hyperlink>
      <w:r w:rsidRPr="00E95958">
        <w:t xml:space="preserve">; </w:t>
      </w:r>
      <w:r w:rsidRPr="00E95958">
        <w:rPr>
          <w:smallCaps/>
        </w:rPr>
        <w:t>Women’s Refugee Commission, Gender-based Violence Among Displaced Women and Girls: Findings from Field Visits 2011-2012</w:t>
      </w:r>
      <w:r w:rsidRPr="00E95958">
        <w:rPr>
          <w:i/>
        </w:rPr>
        <w:t xml:space="preserve"> </w:t>
      </w:r>
      <w:r w:rsidRPr="00E95958">
        <w:t>(Feb. 25, 2013)</w:t>
      </w:r>
      <w:r w:rsidRPr="00E95958">
        <w:rPr>
          <w:i/>
        </w:rPr>
        <w:t xml:space="preserve">, </w:t>
      </w:r>
      <w:hyperlink r:id="rId11" w:history="1">
        <w:r w:rsidRPr="00E95958">
          <w:rPr>
            <w:rStyle w:val="Hyperlink"/>
          </w:rPr>
          <w:t>https://www.womensrefugeecommission.org/images/zdocs/GBV_and_disability_field_visit_findings_022513.pdf</w:t>
        </w:r>
      </w:hyperlink>
    </w:p>
  </w:endnote>
  <w:endnote w:id="17">
    <w:p w14:paraId="0348DC0B" w14:textId="4BE61D39" w:rsidR="002772C9" w:rsidRPr="00E95958" w:rsidRDefault="002772C9" w:rsidP="00E95958">
      <w:pPr>
        <w:pStyle w:val="EndnoteText"/>
        <w:ind w:left="-153" w:hanging="207"/>
      </w:pPr>
      <w:r w:rsidRPr="00E95958">
        <w:rPr>
          <w:vertAlign w:val="superscript"/>
        </w:rPr>
        <w:endnoteRef/>
      </w:r>
      <w:r w:rsidRPr="00E95958">
        <w:t xml:space="preserve"> </w:t>
      </w:r>
      <w:r w:rsidRPr="00E95958">
        <w:rPr>
          <w:smallCaps/>
        </w:rPr>
        <w:t>International Women’s Health Coalition, Sexual &amp; Reproductive Health &amp; Rights: What Does an Essential Package of Policies and Programs Look Like</w:t>
      </w:r>
      <w:r w:rsidRPr="00E95958">
        <w:t xml:space="preserve">? (April 2012), </w:t>
      </w:r>
      <w:hyperlink r:id="rId12" w:history="1">
        <w:r w:rsidRPr="00E95958">
          <w:rPr>
            <w:rStyle w:val="Hyperlink"/>
          </w:rPr>
          <w:t>https://iwhc.org/wp-content/uploads/2013/11/essential-package-sexual-reproductive-health-rights.pdf</w:t>
        </w:r>
      </w:hyperlink>
    </w:p>
  </w:endnote>
  <w:endnote w:id="18">
    <w:p w14:paraId="353DD495" w14:textId="77777777" w:rsidR="002772C9" w:rsidRPr="00E95958" w:rsidRDefault="002772C9" w:rsidP="00E95958">
      <w:pPr>
        <w:pStyle w:val="EndnoteText"/>
        <w:ind w:left="-153" w:hanging="207"/>
      </w:pPr>
      <w:r w:rsidRPr="00E95958">
        <w:rPr>
          <w:vertAlign w:val="superscript"/>
        </w:rPr>
        <w:endnoteRef/>
      </w:r>
      <w:r w:rsidRPr="00E95958">
        <w:t xml:space="preserve"> Programme of Action of the International Conference on Population and Development, paras. 7.6, 8.25, 13.14(b), U.N. Doc. A/ CONF.171/13/Rev.1 (Sept. 5-13, 1994) [hereinafter ICPD Programme of Action].</w:t>
      </w:r>
    </w:p>
  </w:endnote>
  <w:endnote w:id="19">
    <w:p w14:paraId="0D9E4F3E" w14:textId="5B8E52F3" w:rsidR="002772C9" w:rsidRPr="00E95958" w:rsidRDefault="002772C9" w:rsidP="00E95958">
      <w:pPr>
        <w:pStyle w:val="EndnoteText"/>
        <w:ind w:left="-153" w:hanging="207"/>
        <w:rPr>
          <w:smallCaps/>
        </w:rPr>
      </w:pPr>
      <w:r w:rsidRPr="00E95958">
        <w:rPr>
          <w:rStyle w:val="EndnoteReference"/>
        </w:rPr>
        <w:endnoteRef/>
      </w:r>
      <w:r w:rsidRPr="00E95958">
        <w:t xml:space="preserve"> </w:t>
      </w:r>
      <w:r w:rsidRPr="00E95958">
        <w:rPr>
          <w:i/>
        </w:rPr>
        <w:t>See</w:t>
      </w:r>
      <w:r w:rsidRPr="00E95958">
        <w:t xml:space="preserve"> </w:t>
      </w:r>
      <w:r w:rsidRPr="00E95958">
        <w:rPr>
          <w:smallCaps/>
        </w:rPr>
        <w:t xml:space="preserve">Guttamacher Institute, Fact Sheet: Induced Abortion Worldwide </w:t>
      </w:r>
      <w:r w:rsidRPr="00E95958">
        <w:t xml:space="preserve">(Mar. 2018), </w:t>
      </w:r>
      <w:hyperlink r:id="rId13" w:history="1">
        <w:r w:rsidRPr="00E95958">
          <w:rPr>
            <w:rStyle w:val="Hyperlink"/>
            <w:iCs/>
          </w:rPr>
          <w:t>https://www.guttmacher.org/fact-sheet/induced-abortion-worldwide</w:t>
        </w:r>
      </w:hyperlink>
    </w:p>
  </w:endnote>
  <w:endnote w:id="20">
    <w:p w14:paraId="103806A6" w14:textId="77777777" w:rsidR="002772C9" w:rsidRPr="00E95958" w:rsidRDefault="002772C9" w:rsidP="00E95958">
      <w:pPr>
        <w:pStyle w:val="EndnoteText"/>
        <w:ind w:left="-153" w:hanging="207"/>
      </w:pPr>
      <w:r w:rsidRPr="00E95958">
        <w:rPr>
          <w:vertAlign w:val="superscript"/>
        </w:rPr>
        <w:endnoteRef/>
      </w:r>
      <w:r w:rsidRPr="00E95958">
        <w:t xml:space="preserve"> </w:t>
      </w:r>
      <w:r w:rsidRPr="00E95958">
        <w:rPr>
          <w:smallCaps/>
        </w:rPr>
        <w:t xml:space="preserve">Frohmader &amp; Ortoleva, Issues Paper: The Sexual and Reproductive Rights of Women and Girls with Disabilities, </w:t>
      </w:r>
      <w:r w:rsidRPr="00E95958">
        <w:rPr>
          <w:i/>
        </w:rPr>
        <w:t>supra</w:t>
      </w:r>
      <w:r w:rsidRPr="00E95958">
        <w:t xml:space="preserve"> note 12, at 3-4. </w:t>
      </w:r>
    </w:p>
  </w:endnote>
  <w:endnote w:id="21">
    <w:p w14:paraId="5063BBA3" w14:textId="77777777" w:rsidR="002772C9" w:rsidRPr="00E95958" w:rsidRDefault="002772C9" w:rsidP="00E95958">
      <w:pPr>
        <w:pStyle w:val="EndnoteText"/>
        <w:ind w:left="-153" w:hanging="207"/>
      </w:pPr>
      <w:r w:rsidRPr="00E95958">
        <w:rPr>
          <w:vertAlign w:val="superscript"/>
        </w:rPr>
        <w:endnoteRef/>
      </w:r>
      <w:r w:rsidRPr="00E95958">
        <w:t xml:space="preserve"> </w:t>
      </w:r>
      <w:r w:rsidRPr="00E95958">
        <w:rPr>
          <w:smallCaps/>
        </w:rPr>
        <w:t>Stephanie Ortoleva and Hope Lewis, Forgotten Sisters: A Report on Violence Against Women with Disabilities: An Overview of its Nature, Scope, Causes and Consequences</w:t>
      </w:r>
      <w:r w:rsidRPr="00E95958">
        <w:rPr>
          <w:i/>
        </w:rPr>
        <w:t xml:space="preserve"> </w:t>
      </w:r>
      <w:r w:rsidRPr="00E95958">
        <w:t xml:space="preserve">(2012), </w:t>
      </w:r>
      <w:hyperlink r:id="rId14">
        <w:r w:rsidRPr="00F3261F">
          <w:rPr>
            <w:rStyle w:val="Hyperlink"/>
            <w:rFonts w:cs="Times New Roman"/>
          </w:rPr>
          <w:t>http://womenenabled.org/pdfs/Ortoleva%20Stephanie%20%20Lewis%20Hope%20et%20al%20Forgotten%20Sisters%20%20A%20Report%20on%20ViolenceAgainst%20Women%20%20Girls%20with%20Disabilities%20August%2020%202012.pdf?attredirects=0</w:t>
        </w:r>
      </w:hyperlink>
      <w:r w:rsidRPr="00E95958">
        <w:t xml:space="preserve"> [hereinafter </w:t>
      </w:r>
      <w:r w:rsidRPr="00E95958">
        <w:rPr>
          <w:smallCaps/>
        </w:rPr>
        <w:t>Forgotten Sisters</w:t>
      </w:r>
      <w:r w:rsidRPr="00E95958">
        <w:t>].</w:t>
      </w:r>
    </w:p>
  </w:endnote>
  <w:endnote w:id="22">
    <w:p w14:paraId="1D2231EF" w14:textId="77777777" w:rsidR="002772C9" w:rsidRPr="00E95958" w:rsidRDefault="002772C9" w:rsidP="00E95958">
      <w:pPr>
        <w:pStyle w:val="EndnoteText"/>
        <w:ind w:left="-153" w:hanging="207"/>
      </w:pPr>
      <w:r w:rsidRPr="00E95958">
        <w:rPr>
          <w:vertAlign w:val="superscript"/>
        </w:rPr>
        <w:endnoteRef/>
      </w:r>
      <w:r w:rsidRPr="00E95958">
        <w:t xml:space="preserve"> </w:t>
      </w:r>
      <w:r w:rsidRPr="00E95958">
        <w:rPr>
          <w:smallCaps/>
        </w:rPr>
        <w:t xml:space="preserve">Frohmader &amp; Ortoleva, Issues Paper: The Sexual and Reproductive Rights of Women and Girls with Disabilities, </w:t>
      </w:r>
      <w:r w:rsidRPr="00E95958">
        <w:rPr>
          <w:i/>
        </w:rPr>
        <w:t>supra</w:t>
      </w:r>
      <w:r w:rsidRPr="00E95958">
        <w:t xml:space="preserve"> note 12, at 5-6.  </w:t>
      </w:r>
    </w:p>
  </w:endnote>
  <w:endnote w:id="23">
    <w:p w14:paraId="43E26FDF" w14:textId="77777777" w:rsidR="002772C9" w:rsidRPr="00E95958" w:rsidRDefault="002772C9" w:rsidP="00E95958">
      <w:pPr>
        <w:pStyle w:val="EndnoteText"/>
        <w:ind w:left="-153" w:hanging="207"/>
      </w:pPr>
      <w:r w:rsidRPr="00E95958">
        <w:rPr>
          <w:vertAlign w:val="superscript"/>
        </w:rPr>
        <w:endnoteRef/>
      </w:r>
      <w:r w:rsidRPr="00E95958">
        <w:t xml:space="preserve"> </w:t>
      </w:r>
      <w:r w:rsidRPr="00E95958">
        <w:rPr>
          <w:smallCaps/>
        </w:rPr>
        <w:t>Women’s Refugee Commission</w:t>
      </w:r>
      <w:r w:rsidRPr="00E95958">
        <w:t xml:space="preserve">, </w:t>
      </w:r>
      <w:r w:rsidRPr="00E95958">
        <w:rPr>
          <w:smallCaps/>
        </w:rPr>
        <w:t>Disabilities Among Refugee and Conflict-affected populations</w:t>
      </w:r>
      <w:r w:rsidRPr="00E95958">
        <w:rPr>
          <w:i/>
        </w:rPr>
        <w:t xml:space="preserve"> </w:t>
      </w:r>
      <w:r w:rsidRPr="00E95958">
        <w:t>(2010),</w:t>
      </w:r>
      <w:r w:rsidRPr="00E95958">
        <w:rPr>
          <w:i/>
        </w:rPr>
        <w:t xml:space="preserve"> </w:t>
      </w:r>
      <w:hyperlink r:id="rId15">
        <w:r w:rsidRPr="00E95958">
          <w:rPr>
            <w:rStyle w:val="Hyperlink"/>
          </w:rPr>
          <w:t>https://www.womensrefugeecommission.org/resources/document/609-disabilities-among-refugees-and-conflict-affected-populations</w:t>
        </w:r>
      </w:hyperlink>
      <w:r w:rsidRPr="00E95958">
        <w:rPr>
          <w:i/>
        </w:rPr>
        <w:t>.</w:t>
      </w:r>
    </w:p>
  </w:endnote>
  <w:endnote w:id="24">
    <w:p w14:paraId="1CBD022A" w14:textId="77777777" w:rsidR="002772C9" w:rsidRPr="00E95958" w:rsidRDefault="002772C9" w:rsidP="00E95958">
      <w:pPr>
        <w:pStyle w:val="EndnoteText"/>
        <w:ind w:left="-153" w:hanging="207"/>
      </w:pPr>
      <w:r w:rsidRPr="00E95958">
        <w:rPr>
          <w:vertAlign w:val="superscript"/>
        </w:rPr>
        <w:endnoteRef/>
      </w:r>
      <w:r w:rsidRPr="00E95958">
        <w:t xml:space="preserve"> Monika Mitra, et. al, </w:t>
      </w:r>
      <w:r w:rsidRPr="00E95958">
        <w:rPr>
          <w:i/>
        </w:rPr>
        <w:t>Prevalence and Characteristics of Sexual Violence against Men with Disabilities,</w:t>
      </w:r>
      <w:r w:rsidRPr="00E95958">
        <w:t xml:space="preserve"> 50(3) </w:t>
      </w:r>
      <w:r w:rsidRPr="00E95958">
        <w:rPr>
          <w:smallCaps/>
        </w:rPr>
        <w:t>Am. J. Prev. Med.</w:t>
      </w:r>
      <w:r w:rsidRPr="00E95958">
        <w:t xml:space="preserve"> 311, 314-16 (Mar. 2016) [hereinafter </w:t>
      </w:r>
      <w:r w:rsidRPr="00E95958">
        <w:rPr>
          <w:i/>
        </w:rPr>
        <w:t>Violence against Men with Disabilities</w:t>
      </w:r>
      <w:r w:rsidRPr="00E95958">
        <w:t xml:space="preserve">]  </w:t>
      </w:r>
    </w:p>
  </w:endnote>
  <w:endnote w:id="25">
    <w:p w14:paraId="1A08BFEE" w14:textId="7E7748E0" w:rsidR="002772C9" w:rsidRPr="00E95958" w:rsidRDefault="002772C9" w:rsidP="00E95958">
      <w:pPr>
        <w:pStyle w:val="EndnoteText"/>
        <w:ind w:left="-153" w:hanging="207"/>
        <w:rPr>
          <w:i/>
        </w:rPr>
      </w:pPr>
      <w:r w:rsidRPr="00E95958">
        <w:rPr>
          <w:rStyle w:val="EndnoteReference"/>
        </w:rPr>
        <w:endnoteRef/>
      </w:r>
      <w:r w:rsidRPr="00E95958">
        <w:t xml:space="preserve"> </w:t>
      </w:r>
      <w:r w:rsidRPr="00E95958">
        <w:rPr>
          <w:i/>
        </w:rPr>
        <w:t xml:space="preserve">See </w:t>
      </w:r>
      <w:r w:rsidRPr="00E95958">
        <w:t xml:space="preserve">Allison Hastings &amp; Sandra Harrellet, Vera Institute of Justice, Sexual Victimization of Men with Disabilities and Deaf Men: A National Snapshot  (Oct. 2017), </w:t>
      </w:r>
      <w:hyperlink r:id="rId16" w:history="1">
        <w:r w:rsidRPr="00E95958">
          <w:rPr>
            <w:rStyle w:val="Hyperlink"/>
          </w:rPr>
          <w:t>https://www.vera.org/publications/measuring-capacity-to-serve-survivors-with-disabilities</w:t>
        </w:r>
      </w:hyperlink>
    </w:p>
  </w:endnote>
  <w:endnote w:id="26">
    <w:p w14:paraId="5F133459" w14:textId="77777777" w:rsidR="002772C9" w:rsidRPr="00E95958" w:rsidRDefault="002772C9" w:rsidP="00E95958">
      <w:pPr>
        <w:pStyle w:val="EndnoteText"/>
        <w:ind w:left="-153" w:hanging="207"/>
      </w:pPr>
      <w:r w:rsidRPr="00E95958">
        <w:rPr>
          <w:vertAlign w:val="superscript"/>
        </w:rPr>
        <w:endnoteRef/>
      </w:r>
      <w:r w:rsidRPr="00E95958">
        <w:t xml:space="preserve"> </w:t>
      </w:r>
      <w:r w:rsidRPr="00E95958">
        <w:rPr>
          <w:smallCaps/>
        </w:rPr>
        <w:t>Essential Services for Women and Girls Subject to Violence (Module 1),</w:t>
      </w:r>
      <w:r w:rsidRPr="00E95958">
        <w:rPr>
          <w:i/>
        </w:rPr>
        <w:t xml:space="preserve"> supra </w:t>
      </w:r>
      <w:r w:rsidRPr="00E95958">
        <w:t xml:space="preserve">note 9, at 13.  </w:t>
      </w:r>
    </w:p>
  </w:endnote>
  <w:endnote w:id="27">
    <w:p w14:paraId="7ECC1B5C" w14:textId="77777777" w:rsidR="002772C9" w:rsidRPr="00E95958" w:rsidRDefault="002772C9" w:rsidP="00E95958">
      <w:pPr>
        <w:pStyle w:val="EndnoteText"/>
        <w:ind w:left="-153" w:hanging="207"/>
        <w:rPr>
          <w:smallCaps/>
        </w:rPr>
      </w:pPr>
      <w:r w:rsidRPr="00E95958">
        <w:rPr>
          <w:vertAlign w:val="superscript"/>
        </w:rPr>
        <w:endnoteRef/>
      </w:r>
      <w:r w:rsidRPr="00E95958">
        <w:t xml:space="preserve"> </w:t>
      </w:r>
      <w:r w:rsidRPr="00E95958">
        <w:rPr>
          <w:smallCaps/>
        </w:rPr>
        <w:t>Essential Services for Women and Girls Subject to Violence (Module 1),</w:t>
      </w:r>
      <w:r w:rsidRPr="00E95958">
        <w:rPr>
          <w:i/>
        </w:rPr>
        <w:t xml:space="preserve"> supra </w:t>
      </w:r>
      <w:r w:rsidRPr="00E95958">
        <w:t xml:space="preserve">note 9, at 13. </w:t>
      </w:r>
    </w:p>
  </w:endnote>
  <w:endnote w:id="28">
    <w:p w14:paraId="0684C1DF" w14:textId="054F7741" w:rsidR="002772C9" w:rsidRPr="00E95958" w:rsidRDefault="002772C9" w:rsidP="00E95958">
      <w:pPr>
        <w:pStyle w:val="EndnoteText"/>
        <w:ind w:left="-153" w:hanging="207"/>
      </w:pPr>
      <w:r w:rsidRPr="00E95958">
        <w:rPr>
          <w:vertAlign w:val="superscript"/>
        </w:rPr>
        <w:endnoteRef/>
      </w:r>
      <w:r w:rsidRPr="00E95958">
        <w:t xml:space="preserve"> UNFPA and WHO, </w:t>
      </w:r>
      <w:r w:rsidRPr="00E95958">
        <w:rPr>
          <w:smallCaps/>
        </w:rPr>
        <w:t xml:space="preserve">Promoting Sexual and Reproductive Health for Persons with Disabilities </w:t>
      </w:r>
      <w:r w:rsidRPr="00E95958">
        <w:t xml:space="preserve">11 (2009), </w:t>
      </w:r>
      <w:hyperlink r:id="rId17">
        <w:r w:rsidRPr="00E95958">
          <w:rPr>
            <w:rStyle w:val="Hyperlink"/>
          </w:rPr>
          <w:t>http://www.unfpa.org/publications/promoting-sexual-and-reproductive-health-persons-disabilities</w:t>
        </w:r>
      </w:hyperlink>
      <w:r w:rsidRPr="00E95958">
        <w:t xml:space="preserve"> [hereinafter </w:t>
      </w:r>
      <w:r w:rsidRPr="00E95958">
        <w:rPr>
          <w:smallCaps/>
        </w:rPr>
        <w:t>Promoting Sexual and Reproductive Health for Persons with Disabilities].</w:t>
      </w:r>
    </w:p>
  </w:endnote>
  <w:endnote w:id="29">
    <w:p w14:paraId="52309513" w14:textId="73F0A041" w:rsidR="002772C9" w:rsidRPr="00E95958" w:rsidRDefault="002772C9" w:rsidP="00E95958">
      <w:pPr>
        <w:pStyle w:val="EndnoteText"/>
        <w:ind w:left="-153" w:hanging="207"/>
      </w:pPr>
      <w:r w:rsidRPr="00E95958">
        <w:rPr>
          <w:vertAlign w:val="superscript"/>
        </w:rPr>
        <w:endnoteRef/>
      </w:r>
      <w:r w:rsidRPr="00E95958">
        <w:t xml:space="preserve"> </w:t>
      </w:r>
      <w:r w:rsidRPr="00E95958">
        <w:rPr>
          <w:smallCaps/>
        </w:rPr>
        <w:t xml:space="preserve">Promoting Sexual and Reproductive Health for Persons with Disabilities, </w:t>
      </w:r>
      <w:r w:rsidRPr="00E95958">
        <w:rPr>
          <w:i/>
        </w:rPr>
        <w:t xml:space="preserve">supra </w:t>
      </w:r>
      <w:r w:rsidRPr="00E95958">
        <w:t xml:space="preserve">note 26, at 11. </w:t>
      </w:r>
    </w:p>
  </w:endnote>
  <w:endnote w:id="30">
    <w:p w14:paraId="7B116FBB" w14:textId="77777777" w:rsidR="002772C9" w:rsidRPr="00E95958" w:rsidRDefault="002772C9" w:rsidP="00E95958">
      <w:pPr>
        <w:pStyle w:val="EndnoteText"/>
        <w:ind w:left="-153" w:hanging="207"/>
      </w:pPr>
      <w:r w:rsidRPr="00E95958">
        <w:rPr>
          <w:vertAlign w:val="superscript"/>
        </w:rPr>
        <w:endnoteRef/>
      </w:r>
      <w:r w:rsidRPr="00E95958">
        <w:t xml:space="preserve"> </w:t>
      </w:r>
      <w:r w:rsidRPr="00E95958">
        <w:rPr>
          <w:i/>
        </w:rPr>
        <w:t>Violence against Men with Disabilities</w:t>
      </w:r>
      <w:r w:rsidRPr="00E95958">
        <w:rPr>
          <w:smallCaps/>
        </w:rPr>
        <w:t xml:space="preserve">, </w:t>
      </w:r>
      <w:r w:rsidRPr="00E95958">
        <w:t xml:space="preserve">supra note 27, at 314-16; </w:t>
      </w:r>
      <w:r w:rsidRPr="00E95958">
        <w:rPr>
          <w:iCs/>
          <w:smallCaps/>
        </w:rPr>
        <w:t>Vera Institute, Sexual Victimization of Men with Disabilities and Deaf Men</w:t>
      </w:r>
      <w:r w:rsidRPr="00E95958">
        <w:rPr>
          <w:i/>
        </w:rPr>
        <w:t xml:space="preserve"> supra </w:t>
      </w:r>
      <w:r w:rsidRPr="00E95958">
        <w:t xml:space="preserve">note 28, at 3-4. </w:t>
      </w:r>
    </w:p>
  </w:endnote>
  <w:endnote w:id="31">
    <w:p w14:paraId="66F852CD" w14:textId="77777777" w:rsidR="002772C9" w:rsidRPr="00E95958" w:rsidRDefault="002772C9" w:rsidP="00E95958">
      <w:pPr>
        <w:pStyle w:val="EndnoteText"/>
        <w:ind w:left="-153" w:hanging="207"/>
      </w:pPr>
      <w:r w:rsidRPr="00E95958">
        <w:rPr>
          <w:rStyle w:val="EndnoteReference"/>
        </w:rPr>
        <w:endnoteRef/>
      </w:r>
      <w:r w:rsidRPr="00E95958">
        <w:t xml:space="preserve"> </w:t>
      </w:r>
      <w:r w:rsidRPr="00E95958">
        <w:rPr>
          <w:iCs/>
          <w:smallCaps/>
        </w:rPr>
        <w:t>Vera Institute, Sexual Victimization of Men with Disabilities and Deaf Men</w:t>
      </w:r>
      <w:r w:rsidRPr="00E95958">
        <w:rPr>
          <w:i/>
        </w:rPr>
        <w:t xml:space="preserve"> supra </w:t>
      </w:r>
      <w:r w:rsidRPr="00E95958">
        <w:t xml:space="preserve">note 28, at 4 (citing </w:t>
      </w:r>
      <w:r w:rsidRPr="00E95958">
        <w:rPr>
          <w:rFonts w:eastAsiaTheme="minorHAnsi"/>
        </w:rPr>
        <w:t xml:space="preserve">Sven Schild &amp; Constance J. Dalenberg, </w:t>
      </w:r>
      <w:r w:rsidRPr="00E95958">
        <w:rPr>
          <w:rFonts w:eastAsiaTheme="minorHAnsi"/>
          <w:i/>
        </w:rPr>
        <w:t xml:space="preserve">Trauma Exposure and Traumatic Symptoms in Deaf Adults, </w:t>
      </w:r>
      <w:r w:rsidRPr="00E95958">
        <w:rPr>
          <w:rFonts w:eastAsiaTheme="minorHAnsi"/>
        </w:rPr>
        <w:t xml:space="preserve">4 </w:t>
      </w:r>
      <w:r w:rsidRPr="00E95958">
        <w:rPr>
          <w:rFonts w:eastAsiaTheme="minorHAnsi"/>
          <w:iCs/>
          <w:smallCaps/>
        </w:rPr>
        <w:t>Psychological Trauma: Theory, Research, Practice, &amp; Policy 117, 117-127 (2012)</w:t>
      </w:r>
      <w:r w:rsidRPr="00E95958">
        <w:t xml:space="preserve">). </w:t>
      </w:r>
    </w:p>
  </w:endnote>
  <w:endnote w:id="32">
    <w:p w14:paraId="5F8D806D" w14:textId="77777777" w:rsidR="002772C9" w:rsidRPr="00E95958" w:rsidRDefault="002772C9" w:rsidP="00E95958">
      <w:pPr>
        <w:pStyle w:val="EndnoteText"/>
        <w:ind w:left="-153" w:hanging="207"/>
        <w:rPr>
          <w:smallCaps/>
        </w:rPr>
      </w:pPr>
      <w:r w:rsidRPr="00E95958">
        <w:rPr>
          <w:vertAlign w:val="superscript"/>
        </w:rPr>
        <w:endnoteRef/>
      </w:r>
      <w:r w:rsidRPr="00E95958">
        <w:t xml:space="preserve"> </w:t>
      </w:r>
      <w:r w:rsidRPr="00E95958">
        <w:rPr>
          <w:i/>
        </w:rPr>
        <w:t xml:space="preserve">See </w:t>
      </w:r>
      <w:r w:rsidRPr="00E95958">
        <w:rPr>
          <w:smallCaps/>
        </w:rPr>
        <w:t>Women’s Refugee Commission, Disability Inclusion: Translating Policy into Practice in Humanitarian Action</w:t>
      </w:r>
      <w:r w:rsidRPr="00E95958">
        <w:t xml:space="preserve"> 12-13 (Mar. 2014), </w:t>
      </w:r>
      <w:hyperlink r:id="rId18">
        <w:r w:rsidRPr="00E95958">
          <w:rPr>
            <w:rStyle w:val="Hyperlink"/>
          </w:rPr>
          <w:t>https://www.womensrefugeecommission.org/disabilities/disability-inclusion</w:t>
        </w:r>
      </w:hyperlink>
      <w:r w:rsidRPr="00E95958">
        <w:t xml:space="preserve">; </w:t>
      </w:r>
      <w:r w:rsidRPr="00E95958">
        <w:rPr>
          <w:smallCaps/>
        </w:rPr>
        <w:t xml:space="preserve">Women’s Refugee Commission (WRC) and International Rescue Committee (IRC), “I See That It Is Possible:” Building Capacity for Disability Inclusion in Gender-based Violence Programming in Humanitarian Settings 12-13 </w:t>
      </w:r>
      <w:r w:rsidRPr="00E95958">
        <w:t xml:space="preserve">(May 2015), </w:t>
      </w:r>
      <w:hyperlink r:id="rId19">
        <w:r w:rsidRPr="00E95958">
          <w:rPr>
            <w:rStyle w:val="Hyperlink"/>
          </w:rPr>
          <w:t>https://www.womensrefugeecommission.org/component/zdocs/document/945-building-capacity-for-disability-inclusion-gender-based-violence-gbv-programming-in-humanitarian-settings</w:t>
        </w:r>
      </w:hyperlink>
      <w:r w:rsidRPr="00E95958">
        <w:t xml:space="preserve"> [hereinafter WRC &amp; IRC, </w:t>
      </w:r>
      <w:r w:rsidRPr="00E95958">
        <w:rPr>
          <w:smallCaps/>
        </w:rPr>
        <w:t xml:space="preserve">“I See That It Is Possible”]. </w:t>
      </w:r>
      <w:r w:rsidRPr="00E95958">
        <w:t xml:space="preserve"> </w:t>
      </w:r>
    </w:p>
  </w:endnote>
  <w:endnote w:id="33">
    <w:p w14:paraId="5284BC66" w14:textId="77777777" w:rsidR="002772C9" w:rsidRPr="00E95958" w:rsidRDefault="002772C9" w:rsidP="00E95958">
      <w:pPr>
        <w:pStyle w:val="EndnoteText"/>
        <w:ind w:left="-153" w:hanging="207"/>
      </w:pPr>
      <w:r w:rsidRPr="00E95958">
        <w:rPr>
          <w:vertAlign w:val="superscript"/>
        </w:rPr>
        <w:endnoteRef/>
      </w:r>
      <w:r w:rsidRPr="00E95958">
        <w:t xml:space="preserve"> </w:t>
      </w:r>
      <w:r w:rsidRPr="00E95958">
        <w:rPr>
          <w:i/>
        </w:rPr>
        <w:t>Violence against Men with Disabilities</w:t>
      </w:r>
      <w:r w:rsidRPr="00E95958">
        <w:rPr>
          <w:smallCaps/>
        </w:rPr>
        <w:t xml:space="preserve">, </w:t>
      </w:r>
      <w:r w:rsidRPr="00E95958">
        <w:t xml:space="preserve">supra note 27, at 317; </w:t>
      </w:r>
      <w:r w:rsidRPr="00E95958">
        <w:rPr>
          <w:smallCaps/>
        </w:rPr>
        <w:t xml:space="preserve">Promoting Sexual and Reproductive Health for Persons with Disabilities, </w:t>
      </w:r>
      <w:r w:rsidRPr="00E95958">
        <w:rPr>
          <w:i/>
        </w:rPr>
        <w:t xml:space="preserve">supra </w:t>
      </w:r>
      <w:r w:rsidRPr="00E95958">
        <w:t>note 24, at 11.</w:t>
      </w:r>
    </w:p>
  </w:endnote>
  <w:endnote w:id="34">
    <w:p w14:paraId="493C76FC" w14:textId="77777777" w:rsidR="002772C9" w:rsidRPr="00E95958" w:rsidRDefault="002772C9" w:rsidP="00E95958">
      <w:pPr>
        <w:pStyle w:val="EndnoteText"/>
        <w:ind w:left="-153" w:hanging="207"/>
        <w:rPr>
          <w:i/>
        </w:rPr>
      </w:pPr>
      <w:r w:rsidRPr="00E95958">
        <w:rPr>
          <w:vertAlign w:val="superscript"/>
        </w:rPr>
        <w:endnoteRef/>
      </w:r>
      <w:r w:rsidRPr="00E95958">
        <w:t xml:space="preserve"> </w:t>
      </w:r>
      <w:r w:rsidRPr="00E95958">
        <w:rPr>
          <w:smallCaps/>
        </w:rPr>
        <w:t xml:space="preserve">Promoting Sexual and Reproductive Health for Persons with Disabilities, </w:t>
      </w:r>
      <w:r w:rsidRPr="00E95958">
        <w:rPr>
          <w:i/>
        </w:rPr>
        <w:t xml:space="preserve">supra </w:t>
      </w:r>
      <w:r w:rsidRPr="00E95958">
        <w:t xml:space="preserve">note 24, at 11. </w:t>
      </w:r>
    </w:p>
  </w:endnote>
  <w:endnote w:id="35">
    <w:p w14:paraId="2FAD8AE6" w14:textId="77777777" w:rsidR="002772C9" w:rsidRPr="00E95958" w:rsidRDefault="002772C9" w:rsidP="00E95958">
      <w:pPr>
        <w:pStyle w:val="EndnoteText"/>
        <w:ind w:left="-153" w:hanging="207"/>
        <w:rPr>
          <w:i/>
        </w:rPr>
      </w:pPr>
      <w:r w:rsidRPr="00E95958">
        <w:rPr>
          <w:vertAlign w:val="superscript"/>
        </w:rPr>
        <w:endnoteRef/>
      </w:r>
      <w:r w:rsidRPr="00E95958">
        <w:t xml:space="preserve"> </w:t>
      </w:r>
      <w:r w:rsidRPr="00E95958">
        <w:rPr>
          <w:smallCaps/>
        </w:rPr>
        <w:t xml:space="preserve">Promoting Sexual and Reproductive Health for Persons with Disabilities, </w:t>
      </w:r>
      <w:r w:rsidRPr="00E95958">
        <w:rPr>
          <w:i/>
        </w:rPr>
        <w:t xml:space="preserve">supra </w:t>
      </w:r>
      <w:r w:rsidRPr="00E95958">
        <w:t xml:space="preserve">note 24, at 11. </w:t>
      </w:r>
    </w:p>
  </w:endnote>
  <w:endnote w:id="36">
    <w:p w14:paraId="2CD3D3BE" w14:textId="77777777" w:rsidR="002772C9" w:rsidRPr="00E95958" w:rsidRDefault="002772C9" w:rsidP="00E95958">
      <w:pPr>
        <w:pStyle w:val="EndnoteText"/>
        <w:ind w:left="-153" w:hanging="207"/>
      </w:pPr>
      <w:r w:rsidRPr="00E95958">
        <w:rPr>
          <w:vertAlign w:val="superscript"/>
        </w:rPr>
        <w:endnoteRef/>
      </w:r>
      <w:r w:rsidRPr="00E95958">
        <w:t xml:space="preserve"> </w:t>
      </w:r>
      <w:r w:rsidRPr="00E95958">
        <w:rPr>
          <w:i/>
        </w:rPr>
        <w:t xml:space="preserve">Virtual Knowledge Centre to End Violence Against Women and Girls: Indicators, </w:t>
      </w:r>
      <w:r w:rsidRPr="00E95958">
        <w:rPr>
          <w:smallCaps/>
        </w:rPr>
        <w:t>UNWOMEN,</w:t>
      </w:r>
      <w:r w:rsidRPr="00E95958">
        <w:t xml:space="preserve"> (2012), </w:t>
      </w:r>
      <w:r w:rsidRPr="00E95958">
        <w:rPr>
          <w:rStyle w:val="Hyperlink"/>
        </w:rPr>
        <w:t>http://www.endvawnow.org/en/articles/336-indicators.html</w:t>
      </w:r>
      <w:r w:rsidRPr="00E95958">
        <w:t xml:space="preserve"> </w:t>
      </w:r>
    </w:p>
  </w:endnote>
  <w:endnote w:id="37">
    <w:p w14:paraId="556EF1B2" w14:textId="77777777" w:rsidR="002772C9" w:rsidRPr="00E95958" w:rsidRDefault="002772C9" w:rsidP="00E95958">
      <w:pPr>
        <w:pStyle w:val="EndnoteText"/>
        <w:ind w:left="-153" w:hanging="207"/>
      </w:pPr>
      <w:r w:rsidRPr="00E95958">
        <w:rPr>
          <w:vertAlign w:val="superscript"/>
        </w:rPr>
        <w:endnoteRef/>
      </w:r>
      <w:r w:rsidRPr="00E95958">
        <w:t xml:space="preserve"> Committee on the Economic, Social, and Cultural Rights (ESCR Committee), </w:t>
      </w:r>
      <w:r w:rsidRPr="00E95958">
        <w:rPr>
          <w:i/>
        </w:rPr>
        <w:t xml:space="preserve">General Comment No. 14: The Right to the Highest Attainable Standards of Health </w:t>
      </w:r>
      <w:r w:rsidRPr="00E95958">
        <w:t xml:space="preserve">(Art. 12), para. 29, U.N. Doc. E/C.12/2000/4 (Aug. 11, 2000) [hereinafter ESCR Committee, </w:t>
      </w:r>
      <w:r w:rsidRPr="00E95958">
        <w:rPr>
          <w:i/>
        </w:rPr>
        <w:t>General Comment No. 14</w:t>
      </w:r>
      <w:r w:rsidRPr="00E95958">
        <w:t xml:space="preserve">]; ESCR Committee, </w:t>
      </w:r>
      <w:r w:rsidRPr="00E95958">
        <w:rPr>
          <w:i/>
        </w:rPr>
        <w:t>General Comment No. 22 (2016) on the Right to Sexual and Reproductive Health (Article 12 of the International Covenant on the Economic, Social and Cultural Rights</w:t>
      </w:r>
      <w:r w:rsidRPr="00E95958">
        <w:t xml:space="preserve">, paras. 12-21, U.N. Doc. E/C.12/GC/22 (May 2016) [hereinafter ESCR Committee, </w:t>
      </w:r>
      <w:r w:rsidRPr="00E95958">
        <w:rPr>
          <w:i/>
        </w:rPr>
        <w:t>General Comment No. 22</w:t>
      </w:r>
      <w:r w:rsidRPr="00E95958">
        <w:t xml:space="preserve">]. </w:t>
      </w:r>
      <w:r w:rsidRPr="00E95958">
        <w:rPr>
          <w:i/>
        </w:rPr>
        <w:t>See also</w:t>
      </w:r>
      <w:r w:rsidRPr="00E95958">
        <w:t xml:space="preserve"> Programme of Action of the International Conference on Population and Development, paras. 8.3, U.N. Doc. A/ CONF.171/13/Rev.1 (Sept. 5-13, 1994) [hereinafter ICPD Programme of Action].</w:t>
      </w:r>
    </w:p>
  </w:endnote>
  <w:endnote w:id="38">
    <w:p w14:paraId="1C3B130E" w14:textId="77777777" w:rsidR="002772C9" w:rsidRPr="00E95958" w:rsidRDefault="002772C9" w:rsidP="00E95958">
      <w:pPr>
        <w:pStyle w:val="EndnoteText"/>
        <w:ind w:left="-153" w:hanging="207"/>
      </w:pPr>
      <w:r w:rsidRPr="00E95958">
        <w:rPr>
          <w:vertAlign w:val="superscript"/>
        </w:rPr>
        <w:endnoteRef/>
      </w:r>
      <w:r w:rsidRPr="00E95958">
        <w:t xml:space="preserve"> </w:t>
      </w:r>
      <w:r w:rsidRPr="00E95958">
        <w:rPr>
          <w:smallCaps/>
        </w:rPr>
        <w:t xml:space="preserve">The Advocates for Human Rights &amp; UNWOMEN, Working with the Justice Sector to End Violence against Women and Girls </w:t>
      </w:r>
      <w:r w:rsidRPr="00E95958">
        <w:t>62-64</w:t>
      </w:r>
      <w:r w:rsidRPr="00E95958">
        <w:rPr>
          <w:smallCaps/>
        </w:rPr>
        <w:t xml:space="preserve"> (</w:t>
      </w:r>
      <w:r w:rsidRPr="00E95958">
        <w:t xml:space="preserve">Dec. 2011), </w:t>
      </w:r>
      <w:hyperlink r:id="rId20">
        <w:r w:rsidRPr="00F3261F">
          <w:rPr>
            <w:rStyle w:val="Hyperlink"/>
            <w:rFonts w:cs="Times New Roman"/>
          </w:rPr>
          <w:t>http://www.endvawnow.org/uploads/modules/pdf/1325624043.pdf</w:t>
        </w:r>
      </w:hyperlink>
      <w:r w:rsidRPr="00E95958">
        <w:t xml:space="preserve">  [hereinafter </w:t>
      </w:r>
      <w:r w:rsidRPr="00E95958">
        <w:rPr>
          <w:smallCaps/>
        </w:rPr>
        <w:t>Advocates &amp; UNWOMEN, Working with the Justice Sector</w:t>
      </w:r>
      <w:r w:rsidRPr="00E95958">
        <w:t xml:space="preserve">] </w:t>
      </w:r>
    </w:p>
  </w:endnote>
  <w:endnote w:id="39">
    <w:p w14:paraId="2156CE50" w14:textId="78DD71DC" w:rsidR="002772C9" w:rsidRPr="00E95958" w:rsidRDefault="002772C9" w:rsidP="00E95958">
      <w:pPr>
        <w:pStyle w:val="EndnoteText"/>
        <w:ind w:left="-153" w:hanging="207"/>
      </w:pPr>
      <w:r w:rsidRPr="00E95958">
        <w:rPr>
          <w:vertAlign w:val="superscript"/>
        </w:rPr>
        <w:endnoteRef/>
      </w:r>
      <w:r w:rsidRPr="00E95958">
        <w:t xml:space="preserve"> It is important to recognize that these obligations impose limitations on actions that the State and its representatives may take, in addition to requiring government actors to take specific actions to give effect to the protected rights. Furthermore, States must not undo any progress they have already made towards the realization of meeting their human rights obligations, a principle known as “non-retrogression”.</w:t>
      </w:r>
    </w:p>
  </w:endnote>
  <w:endnote w:id="40">
    <w:p w14:paraId="1A359ED1" w14:textId="77777777" w:rsidR="002772C9" w:rsidRPr="00E95958" w:rsidRDefault="002772C9" w:rsidP="00E95958">
      <w:pPr>
        <w:pStyle w:val="EndnoteText"/>
        <w:ind w:left="-153" w:hanging="207"/>
      </w:pPr>
      <w:r w:rsidRPr="00E95958">
        <w:rPr>
          <w:vertAlign w:val="superscript"/>
        </w:rPr>
        <w:endnoteRef/>
      </w:r>
      <w:r w:rsidRPr="00E95958">
        <w:t xml:space="preserve"> Committee on the Rights of Persons with Disabilities (CRPD Committee), </w:t>
      </w:r>
      <w:r w:rsidRPr="00E95958">
        <w:rPr>
          <w:i/>
        </w:rPr>
        <w:t xml:space="preserve">General Comment No. 3 (2016) Article 6: Women and Girls with Disabilities, </w:t>
      </w:r>
      <w:r w:rsidRPr="00E95958">
        <w:t xml:space="preserve">para. 25, U.N. Doc. CRPD/C/GC/3 (Nov. 25, 2016) [hereinafter CRPD Committee, </w:t>
      </w:r>
      <w:r w:rsidRPr="00E95958">
        <w:rPr>
          <w:i/>
        </w:rPr>
        <w:t>General Comment No. 3</w:t>
      </w:r>
      <w:r w:rsidRPr="00E95958">
        <w:t xml:space="preserve">]. </w:t>
      </w:r>
    </w:p>
  </w:endnote>
  <w:endnote w:id="41">
    <w:p w14:paraId="161A83E8" w14:textId="79C747E6" w:rsidR="002772C9" w:rsidRPr="00E95958" w:rsidRDefault="002772C9" w:rsidP="00E95958">
      <w:pPr>
        <w:pStyle w:val="EndnoteText"/>
        <w:ind w:left="-153" w:hanging="207"/>
      </w:pPr>
      <w:r w:rsidRPr="00E95958">
        <w:rPr>
          <w:vertAlign w:val="superscript"/>
        </w:rPr>
        <w:endnoteRef/>
      </w:r>
      <w:r w:rsidRPr="00E95958">
        <w:t xml:space="preserve"> ESCR Committee, </w:t>
      </w:r>
      <w:r w:rsidRPr="00E95958">
        <w:rPr>
          <w:i/>
        </w:rPr>
        <w:t xml:space="preserve">General Comment No. 22, supra </w:t>
      </w:r>
      <w:r w:rsidRPr="00E95958">
        <w:t xml:space="preserve">note 36, at para. 41. </w:t>
      </w:r>
    </w:p>
  </w:endnote>
  <w:endnote w:id="42">
    <w:p w14:paraId="124315CE" w14:textId="4FAA5959" w:rsidR="002772C9" w:rsidRPr="00E95958" w:rsidRDefault="002772C9" w:rsidP="00E95958">
      <w:pPr>
        <w:pStyle w:val="EndnoteText"/>
        <w:ind w:left="-153" w:hanging="207"/>
      </w:pPr>
      <w:r w:rsidRPr="00E95958">
        <w:rPr>
          <w:vertAlign w:val="superscript"/>
        </w:rPr>
        <w:endnoteRef/>
      </w:r>
      <w:r w:rsidRPr="00E95958">
        <w:t xml:space="preserve"> CRPD Committee, </w:t>
      </w:r>
      <w:r w:rsidRPr="00E95958">
        <w:rPr>
          <w:i/>
        </w:rPr>
        <w:t>General Comment No. 3, supra</w:t>
      </w:r>
      <w:r w:rsidRPr="00E95958">
        <w:t xml:space="preserve"> note 39, at para. 26. </w:t>
      </w:r>
    </w:p>
  </w:endnote>
  <w:endnote w:id="43">
    <w:p w14:paraId="32A82DFE" w14:textId="501FF451" w:rsidR="002772C9" w:rsidRPr="00E95958" w:rsidRDefault="002772C9" w:rsidP="00E95958">
      <w:pPr>
        <w:pStyle w:val="EndnoteText"/>
        <w:ind w:left="-153" w:hanging="207"/>
      </w:pPr>
      <w:r w:rsidRPr="00E95958">
        <w:rPr>
          <w:vertAlign w:val="superscript"/>
        </w:rPr>
        <w:endnoteRef/>
      </w:r>
      <w:r w:rsidRPr="00E95958">
        <w:t xml:space="preserve"> </w:t>
      </w:r>
      <w:r w:rsidRPr="00E95958">
        <w:rPr>
          <w:i/>
        </w:rPr>
        <w:t>See</w:t>
      </w:r>
      <w:r w:rsidRPr="00E95958">
        <w:t xml:space="preserve"> ESCR Committee, </w:t>
      </w:r>
      <w:r w:rsidRPr="00E95958">
        <w:rPr>
          <w:i/>
        </w:rPr>
        <w:t xml:space="preserve">General Comment No. 22, supra </w:t>
      </w:r>
      <w:r w:rsidRPr="00E95958">
        <w:t xml:space="preserve">note 36, at para. 42. </w:t>
      </w:r>
    </w:p>
  </w:endnote>
  <w:endnote w:id="44">
    <w:p w14:paraId="78F93EEA" w14:textId="4819FEE3" w:rsidR="002772C9" w:rsidRPr="00E95958" w:rsidRDefault="002772C9" w:rsidP="00E95958">
      <w:pPr>
        <w:pStyle w:val="EndnoteText"/>
        <w:ind w:left="-153" w:hanging="207"/>
      </w:pPr>
      <w:r w:rsidRPr="00E95958">
        <w:rPr>
          <w:vertAlign w:val="superscript"/>
        </w:rPr>
        <w:endnoteRef/>
      </w:r>
      <w:r w:rsidRPr="00E95958">
        <w:t xml:space="preserve"> ESCR Committee, </w:t>
      </w:r>
      <w:r w:rsidRPr="00E95958">
        <w:rPr>
          <w:i/>
        </w:rPr>
        <w:t xml:space="preserve">General Comment No. 22, supra </w:t>
      </w:r>
      <w:r w:rsidRPr="00E95958">
        <w:t xml:space="preserve">note 36, at para. 48. </w:t>
      </w:r>
      <w:r w:rsidRPr="00E95958">
        <w:rPr>
          <w:i/>
        </w:rPr>
        <w:t>See also</w:t>
      </w:r>
      <w:r w:rsidRPr="00E95958">
        <w:t xml:space="preserve"> CRPD Committee, </w:t>
      </w:r>
      <w:r w:rsidRPr="00E95958">
        <w:rPr>
          <w:i/>
        </w:rPr>
        <w:t>General Comment No. 3, supra</w:t>
      </w:r>
      <w:r w:rsidRPr="00E95958">
        <w:t xml:space="preserve"> note 39, at para. 27. </w:t>
      </w:r>
    </w:p>
  </w:endnote>
  <w:endnote w:id="45">
    <w:p w14:paraId="0CEF8874" w14:textId="7815EDF9" w:rsidR="002772C9" w:rsidRPr="00E95958" w:rsidRDefault="002772C9" w:rsidP="00E95958">
      <w:pPr>
        <w:pStyle w:val="EndnoteText"/>
        <w:ind w:left="-153" w:hanging="207"/>
      </w:pPr>
      <w:r w:rsidRPr="00E95958">
        <w:rPr>
          <w:vertAlign w:val="superscript"/>
        </w:rPr>
        <w:endnoteRef/>
      </w:r>
      <w:r w:rsidRPr="00E95958">
        <w:t xml:space="preserve"> ESCR Committee, </w:t>
      </w:r>
      <w:r w:rsidRPr="00E95958">
        <w:rPr>
          <w:i/>
        </w:rPr>
        <w:t xml:space="preserve">General Comment No. 22, supra </w:t>
      </w:r>
      <w:r w:rsidRPr="00E95958">
        <w:t xml:space="preserve">note 36, at para 45. </w:t>
      </w:r>
    </w:p>
  </w:endnote>
  <w:endnote w:id="46">
    <w:p w14:paraId="5C527DEA" w14:textId="26FE104F" w:rsidR="002772C9" w:rsidRPr="00E95958" w:rsidRDefault="002772C9" w:rsidP="00E95958">
      <w:pPr>
        <w:pStyle w:val="EndnoteText"/>
        <w:ind w:left="-153" w:hanging="207"/>
      </w:pPr>
      <w:r w:rsidRPr="00E95958">
        <w:rPr>
          <w:vertAlign w:val="superscript"/>
        </w:rPr>
        <w:endnoteRef/>
      </w:r>
      <w:r w:rsidRPr="00E95958">
        <w:t xml:space="preserve"> </w:t>
      </w:r>
      <w:r w:rsidRPr="00E95958">
        <w:rPr>
          <w:i/>
        </w:rPr>
        <w:t>See</w:t>
      </w:r>
      <w:r w:rsidRPr="00E95958">
        <w:t xml:space="preserve"> CRPD Committee, </w:t>
      </w:r>
      <w:r w:rsidRPr="00E95958">
        <w:rPr>
          <w:i/>
        </w:rPr>
        <w:t>General Comment No. 3, supra</w:t>
      </w:r>
      <w:r w:rsidRPr="00E95958">
        <w:t xml:space="preserve"> note 39, at para. 27. </w:t>
      </w:r>
    </w:p>
  </w:endnote>
  <w:endnote w:id="47">
    <w:p w14:paraId="63B5678D" w14:textId="3D9FD7EC" w:rsidR="002772C9" w:rsidRPr="00E95958" w:rsidRDefault="002772C9" w:rsidP="00E95958">
      <w:pPr>
        <w:pStyle w:val="EndnoteText"/>
        <w:ind w:left="-153" w:hanging="207"/>
      </w:pPr>
      <w:r w:rsidRPr="00E95958">
        <w:rPr>
          <w:vertAlign w:val="superscript"/>
        </w:rPr>
        <w:endnoteRef/>
      </w:r>
      <w:r w:rsidRPr="00E95958">
        <w:t xml:space="preserve"> CRPD Committee, </w:t>
      </w:r>
      <w:r w:rsidRPr="00E95958">
        <w:rPr>
          <w:i/>
        </w:rPr>
        <w:t>General Comment No. 3, supra</w:t>
      </w:r>
      <w:r w:rsidRPr="00E95958">
        <w:t xml:space="preserve"> note 39, at para. 27.</w:t>
      </w:r>
    </w:p>
  </w:endnote>
  <w:endnote w:id="48">
    <w:p w14:paraId="41527B7E" w14:textId="0AC5D23D" w:rsidR="002772C9" w:rsidRPr="00E95958" w:rsidRDefault="002772C9" w:rsidP="00E95958">
      <w:pPr>
        <w:pStyle w:val="EndnoteText"/>
        <w:ind w:left="-153" w:hanging="207"/>
      </w:pPr>
      <w:r w:rsidRPr="00E95958">
        <w:rPr>
          <w:vertAlign w:val="superscript"/>
        </w:rPr>
        <w:endnoteRef/>
      </w:r>
      <w:r w:rsidRPr="00E95958">
        <w:t xml:space="preserve"> CRPD Committee, </w:t>
      </w:r>
      <w:r w:rsidRPr="00E95958">
        <w:rPr>
          <w:i/>
        </w:rPr>
        <w:t>General Comment No. 3, supra</w:t>
      </w:r>
      <w:r w:rsidRPr="00E95958">
        <w:t xml:space="preserve"> note 39, at para. 27. </w:t>
      </w:r>
      <w:r w:rsidRPr="00E95958">
        <w:rPr>
          <w:i/>
        </w:rPr>
        <w:t>See also</w:t>
      </w:r>
      <w:r w:rsidRPr="00E95958">
        <w:t xml:space="preserve"> </w:t>
      </w:r>
      <w:r w:rsidRPr="00E95958">
        <w:rPr>
          <w:smallCaps/>
        </w:rPr>
        <w:t xml:space="preserve">World Report on Disability, </w:t>
      </w:r>
      <w:r w:rsidRPr="00E95958">
        <w:rPr>
          <w:i/>
        </w:rPr>
        <w:t xml:space="preserve">supra </w:t>
      </w:r>
      <w:r w:rsidRPr="00E95958">
        <w:t xml:space="preserve">note </w:t>
      </w:r>
      <w:r w:rsidRPr="00E95958">
        <w:rPr>
          <w:i/>
        </w:rPr>
        <w:t>4</w:t>
      </w:r>
      <w:r w:rsidRPr="00E95958">
        <w:t xml:space="preserve">, at 286; OHCHR, </w:t>
      </w:r>
      <w:r w:rsidRPr="00E95958">
        <w:rPr>
          <w:i/>
        </w:rPr>
        <w:t>Thematic Study on the Issue of Violence Against Women and Girls and Disability</w:t>
      </w:r>
      <w:r w:rsidRPr="00E95958">
        <w:t xml:space="preserve">, </w:t>
      </w:r>
      <w:r w:rsidRPr="00E95958">
        <w:rPr>
          <w:i/>
        </w:rPr>
        <w:t>supra</w:t>
      </w:r>
      <w:r w:rsidRPr="00E95958">
        <w:t xml:space="preserve"> note 11, para. 52.</w:t>
      </w:r>
    </w:p>
  </w:endnote>
  <w:endnote w:id="49">
    <w:p w14:paraId="7BEBB161" w14:textId="27C65241" w:rsidR="002772C9" w:rsidRPr="00E95958" w:rsidRDefault="002772C9" w:rsidP="00E95958">
      <w:pPr>
        <w:pStyle w:val="EndnoteText"/>
        <w:ind w:left="-153" w:hanging="207"/>
      </w:pPr>
      <w:r w:rsidRPr="00E95958">
        <w:rPr>
          <w:rStyle w:val="EndnoteReference"/>
        </w:rPr>
        <w:endnoteRef/>
      </w:r>
      <w:r w:rsidRPr="00E95958">
        <w:t xml:space="preserve"> CRPD Committee, </w:t>
      </w:r>
      <w:r w:rsidRPr="00E95958">
        <w:rPr>
          <w:i/>
        </w:rPr>
        <w:t>General Comment No. 3, supra</w:t>
      </w:r>
      <w:r w:rsidRPr="00E95958">
        <w:t xml:space="preserve"> note 39, at para. 27.</w:t>
      </w:r>
    </w:p>
  </w:endnote>
  <w:endnote w:id="50">
    <w:p w14:paraId="1D7ACC2B" w14:textId="3828E6E8" w:rsidR="002772C9" w:rsidRPr="00E95958" w:rsidRDefault="002772C9" w:rsidP="00E95958">
      <w:pPr>
        <w:pStyle w:val="EndnoteText"/>
        <w:ind w:left="-153" w:hanging="207"/>
      </w:pPr>
      <w:r w:rsidRPr="00E95958">
        <w:rPr>
          <w:vertAlign w:val="superscript"/>
        </w:rPr>
        <w:endnoteRef/>
      </w:r>
      <w:r w:rsidRPr="00E95958">
        <w:rPr>
          <w:smallCaps/>
        </w:rPr>
        <w:t xml:space="preserve"> CBM, Inclusion Made Easy: A Quick Program Guide to Disability in Development</w:t>
      </w:r>
      <w:r w:rsidRPr="00E95958">
        <w:t xml:space="preserve"> (Part A) 24 (2012), </w:t>
      </w:r>
      <w:hyperlink r:id="rId21" w:history="1">
        <w:r w:rsidRPr="00E95958">
          <w:rPr>
            <w:rStyle w:val="Hyperlink"/>
          </w:rPr>
          <w:t>http://www.cbm.org/article/downloads/78851/CBM_Inclusion_Made_Easy_-_complete_guide.pdf</w:t>
        </w:r>
      </w:hyperlink>
      <w:r w:rsidRPr="00E95958">
        <w:t xml:space="preserve"> </w:t>
      </w:r>
    </w:p>
  </w:endnote>
  <w:endnote w:id="51">
    <w:p w14:paraId="0AF753E8" w14:textId="795D43DC" w:rsidR="002772C9" w:rsidRPr="00E95958" w:rsidRDefault="002772C9" w:rsidP="00E95958">
      <w:pPr>
        <w:pStyle w:val="EndnoteText"/>
        <w:ind w:left="-153" w:hanging="207"/>
      </w:pPr>
      <w:r w:rsidRPr="00E95958">
        <w:rPr>
          <w:vertAlign w:val="superscript"/>
        </w:rPr>
        <w:endnoteRef/>
      </w:r>
      <w:r w:rsidRPr="00E95958">
        <w:t xml:space="preserve"> CBM, </w:t>
      </w:r>
      <w:r w:rsidRPr="00E95958">
        <w:rPr>
          <w:smallCaps/>
        </w:rPr>
        <w:t>Inclusion Made Easy (Part A)</w:t>
      </w:r>
      <w:r w:rsidRPr="00E95958">
        <w:rPr>
          <w:i/>
        </w:rPr>
        <w:t>, supra</w:t>
      </w:r>
      <w:r w:rsidRPr="00E95958">
        <w:t xml:space="preserve"> note 49, at 23. </w:t>
      </w:r>
    </w:p>
  </w:endnote>
  <w:endnote w:id="52">
    <w:p w14:paraId="4D5AAD4B" w14:textId="0E901DB3" w:rsidR="002772C9" w:rsidRPr="00E95958" w:rsidRDefault="002772C9" w:rsidP="00E95958">
      <w:pPr>
        <w:pStyle w:val="EndnoteText"/>
        <w:ind w:left="-153" w:hanging="207"/>
      </w:pPr>
      <w:r w:rsidRPr="00E95958">
        <w:rPr>
          <w:vertAlign w:val="superscript"/>
        </w:rPr>
        <w:endnoteRef/>
      </w:r>
      <w:r w:rsidRPr="00E95958">
        <w:t xml:space="preserve"> CBM, </w:t>
      </w:r>
      <w:r w:rsidRPr="00E95958">
        <w:rPr>
          <w:smallCaps/>
        </w:rPr>
        <w:t>Inclusion Made Easy (Part A)</w:t>
      </w:r>
      <w:r w:rsidRPr="00E95958">
        <w:rPr>
          <w:i/>
        </w:rPr>
        <w:t>, supra</w:t>
      </w:r>
      <w:r w:rsidRPr="00E95958">
        <w:t xml:space="preserve"> note 49, at 23.</w:t>
      </w:r>
    </w:p>
  </w:endnote>
  <w:endnote w:id="53">
    <w:p w14:paraId="2AB6F110" w14:textId="57B5F9C4" w:rsidR="002772C9" w:rsidRPr="00E95958" w:rsidRDefault="002772C9" w:rsidP="00E95958">
      <w:pPr>
        <w:pStyle w:val="EndnoteText"/>
        <w:ind w:left="-153" w:hanging="207"/>
        <w:rPr>
          <w:i/>
        </w:rPr>
      </w:pPr>
      <w:r w:rsidRPr="00E95958">
        <w:rPr>
          <w:vertAlign w:val="superscript"/>
        </w:rPr>
        <w:endnoteRef/>
      </w:r>
      <w:r w:rsidRPr="00E95958">
        <w:t xml:space="preserve"> CBM, </w:t>
      </w:r>
      <w:r w:rsidRPr="00E95958">
        <w:rPr>
          <w:smallCaps/>
        </w:rPr>
        <w:t>Inclusion Made Easy (Part A)</w:t>
      </w:r>
      <w:r w:rsidRPr="00E95958">
        <w:rPr>
          <w:i/>
        </w:rPr>
        <w:t>, supra</w:t>
      </w:r>
      <w:r w:rsidRPr="00E95958">
        <w:t xml:space="preserve"> note 49, at 23-24; </w:t>
      </w:r>
      <w:r w:rsidRPr="00E95958">
        <w:rPr>
          <w:smallCaps/>
        </w:rPr>
        <w:t>CBM, Inclusion Made Easy: A Quick Program Guide to Disability in Development</w:t>
      </w:r>
      <w:r w:rsidRPr="00E95958">
        <w:t xml:space="preserve"> </w:t>
      </w:r>
      <w:r w:rsidRPr="00E95958">
        <w:rPr>
          <w:smallCaps/>
        </w:rPr>
        <w:t xml:space="preserve">(Part B) </w:t>
      </w:r>
      <w:r w:rsidRPr="00E95958">
        <w:t>7(2012),</w:t>
      </w:r>
      <w:hyperlink r:id="rId22" w:history="1">
        <w:r w:rsidRPr="00E95958">
          <w:rPr>
            <w:rStyle w:val="Hyperlink"/>
          </w:rPr>
          <w:t>http://www.cbm.org/article/downloads/78851/CBM_Inclusion_Made_Easy_-_complete_guide.pdf</w:t>
        </w:r>
        <w:r w:rsidRPr="00E95958">
          <w:t xml:space="preserve"> </w:t>
        </w:r>
      </w:hyperlink>
      <w:r w:rsidRPr="00E95958">
        <w:t xml:space="preserve"> [hereinafter CBM, </w:t>
      </w:r>
      <w:r w:rsidRPr="00E95958">
        <w:rPr>
          <w:smallCaps/>
        </w:rPr>
        <w:t>Inclusion Made Easy(Part B)</w:t>
      </w:r>
      <w:r w:rsidRPr="00E95958">
        <w:t xml:space="preserve">] </w:t>
      </w:r>
    </w:p>
  </w:endnote>
  <w:endnote w:id="54">
    <w:p w14:paraId="474AABFC" w14:textId="77777777" w:rsidR="002772C9" w:rsidRPr="00E95958" w:rsidRDefault="002772C9" w:rsidP="00E95958">
      <w:pPr>
        <w:pStyle w:val="EndnoteText"/>
        <w:ind w:left="-153" w:hanging="207"/>
      </w:pPr>
      <w:r w:rsidRPr="00E95958">
        <w:rPr>
          <w:vertAlign w:val="superscript"/>
        </w:rPr>
        <w:endnoteRef/>
      </w:r>
      <w:r w:rsidRPr="00E95958">
        <w:t xml:space="preserve"> U</w:t>
      </w:r>
      <w:r w:rsidRPr="00E95958">
        <w:rPr>
          <w:smallCaps/>
        </w:rPr>
        <w:t xml:space="preserve">NHCR, Working with Persons with Disabilities in Forced Displacement </w:t>
      </w:r>
      <w:r w:rsidRPr="00E95958">
        <w:t xml:space="preserve">(2011), </w:t>
      </w:r>
      <w:hyperlink r:id="rId23">
        <w:r w:rsidRPr="00E95958">
          <w:rPr>
            <w:rStyle w:val="Hyperlink"/>
          </w:rPr>
          <w:t>http://www.unhcr.org/en-us/publications/manuals/4ec3c81c9/working-persons-disabilities-forced-displacement.html</w:t>
        </w:r>
      </w:hyperlink>
      <w:r w:rsidRPr="00E95958">
        <w:t xml:space="preserve"> </w:t>
      </w:r>
    </w:p>
  </w:endnote>
  <w:endnote w:id="55">
    <w:p w14:paraId="16B4ACBB" w14:textId="30990817" w:rsidR="002772C9" w:rsidRPr="00E95958" w:rsidRDefault="002772C9" w:rsidP="00E95958">
      <w:pPr>
        <w:pStyle w:val="EndnoteText"/>
        <w:ind w:left="-153" w:hanging="207"/>
      </w:pPr>
      <w:r w:rsidRPr="00E95958">
        <w:rPr>
          <w:vertAlign w:val="superscript"/>
        </w:rPr>
        <w:endnoteRef/>
      </w:r>
      <w:r w:rsidRPr="00E95958">
        <w:t xml:space="preserve"> CBM, </w:t>
      </w:r>
      <w:r w:rsidRPr="00E95958">
        <w:rPr>
          <w:smallCaps/>
        </w:rPr>
        <w:t>Inclusion Made Easy (Part A)</w:t>
      </w:r>
      <w:r w:rsidRPr="00E95958">
        <w:rPr>
          <w:i/>
        </w:rPr>
        <w:t>, supra</w:t>
      </w:r>
      <w:r w:rsidRPr="00E95958">
        <w:t xml:space="preserve"> note 49, at 25. </w:t>
      </w:r>
    </w:p>
  </w:endnote>
  <w:endnote w:id="56">
    <w:p w14:paraId="2C532EAB" w14:textId="53970607" w:rsidR="002772C9" w:rsidRPr="00E95958" w:rsidRDefault="002772C9" w:rsidP="00E95958">
      <w:pPr>
        <w:pStyle w:val="EndnoteText"/>
        <w:ind w:left="-153" w:hanging="207"/>
      </w:pPr>
      <w:r w:rsidRPr="00E95958">
        <w:rPr>
          <w:vertAlign w:val="superscript"/>
        </w:rPr>
        <w:endnoteRef/>
      </w:r>
      <w:r w:rsidRPr="00E95958">
        <w:t xml:space="preserve"> </w:t>
      </w:r>
      <w:r w:rsidRPr="00E95958">
        <w:rPr>
          <w:i/>
        </w:rPr>
        <w:t>See</w:t>
      </w:r>
      <w:r w:rsidRPr="00E95958">
        <w:t xml:space="preserve"> CBM, </w:t>
      </w:r>
      <w:r w:rsidRPr="00E95958">
        <w:rPr>
          <w:smallCaps/>
        </w:rPr>
        <w:t>Inclusion Made Easy (Part A)</w:t>
      </w:r>
      <w:r w:rsidRPr="00E95958">
        <w:rPr>
          <w:i/>
        </w:rPr>
        <w:t>, supra</w:t>
      </w:r>
      <w:r w:rsidRPr="00E95958">
        <w:t xml:space="preserve"> note 49, at 43. </w:t>
      </w:r>
    </w:p>
  </w:endnote>
  <w:endnote w:id="57">
    <w:p w14:paraId="0E321A76" w14:textId="77777777" w:rsidR="002772C9" w:rsidRPr="00E95958" w:rsidRDefault="002772C9" w:rsidP="00E95958">
      <w:pPr>
        <w:pStyle w:val="EndnoteText"/>
        <w:ind w:left="-153" w:hanging="207"/>
      </w:pPr>
      <w:r w:rsidRPr="00E95958">
        <w:rPr>
          <w:vertAlign w:val="superscript"/>
        </w:rPr>
        <w:endnoteRef/>
      </w:r>
      <w:r w:rsidRPr="00E95958">
        <w:t xml:space="preserve"> </w:t>
      </w:r>
      <w:r w:rsidRPr="00E95958">
        <w:rPr>
          <w:i/>
        </w:rPr>
        <w:t>See</w:t>
      </w:r>
      <w:r w:rsidRPr="00E95958">
        <w:t xml:space="preserve"> Universal Declaration of Human Rights, arts. 6-7, G.A. Res. 217A, pmbl., U.N. GAOR, 3d Sess., 1st plen. mtg., at 71, U.N. Doc. A/810 (Dec. 10, 1948); International Covenant on Civil and Political Rights, </w:t>
      </w:r>
      <w:r w:rsidRPr="00E95958">
        <w:rPr>
          <w:i/>
        </w:rPr>
        <w:t xml:space="preserve">adopted </w:t>
      </w:r>
      <w:r w:rsidRPr="00E95958">
        <w:t>Dec. 16, 1966, arts. 14, 16, 26, G.A. Res. 2200A (XXI), U.N. GAOR, 21</w:t>
      </w:r>
      <w:r w:rsidRPr="00E95958">
        <w:rPr>
          <w:vertAlign w:val="superscript"/>
        </w:rPr>
        <w:t xml:space="preserve">st </w:t>
      </w:r>
      <w:r w:rsidRPr="00E95958">
        <w:t>Sess., Supp. No. 16, U.N. Doc. A/6316 (1966), 999 U.N.T.S. 171 (</w:t>
      </w:r>
      <w:r w:rsidRPr="00E95958">
        <w:rPr>
          <w:i/>
        </w:rPr>
        <w:t xml:space="preserve">entered into force </w:t>
      </w:r>
      <w:r w:rsidRPr="00E95958">
        <w:t xml:space="preserve">Mar. 23, 1976) [hereinafter ICCPR]; Convention on the Elimination of All Forms of Discrimination against Women, </w:t>
      </w:r>
      <w:r w:rsidRPr="00E95958">
        <w:rPr>
          <w:i/>
        </w:rPr>
        <w:t xml:space="preserve">adopted </w:t>
      </w:r>
      <w:r w:rsidRPr="00E95958">
        <w:t>Dec.</w:t>
      </w:r>
      <w:r w:rsidRPr="00E95958">
        <w:rPr>
          <w:rFonts w:ascii="MS Gothic" w:eastAsia="MS Gothic" w:hAnsi="MS Gothic" w:cs="MS Gothic" w:hint="eastAsia"/>
        </w:rPr>
        <w:t> </w:t>
      </w:r>
      <w:r w:rsidRPr="00E95958">
        <w:t>18, 1979, art. 15, G.A. Res. 34/180, U.N. GAOR, 34</w:t>
      </w:r>
      <w:r w:rsidRPr="00E95958">
        <w:rPr>
          <w:vertAlign w:val="superscript"/>
        </w:rPr>
        <w:t xml:space="preserve">th </w:t>
      </w:r>
      <w:r w:rsidRPr="00E95958">
        <w:t>Sess., Supp. No. 46, at 193, U.N. Doc. A/34/46, U.N.T.S. 13 (</w:t>
      </w:r>
      <w:r w:rsidRPr="00E95958">
        <w:rPr>
          <w:i/>
        </w:rPr>
        <w:t xml:space="preserve">entered into force </w:t>
      </w:r>
      <w:r w:rsidRPr="00E95958">
        <w:t xml:space="preserve">Sept. 3, 1981) [hereinafter CEDAW]. </w:t>
      </w:r>
    </w:p>
  </w:endnote>
  <w:endnote w:id="58">
    <w:p w14:paraId="332DC728" w14:textId="77777777" w:rsidR="002772C9" w:rsidRPr="00E95958" w:rsidRDefault="002772C9" w:rsidP="00E95958">
      <w:pPr>
        <w:pStyle w:val="EndnoteText"/>
        <w:ind w:left="-153" w:hanging="207"/>
      </w:pPr>
      <w:r w:rsidRPr="00E95958">
        <w:rPr>
          <w:vertAlign w:val="superscript"/>
        </w:rPr>
        <w:endnoteRef/>
      </w:r>
      <w:r w:rsidRPr="00E95958">
        <w:t xml:space="preserve"> CRPD Committee, </w:t>
      </w:r>
      <w:r w:rsidRPr="00E95958">
        <w:rPr>
          <w:i/>
        </w:rPr>
        <w:t>General Comment No. 1 (2014) Article 12: Equality Recognition Before the Law</w:t>
      </w:r>
      <w:r w:rsidRPr="00E95958">
        <w:t xml:space="preserve">, para. 29, U.N. Doc. CRPD/C/GC/1 (May 19, 2014) [hereinafter CRPD Committee, </w:t>
      </w:r>
      <w:r w:rsidRPr="00E95958">
        <w:rPr>
          <w:i/>
        </w:rPr>
        <w:t>General Comment No. 1</w:t>
      </w:r>
      <w:r w:rsidRPr="00E95958">
        <w:t>]</w:t>
      </w:r>
    </w:p>
  </w:endnote>
  <w:endnote w:id="59">
    <w:p w14:paraId="7E3E1C66" w14:textId="77777777" w:rsidR="002772C9" w:rsidRPr="00E95958" w:rsidRDefault="002772C9" w:rsidP="00E95958">
      <w:pPr>
        <w:pStyle w:val="EndnoteText"/>
        <w:ind w:left="-153" w:hanging="207"/>
      </w:pPr>
      <w:r w:rsidRPr="00E95958">
        <w:rPr>
          <w:vertAlign w:val="superscript"/>
        </w:rPr>
        <w:endnoteRef/>
      </w:r>
      <w:r w:rsidRPr="00E95958">
        <w:t xml:space="preserve"> CRPD, </w:t>
      </w:r>
      <w:r w:rsidRPr="00E95958">
        <w:rPr>
          <w:i/>
        </w:rPr>
        <w:t>supra</w:t>
      </w:r>
      <w:r w:rsidRPr="00E95958">
        <w:t xml:space="preserve"> note 1, art. 12(1). </w:t>
      </w:r>
    </w:p>
  </w:endnote>
  <w:endnote w:id="60">
    <w:p w14:paraId="2FD47136" w14:textId="77777777" w:rsidR="002772C9" w:rsidRPr="00E95958" w:rsidRDefault="002772C9" w:rsidP="00E95958">
      <w:pPr>
        <w:pStyle w:val="EndnoteText"/>
        <w:ind w:left="-153" w:hanging="207"/>
      </w:pPr>
      <w:r w:rsidRPr="00E95958">
        <w:rPr>
          <w:vertAlign w:val="superscript"/>
        </w:rPr>
        <w:endnoteRef/>
      </w:r>
      <w:r w:rsidRPr="00E95958">
        <w:t xml:space="preserve"> CRPD, </w:t>
      </w:r>
      <w:r w:rsidRPr="00E95958">
        <w:rPr>
          <w:i/>
        </w:rPr>
        <w:t>supra</w:t>
      </w:r>
      <w:r w:rsidRPr="00E95958">
        <w:t xml:space="preserve"> note 1, art. 12(2)(emphasis added). </w:t>
      </w:r>
    </w:p>
  </w:endnote>
  <w:endnote w:id="61">
    <w:p w14:paraId="0407FDB6" w14:textId="77777777" w:rsidR="002772C9" w:rsidRPr="00E95958" w:rsidRDefault="002772C9" w:rsidP="00E95958">
      <w:pPr>
        <w:pStyle w:val="EndnoteText"/>
        <w:ind w:left="-153" w:hanging="207"/>
      </w:pPr>
      <w:r w:rsidRPr="00E95958">
        <w:rPr>
          <w:vertAlign w:val="superscript"/>
        </w:rPr>
        <w:endnoteRef/>
      </w:r>
      <w:r w:rsidRPr="00E95958">
        <w:t xml:space="preserve"> CRPD, </w:t>
      </w:r>
      <w:r w:rsidRPr="00E95958">
        <w:rPr>
          <w:i/>
        </w:rPr>
        <w:t>supra</w:t>
      </w:r>
      <w:r w:rsidRPr="00E95958">
        <w:t xml:space="preserve"> note 1, art. 12(3). </w:t>
      </w:r>
    </w:p>
  </w:endnote>
  <w:endnote w:id="62">
    <w:p w14:paraId="419CE178" w14:textId="77777777" w:rsidR="002772C9" w:rsidRPr="00E95958" w:rsidRDefault="002772C9" w:rsidP="00E95958">
      <w:pPr>
        <w:pStyle w:val="EndnoteText"/>
        <w:ind w:left="-153" w:hanging="207"/>
      </w:pPr>
      <w:r w:rsidRPr="00E95958">
        <w:rPr>
          <w:vertAlign w:val="superscript"/>
        </w:rPr>
        <w:endnoteRef/>
      </w:r>
      <w:r w:rsidRPr="00E95958">
        <w:t xml:space="preserve"> CRPD, </w:t>
      </w:r>
      <w:r w:rsidRPr="00E95958">
        <w:rPr>
          <w:i/>
        </w:rPr>
        <w:t>supra</w:t>
      </w:r>
      <w:r w:rsidRPr="00E95958">
        <w:t xml:space="preserve"> note 1, art. 12(4)(emphasis added). </w:t>
      </w:r>
    </w:p>
  </w:endnote>
  <w:endnote w:id="63">
    <w:p w14:paraId="3A8294D5" w14:textId="77777777" w:rsidR="002772C9" w:rsidRPr="00E95958" w:rsidRDefault="002772C9" w:rsidP="00E95958">
      <w:pPr>
        <w:pStyle w:val="EndnoteText"/>
        <w:ind w:left="-153" w:hanging="207"/>
      </w:pPr>
      <w:r w:rsidRPr="00E95958">
        <w:rPr>
          <w:vertAlign w:val="superscript"/>
        </w:rPr>
        <w:endnoteRef/>
      </w:r>
      <w:r w:rsidRPr="00E95958">
        <w:t xml:space="preserve"> CRPD, </w:t>
      </w:r>
      <w:r w:rsidRPr="00E95958">
        <w:rPr>
          <w:i/>
        </w:rPr>
        <w:t>supra</w:t>
      </w:r>
      <w:r w:rsidRPr="00E95958">
        <w:t xml:space="preserve"> note 1, art. 12(5). </w:t>
      </w:r>
    </w:p>
  </w:endnote>
  <w:endnote w:id="64">
    <w:p w14:paraId="3E9479DC" w14:textId="0266BC6D" w:rsidR="002772C9" w:rsidRPr="00E95958" w:rsidRDefault="002772C9" w:rsidP="00E95958">
      <w:pPr>
        <w:pStyle w:val="EndnoteText"/>
        <w:ind w:left="-153" w:hanging="207"/>
      </w:pPr>
      <w:r w:rsidRPr="00E95958">
        <w:rPr>
          <w:vertAlign w:val="superscript"/>
        </w:rPr>
        <w:endnoteRef/>
      </w:r>
      <w:r w:rsidRPr="00E95958">
        <w:t xml:space="preserve"> CRPD Committee, </w:t>
      </w:r>
      <w:r w:rsidRPr="00E95958">
        <w:rPr>
          <w:i/>
        </w:rPr>
        <w:t>General Comment No. 1, supra</w:t>
      </w:r>
      <w:r w:rsidRPr="00E95958">
        <w:t xml:space="preserve"> note 57, at para. 12. </w:t>
      </w:r>
    </w:p>
  </w:endnote>
  <w:endnote w:id="65">
    <w:p w14:paraId="6113B587" w14:textId="4560D3EA" w:rsidR="002772C9" w:rsidRPr="00E95958" w:rsidRDefault="002772C9" w:rsidP="00E95958">
      <w:pPr>
        <w:pStyle w:val="EndnoteText"/>
        <w:ind w:left="-153" w:hanging="207"/>
      </w:pPr>
      <w:r w:rsidRPr="00E95958">
        <w:rPr>
          <w:vertAlign w:val="superscript"/>
        </w:rPr>
        <w:endnoteRef/>
      </w:r>
      <w:r w:rsidRPr="00E95958">
        <w:t xml:space="preserve"> </w:t>
      </w:r>
      <w:r w:rsidRPr="00E95958">
        <w:rPr>
          <w:i/>
        </w:rPr>
        <w:t xml:space="preserve">See </w:t>
      </w:r>
      <w:r w:rsidRPr="00E95958">
        <w:t xml:space="preserve">CRPD Committee, </w:t>
      </w:r>
      <w:r w:rsidRPr="00E95958">
        <w:rPr>
          <w:i/>
        </w:rPr>
        <w:t>General Comment No. 1, supra</w:t>
      </w:r>
      <w:r w:rsidRPr="00E95958">
        <w:t xml:space="preserve"> note 57, at para. 29. </w:t>
      </w:r>
    </w:p>
  </w:endnote>
  <w:endnote w:id="66">
    <w:p w14:paraId="4C27D642" w14:textId="2D2E7D13" w:rsidR="002772C9" w:rsidRPr="00E95958" w:rsidRDefault="002772C9" w:rsidP="00E95958">
      <w:pPr>
        <w:pStyle w:val="EndnoteText"/>
        <w:ind w:left="-153" w:hanging="207"/>
      </w:pPr>
      <w:r w:rsidRPr="00E95958">
        <w:rPr>
          <w:vertAlign w:val="superscript"/>
        </w:rPr>
        <w:endnoteRef/>
      </w:r>
      <w:r w:rsidRPr="00E95958">
        <w:t xml:space="preserve"> </w:t>
      </w:r>
      <w:r w:rsidRPr="00E95958">
        <w:rPr>
          <w:i/>
        </w:rPr>
        <w:t xml:space="preserve">See </w:t>
      </w:r>
      <w:r w:rsidRPr="00E95958">
        <w:t xml:space="preserve">CRPD Committee, </w:t>
      </w:r>
      <w:r w:rsidRPr="00E95958">
        <w:rPr>
          <w:i/>
        </w:rPr>
        <w:t>General Comment No. 1, supra</w:t>
      </w:r>
      <w:r w:rsidRPr="00E95958">
        <w:t xml:space="preserve"> note 57, at para. 15. </w:t>
      </w:r>
    </w:p>
  </w:endnote>
  <w:endnote w:id="67">
    <w:p w14:paraId="2F537021" w14:textId="77777777" w:rsidR="002772C9" w:rsidRPr="00E95958" w:rsidRDefault="002772C9" w:rsidP="00E95958">
      <w:pPr>
        <w:pStyle w:val="EndnoteText"/>
        <w:ind w:left="-153" w:hanging="207"/>
        <w:rPr>
          <w:smallCaps/>
        </w:rPr>
      </w:pPr>
      <w:r w:rsidRPr="00E95958">
        <w:rPr>
          <w:vertAlign w:val="superscript"/>
        </w:rPr>
        <w:endnoteRef/>
      </w:r>
      <w:r w:rsidRPr="00E95958">
        <w:t xml:space="preserve"> </w:t>
      </w:r>
      <w:r w:rsidRPr="00E95958">
        <w:rPr>
          <w:smallCaps/>
        </w:rPr>
        <w:t>International Federation of Gynecology and Obstetrics (FIGO), Ethical Issues in Obstetrics and Gynecology by the FIGO Committee for the Study of Ethical Aspects of Human Reproduction and Women’s Health</w:t>
      </w:r>
      <w:r w:rsidRPr="00E95958">
        <w:t xml:space="preserve"> 15 (Oct. 2012), </w:t>
      </w:r>
      <w:hyperlink r:id="rId24">
        <w:r w:rsidRPr="00E95958">
          <w:rPr>
            <w:rStyle w:val="Hyperlink"/>
          </w:rPr>
          <w:t>http://www.figo.org/sites/default/files/uploads/wg-publications/ethics/English%20Ethical%20Issues%20in%20Obstetrics%20and%20Gynecology.pdf</w:t>
        </w:r>
      </w:hyperlink>
      <w:r w:rsidRPr="00E95958">
        <w:t xml:space="preserve">  [hereinafter FIGO, </w:t>
      </w:r>
      <w:r w:rsidRPr="00E95958">
        <w:rPr>
          <w:smallCaps/>
        </w:rPr>
        <w:t>Ethical Issues in Obstetrics and Gynecology]</w:t>
      </w:r>
    </w:p>
  </w:endnote>
  <w:endnote w:id="68">
    <w:p w14:paraId="2F0166C6" w14:textId="6565026D" w:rsidR="002772C9" w:rsidRPr="00E95958" w:rsidRDefault="002772C9" w:rsidP="00E95958">
      <w:pPr>
        <w:pStyle w:val="EndnoteText"/>
        <w:ind w:left="-153" w:hanging="207"/>
      </w:pPr>
      <w:r w:rsidRPr="00E95958">
        <w:rPr>
          <w:vertAlign w:val="superscript"/>
        </w:rPr>
        <w:endnoteRef/>
      </w:r>
      <w:r w:rsidRPr="00E95958">
        <w:t xml:space="preserve"> CRC Committee, </w:t>
      </w:r>
      <w:r w:rsidRPr="00E95958">
        <w:rPr>
          <w:i/>
        </w:rPr>
        <w:t>General Comment No. 20 (2016) on the implementation of the rights of the child during adolescence</w:t>
      </w:r>
      <w:r w:rsidRPr="00E95958">
        <w:t xml:space="preserve">, para. 39, U.N. Doc. CRC/C/GC/20 (April 20, 2017). Adolescents are boys and girls between the ages of 10 and 19 years old. </w:t>
      </w:r>
      <w:r w:rsidRPr="00E95958">
        <w:rPr>
          <w:smallCaps/>
        </w:rPr>
        <w:t>UNFPA &amp; Save the Children USA, Adolescent Sexual and Reproductive Health Toolkit for Humanitarian Settings: A Companion to the Inter-Agency Field Manual on Reproductive Health in Humanitarian Settings</w:t>
      </w:r>
      <w:r w:rsidRPr="00E95958">
        <w:t xml:space="preserve"> 5-6 (Sept. 2009), </w:t>
      </w:r>
      <w:hyperlink r:id="rId25">
        <w:r w:rsidRPr="00E95958">
          <w:rPr>
            <w:rStyle w:val="Hyperlink"/>
          </w:rPr>
          <w:t>http://www.unfpa.org/publications/adolescent-sexual-and-reproductive-health-toolkit-humanitarian-settings</w:t>
        </w:r>
      </w:hyperlink>
      <w:r w:rsidRPr="00E95958">
        <w:t xml:space="preserve"> [hereinafter </w:t>
      </w:r>
      <w:r w:rsidRPr="00E95958">
        <w:rPr>
          <w:smallCaps/>
        </w:rPr>
        <w:t>Adolescent Sexual and Reproductive Health Toolkit</w:t>
      </w:r>
      <w:r w:rsidRPr="00E95958">
        <w:t>].</w:t>
      </w:r>
    </w:p>
  </w:endnote>
  <w:endnote w:id="69">
    <w:p w14:paraId="63D08A07" w14:textId="4BF76EF1" w:rsidR="002772C9" w:rsidRPr="00E95958" w:rsidRDefault="002772C9" w:rsidP="00E95958">
      <w:pPr>
        <w:pStyle w:val="EndnoteText"/>
        <w:ind w:left="-153" w:hanging="207"/>
      </w:pPr>
      <w:r w:rsidRPr="00E95958">
        <w:rPr>
          <w:vertAlign w:val="superscript"/>
        </w:rPr>
        <w:endnoteRef/>
      </w:r>
      <w:r w:rsidRPr="00E95958">
        <w:t xml:space="preserve"> </w:t>
      </w:r>
      <w:r w:rsidRPr="00E95958">
        <w:rPr>
          <w:smallCaps/>
        </w:rPr>
        <w:t xml:space="preserve">FIGO, Ethical Issues in Obstetrics and Gynecology, </w:t>
      </w:r>
      <w:r w:rsidRPr="00E95958">
        <w:rPr>
          <w:i/>
        </w:rPr>
        <w:t>supra</w:t>
      </w:r>
      <w:r w:rsidRPr="00E95958">
        <w:t xml:space="preserve"> note 66, at 14. </w:t>
      </w:r>
    </w:p>
  </w:endnote>
  <w:endnote w:id="70">
    <w:p w14:paraId="524C0F0D" w14:textId="6E6FB2F4" w:rsidR="002772C9" w:rsidRPr="00E95958" w:rsidRDefault="002772C9" w:rsidP="00E95958">
      <w:pPr>
        <w:pStyle w:val="EndnoteText"/>
        <w:ind w:left="-153" w:hanging="207"/>
      </w:pPr>
      <w:r w:rsidRPr="00E95958">
        <w:rPr>
          <w:vertAlign w:val="superscript"/>
        </w:rPr>
        <w:endnoteRef/>
      </w:r>
      <w:r w:rsidRPr="00E95958">
        <w:t xml:space="preserve"> </w:t>
      </w:r>
      <w:r w:rsidRPr="00E95958">
        <w:rPr>
          <w:smallCaps/>
        </w:rPr>
        <w:t xml:space="preserve">FIGO, Ethical Issues in Obstetrics and Gynecology, </w:t>
      </w:r>
      <w:r w:rsidRPr="00E95958">
        <w:rPr>
          <w:i/>
        </w:rPr>
        <w:t>supra</w:t>
      </w:r>
      <w:r w:rsidRPr="00E95958">
        <w:t xml:space="preserve"> note 66, at 14-15. </w:t>
      </w:r>
    </w:p>
  </w:endnote>
  <w:endnote w:id="71">
    <w:p w14:paraId="168519C2" w14:textId="3C7FEF1D" w:rsidR="002772C9" w:rsidRPr="00E95958" w:rsidRDefault="002772C9" w:rsidP="00E95958">
      <w:pPr>
        <w:pStyle w:val="EndnoteText"/>
        <w:ind w:left="-153" w:hanging="207"/>
      </w:pPr>
      <w:r w:rsidRPr="00E95958">
        <w:rPr>
          <w:vertAlign w:val="superscript"/>
        </w:rPr>
        <w:endnoteRef/>
      </w:r>
      <w:r w:rsidRPr="00E95958">
        <w:t xml:space="preserve"> </w:t>
      </w:r>
      <w:r w:rsidRPr="00E95958">
        <w:rPr>
          <w:smallCaps/>
        </w:rPr>
        <w:t>Women’s Refugee Commission (WRC) and International Rescue Committee (IRC), Building Capacity for Disability Inclusion in Gender-Based Violence Programming in Humanitarian Settings: Toolkit for GBV Practitioners</w:t>
      </w:r>
      <w:r w:rsidRPr="00E95958">
        <w:t xml:space="preserve"> 59-63 (2015),</w:t>
      </w:r>
      <w:r>
        <w:t xml:space="preserve"> </w:t>
      </w:r>
      <w:hyperlink r:id="rId26" w:history="1">
        <w:r w:rsidRPr="00612242">
          <w:rPr>
            <w:rStyle w:val="Hyperlink"/>
          </w:rPr>
          <w:t>https://www.womensrefugeecommission.org/?option=com_zdocs&amp;view=document&amp;id=1173</w:t>
        </w:r>
      </w:hyperlink>
      <w:r>
        <w:t xml:space="preserve"> </w:t>
      </w:r>
      <w:r w:rsidRPr="00E95958">
        <w:t xml:space="preserve"> [hereinafter </w:t>
      </w:r>
      <w:r w:rsidRPr="00E95958">
        <w:rPr>
          <w:smallCaps/>
        </w:rPr>
        <w:t>WRC &amp; IRC, Toolkit for GBV Practitioners</w:t>
      </w:r>
      <w:r w:rsidRPr="00E95958">
        <w:t xml:space="preserve">] </w:t>
      </w:r>
    </w:p>
  </w:endnote>
  <w:endnote w:id="72">
    <w:p w14:paraId="0B39F33C" w14:textId="750EABAB" w:rsidR="002772C9" w:rsidRPr="00E95958" w:rsidRDefault="002772C9" w:rsidP="00E95958">
      <w:pPr>
        <w:pStyle w:val="EndnoteText"/>
        <w:ind w:left="-153" w:hanging="207"/>
      </w:pPr>
      <w:r w:rsidRPr="00E95958">
        <w:rPr>
          <w:vertAlign w:val="superscript"/>
        </w:rPr>
        <w:endnoteRef/>
      </w:r>
      <w:r w:rsidRPr="00E95958">
        <w:t xml:space="preserve"> </w:t>
      </w:r>
      <w:r w:rsidRPr="00E95958">
        <w:rPr>
          <w:smallCaps/>
        </w:rPr>
        <w:t>WRC &amp; IRC, Toolkit for GBV Practitioners,</w:t>
      </w:r>
      <w:r w:rsidRPr="00E95958">
        <w:rPr>
          <w:i/>
        </w:rPr>
        <w:t xml:space="preserve"> supra</w:t>
      </w:r>
      <w:r w:rsidRPr="00E95958">
        <w:t xml:space="preserve"> note 70, at 75. </w:t>
      </w:r>
    </w:p>
  </w:endnote>
  <w:endnote w:id="73">
    <w:p w14:paraId="4934EA69" w14:textId="77777777" w:rsidR="002772C9" w:rsidRPr="00E95958" w:rsidRDefault="002772C9" w:rsidP="00E95958">
      <w:pPr>
        <w:pStyle w:val="EndnoteText"/>
        <w:ind w:left="-153" w:hanging="207"/>
      </w:pPr>
      <w:r w:rsidRPr="00E95958">
        <w:rPr>
          <w:vertAlign w:val="superscript"/>
        </w:rPr>
        <w:endnoteRef/>
      </w:r>
      <w:r w:rsidRPr="00E95958">
        <w:t xml:space="preserve"> Vanderbilt Kennedy Center for Excellence in Developmental Disabilities, </w:t>
      </w:r>
      <w:r w:rsidRPr="00E95958">
        <w:rPr>
          <w:i/>
        </w:rPr>
        <w:t xml:space="preserve">Informed Consent in Adults with Intellectual or Developmental Disabilities, </w:t>
      </w:r>
      <w:r w:rsidRPr="00E95958">
        <w:rPr>
          <w:smallCaps/>
        </w:rPr>
        <w:t xml:space="preserve">Health Care for Adults with Intellectual and Developmental Disabilities: Toolkit for Primary Care Providers (2017), </w:t>
      </w:r>
      <w:hyperlink r:id="rId27">
        <w:r w:rsidRPr="00E95958">
          <w:rPr>
            <w:rStyle w:val="Hyperlink"/>
          </w:rPr>
          <w:t>http://vkc.mc.vanderbilt.edu/etoolkit/general-issues/informed-consent/</w:t>
        </w:r>
      </w:hyperlink>
      <w:r w:rsidRPr="00E95958">
        <w:t xml:space="preserve"> [hereinafter Vanderbilt, </w:t>
      </w:r>
      <w:r w:rsidRPr="00E95958">
        <w:rPr>
          <w:i/>
        </w:rPr>
        <w:t>Informed Consent in Adults with Intellectual or Developmental Disabilities</w:t>
      </w:r>
      <w:r w:rsidRPr="00E95958">
        <w:t>]</w:t>
      </w:r>
    </w:p>
  </w:endnote>
  <w:endnote w:id="74">
    <w:p w14:paraId="0E119F08" w14:textId="22940EE0" w:rsidR="002772C9" w:rsidRPr="00E95958" w:rsidRDefault="002772C9" w:rsidP="00E95958">
      <w:pPr>
        <w:pStyle w:val="EndnoteText"/>
        <w:ind w:left="-153" w:hanging="207"/>
      </w:pPr>
      <w:r w:rsidRPr="00E95958">
        <w:rPr>
          <w:vertAlign w:val="superscript"/>
        </w:rPr>
        <w:endnoteRef/>
      </w:r>
      <w:r w:rsidRPr="00E95958">
        <w:t xml:space="preserve"> Vanderbilt, </w:t>
      </w:r>
      <w:r w:rsidRPr="00E95958">
        <w:rPr>
          <w:i/>
        </w:rPr>
        <w:t>Informed Consent in Adults with Intellectual or Developmental Disabilities, supra</w:t>
      </w:r>
      <w:r w:rsidRPr="00E95958">
        <w:t xml:space="preserve"> note 72.</w:t>
      </w:r>
    </w:p>
  </w:endnote>
  <w:endnote w:id="75">
    <w:p w14:paraId="550EA410" w14:textId="3FD47629" w:rsidR="002772C9" w:rsidRPr="00E95958" w:rsidRDefault="002772C9" w:rsidP="00E95958">
      <w:pPr>
        <w:pStyle w:val="EndnoteText"/>
        <w:ind w:left="-153" w:hanging="207"/>
      </w:pPr>
      <w:r w:rsidRPr="00E95958">
        <w:rPr>
          <w:vertAlign w:val="superscript"/>
        </w:rPr>
        <w:endnoteRef/>
      </w:r>
      <w:r w:rsidRPr="00E95958">
        <w:t xml:space="preserve"> Vanderbilt, </w:t>
      </w:r>
      <w:r w:rsidRPr="00E95958">
        <w:rPr>
          <w:i/>
        </w:rPr>
        <w:t>Informed Consent in Adults with Intellectual or Developmental Disabilities, supra</w:t>
      </w:r>
      <w:r w:rsidRPr="00E95958">
        <w:t xml:space="preserve"> note 72.</w:t>
      </w:r>
    </w:p>
  </w:endnote>
  <w:endnote w:id="76">
    <w:p w14:paraId="2DB8CF75" w14:textId="77777777" w:rsidR="002772C9" w:rsidRPr="00E95958" w:rsidRDefault="002772C9" w:rsidP="00E95958">
      <w:pPr>
        <w:pStyle w:val="EndnoteText"/>
        <w:ind w:left="-153" w:hanging="207"/>
      </w:pPr>
      <w:r w:rsidRPr="00E95958">
        <w:rPr>
          <w:vertAlign w:val="superscript"/>
        </w:rPr>
        <w:endnoteRef/>
      </w:r>
      <w:r w:rsidRPr="00E95958">
        <w:t xml:space="preserve"> Office of the High Commissioner on Human Rights (OHCHR), et al., </w:t>
      </w:r>
      <w:r w:rsidRPr="00E95958">
        <w:rPr>
          <w:i/>
        </w:rPr>
        <w:t>Eliminating forced, coercive and otherwise involuntary sterilization: An interagency statement – OHCHR, UN Women, UNAIDS, UNDP, UNFPA, UNICEF and WHO</w:t>
      </w:r>
      <w:r w:rsidRPr="00E95958">
        <w:t xml:space="preserve"> 9 (2014). </w:t>
      </w:r>
    </w:p>
  </w:endnote>
  <w:endnote w:id="77">
    <w:p w14:paraId="25FB8695" w14:textId="1AE59149" w:rsidR="002772C9" w:rsidRPr="00E95958" w:rsidRDefault="002772C9" w:rsidP="00E95958">
      <w:pPr>
        <w:pStyle w:val="EndnoteText"/>
        <w:ind w:left="-153" w:hanging="207"/>
      </w:pPr>
      <w:r w:rsidRPr="00E95958">
        <w:rPr>
          <w:vertAlign w:val="superscript"/>
        </w:rPr>
        <w:endnoteRef/>
      </w:r>
      <w:r w:rsidRPr="00E95958">
        <w:t xml:space="preserve"> Vanderbilt, </w:t>
      </w:r>
      <w:r w:rsidRPr="00E95958">
        <w:rPr>
          <w:i/>
        </w:rPr>
        <w:t>Informed Consent in Adults with Intellectual or Developmental Disabilities, supra</w:t>
      </w:r>
      <w:r w:rsidRPr="00E95958">
        <w:t xml:space="preserve"> note 72.</w:t>
      </w:r>
    </w:p>
  </w:endnote>
  <w:endnote w:id="78">
    <w:p w14:paraId="3D66DC1E" w14:textId="1294F733" w:rsidR="002772C9" w:rsidRPr="00E95958" w:rsidRDefault="002772C9" w:rsidP="00E95958">
      <w:pPr>
        <w:pStyle w:val="EndnoteText"/>
        <w:ind w:left="-153" w:hanging="207"/>
      </w:pPr>
      <w:r w:rsidRPr="00E95958">
        <w:rPr>
          <w:vertAlign w:val="superscript"/>
        </w:rPr>
        <w:endnoteRef/>
      </w:r>
      <w:r w:rsidRPr="00E95958">
        <w:t xml:space="preserve"> </w:t>
      </w:r>
      <w:r w:rsidRPr="00E95958">
        <w:rPr>
          <w:smallCaps/>
        </w:rPr>
        <w:t xml:space="preserve">FIGO, Ethical Issues in Obstetrics and Gynecology, </w:t>
      </w:r>
      <w:r w:rsidRPr="00E95958">
        <w:rPr>
          <w:i/>
        </w:rPr>
        <w:t>supra</w:t>
      </w:r>
      <w:r w:rsidRPr="00E95958">
        <w:t xml:space="preserve"> note 66, at 115; CRC Committee, </w:t>
      </w:r>
      <w:r w:rsidRPr="00E95958">
        <w:rPr>
          <w:i/>
        </w:rPr>
        <w:t>General Comment No. 20 (2016) on the implementation of the rights of the child during adolescence</w:t>
      </w:r>
      <w:r w:rsidRPr="00E95958">
        <w:t>, para. 39, U.N. Doc. CRC/C/GC/20 (April 20, 2017).</w:t>
      </w:r>
    </w:p>
  </w:endnote>
  <w:endnote w:id="79">
    <w:p w14:paraId="4AEA3DC3" w14:textId="28843B97" w:rsidR="002772C9" w:rsidRPr="00E95958" w:rsidRDefault="002772C9" w:rsidP="00E95958">
      <w:pPr>
        <w:pStyle w:val="EndnoteText"/>
        <w:ind w:left="-153" w:hanging="207"/>
      </w:pPr>
      <w:r w:rsidRPr="00E95958">
        <w:rPr>
          <w:vertAlign w:val="superscript"/>
        </w:rPr>
        <w:endnoteRef/>
      </w:r>
      <w:r w:rsidRPr="00E95958">
        <w:t xml:space="preserve"> CRPD Committee, </w:t>
      </w:r>
      <w:r w:rsidRPr="00E95958">
        <w:rPr>
          <w:i/>
        </w:rPr>
        <w:t>General Comment No. 1, supra</w:t>
      </w:r>
      <w:r w:rsidRPr="00E95958">
        <w:t xml:space="preserve"> note 57, at para. 29. </w:t>
      </w:r>
    </w:p>
  </w:endnote>
  <w:endnote w:id="80">
    <w:p w14:paraId="17504C17" w14:textId="77777777" w:rsidR="002772C9" w:rsidRPr="00E95958" w:rsidRDefault="002772C9" w:rsidP="00E95958">
      <w:pPr>
        <w:pStyle w:val="EndnoteText"/>
        <w:ind w:left="-153" w:hanging="207"/>
      </w:pPr>
      <w:r w:rsidRPr="00E95958">
        <w:rPr>
          <w:vertAlign w:val="superscript"/>
        </w:rPr>
        <w:endnoteRef/>
      </w:r>
      <w:r w:rsidRPr="00E95958">
        <w:t xml:space="preserve"> </w:t>
      </w:r>
      <w:r w:rsidRPr="00E95958">
        <w:rPr>
          <w:smallCaps/>
        </w:rPr>
        <w:t>Elizabeth Pell, Virginia Mulkern, Human Services Research Institute, Supported Decision Making Pilot: Pilot Program Evaluation Year 2 Report</w:t>
      </w:r>
      <w:r w:rsidRPr="00E95958">
        <w:t xml:space="preserve"> 4 (2016), </w:t>
      </w:r>
      <w:hyperlink r:id="rId28">
        <w:r w:rsidRPr="00E95958">
          <w:rPr>
            <w:rStyle w:val="Hyperlink"/>
          </w:rPr>
          <w:t>http://supporteddecisions.org/wp-content/uploads/2016/11/Evaluation-Year-2-Report_HSRI-2016_FINAL-2-1.pdf</w:t>
        </w:r>
      </w:hyperlink>
      <w:r w:rsidRPr="00E95958">
        <w:t xml:space="preserve"> </w:t>
      </w:r>
    </w:p>
  </w:endnote>
  <w:endnote w:id="81">
    <w:p w14:paraId="7E83D78F" w14:textId="77777777" w:rsidR="002772C9" w:rsidRPr="00E95958" w:rsidRDefault="002772C9" w:rsidP="00E95958">
      <w:pPr>
        <w:pStyle w:val="EndnoteText"/>
        <w:ind w:left="-153" w:hanging="207"/>
      </w:pPr>
      <w:r w:rsidRPr="00E95958">
        <w:rPr>
          <w:vertAlign w:val="superscript"/>
        </w:rPr>
        <w:endnoteRef/>
      </w:r>
      <w:r w:rsidRPr="00E95958">
        <w:t xml:space="preserve"> Ctr. for Public Representation and Nonotuck Resource Assocs. Inc., Pilot Project: The Supported Decision-Making Pilot Project</w:t>
      </w:r>
      <w:r w:rsidRPr="00E95958">
        <w:rPr>
          <w:smallCaps/>
        </w:rPr>
        <w:t>, Supported Decision Making Pilot Project</w:t>
      </w:r>
      <w:r w:rsidRPr="00E95958">
        <w:rPr>
          <w:i/>
        </w:rPr>
        <w:t xml:space="preserve"> </w:t>
      </w:r>
      <w:r w:rsidRPr="00E95958">
        <w:t xml:space="preserve">(2017), </w:t>
      </w:r>
      <w:hyperlink r:id="rId29">
        <w:r w:rsidRPr="00E95958">
          <w:rPr>
            <w:rStyle w:val="Hyperlink"/>
          </w:rPr>
          <w:t>http://supporteddecisions.org/pilot-project/</w:t>
        </w:r>
      </w:hyperlink>
    </w:p>
  </w:endnote>
  <w:endnote w:id="82">
    <w:p w14:paraId="22F1748C" w14:textId="1F1CB3C7" w:rsidR="002772C9" w:rsidRPr="00E95958" w:rsidRDefault="002772C9" w:rsidP="00E95958">
      <w:pPr>
        <w:pStyle w:val="EndnoteText"/>
        <w:ind w:left="-153" w:hanging="207"/>
      </w:pPr>
      <w:r w:rsidRPr="00E95958">
        <w:rPr>
          <w:vertAlign w:val="superscript"/>
        </w:rPr>
        <w:endnoteRef/>
      </w:r>
      <w:r w:rsidRPr="00E95958">
        <w:t xml:space="preserve"> </w:t>
      </w:r>
      <w:r w:rsidRPr="00E95958">
        <w:rPr>
          <w:smallCaps/>
        </w:rPr>
        <w:t xml:space="preserve">Pell &amp; Mulkern, </w:t>
      </w:r>
      <w:r w:rsidRPr="00E95958">
        <w:rPr>
          <w:i/>
        </w:rPr>
        <w:t>supra</w:t>
      </w:r>
      <w:r w:rsidRPr="00E95958">
        <w:t xml:space="preserve"> note 79, at 14. </w:t>
      </w:r>
    </w:p>
  </w:endnote>
  <w:endnote w:id="83">
    <w:p w14:paraId="2410F268" w14:textId="6B9777B9" w:rsidR="002772C9" w:rsidRPr="00E95958" w:rsidRDefault="002772C9" w:rsidP="00E95958">
      <w:pPr>
        <w:pStyle w:val="EndnoteText"/>
        <w:ind w:left="-153" w:hanging="207"/>
      </w:pPr>
      <w:r w:rsidRPr="00E95958">
        <w:rPr>
          <w:vertAlign w:val="superscript"/>
        </w:rPr>
        <w:endnoteRef/>
      </w:r>
      <w:r w:rsidRPr="00E95958">
        <w:t xml:space="preserve"> </w:t>
      </w:r>
      <w:r w:rsidRPr="00E95958">
        <w:rPr>
          <w:smallCaps/>
        </w:rPr>
        <w:t xml:space="preserve">Pell &amp; Mulkern, </w:t>
      </w:r>
      <w:r w:rsidRPr="00E95958">
        <w:rPr>
          <w:i/>
        </w:rPr>
        <w:t>supra</w:t>
      </w:r>
      <w:r w:rsidRPr="00E95958">
        <w:t xml:space="preserve"> note 79, at 4. </w:t>
      </w:r>
    </w:p>
  </w:endnote>
  <w:endnote w:id="84">
    <w:p w14:paraId="1FC5DE63" w14:textId="08A8B2FF" w:rsidR="002772C9" w:rsidRPr="00E95958" w:rsidRDefault="002772C9" w:rsidP="00E95958">
      <w:pPr>
        <w:pStyle w:val="EndnoteText"/>
        <w:ind w:left="-153" w:hanging="207"/>
      </w:pPr>
      <w:r w:rsidRPr="00E95958">
        <w:rPr>
          <w:vertAlign w:val="superscript"/>
        </w:rPr>
        <w:endnoteRef/>
      </w:r>
      <w:r w:rsidRPr="00E95958">
        <w:t xml:space="preserve"> CRPD Committee, </w:t>
      </w:r>
      <w:r w:rsidRPr="00E95958">
        <w:rPr>
          <w:i/>
        </w:rPr>
        <w:t>General Comment No. 1, supra</w:t>
      </w:r>
      <w:r w:rsidRPr="00E95958">
        <w:t xml:space="preserve"> note 57, at para. 29(a)-(i). </w:t>
      </w:r>
    </w:p>
  </w:endnote>
  <w:endnote w:id="85">
    <w:p w14:paraId="04F14985" w14:textId="77777777" w:rsidR="002772C9" w:rsidRPr="00E95958" w:rsidRDefault="002772C9" w:rsidP="00E95958">
      <w:pPr>
        <w:pStyle w:val="EndnoteText"/>
        <w:ind w:left="-153" w:hanging="207"/>
      </w:pPr>
      <w:r w:rsidRPr="00E95958">
        <w:rPr>
          <w:vertAlign w:val="superscript"/>
        </w:rPr>
        <w:endnoteRef/>
      </w:r>
      <w:r w:rsidRPr="00E95958">
        <w:t xml:space="preserve"> </w:t>
      </w:r>
      <w:r w:rsidRPr="00E95958">
        <w:rPr>
          <w:i/>
        </w:rPr>
        <w:t>See</w:t>
      </w:r>
      <w:r w:rsidRPr="00E95958">
        <w:t xml:space="preserve"> </w:t>
      </w:r>
      <w:r w:rsidRPr="00E95958">
        <w:rPr>
          <w:i/>
        </w:rPr>
        <w:t>Representation Agreements</w:t>
      </w:r>
      <w:r w:rsidRPr="00E95958">
        <w:t xml:space="preserve">, </w:t>
      </w:r>
      <w:r w:rsidRPr="00E95958">
        <w:rPr>
          <w:smallCaps/>
        </w:rPr>
        <w:t>Nidus Personal Planning Resources Ctr. and Registry</w:t>
      </w:r>
      <w:r w:rsidRPr="00E95958">
        <w:t xml:space="preserve"> (last updated 2017), </w:t>
      </w:r>
      <w:hyperlink r:id="rId30">
        <w:r w:rsidRPr="00E95958">
          <w:rPr>
            <w:rStyle w:val="Hyperlink"/>
          </w:rPr>
          <w:t>http://www.nidus.ca/?page_id=46</w:t>
        </w:r>
      </w:hyperlink>
    </w:p>
  </w:endnote>
  <w:endnote w:id="86">
    <w:p w14:paraId="379E26B8" w14:textId="29380E5D" w:rsidR="002772C9" w:rsidRPr="00E95958" w:rsidRDefault="002772C9" w:rsidP="00E95958">
      <w:pPr>
        <w:pStyle w:val="EndnoteText"/>
        <w:ind w:left="-153" w:hanging="207"/>
      </w:pPr>
      <w:r w:rsidRPr="00E95958">
        <w:rPr>
          <w:vertAlign w:val="superscript"/>
        </w:rPr>
        <w:endnoteRef/>
      </w:r>
      <w:r w:rsidRPr="00E95958">
        <w:t xml:space="preserve"> </w:t>
      </w:r>
      <w:r w:rsidRPr="00E95958">
        <w:rPr>
          <w:i/>
        </w:rPr>
        <w:t xml:space="preserve">See </w:t>
      </w:r>
      <w:r w:rsidRPr="00E95958">
        <w:rPr>
          <w:smallCaps/>
        </w:rPr>
        <w:t>OHCHR, International Legal Protection of Human Rights in Armed Conflict</w:t>
      </w:r>
      <w:r w:rsidRPr="00E95958">
        <w:t>, at 5-6, U.N. HR/PUB/11/01, U.N. Sales No</w:t>
      </w:r>
      <w:r w:rsidRPr="00E95958">
        <w:rPr>
          <w:smallCaps/>
        </w:rPr>
        <w:t xml:space="preserve">. E. 11.XIV.3 </w:t>
      </w:r>
      <w:r w:rsidRPr="00E95958">
        <w:t xml:space="preserve">(2011), </w:t>
      </w:r>
      <w:hyperlink r:id="rId31">
        <w:r w:rsidRPr="00E95958">
          <w:rPr>
            <w:rStyle w:val="Hyperlink"/>
          </w:rPr>
          <w:t>http://www.ohchr.org/Documents/Publications/HR_in_armed_conflict.pdf</w:t>
        </w:r>
      </w:hyperlink>
    </w:p>
  </w:endnote>
  <w:endnote w:id="87">
    <w:p w14:paraId="49402B8C" w14:textId="77777777" w:rsidR="002772C9" w:rsidRPr="00E95958" w:rsidRDefault="002772C9" w:rsidP="00E95958">
      <w:pPr>
        <w:pStyle w:val="EndnoteText"/>
        <w:ind w:left="-153" w:hanging="207"/>
      </w:pPr>
      <w:r w:rsidRPr="00E95958">
        <w:rPr>
          <w:vertAlign w:val="superscript"/>
        </w:rPr>
        <w:endnoteRef/>
      </w:r>
      <w:r w:rsidRPr="00E95958">
        <w:t xml:space="preserve"> CRPD, </w:t>
      </w:r>
      <w:r w:rsidRPr="00E95958">
        <w:rPr>
          <w:i/>
        </w:rPr>
        <w:t xml:space="preserve">supra </w:t>
      </w:r>
      <w:r w:rsidRPr="00E95958">
        <w:t>note 1, at art. 11</w:t>
      </w:r>
    </w:p>
  </w:endnote>
  <w:endnote w:id="88">
    <w:p w14:paraId="7BFB7C4F" w14:textId="77777777" w:rsidR="002772C9" w:rsidRPr="00E95958" w:rsidRDefault="002772C9" w:rsidP="00E95958">
      <w:pPr>
        <w:pStyle w:val="EndnoteText"/>
        <w:ind w:left="-153" w:hanging="207"/>
      </w:pPr>
      <w:r w:rsidRPr="00E95958">
        <w:rPr>
          <w:vertAlign w:val="superscript"/>
        </w:rPr>
        <w:endnoteRef/>
      </w:r>
      <w:r w:rsidRPr="00E95958">
        <w:t xml:space="preserve"> OHCHR, </w:t>
      </w:r>
      <w:r w:rsidRPr="00E95958">
        <w:rPr>
          <w:i/>
        </w:rPr>
        <w:t>Thematic Study on the Rights of Persons with Disabilities under Article 11 of the Convention on the Rights of Persons with Disabilities, on Situations of Risk and Humanitarian Emergencies</w:t>
      </w:r>
      <w:r w:rsidRPr="00E95958">
        <w:t xml:space="preserve">, paras. 56-62, U.N. Doc. A/HRC/31/30 (Nov. 30, 2015), </w:t>
      </w:r>
      <w:hyperlink r:id="rId32">
        <w:r w:rsidRPr="00E95958">
          <w:rPr>
            <w:rStyle w:val="Hyperlink"/>
          </w:rPr>
          <w:t>http://www.un.org/disabilities/documents/WHS/HRCart11SGR.docx</w:t>
        </w:r>
      </w:hyperlink>
    </w:p>
  </w:endnote>
  <w:endnote w:id="89">
    <w:p w14:paraId="7497455C" w14:textId="77777777" w:rsidR="002772C9" w:rsidRPr="00E95958" w:rsidRDefault="002772C9" w:rsidP="00E95958">
      <w:pPr>
        <w:pStyle w:val="EndnoteText"/>
        <w:ind w:left="-153" w:hanging="207"/>
      </w:pPr>
      <w:r w:rsidRPr="00E95958">
        <w:rPr>
          <w:vertAlign w:val="superscript"/>
        </w:rPr>
        <w:endnoteRef/>
      </w:r>
      <w:r w:rsidRPr="00E95958">
        <w:rPr>
          <w:smallCaps/>
        </w:rPr>
        <w:t>Charter on Inclusion of Persons with Disabilities in Humanitarian Action</w:t>
      </w:r>
      <w:r w:rsidRPr="00E95958">
        <w:t xml:space="preserve"> (2017), </w:t>
      </w:r>
      <w:hyperlink r:id="rId33">
        <w:r w:rsidRPr="00E95958">
          <w:rPr>
            <w:rStyle w:val="Hyperlink"/>
          </w:rPr>
          <w:t>http://humanitariandisabilitycharter.org/</w:t>
        </w:r>
      </w:hyperlink>
      <w:r w:rsidRPr="00E95958">
        <w:t xml:space="preserve"> </w:t>
      </w:r>
    </w:p>
  </w:endnote>
  <w:endnote w:id="90">
    <w:p w14:paraId="6A4CD00F" w14:textId="593C0815" w:rsidR="002772C9" w:rsidRPr="00E95958" w:rsidRDefault="002772C9" w:rsidP="00E95958">
      <w:pPr>
        <w:pStyle w:val="EndnoteText"/>
        <w:ind w:left="-153" w:hanging="207"/>
      </w:pPr>
      <w:r w:rsidRPr="00E95958">
        <w:rPr>
          <w:vertAlign w:val="superscript"/>
        </w:rPr>
        <w:endnoteRef/>
      </w:r>
      <w:r w:rsidRPr="00E95958">
        <w:t xml:space="preserve"> CRPD, </w:t>
      </w:r>
      <w:r w:rsidRPr="00E95958">
        <w:rPr>
          <w:i/>
        </w:rPr>
        <w:t xml:space="preserve">supra </w:t>
      </w:r>
      <w:r w:rsidRPr="00E95958">
        <w:t xml:space="preserve">note 1, at art. 4(3). </w:t>
      </w:r>
    </w:p>
  </w:endnote>
  <w:endnote w:id="91">
    <w:p w14:paraId="3EC75424" w14:textId="225945A1" w:rsidR="002772C9" w:rsidRPr="00E95958" w:rsidRDefault="002772C9" w:rsidP="00E95958">
      <w:pPr>
        <w:pStyle w:val="EndnoteText"/>
        <w:ind w:left="-153" w:hanging="207"/>
        <w:rPr>
          <w:lang w:val="fr-FR"/>
        </w:rPr>
      </w:pPr>
      <w:r w:rsidRPr="00E95958">
        <w:rPr>
          <w:rStyle w:val="EndnoteReference"/>
        </w:rPr>
        <w:endnoteRef/>
      </w:r>
      <w:r w:rsidRPr="00E95958">
        <w:rPr>
          <w:lang w:val="fr-FR"/>
        </w:rPr>
        <w:t xml:space="preserve"> </w:t>
      </w:r>
      <w:r w:rsidRPr="00E95958">
        <w:rPr>
          <w:smallCaps/>
          <w:lang w:val="fr-FR"/>
        </w:rPr>
        <w:t>Sofía Minieri, REDI, El Derecho De Las Personas Con Discapacidad a la Salud Sexual y Reproductiva: 20 Preguntas Fundamentales Sobre Las Pol</w:t>
      </w:r>
      <w:r w:rsidRPr="00E95958">
        <w:rPr>
          <w:smallCaps/>
          <w:shd w:val="clear" w:color="auto" w:fill="FFFFFF"/>
          <w:lang w:val="fr-FR"/>
        </w:rPr>
        <w:t>íticas Públicas Del Estado Argentino</w:t>
      </w:r>
      <w:r w:rsidRPr="00E95958">
        <w:rPr>
          <w:shd w:val="clear" w:color="auto" w:fill="FFFFFF"/>
          <w:lang w:val="fr-FR"/>
        </w:rPr>
        <w:t xml:space="preserve"> (Nov. 2017), </w:t>
      </w:r>
      <w:r w:rsidRPr="00E95958">
        <w:rPr>
          <w:rStyle w:val="Hyperlink"/>
        </w:rPr>
        <w:t>http://www.redi.org.ar/Documentos/Publicaciones/Derechos-sexuales-y-derechos-reproductivos-de-las-mujeres/Derechos-sexuales-y-derechos-reproductivos-de-las-mujeres_20-preguntas.pdf</w:t>
      </w:r>
    </w:p>
  </w:endnote>
  <w:endnote w:id="92">
    <w:p w14:paraId="1FD6B02F" w14:textId="77777777" w:rsidR="002772C9" w:rsidRPr="00E95958" w:rsidRDefault="002772C9" w:rsidP="00E95958">
      <w:pPr>
        <w:pStyle w:val="EndnoteText"/>
        <w:ind w:left="-153" w:hanging="207"/>
      </w:pPr>
      <w:r w:rsidRPr="00E95958">
        <w:rPr>
          <w:vertAlign w:val="superscript"/>
        </w:rPr>
        <w:endnoteRef/>
      </w:r>
      <w:r w:rsidRPr="00E95958">
        <w:t xml:space="preserve"> Illinois Domestic Violence Act of 1986, 750 Ill. Comp. Stat. Ann. </w:t>
      </w:r>
      <w:r w:rsidRPr="00E95958">
        <w:rPr>
          <w:highlight w:val="white"/>
        </w:rPr>
        <w:t xml:space="preserve">§ </w:t>
      </w:r>
      <w:r w:rsidRPr="00E95958">
        <w:t xml:space="preserve">60/103(6) (2013). </w:t>
      </w:r>
    </w:p>
  </w:endnote>
  <w:endnote w:id="93">
    <w:p w14:paraId="0A31C1A9" w14:textId="77777777" w:rsidR="002772C9" w:rsidRPr="00E95958" w:rsidRDefault="002772C9" w:rsidP="00E95958">
      <w:pPr>
        <w:pStyle w:val="EndnoteText"/>
        <w:ind w:left="-153" w:hanging="207"/>
      </w:pPr>
      <w:r w:rsidRPr="00E95958">
        <w:rPr>
          <w:vertAlign w:val="superscript"/>
        </w:rPr>
        <w:endnoteRef/>
      </w:r>
      <w:r w:rsidRPr="00E95958">
        <w:t xml:space="preserve"> The Responsible Parenthood and Reproductive Health Act, of 2012, Rep. Act No. 10354 (Dec. 21, 2012).</w:t>
      </w:r>
    </w:p>
  </w:endnote>
  <w:endnote w:id="94">
    <w:p w14:paraId="31DF27EB" w14:textId="64EEAE78" w:rsidR="002772C9" w:rsidRPr="00E95958" w:rsidRDefault="002772C9" w:rsidP="00E95958">
      <w:pPr>
        <w:pStyle w:val="EndnoteText"/>
        <w:ind w:left="-153" w:hanging="207"/>
      </w:pPr>
      <w:r w:rsidRPr="00E95958">
        <w:rPr>
          <w:vertAlign w:val="superscript"/>
        </w:rPr>
        <w:endnoteRef/>
      </w:r>
      <w:r w:rsidRPr="00E95958">
        <w:t xml:space="preserve"> </w:t>
      </w:r>
      <w:r w:rsidRPr="00E95958">
        <w:rPr>
          <w:smallCaps/>
        </w:rPr>
        <w:t xml:space="preserve">Jane Maxwell, Julia Watts Belser, &amp; Darlena David, Hesperian Health Guides, A Health Handbook for Women with Disabilities </w:t>
      </w:r>
      <w:r w:rsidRPr="00E95958">
        <w:rPr>
          <w:highlight w:val="white"/>
        </w:rPr>
        <w:t>25 (2007), </w:t>
      </w:r>
      <w:hyperlink r:id="rId34" w:history="1">
        <w:r w:rsidRPr="00E95958">
          <w:rPr>
            <w:rStyle w:val="Hyperlink"/>
            <w:highlight w:val="white"/>
          </w:rPr>
          <w:t>http://hesperian.org/books-and-resources/</w:t>
        </w:r>
      </w:hyperlink>
      <w:r w:rsidRPr="00E95958">
        <w:rPr>
          <w:highlight w:val="white"/>
        </w:rPr>
        <w:t xml:space="preserve"> [hereinafter </w:t>
      </w:r>
      <w:r w:rsidRPr="00E95958">
        <w:rPr>
          <w:smallCaps/>
        </w:rPr>
        <w:t>Maxwell et al., Health Handbook</w:t>
      </w:r>
      <w:r w:rsidRPr="00E95958">
        <w:t xml:space="preserve">] </w:t>
      </w:r>
    </w:p>
  </w:endnote>
  <w:endnote w:id="95">
    <w:p w14:paraId="590B2CB3" w14:textId="77777777" w:rsidR="002772C9" w:rsidRPr="00E95958" w:rsidRDefault="002772C9" w:rsidP="00E95958">
      <w:pPr>
        <w:pStyle w:val="EndnoteText"/>
        <w:ind w:left="-153" w:hanging="207"/>
        <w:rPr>
          <w:lang w:val="fr-FR"/>
        </w:rPr>
      </w:pPr>
      <w:r w:rsidRPr="00E95958">
        <w:rPr>
          <w:vertAlign w:val="superscript"/>
        </w:rPr>
        <w:endnoteRef/>
      </w:r>
      <w:r w:rsidRPr="00E95958">
        <w:t xml:space="preserve"> Americans with Disabilities Act (ADA) of 1990, 42 U.S.C. § 12181 </w:t>
      </w:r>
      <w:r w:rsidRPr="00E95958">
        <w:rPr>
          <w:i/>
        </w:rPr>
        <w:t>et seq</w:t>
      </w:r>
      <w:r w:rsidRPr="00E95958">
        <w:t xml:space="preserve">. </w:t>
      </w:r>
      <w:r w:rsidRPr="00E95958">
        <w:rPr>
          <w:lang w:val="fr-FR"/>
        </w:rPr>
        <w:t xml:space="preserve">(2008). </w:t>
      </w:r>
    </w:p>
  </w:endnote>
  <w:endnote w:id="96">
    <w:p w14:paraId="1CBEB010" w14:textId="77777777" w:rsidR="002772C9" w:rsidRPr="00E95958" w:rsidRDefault="002772C9" w:rsidP="00E95958">
      <w:pPr>
        <w:pStyle w:val="EndnoteText"/>
        <w:ind w:left="-153" w:hanging="207"/>
        <w:rPr>
          <w:lang w:val="fr-FR"/>
        </w:rPr>
      </w:pPr>
      <w:r w:rsidRPr="00E95958">
        <w:rPr>
          <w:vertAlign w:val="superscript"/>
        </w:rPr>
        <w:endnoteRef/>
      </w:r>
      <w:r w:rsidRPr="00E95958">
        <w:rPr>
          <w:lang w:val="fr-FR"/>
        </w:rPr>
        <w:t xml:space="preserve"> </w:t>
      </w:r>
      <w:r w:rsidRPr="00E95958">
        <w:rPr>
          <w:smallCaps/>
          <w:highlight w:val="white"/>
          <w:lang w:val="fr-FR"/>
        </w:rPr>
        <w:t>Red Por Los Derechos De Las Personas Con Discapacidad (REDI</w:t>
      </w:r>
      <w:r w:rsidRPr="00E95958">
        <w:rPr>
          <w:highlight w:val="white"/>
          <w:lang w:val="fr-FR"/>
        </w:rPr>
        <w:t>), </w:t>
      </w:r>
      <w:hyperlink r:id="rId35">
        <w:r w:rsidRPr="00E95958">
          <w:rPr>
            <w:rStyle w:val="Hyperlink"/>
            <w:highlight w:val="white"/>
          </w:rPr>
          <w:t>http://www.redi.org.ar/index.php</w:t>
        </w:r>
      </w:hyperlink>
      <w:r w:rsidRPr="00E95958">
        <w:rPr>
          <w:highlight w:val="white"/>
          <w:lang w:val="fr-FR"/>
        </w:rPr>
        <w:t xml:space="preserve">. </w:t>
      </w:r>
    </w:p>
  </w:endnote>
  <w:endnote w:id="97">
    <w:p w14:paraId="5A7511E7" w14:textId="77777777" w:rsidR="002772C9" w:rsidRPr="00E95958" w:rsidRDefault="002772C9" w:rsidP="00E95958">
      <w:pPr>
        <w:pStyle w:val="EndnoteText"/>
        <w:ind w:left="-153" w:hanging="207"/>
        <w:rPr>
          <w:highlight w:val="white"/>
        </w:rPr>
      </w:pPr>
      <w:r w:rsidRPr="00E95958">
        <w:rPr>
          <w:vertAlign w:val="superscript"/>
        </w:rPr>
        <w:endnoteRef/>
      </w:r>
      <w:r w:rsidRPr="00E95958">
        <w:t xml:space="preserve"> </w:t>
      </w:r>
      <w:r w:rsidRPr="00E95958">
        <w:rPr>
          <w:smallCaps/>
        </w:rPr>
        <w:t>United Nations Department of Economic and Social Affairs (UN-DESA), Office of the United Nations High Commissioner for Human Rights (OHCHR), and Inter-Parliamentary Union (IPU), Handbook for Parliamentarians on the Convention on the Rights of Persons with Disabilities</w:t>
      </w:r>
      <w:r w:rsidRPr="00E95958">
        <w:t xml:space="preserve">, U.N. HR/PUB/07/6, U.N. Sales No. 14-2007 (2007), </w:t>
      </w:r>
      <w:r w:rsidRPr="00E95958">
        <w:rPr>
          <w:rStyle w:val="Hyperlink"/>
        </w:rPr>
        <w:t>https://www.un.org/development/desa/disabilities/resources/handbook-for-parliamentarians-on-the-convention-on-the-rights-of-persons-with-disabilities.html</w:t>
      </w:r>
    </w:p>
  </w:endnote>
  <w:endnote w:id="98">
    <w:p w14:paraId="583CBEAE" w14:textId="77777777" w:rsidR="002772C9" w:rsidRPr="00E95958" w:rsidRDefault="002772C9" w:rsidP="00E95958">
      <w:pPr>
        <w:pStyle w:val="EndnoteText"/>
        <w:ind w:left="-153" w:hanging="207"/>
      </w:pPr>
      <w:r w:rsidRPr="00E95958">
        <w:rPr>
          <w:vertAlign w:val="superscript"/>
        </w:rPr>
        <w:endnoteRef/>
      </w:r>
      <w:r w:rsidRPr="00E95958">
        <w:t xml:space="preserve"> </w:t>
      </w:r>
      <w:r w:rsidRPr="00E95958">
        <w:rPr>
          <w:i/>
        </w:rPr>
        <w:t xml:space="preserve">See </w:t>
      </w:r>
      <w:r w:rsidRPr="00E95958">
        <w:t xml:space="preserve">Stephanie Ortoleva, </w:t>
      </w:r>
      <w:r w:rsidRPr="00E95958">
        <w:rPr>
          <w:i/>
        </w:rPr>
        <w:t>Who’s Missing? Women with Disabilities in U.N. Security Council Resolution 1325 National Action Plans</w:t>
      </w:r>
      <w:r w:rsidRPr="00E95958">
        <w:t xml:space="preserve">, 18:2 </w:t>
      </w:r>
      <w:r w:rsidRPr="00E95958">
        <w:rPr>
          <w:smallCaps/>
        </w:rPr>
        <w:t xml:space="preserve">ILSA Journal of International and Comparative Law 395, </w:t>
      </w:r>
      <w:r w:rsidRPr="00E95958">
        <w:t>397-399 (2012).</w:t>
      </w:r>
    </w:p>
  </w:endnote>
  <w:endnote w:id="99">
    <w:p w14:paraId="2D6C0B67" w14:textId="77777777" w:rsidR="002772C9" w:rsidRPr="00E95958" w:rsidRDefault="002772C9" w:rsidP="00E95958">
      <w:pPr>
        <w:pStyle w:val="EndnoteText"/>
        <w:ind w:left="-153" w:hanging="207"/>
      </w:pPr>
      <w:r w:rsidRPr="00E95958">
        <w:rPr>
          <w:vertAlign w:val="superscript"/>
        </w:rPr>
        <w:endnoteRef/>
      </w:r>
      <w:r w:rsidRPr="00E95958">
        <w:t xml:space="preserve"> S.C. Res. 2250 (Dec. 9 2015).</w:t>
      </w:r>
    </w:p>
  </w:endnote>
  <w:endnote w:id="100">
    <w:p w14:paraId="24FE415E" w14:textId="1A0F2CED" w:rsidR="002772C9" w:rsidRPr="00E95958" w:rsidRDefault="002772C9" w:rsidP="00E95958">
      <w:pPr>
        <w:pStyle w:val="EndnoteText"/>
        <w:ind w:left="-36" w:hanging="324"/>
      </w:pPr>
      <w:r w:rsidRPr="00E95958">
        <w:rPr>
          <w:vertAlign w:val="superscript"/>
        </w:rPr>
        <w:endnoteRef/>
      </w:r>
      <w:r w:rsidRPr="00E95958">
        <w:rPr>
          <w:smallCaps/>
        </w:rPr>
        <w:t xml:space="preserve"> National Plan to Reduce Violence Against Women and their Children, Fact Sheet: How the Third Action Plan supports Women with Disability, Australian Government – Department of Social Services</w:t>
      </w:r>
      <w:r w:rsidRPr="00E95958">
        <w:t xml:space="preserve"> (Oct. 2016), </w:t>
      </w:r>
      <w:hyperlink r:id="rId36">
        <w:r w:rsidRPr="00E95958">
          <w:rPr>
            <w:rStyle w:val="Hyperlink"/>
          </w:rPr>
          <w:t>https://www.dss.gov.au/women/programs-services/reducing-violence/fact-sheet-how-the-third-action-plan-supports-women-with-disability</w:t>
        </w:r>
      </w:hyperlink>
    </w:p>
  </w:endnote>
  <w:endnote w:id="101">
    <w:p w14:paraId="491E698C"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WHO, WHO Essential Medicines and Health Products: Annual Report 2016</w:t>
      </w:r>
      <w:r w:rsidRPr="00E95958">
        <w:t xml:space="preserve"> (Aug. 2017), </w:t>
      </w:r>
      <w:hyperlink r:id="rId37">
        <w:r w:rsidRPr="00E95958">
          <w:rPr>
            <w:rStyle w:val="Hyperlink"/>
          </w:rPr>
          <w:t>http://www.who.int/medicines/publications/annual-reports/emp_annual-report2016/en/</w:t>
        </w:r>
      </w:hyperlink>
    </w:p>
  </w:endnote>
  <w:endnote w:id="102">
    <w:p w14:paraId="2EC3F4C1" w14:textId="77777777" w:rsidR="002772C9" w:rsidRPr="00E95958" w:rsidRDefault="002772C9" w:rsidP="00E95958">
      <w:pPr>
        <w:pStyle w:val="EndnoteText"/>
        <w:ind w:left="-36" w:hanging="324"/>
      </w:pPr>
      <w:r w:rsidRPr="00E95958">
        <w:rPr>
          <w:vertAlign w:val="superscript"/>
        </w:rPr>
        <w:endnoteRef/>
      </w:r>
      <w:r w:rsidRPr="00E95958">
        <w:rPr>
          <w:smallCaps/>
        </w:rPr>
        <w:t>UN Partnership to Promote the Rights of Persons with Disabilities (UNPRPD), UNPRPD Fund: 2016 Annual Report</w:t>
      </w:r>
      <w:r w:rsidRPr="00E95958">
        <w:t xml:space="preserve"> 17 (2016), </w:t>
      </w:r>
      <w:r w:rsidRPr="00E95958">
        <w:rPr>
          <w:i/>
        </w:rPr>
        <w:t>available at</w:t>
      </w:r>
      <w:r w:rsidRPr="00E95958">
        <w:t xml:space="preserve"> </w:t>
      </w:r>
      <w:hyperlink r:id="rId38">
        <w:r w:rsidRPr="00E95958">
          <w:rPr>
            <w:rStyle w:val="Hyperlink"/>
          </w:rPr>
          <w:t>http://mptf.undp.org/document/download/18125</w:t>
        </w:r>
      </w:hyperlink>
      <w:r w:rsidRPr="00E95958">
        <w:t xml:space="preserve"> </w:t>
      </w:r>
    </w:p>
  </w:endnote>
  <w:endnote w:id="103">
    <w:p w14:paraId="2E91623C"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See</w:t>
      </w:r>
      <w:r w:rsidRPr="00E95958">
        <w:t xml:space="preserve"> CRPD Committee, </w:t>
      </w:r>
      <w:r w:rsidRPr="00E95958">
        <w:rPr>
          <w:i/>
        </w:rPr>
        <w:t>Concluding Observations on the Initial Report of Ukraine</w:t>
      </w:r>
      <w:r w:rsidRPr="00E95958">
        <w:t xml:space="preserve">, para. 23, U.N. Doc. CRPD/C/UKR/CO/1(Oct. 2, 2015). </w:t>
      </w:r>
    </w:p>
  </w:endnote>
  <w:endnote w:id="104">
    <w:p w14:paraId="1A7274A3" w14:textId="77777777" w:rsidR="002772C9" w:rsidRPr="00E95958" w:rsidRDefault="002772C9" w:rsidP="00E95958">
      <w:pPr>
        <w:pStyle w:val="EndnoteText"/>
        <w:ind w:left="-36" w:hanging="324"/>
        <w:rPr>
          <w:highlight w:val="white"/>
        </w:rPr>
      </w:pPr>
      <w:r w:rsidRPr="00E95958">
        <w:rPr>
          <w:vertAlign w:val="superscript"/>
        </w:rPr>
        <w:endnoteRef/>
      </w:r>
      <w:r w:rsidRPr="00E95958">
        <w:t xml:space="preserve">S.C. Res. 1325 </w:t>
      </w:r>
      <w:r w:rsidRPr="00E95958">
        <w:rPr>
          <w:highlight w:val="white"/>
        </w:rPr>
        <w:t>(Oct. 31, 2000).</w:t>
      </w:r>
    </w:p>
  </w:endnote>
  <w:endnote w:id="105">
    <w:p w14:paraId="33F146B7" w14:textId="0B3BF09E" w:rsidR="002772C9" w:rsidRPr="00E95958" w:rsidRDefault="002772C9" w:rsidP="00E95958">
      <w:pPr>
        <w:pStyle w:val="EndnoteText"/>
        <w:ind w:left="-36" w:hanging="324"/>
      </w:pPr>
      <w:r w:rsidRPr="00E95958">
        <w:rPr>
          <w:vertAlign w:val="superscript"/>
        </w:rPr>
        <w:endnoteRef/>
      </w:r>
      <w:r w:rsidRPr="00E95958">
        <w:t xml:space="preserve"> This statement should also be read as including people who face violence and discrimination because of their actual or perceived sexuality, gender identity, or sex characteristics. </w:t>
      </w:r>
    </w:p>
  </w:endnote>
  <w:endnote w:id="106">
    <w:p w14:paraId="40536E2A" w14:textId="0ADAB0F0" w:rsidR="002772C9" w:rsidRPr="00E95958" w:rsidRDefault="002772C9" w:rsidP="00E95958">
      <w:pPr>
        <w:pStyle w:val="EndnoteText"/>
        <w:ind w:left="-36" w:hanging="324"/>
        <w:rPr>
          <w:smallCaps/>
        </w:rPr>
      </w:pPr>
      <w:r w:rsidRPr="00E95958">
        <w:rPr>
          <w:vertAlign w:val="superscript"/>
        </w:rPr>
        <w:endnoteRef/>
      </w:r>
      <w:r w:rsidRPr="00E95958">
        <w:t xml:space="preserve"> </w:t>
      </w:r>
      <w:r w:rsidRPr="00E95958">
        <w:rPr>
          <w:i/>
        </w:rPr>
        <w:t xml:space="preserve">See </w:t>
      </w:r>
      <w:r w:rsidRPr="00E95958">
        <w:t xml:space="preserve">WRC &amp; IRC, </w:t>
      </w:r>
      <w:r w:rsidRPr="00E95958">
        <w:rPr>
          <w:smallCaps/>
        </w:rPr>
        <w:t xml:space="preserve">“I See That It Is Possible,” </w:t>
      </w:r>
      <w:r w:rsidRPr="00E95958">
        <w:rPr>
          <w:i/>
        </w:rPr>
        <w:t>supra</w:t>
      </w:r>
      <w:r w:rsidRPr="00E95958">
        <w:t xml:space="preserve"> note 31.</w:t>
      </w:r>
    </w:p>
  </w:endnote>
  <w:endnote w:id="107">
    <w:p w14:paraId="147653E6"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 xml:space="preserve">See </w:t>
      </w:r>
      <w:r w:rsidRPr="00E95958">
        <w:rPr>
          <w:smallCaps/>
        </w:rPr>
        <w:t>Women’s Refugee Commission and ChildFund International, Gender-based Violence against Children and Youth with Disabilities: A Toolkit for Child Protection Actors</w:t>
      </w:r>
      <w:r w:rsidRPr="00E95958">
        <w:t xml:space="preserve"> (Feb. 2016), </w:t>
      </w:r>
      <w:hyperlink r:id="rId39">
        <w:r w:rsidRPr="00E95958">
          <w:rPr>
            <w:rStyle w:val="Hyperlink"/>
          </w:rPr>
          <w:t>https://www.womensrefugeecommission.org/populations/disabilities/research-and-resources/1289-youth-disabilities-toolkit</w:t>
        </w:r>
      </w:hyperlink>
      <w:r w:rsidRPr="00E95958">
        <w:t xml:space="preserve"> </w:t>
      </w:r>
    </w:p>
  </w:endnote>
  <w:endnote w:id="108">
    <w:p w14:paraId="367735E6" w14:textId="2EAA6710" w:rsidR="002772C9" w:rsidRPr="00E95958" w:rsidRDefault="002772C9" w:rsidP="00E95958">
      <w:pPr>
        <w:pStyle w:val="EndnoteText"/>
        <w:ind w:left="-36" w:hanging="324"/>
      </w:pPr>
      <w:r w:rsidRPr="00E95958">
        <w:rPr>
          <w:rStyle w:val="EndnoteReference"/>
        </w:rPr>
        <w:endnoteRef/>
      </w:r>
      <w:r w:rsidRPr="00E95958">
        <w:t xml:space="preserve"> </w:t>
      </w:r>
      <w:r w:rsidRPr="00E95958">
        <w:rPr>
          <w:i/>
        </w:rPr>
        <w:t>See e.g.</w:t>
      </w:r>
      <w:r w:rsidRPr="00E95958">
        <w:t xml:space="preserve"> </w:t>
      </w:r>
      <w:r w:rsidRPr="00E95958">
        <w:rPr>
          <w:i/>
        </w:rPr>
        <w:t>Women with Disabilities,</w:t>
      </w:r>
      <w:r w:rsidRPr="00E95958">
        <w:t xml:space="preserve"> </w:t>
      </w:r>
      <w:r w:rsidRPr="00E95958">
        <w:rPr>
          <w:smallCaps/>
        </w:rPr>
        <w:t>The American College of Obstetricians and Gynecologists</w:t>
      </w:r>
      <w:r w:rsidRPr="00E95958">
        <w:t xml:space="preserve">, </w:t>
      </w:r>
      <w:hyperlink r:id="rId40" w:history="1">
        <w:r w:rsidRPr="00E95958">
          <w:rPr>
            <w:rStyle w:val="Hyperlink"/>
          </w:rPr>
          <w:t>https://www.acog.org/About-ACOG/ACOG-Departments/Women-with-Disabilities</w:t>
        </w:r>
      </w:hyperlink>
      <w:r w:rsidRPr="00E95958">
        <w:t xml:space="preserve"> (Resources for obstetricians and gynecologists to increase knowledge about the needs of women with disabilities, including an interactive site for clinicians and a video training on healthcare for women with developmental disabilities). </w:t>
      </w:r>
    </w:p>
  </w:endnote>
  <w:endnote w:id="109">
    <w:p w14:paraId="4890F929" w14:textId="7EB2D3AC" w:rsidR="002772C9" w:rsidRPr="00E95958" w:rsidRDefault="002772C9" w:rsidP="00E95958">
      <w:pPr>
        <w:pStyle w:val="EndnoteText"/>
        <w:ind w:left="-36" w:hanging="324"/>
      </w:pPr>
      <w:r w:rsidRPr="00E95958">
        <w:rPr>
          <w:rStyle w:val="EndnoteReference"/>
        </w:rPr>
        <w:endnoteRef/>
      </w:r>
      <w:r w:rsidRPr="00E95958">
        <w:t xml:space="preserve"> </w:t>
      </w:r>
      <w:r w:rsidRPr="00E95958">
        <w:rPr>
          <w:smallCaps/>
          <w:lang w:val="en-GB"/>
        </w:rPr>
        <w:t>Inter-Agency Standing Committee (IASC), The Gender Handbook for Humanitarian Action (</w:t>
      </w:r>
      <w:r w:rsidRPr="00E95958">
        <w:rPr>
          <w:lang w:val="en-GB"/>
        </w:rPr>
        <w:t>2</w:t>
      </w:r>
      <w:r w:rsidRPr="00E95958">
        <w:rPr>
          <w:vertAlign w:val="superscript"/>
          <w:lang w:val="en-GB"/>
        </w:rPr>
        <w:t>nd</w:t>
      </w:r>
      <w:r w:rsidRPr="00E95958">
        <w:rPr>
          <w:lang w:val="en-GB"/>
        </w:rPr>
        <w:t xml:space="preserve"> ed. </w:t>
      </w:r>
      <w:r w:rsidRPr="00E95958">
        <w:rPr>
          <w:smallCaps/>
          <w:lang w:val="en-GB"/>
        </w:rPr>
        <w:t xml:space="preserve">2017), </w:t>
      </w:r>
      <w:r w:rsidRPr="00E95958">
        <w:rPr>
          <w:rStyle w:val="Hyperlink"/>
        </w:rPr>
        <w:t>https://interagencystandingcommittee.org/system/files/2018-iasc_gender_handbook_for_humanitarian_action_eng_0.pdf</w:t>
      </w:r>
    </w:p>
  </w:endnote>
  <w:endnote w:id="110">
    <w:p w14:paraId="1A7D5089" w14:textId="77777777" w:rsidR="002772C9" w:rsidRPr="00E95958" w:rsidRDefault="002772C9" w:rsidP="00E95958">
      <w:pPr>
        <w:pStyle w:val="EndnoteText"/>
        <w:ind w:left="-36" w:hanging="324"/>
        <w:rPr>
          <w:highlight w:val="white"/>
        </w:rPr>
      </w:pPr>
      <w:r w:rsidRPr="00E95958">
        <w:rPr>
          <w:vertAlign w:val="superscript"/>
        </w:rPr>
        <w:endnoteRef/>
      </w:r>
      <w:r w:rsidRPr="00E95958">
        <w:rPr>
          <w:vertAlign w:val="superscript"/>
        </w:rPr>
        <w:t xml:space="preserve"> </w:t>
      </w:r>
      <w:r w:rsidRPr="00E95958">
        <w:t xml:space="preserve">See CRPD Committee, </w:t>
      </w:r>
      <w:r w:rsidRPr="00E95958">
        <w:rPr>
          <w:i/>
        </w:rPr>
        <w:t xml:space="preserve">Concluding Observations on the Initial Report of Azerbaijan, </w:t>
      </w:r>
      <w:r w:rsidRPr="00E95958">
        <w:t xml:space="preserve">para. 25, U.N. Doc. CRPD/C/AZE/CO/1(May 12, 2014); CRPD Committee, </w:t>
      </w:r>
      <w:r w:rsidRPr="00E95958">
        <w:rPr>
          <w:i/>
        </w:rPr>
        <w:t xml:space="preserve">Concluding Observations on the Initial Report of Mexico, </w:t>
      </w:r>
      <w:r w:rsidRPr="00E95958">
        <w:t xml:space="preserve">para. 22(c), U.N. Doc. CRPD/C/MEX/CO/1 (Oct. 27, 2014). </w:t>
      </w:r>
    </w:p>
  </w:endnote>
  <w:endnote w:id="111">
    <w:p w14:paraId="5487512A" w14:textId="77777777" w:rsidR="002772C9" w:rsidRPr="00E95958" w:rsidRDefault="002772C9" w:rsidP="00E95958">
      <w:pPr>
        <w:pStyle w:val="EndnoteText"/>
        <w:ind w:left="-36" w:hanging="324"/>
      </w:pPr>
      <w:r w:rsidRPr="00E95958">
        <w:rPr>
          <w:vertAlign w:val="superscript"/>
        </w:rPr>
        <w:endnoteRef/>
      </w:r>
      <w:r w:rsidRPr="00E95958">
        <w:t xml:space="preserve"> Human Rights Committee, </w:t>
      </w:r>
      <w:r w:rsidRPr="00E95958">
        <w:rPr>
          <w:i/>
        </w:rPr>
        <w:t>Concluding Observations of the Human Rights Committee: Democratic Republic of the Congo</w:t>
      </w:r>
      <w:r w:rsidRPr="00E95958">
        <w:t>, para. 13, U.N. Doc. CCPR/C/COD/CO/3 (April 26, 2006).</w:t>
      </w:r>
    </w:p>
  </w:endnote>
  <w:endnote w:id="112">
    <w:p w14:paraId="66419757" w14:textId="1AF75EF6" w:rsidR="002772C9" w:rsidRPr="00E95958" w:rsidRDefault="002772C9" w:rsidP="00E95958">
      <w:pPr>
        <w:pStyle w:val="EndnoteText"/>
        <w:ind w:left="-36" w:hanging="324"/>
      </w:pPr>
      <w:r w:rsidRPr="00E95958">
        <w:rPr>
          <w:vertAlign w:val="superscript"/>
        </w:rPr>
        <w:endnoteRef/>
      </w:r>
      <w:r w:rsidRPr="00E95958">
        <w:t xml:space="preserve"> WRC &amp; IRC, </w:t>
      </w:r>
      <w:r w:rsidRPr="00E95958">
        <w:rPr>
          <w:smallCaps/>
        </w:rPr>
        <w:t xml:space="preserve">“I See That It Is Possible,” </w:t>
      </w:r>
      <w:r w:rsidRPr="00E95958">
        <w:rPr>
          <w:i/>
        </w:rPr>
        <w:t>supra</w:t>
      </w:r>
      <w:r w:rsidRPr="00E95958">
        <w:t xml:space="preserve"> note 31, at 4-6. </w:t>
      </w:r>
    </w:p>
  </w:endnote>
  <w:endnote w:id="113">
    <w:p w14:paraId="7D57D1B3"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Women’s Refugee Commission (WRC), Strengthening the Role of Women with Disabilities in Humanitarian Action: A Facilitator’s Guide</w:t>
      </w:r>
      <w:r w:rsidRPr="00E95958">
        <w:t xml:space="preserve"> (Feb. 2017), </w:t>
      </w:r>
      <w:hyperlink r:id="rId41">
        <w:r w:rsidRPr="00E95958">
          <w:rPr>
            <w:rStyle w:val="Hyperlink"/>
          </w:rPr>
          <w:t>https://www.womensrefugeecommission.org/populations/disabilities/research-and-resources/1443-humanitarian-facilitators-guide</w:t>
        </w:r>
      </w:hyperlink>
    </w:p>
  </w:endnote>
  <w:endnote w:id="114">
    <w:p w14:paraId="7AB708E1" w14:textId="5C9E08C9" w:rsidR="002772C9" w:rsidRPr="00E95958" w:rsidRDefault="002772C9" w:rsidP="00E95958">
      <w:pPr>
        <w:pStyle w:val="EndnoteText"/>
        <w:ind w:left="-36" w:hanging="324"/>
      </w:pPr>
      <w:r w:rsidRPr="00E95958">
        <w:rPr>
          <w:vertAlign w:val="superscript"/>
        </w:rPr>
        <w:endnoteRef/>
      </w:r>
      <w:r w:rsidRPr="00E95958">
        <w:t xml:space="preserve"> WRC &amp; IRC, </w:t>
      </w:r>
      <w:r w:rsidRPr="00E95958">
        <w:rPr>
          <w:smallCaps/>
        </w:rPr>
        <w:t xml:space="preserve">“I See That It Is Possible,” </w:t>
      </w:r>
      <w:r w:rsidRPr="00E95958">
        <w:rPr>
          <w:i/>
        </w:rPr>
        <w:t>supra</w:t>
      </w:r>
      <w:r w:rsidRPr="00E95958">
        <w:t xml:space="preserve"> note 31. </w:t>
      </w:r>
    </w:p>
  </w:endnote>
  <w:endnote w:id="115">
    <w:p w14:paraId="2D14ABDA" w14:textId="4DBDF2C3"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See</w:t>
      </w:r>
      <w:r w:rsidRPr="00E95958">
        <w:t xml:space="preserve"> Office of the United Nations High Commissioner for Human Rights (OHCHR), </w:t>
      </w:r>
      <w:r w:rsidRPr="00E95958">
        <w:rPr>
          <w:i/>
        </w:rPr>
        <w:t>Thematic Study on the Issue of Violence Against Women and Girls and Disability</w:t>
      </w:r>
      <w:r w:rsidRPr="00E95958">
        <w:t xml:space="preserve">, para. 53(h), U.N. Doc. A/HRC/20/5 (Mar. 30 2012). </w:t>
      </w:r>
      <w:hyperlink r:id="rId42">
        <w:r w:rsidRPr="00E95958">
          <w:rPr>
            <w:rStyle w:val="Hyperlink"/>
          </w:rPr>
          <w:t>http://www2.ohchr.org/english/issues/women/docs/A.HRC.20.5.pdf</w:t>
        </w:r>
      </w:hyperlink>
      <w:r w:rsidRPr="00E95958">
        <w:rPr>
          <w:rStyle w:val="Hyperlink"/>
        </w:rPr>
        <w:t>;</w:t>
      </w:r>
      <w:r w:rsidRPr="00E95958">
        <w:t xml:space="preserve"> CRPD, </w:t>
      </w:r>
      <w:r w:rsidRPr="00E95958">
        <w:rPr>
          <w:i/>
        </w:rPr>
        <w:t xml:space="preserve">supra </w:t>
      </w:r>
      <w:r w:rsidRPr="00E95958">
        <w:t xml:space="preserve">note 1, at arts. 9, 25(c). </w:t>
      </w:r>
    </w:p>
  </w:endnote>
  <w:endnote w:id="116">
    <w:p w14:paraId="0D118C5C"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United States Agency for International Development (USAID) &amp; ICF Macro, Expanding Contraceptive Choice to the Underserved through Mobile Outreach Services: A Handbook for Program Planners</w:t>
      </w:r>
      <w:r w:rsidRPr="00E95958">
        <w:t xml:space="preserve"> 1 (2010), </w:t>
      </w:r>
      <w:r w:rsidRPr="00E95958">
        <w:rPr>
          <w:i/>
        </w:rPr>
        <w:t>available at</w:t>
      </w:r>
      <w:r w:rsidRPr="00E95958">
        <w:t xml:space="preserve"> </w:t>
      </w:r>
      <w:hyperlink r:id="rId43">
        <w:r w:rsidRPr="00E95958">
          <w:rPr>
            <w:rStyle w:val="Hyperlink"/>
          </w:rPr>
          <w:t>https://www.k4health.org/toolkits/communitybasedfp/expanding-contraceptive-choice-underserved-through-delivery-mobile</w:t>
        </w:r>
      </w:hyperlink>
    </w:p>
  </w:endnote>
  <w:endnote w:id="117">
    <w:p w14:paraId="754267CE"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See</w:t>
      </w:r>
      <w:r w:rsidRPr="00E95958">
        <w:t xml:space="preserve"> </w:t>
      </w:r>
      <w:r w:rsidRPr="00E95958">
        <w:rPr>
          <w:smallCaps/>
        </w:rPr>
        <w:t>WHO &amp; UNFPA, Ensuring Human Rights within Contraceptive Service Delivery: Implementation Guide</w:t>
      </w:r>
      <w:r w:rsidRPr="00E95958">
        <w:t xml:space="preserve"> 22 (Mar. 2015), </w:t>
      </w:r>
      <w:hyperlink r:id="rId44">
        <w:r w:rsidRPr="00E95958">
          <w:rPr>
            <w:rStyle w:val="Hyperlink"/>
          </w:rPr>
          <w:t>http://www.who.int/reproductivehealth/publications/family_planning/hr-contraceptive-service-delivery/en/</w:t>
        </w:r>
      </w:hyperlink>
    </w:p>
  </w:endnote>
  <w:endnote w:id="118">
    <w:p w14:paraId="0F95477E" w14:textId="000FF44A" w:rsidR="002772C9" w:rsidRPr="00E95958" w:rsidRDefault="002772C9" w:rsidP="00E95958">
      <w:pPr>
        <w:pStyle w:val="EndnoteText"/>
        <w:ind w:left="-36" w:hanging="324"/>
      </w:pPr>
      <w:r w:rsidRPr="00E95958">
        <w:rPr>
          <w:vertAlign w:val="superscript"/>
        </w:rPr>
        <w:endnoteRef/>
      </w:r>
      <w:r w:rsidRPr="00E95958">
        <w:t xml:space="preserve"> OHCHR, </w:t>
      </w:r>
      <w:r w:rsidRPr="00E95958">
        <w:rPr>
          <w:i/>
        </w:rPr>
        <w:t>Thematic Study on the Issue of Violence Against Women and Girls and Disability</w:t>
      </w:r>
      <w:r w:rsidRPr="00E95958">
        <w:t xml:space="preserve">, </w:t>
      </w:r>
      <w:r w:rsidRPr="00E95958">
        <w:rPr>
          <w:i/>
        </w:rPr>
        <w:t>supra</w:t>
      </w:r>
      <w:r w:rsidRPr="00E95958">
        <w:t xml:space="preserve"> note 11, para. 35. </w:t>
      </w:r>
    </w:p>
  </w:endnote>
  <w:endnote w:id="119">
    <w:p w14:paraId="6CE477C6" w14:textId="77777777" w:rsidR="002772C9" w:rsidRPr="00E95958" w:rsidRDefault="002772C9" w:rsidP="00E95958">
      <w:pPr>
        <w:pStyle w:val="EndnoteText"/>
        <w:ind w:left="-36" w:hanging="324"/>
        <w:rPr>
          <w:smallCaps/>
        </w:rPr>
      </w:pPr>
      <w:r w:rsidRPr="00E95958">
        <w:rPr>
          <w:vertAlign w:val="superscript"/>
        </w:rPr>
        <w:endnoteRef/>
      </w:r>
      <w:r w:rsidRPr="00E95958">
        <w:t xml:space="preserve"> </w:t>
      </w:r>
      <w:r w:rsidRPr="00E95958">
        <w:rPr>
          <w:i/>
        </w:rPr>
        <w:t>See</w:t>
      </w:r>
      <w:r w:rsidRPr="00E95958">
        <w:t xml:space="preserve"> </w:t>
      </w:r>
      <w:r w:rsidRPr="00E95958">
        <w:rPr>
          <w:smallCaps/>
        </w:rPr>
        <w:t xml:space="preserve">United Nations Population Fund (UNFPA), UN Women, World Health Organization (WHO), United Nations Development Programme (UNDP), </w:t>
      </w:r>
      <w:r w:rsidRPr="00E95958">
        <w:t>and</w:t>
      </w:r>
      <w:r w:rsidRPr="00E95958">
        <w:rPr>
          <w:smallCaps/>
        </w:rPr>
        <w:t xml:space="preserve"> United Nations Office on Drugs and Crime (UNODC), Essential Services for Women and Girls Subject to Violence (Module 4) 17 (2015), </w:t>
      </w:r>
      <w:hyperlink r:id="rId45">
        <w:r w:rsidRPr="00E95958">
          <w:rPr>
            <w:rStyle w:val="Hyperlink"/>
          </w:rPr>
          <w:t>http://www.unfpa.org/publications/essential-services-package-women-and-girls-subject-violence</w:t>
        </w:r>
      </w:hyperlink>
      <w:r w:rsidRPr="00E95958">
        <w:rPr>
          <w:rStyle w:val="Hyperlink"/>
        </w:rPr>
        <w:t xml:space="preserve"> </w:t>
      </w:r>
      <w:r w:rsidRPr="00E95958">
        <w:t xml:space="preserve">[hereinafter </w:t>
      </w:r>
      <w:r w:rsidRPr="00E95958">
        <w:rPr>
          <w:smallCaps/>
        </w:rPr>
        <w:t xml:space="preserve">Essential Services for Women and Girls Subject to Violence (Module 4)]. </w:t>
      </w:r>
    </w:p>
  </w:endnote>
  <w:endnote w:id="120">
    <w:p w14:paraId="47A73DA2" w14:textId="77777777" w:rsidR="002772C9" w:rsidRPr="00E95958" w:rsidRDefault="002772C9" w:rsidP="00E95958">
      <w:pPr>
        <w:pStyle w:val="EndnoteText"/>
        <w:ind w:left="-36" w:hanging="324"/>
      </w:pPr>
      <w:r w:rsidRPr="00E95958">
        <w:rPr>
          <w:rStyle w:val="EndnoteReference"/>
        </w:rPr>
        <w:endnoteRef/>
      </w:r>
      <w:r w:rsidRPr="00E95958">
        <w:t xml:space="preserve"> Community Based Rehabilitation Network Ethiopia, Light for the World, Berhan Lehetsanat &amp; Addis Development Vision, Her Body, Her Rights: Making Sex Education Work for Young Women with Intellectual Disabilities (Dec. 2016), </w:t>
      </w:r>
      <w:hyperlink r:id="rId46" w:history="1">
        <w:r w:rsidRPr="00E95958">
          <w:rPr>
            <w:rStyle w:val="Hyperlink"/>
          </w:rPr>
          <w:t>https://www.light-for-the-world.org/sites/lfdw_org/files/download_files/her_body_her_rights_web.pdf</w:t>
        </w:r>
      </w:hyperlink>
      <w:r w:rsidRPr="00E95958">
        <w:t xml:space="preserve"> [hereinafter Her Body, Her Rights]</w:t>
      </w:r>
    </w:p>
  </w:endnote>
  <w:endnote w:id="121">
    <w:p w14:paraId="75F43B27" w14:textId="7E2F33D7" w:rsidR="002772C9" w:rsidRPr="00E95958" w:rsidRDefault="002772C9" w:rsidP="00E95958">
      <w:pPr>
        <w:pStyle w:val="EndnoteText"/>
        <w:ind w:left="-36" w:hanging="324"/>
        <w:rPr>
          <w:iCs/>
          <w:smallCaps/>
        </w:rPr>
      </w:pPr>
      <w:r w:rsidRPr="00E95958">
        <w:rPr>
          <w:rStyle w:val="EndnoteReference"/>
        </w:rPr>
        <w:endnoteRef/>
      </w:r>
      <w:r w:rsidRPr="00E95958">
        <w:t xml:space="preserve"> </w:t>
      </w:r>
      <w:r w:rsidRPr="00E95958">
        <w:rPr>
          <w:iCs/>
          <w:smallCaps/>
        </w:rPr>
        <w:t xml:space="preserve">Her Body, Her Rights, </w:t>
      </w:r>
      <w:r w:rsidRPr="00E95958">
        <w:rPr>
          <w:i/>
        </w:rPr>
        <w:t xml:space="preserve">supra </w:t>
      </w:r>
      <w:r w:rsidRPr="00E95958">
        <w:t xml:space="preserve">note 119, at 7-15. </w:t>
      </w:r>
    </w:p>
  </w:endnote>
  <w:endnote w:id="122">
    <w:p w14:paraId="3D8FA1E7" w14:textId="142F22E8" w:rsidR="002772C9" w:rsidRPr="00E95958" w:rsidRDefault="002772C9" w:rsidP="00E95958">
      <w:pPr>
        <w:pStyle w:val="EndnoteText"/>
        <w:ind w:left="-36" w:hanging="324"/>
        <w:rPr>
          <w:smallCaps/>
        </w:rPr>
      </w:pPr>
      <w:r w:rsidRPr="00E95958">
        <w:rPr>
          <w:rStyle w:val="EndnoteReference"/>
        </w:rPr>
        <w:endnoteRef/>
      </w:r>
      <w:r w:rsidRPr="00E95958">
        <w:t xml:space="preserve"> </w:t>
      </w:r>
      <w:r w:rsidRPr="00E95958">
        <w:rPr>
          <w:i/>
        </w:rPr>
        <w:t xml:space="preserve">See </w:t>
      </w:r>
      <w:r w:rsidRPr="00E95958">
        <w:rPr>
          <w:smallCaps/>
        </w:rPr>
        <w:t xml:space="preserve">WHO, Strengthening Health Systems to Respond to Women Subjected to Intimate Partner Violence or Sexual Violence: A Manual for Health Managers (2017), </w:t>
      </w:r>
      <w:hyperlink r:id="rId47" w:history="1">
        <w:r w:rsidRPr="00E95958">
          <w:rPr>
            <w:rStyle w:val="Hyperlink"/>
          </w:rPr>
          <w:t>http://apps.who.int/iris/bitstream/handle/10665/259489/9789241513005-eng.pdf?sequence=1</w:t>
        </w:r>
      </w:hyperlink>
      <w:r w:rsidRPr="00E95958">
        <w:rPr>
          <w:smallCaps/>
        </w:rPr>
        <w:t xml:space="preserve">; WHO, UNWomen, UNFPA, Health Care for Women Subjected to Intimate Partner Violence or Sexual Violence: A Clinical Handbook, </w:t>
      </w:r>
      <w:r w:rsidRPr="00E95958">
        <w:t xml:space="preserve">WHO/RHR/14.26 (Nov. 2014), </w:t>
      </w:r>
      <w:hyperlink r:id="rId48" w:history="1">
        <w:r w:rsidRPr="00E95958">
          <w:rPr>
            <w:rStyle w:val="Hyperlink"/>
          </w:rPr>
          <w:t>http://apps.who.int/iris/bitstream/10665/136101/1/WHO_RHR_14.26_eng.pdf?ua=1</w:t>
        </w:r>
      </w:hyperlink>
      <w:r w:rsidRPr="00E95958">
        <w:t xml:space="preserve">. </w:t>
      </w:r>
    </w:p>
  </w:endnote>
  <w:endnote w:id="123">
    <w:p w14:paraId="2342D2FC" w14:textId="77777777" w:rsidR="002772C9" w:rsidRPr="00E95958" w:rsidRDefault="002772C9" w:rsidP="00E95958">
      <w:pPr>
        <w:pStyle w:val="EndnoteText"/>
        <w:ind w:left="-36" w:hanging="324"/>
      </w:pPr>
      <w:r w:rsidRPr="00E95958">
        <w:rPr>
          <w:rStyle w:val="EndnoteReference"/>
        </w:rPr>
        <w:endnoteRef/>
      </w:r>
      <w:r w:rsidRPr="00E95958">
        <w:t xml:space="preserve"> </w:t>
      </w:r>
      <w:r w:rsidRPr="00E95958">
        <w:rPr>
          <w:i/>
        </w:rPr>
        <w:t xml:space="preserve">See </w:t>
      </w:r>
      <w:r w:rsidRPr="00E95958">
        <w:t xml:space="preserve">Vera Institute of Justice, </w:t>
      </w:r>
      <w:r w:rsidRPr="00E95958">
        <w:rPr>
          <w:i/>
        </w:rPr>
        <w:t>Provide Staff with Protocols, Resources, and Other Tools</w:t>
      </w:r>
      <w:r w:rsidRPr="00E95958">
        <w:t xml:space="preserve">, </w:t>
      </w:r>
      <w:r w:rsidRPr="00E95958">
        <w:rPr>
          <w:smallCaps/>
        </w:rPr>
        <w:t>End Abuse of People with Disabilities</w:t>
      </w:r>
      <w:r w:rsidRPr="00E95958">
        <w:t xml:space="preserve"> (last updated 2018), </w:t>
      </w:r>
      <w:r w:rsidRPr="00E95958">
        <w:rPr>
          <w:rStyle w:val="Hyperlink"/>
        </w:rPr>
        <w:t>http://accessingsafe.wpengine.com/?page_id=370</w:t>
      </w:r>
    </w:p>
  </w:endnote>
  <w:endnote w:id="124">
    <w:p w14:paraId="78DAA86E" w14:textId="77777777" w:rsidR="002772C9" w:rsidRPr="00E95958" w:rsidRDefault="002772C9" w:rsidP="00E95958">
      <w:pPr>
        <w:pStyle w:val="EndnoteText"/>
        <w:ind w:left="-36" w:hanging="324"/>
      </w:pPr>
      <w:r w:rsidRPr="00E95958">
        <w:rPr>
          <w:rStyle w:val="EndnoteReference"/>
        </w:rPr>
        <w:endnoteRef/>
      </w:r>
      <w:r w:rsidRPr="00E95958">
        <w:t xml:space="preserve"> </w:t>
      </w:r>
      <w:r w:rsidRPr="00E95958">
        <w:rPr>
          <w:i/>
        </w:rPr>
        <w:t>See e.g</w:t>
      </w:r>
      <w:r w:rsidRPr="00E95958">
        <w:t xml:space="preserve">. </w:t>
      </w:r>
      <w:r w:rsidRPr="00E95958">
        <w:rPr>
          <w:i/>
        </w:rPr>
        <w:t>Abuse Assessment Screen,</w:t>
      </w:r>
      <w:r w:rsidRPr="00E95958">
        <w:t xml:space="preserve"> </w:t>
      </w:r>
      <w:r w:rsidRPr="00E95958">
        <w:rPr>
          <w:smallCaps/>
        </w:rPr>
        <w:t>The American College of Obstetricians and Gynecologists</w:t>
      </w:r>
      <w:r w:rsidRPr="00E95958">
        <w:t xml:space="preserve">, </w:t>
      </w:r>
      <w:r w:rsidRPr="00E95958">
        <w:rPr>
          <w:rStyle w:val="Hyperlink"/>
        </w:rPr>
        <w:t>https://www.acog.org/About-ACOG/ACOG-Departments/Women-with-Disabilities/Abuse-Assessment-Screen</w:t>
      </w:r>
    </w:p>
  </w:endnote>
  <w:endnote w:id="125">
    <w:p w14:paraId="3F872523" w14:textId="7D72ADC2" w:rsidR="002772C9" w:rsidRPr="00E95958" w:rsidRDefault="002772C9" w:rsidP="00E95958">
      <w:pPr>
        <w:pStyle w:val="EndnoteText"/>
        <w:ind w:left="-36" w:hanging="324"/>
        <w:rPr>
          <w:u w:val="single"/>
        </w:rPr>
      </w:pPr>
      <w:r w:rsidRPr="00E95958">
        <w:rPr>
          <w:rStyle w:val="EndnoteReference"/>
        </w:rPr>
        <w:endnoteRef/>
      </w:r>
      <w:r w:rsidRPr="00E95958">
        <w:t xml:space="preserve"> </w:t>
      </w:r>
      <w:r w:rsidRPr="00E95958">
        <w:rPr>
          <w:i/>
        </w:rPr>
        <w:t xml:space="preserve">See </w:t>
      </w:r>
      <w:r w:rsidRPr="00E95958">
        <w:rPr>
          <w:smallCaps/>
          <w:lang w:val="en-GB"/>
        </w:rPr>
        <w:t>Cathy Hoog, Model Protocol on Safety Planning for Domestic Violence Victims with Disabilities, Washington State Coalition Against Domestic Violence</w:t>
      </w:r>
      <w:r w:rsidRPr="00E95958">
        <w:rPr>
          <w:lang w:val="en-GB"/>
        </w:rPr>
        <w:t xml:space="preserve"> (Jan. 2010)</w:t>
      </w:r>
      <w:r w:rsidRPr="00E95958">
        <w:rPr>
          <w:iCs/>
          <w:lang w:val="en-GB"/>
        </w:rPr>
        <w:t xml:space="preserve">, </w:t>
      </w:r>
      <w:r w:rsidRPr="00E95958">
        <w:rPr>
          <w:rStyle w:val="Hyperlink"/>
        </w:rPr>
        <w:t>https://wscadv.org/wp-content/uploads/2015/06/Protocol_disability_safety_planning-rev-2010.pdf</w:t>
      </w:r>
    </w:p>
  </w:endnote>
  <w:endnote w:id="126">
    <w:p w14:paraId="425140CB" w14:textId="26810E6C" w:rsidR="002772C9" w:rsidRPr="00E95958" w:rsidRDefault="002772C9" w:rsidP="00E95958">
      <w:pPr>
        <w:pStyle w:val="EndnoteText"/>
        <w:ind w:left="-36" w:hanging="324"/>
      </w:pPr>
      <w:r w:rsidRPr="00E95958">
        <w:rPr>
          <w:vertAlign w:val="superscript"/>
        </w:rPr>
        <w:endnoteRef/>
      </w:r>
      <w:r w:rsidRPr="00E95958">
        <w:t xml:space="preserve"> CRPD, </w:t>
      </w:r>
      <w:r w:rsidRPr="00E95958">
        <w:rPr>
          <w:i/>
        </w:rPr>
        <w:t>supra</w:t>
      </w:r>
      <w:r w:rsidRPr="00E95958">
        <w:t xml:space="preserve"> note 1, at art. 2. </w:t>
      </w:r>
    </w:p>
  </w:endnote>
  <w:endnote w:id="127">
    <w:p w14:paraId="422F7C85"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Disability and Rehabilitation: Assistive Devices and Technologies</w:t>
      </w:r>
      <w:r w:rsidRPr="00E95958">
        <w:t xml:space="preserve">, </w:t>
      </w:r>
      <w:r w:rsidRPr="00E95958">
        <w:rPr>
          <w:smallCaps/>
        </w:rPr>
        <w:t xml:space="preserve">WHO, </w:t>
      </w:r>
      <w:hyperlink r:id="rId49">
        <w:r w:rsidRPr="00E95958">
          <w:rPr>
            <w:rStyle w:val="Hyperlink"/>
          </w:rPr>
          <w:t>http://www.who.int/disabilities/technology/en/</w:t>
        </w:r>
      </w:hyperlink>
      <w:r w:rsidRPr="00E95958">
        <w:t xml:space="preserve"> </w:t>
      </w:r>
    </w:p>
  </w:endnote>
  <w:endnote w:id="128">
    <w:p w14:paraId="32C8CCD0" w14:textId="77777777" w:rsidR="002772C9" w:rsidRPr="00E95958" w:rsidRDefault="002772C9" w:rsidP="00E95958">
      <w:pPr>
        <w:pStyle w:val="EndnoteText"/>
        <w:ind w:left="-36" w:hanging="324"/>
      </w:pPr>
      <w:r w:rsidRPr="00E95958">
        <w:rPr>
          <w:vertAlign w:val="superscript"/>
        </w:rPr>
        <w:endnoteRef/>
      </w:r>
      <w:r w:rsidRPr="00E95958">
        <w:rPr>
          <w:smallCaps/>
        </w:rPr>
        <w:t>WHO, Priority Assistive Products List</w:t>
      </w:r>
      <w:r w:rsidRPr="00E95958">
        <w:t xml:space="preserve"> (2016), </w:t>
      </w:r>
      <w:hyperlink r:id="rId50">
        <w:r w:rsidRPr="00E95958">
          <w:rPr>
            <w:rStyle w:val="Hyperlink"/>
          </w:rPr>
          <w:t>http://apps.who.int/iris/bitstream/10665/207694/1/WHO_EMP_PHI_2016.01_eng.pdf?ua=1</w:t>
        </w:r>
      </w:hyperlink>
    </w:p>
  </w:endnote>
  <w:endnote w:id="129">
    <w:p w14:paraId="5C6620E0" w14:textId="77777777" w:rsidR="002772C9" w:rsidRPr="00E95958" w:rsidRDefault="002772C9" w:rsidP="00E95958">
      <w:pPr>
        <w:pStyle w:val="EndnoteText"/>
        <w:ind w:left="-36" w:hanging="324"/>
        <w:rPr>
          <w:smallCaps/>
        </w:rPr>
      </w:pPr>
      <w:r w:rsidRPr="00E95958">
        <w:rPr>
          <w:vertAlign w:val="superscript"/>
        </w:rPr>
        <w:endnoteRef/>
      </w:r>
      <w:r w:rsidRPr="00E95958">
        <w:t xml:space="preserve"> </w:t>
      </w:r>
      <w:r w:rsidRPr="00E95958">
        <w:rPr>
          <w:smallCaps/>
        </w:rPr>
        <w:t>Canadian Disability Policy Alliance, Primary Care Accessibility Checklist</w:t>
      </w:r>
      <w:r w:rsidRPr="00E95958">
        <w:t xml:space="preserve"> (2008), </w:t>
      </w:r>
      <w:hyperlink r:id="rId51">
        <w:r w:rsidRPr="00E95958">
          <w:rPr>
            <w:rStyle w:val="Hyperlink"/>
          </w:rPr>
          <w:t>http://69.89.31.83/~disabio5/wp-content/uploads/2012/09/FHT-access-chklst-24-Jun-111.pdf</w:t>
        </w:r>
      </w:hyperlink>
      <w:r w:rsidRPr="00E95958">
        <w:rPr>
          <w:rStyle w:val="Hyperlink"/>
        </w:rPr>
        <w:t xml:space="preserve"> </w:t>
      </w:r>
      <w:r w:rsidRPr="00E95958">
        <w:t xml:space="preserve">[hereinafter </w:t>
      </w:r>
      <w:r w:rsidRPr="00E95958">
        <w:rPr>
          <w:smallCaps/>
        </w:rPr>
        <w:t xml:space="preserve">Canadian Disability Policy Alliance, Accessibility Checklist] </w:t>
      </w:r>
    </w:p>
  </w:endnote>
  <w:endnote w:id="130">
    <w:p w14:paraId="55081EFE" w14:textId="2556DA91"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 xml:space="preserve">Canadian Disability Policy Alliance, Accessibility Checklist, </w:t>
      </w:r>
      <w:r w:rsidRPr="00E95958">
        <w:rPr>
          <w:i/>
        </w:rPr>
        <w:t>supra</w:t>
      </w:r>
      <w:r w:rsidRPr="00E95958">
        <w:t xml:space="preserve"> note 127. </w:t>
      </w:r>
    </w:p>
  </w:endnote>
  <w:endnote w:id="131">
    <w:p w14:paraId="3399EC83" w14:textId="2C6B1A1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 xml:space="preserve">Canadian Disability Policy Alliance, Accessibility Checklist, </w:t>
      </w:r>
      <w:r w:rsidRPr="00E95958">
        <w:rPr>
          <w:i/>
        </w:rPr>
        <w:t>supra</w:t>
      </w:r>
      <w:r w:rsidRPr="00E95958">
        <w:t xml:space="preserve"> note 127.</w:t>
      </w:r>
    </w:p>
  </w:endnote>
  <w:endnote w:id="132">
    <w:p w14:paraId="33132932" w14:textId="3022CC26" w:rsidR="002772C9" w:rsidRPr="00E95958" w:rsidRDefault="002772C9" w:rsidP="00E95958">
      <w:pPr>
        <w:pStyle w:val="EndnoteText"/>
        <w:ind w:left="-36" w:hanging="324"/>
      </w:pPr>
      <w:r w:rsidRPr="00E95958">
        <w:rPr>
          <w:vertAlign w:val="superscript"/>
        </w:rPr>
        <w:endnoteRef/>
      </w:r>
      <w:r w:rsidRPr="00E95958">
        <w:t xml:space="preserve"> U.N. Secretary General, </w:t>
      </w:r>
      <w:r w:rsidRPr="00E95958">
        <w:rPr>
          <w:i/>
        </w:rPr>
        <w:t>Framework of Actions for the follow-up to Programme of Action of the International Conference of Population and Development Beyond 2014</w:t>
      </w:r>
      <w:r w:rsidRPr="00E95958">
        <w:t xml:space="preserve">, para. 58, U.N. Doc. A/69/62 (Feb. 12, 2014), </w:t>
      </w:r>
      <w:hyperlink r:id="rId52">
        <w:r w:rsidRPr="00E95958">
          <w:rPr>
            <w:rStyle w:val="Hyperlink"/>
          </w:rPr>
          <w:t>http://www.unfpa.org/sites/default/files/pub-pdf/ICPD_beyond2014_EN.pdf</w:t>
        </w:r>
      </w:hyperlink>
    </w:p>
  </w:endnote>
  <w:endnote w:id="133">
    <w:p w14:paraId="01202135" w14:textId="34AACA5E" w:rsidR="002772C9" w:rsidRPr="00E95958" w:rsidRDefault="002772C9" w:rsidP="00E95958">
      <w:pPr>
        <w:pStyle w:val="EndnoteText"/>
        <w:ind w:left="-36" w:hanging="324"/>
      </w:pPr>
      <w:r w:rsidRPr="00E95958">
        <w:rPr>
          <w:vertAlign w:val="superscript"/>
        </w:rPr>
        <w:endnoteRef/>
      </w:r>
      <w:r w:rsidRPr="00E95958">
        <w:rPr>
          <w:lang w:val="fr-FR"/>
        </w:rPr>
        <w:t xml:space="preserve">Cathy Vaughan, Alexandra Devine, Raquel Ignacio, Wanet Lacsamana, Ma. </w:t>
      </w:r>
      <w:r w:rsidRPr="00E95958">
        <w:t xml:space="preserve">Jesusa Marco, Jerome Zayas &amp; Carolyn Sobritchea, </w:t>
      </w:r>
      <w:r w:rsidRPr="00E95958">
        <w:rPr>
          <w:i/>
        </w:rPr>
        <w:t>Building Capacity for a</w:t>
      </w:r>
      <w:r w:rsidRPr="00E95958">
        <w:t xml:space="preserve"> </w:t>
      </w:r>
      <w:r w:rsidRPr="00E95958">
        <w:rPr>
          <w:i/>
        </w:rPr>
        <w:t>Disability-Inclusive Response to Violence against Women and Girls: Experiences from</w:t>
      </w:r>
      <w:r w:rsidRPr="00E95958">
        <w:t xml:space="preserve"> </w:t>
      </w:r>
      <w:r w:rsidRPr="00E95958">
        <w:rPr>
          <w:i/>
        </w:rPr>
        <w:t>the W-DARE Project in the Philippines</w:t>
      </w:r>
      <w:r w:rsidRPr="00E95958">
        <w:t xml:space="preserve">, </w:t>
      </w:r>
      <w:r w:rsidRPr="00E95958">
        <w:rPr>
          <w:smallCaps/>
        </w:rPr>
        <w:t>24 Gender &amp; Development 2, 245-260</w:t>
      </w:r>
      <w:r w:rsidRPr="00E95958">
        <w:t xml:space="preserve">, 256 (June 15 2016), </w:t>
      </w:r>
      <w:hyperlink r:id="rId53">
        <w:r w:rsidRPr="00E95958">
          <w:rPr>
            <w:rStyle w:val="Hyperlink"/>
          </w:rPr>
          <w:t>http://dx.doi.org/10.1080/13552074.2016.1194031</w:t>
        </w:r>
      </w:hyperlink>
    </w:p>
  </w:endnote>
  <w:endnote w:id="134">
    <w:p w14:paraId="48A6B104" w14:textId="77777777" w:rsidR="002772C9" w:rsidRPr="00E95958" w:rsidRDefault="002772C9" w:rsidP="00E95958">
      <w:pPr>
        <w:pStyle w:val="EndnoteText"/>
        <w:ind w:left="-36" w:hanging="324"/>
        <w:rPr>
          <w:smallCaps/>
        </w:rPr>
      </w:pPr>
      <w:r w:rsidRPr="00E95958">
        <w:rPr>
          <w:vertAlign w:val="superscript"/>
        </w:rPr>
        <w:endnoteRef/>
      </w:r>
      <w:r w:rsidRPr="00E95958">
        <w:t xml:space="preserve"> </w:t>
      </w:r>
      <w:r w:rsidRPr="00E95958">
        <w:rPr>
          <w:smallCaps/>
        </w:rPr>
        <w:t>OHCHR &amp; WHO, Fact Sheet No. 31: The Right to Health</w:t>
      </w:r>
      <w:r w:rsidRPr="00E95958">
        <w:t xml:space="preserve"> 4 (June 2008), </w:t>
      </w:r>
      <w:r w:rsidRPr="00E95958">
        <w:rPr>
          <w:i/>
        </w:rPr>
        <w:t>available at</w:t>
      </w:r>
      <w:r w:rsidRPr="00E95958">
        <w:t xml:space="preserve"> </w:t>
      </w:r>
      <w:hyperlink r:id="rId54">
        <w:r w:rsidRPr="00E95958">
          <w:rPr>
            <w:rStyle w:val="Hyperlink"/>
          </w:rPr>
          <w:t>http://www.ohchr.org/Documents/Publications/Factsheet31.pdf</w:t>
        </w:r>
      </w:hyperlink>
      <w:r w:rsidRPr="00E95958">
        <w:t xml:space="preserve"> [hereinafter </w:t>
      </w:r>
      <w:r w:rsidRPr="00E95958">
        <w:rPr>
          <w:smallCaps/>
        </w:rPr>
        <w:t xml:space="preserve">OHCHR &amp; WHO, Fact Sheet No. 31] </w:t>
      </w:r>
    </w:p>
  </w:endnote>
  <w:endnote w:id="135">
    <w:p w14:paraId="3DE1BA39" w14:textId="52A4FE42"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OHCHR &amp; WHO, Fact Sheet No. 31,</w:t>
      </w:r>
      <w:r w:rsidRPr="00E95958">
        <w:rPr>
          <w:i/>
        </w:rPr>
        <w:t xml:space="preserve"> supra</w:t>
      </w:r>
      <w:r w:rsidRPr="00E95958">
        <w:t xml:space="preserve"> note 133, at 4. </w:t>
      </w:r>
    </w:p>
  </w:endnote>
  <w:endnote w:id="136">
    <w:p w14:paraId="17B204DC" w14:textId="725ED6A1"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OHCHR &amp; WHO, Fact Sheet No. 31,</w:t>
      </w:r>
      <w:r w:rsidRPr="00E95958">
        <w:rPr>
          <w:i/>
        </w:rPr>
        <w:t xml:space="preserve"> supra</w:t>
      </w:r>
      <w:r w:rsidRPr="00E95958">
        <w:t xml:space="preserve"> note 133, at 4.</w:t>
      </w:r>
    </w:p>
  </w:endnote>
  <w:endnote w:id="137">
    <w:p w14:paraId="237131D5" w14:textId="378AE1CF"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OHCHR &amp; WHO, Fact Sheet No. 31,</w:t>
      </w:r>
      <w:r w:rsidRPr="00E95958">
        <w:rPr>
          <w:i/>
        </w:rPr>
        <w:t xml:space="preserve"> supra</w:t>
      </w:r>
      <w:r w:rsidRPr="00E95958">
        <w:t xml:space="preserve"> note 133, at 4.</w:t>
      </w:r>
    </w:p>
  </w:endnote>
  <w:endnote w:id="138">
    <w:p w14:paraId="48917DEA" w14:textId="1E6415A9"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OHCHR &amp; WHO, Fact Sheet No. 31,</w:t>
      </w:r>
      <w:r w:rsidRPr="00E95958">
        <w:rPr>
          <w:i/>
        </w:rPr>
        <w:t xml:space="preserve"> supra</w:t>
      </w:r>
      <w:r w:rsidRPr="00E95958">
        <w:t xml:space="preserve"> note 133, at 4.</w:t>
      </w:r>
    </w:p>
  </w:endnote>
  <w:endnote w:id="139">
    <w:p w14:paraId="10984311" w14:textId="2E450983"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OHCHR &amp; WHO, Fact Sheet No. 31,</w:t>
      </w:r>
      <w:r w:rsidRPr="00E95958">
        <w:rPr>
          <w:i/>
        </w:rPr>
        <w:t xml:space="preserve"> supra</w:t>
      </w:r>
      <w:r w:rsidRPr="00E95958">
        <w:t xml:space="preserve"> note 133, at 4.</w:t>
      </w:r>
    </w:p>
  </w:endnote>
  <w:endnote w:id="140">
    <w:p w14:paraId="3C519A79" w14:textId="48C7976F" w:rsidR="002772C9" w:rsidRPr="00E95958" w:rsidRDefault="002772C9" w:rsidP="00E95958">
      <w:pPr>
        <w:pStyle w:val="EndnoteText"/>
        <w:ind w:left="-36" w:hanging="324"/>
      </w:pPr>
      <w:r w:rsidRPr="00E95958">
        <w:rPr>
          <w:vertAlign w:val="superscript"/>
        </w:rPr>
        <w:endnoteRef/>
      </w:r>
      <w:r w:rsidRPr="00E95958">
        <w:t xml:space="preserve"> CRPD, </w:t>
      </w:r>
      <w:r w:rsidRPr="00E95958">
        <w:rPr>
          <w:i/>
        </w:rPr>
        <w:t>supra</w:t>
      </w:r>
      <w:r w:rsidRPr="00E95958">
        <w:t xml:space="preserve"> note 1, at art. 25 (d). </w:t>
      </w:r>
    </w:p>
  </w:endnote>
  <w:endnote w:id="141">
    <w:p w14:paraId="219FEFBF" w14:textId="486E6474" w:rsidR="002772C9" w:rsidRPr="00E95958" w:rsidRDefault="002772C9" w:rsidP="00E95958">
      <w:pPr>
        <w:pStyle w:val="EndnoteText"/>
        <w:ind w:left="-36" w:hanging="324"/>
      </w:pPr>
      <w:r w:rsidRPr="00E95958">
        <w:rPr>
          <w:vertAlign w:val="superscript"/>
        </w:rPr>
        <w:endnoteRef/>
      </w:r>
      <w:r w:rsidRPr="00E95958">
        <w:rPr>
          <w:vertAlign w:val="superscript"/>
        </w:rPr>
        <w:t xml:space="preserve"> </w:t>
      </w:r>
      <w:r w:rsidRPr="00E95958">
        <w:rPr>
          <w:smallCaps/>
        </w:rPr>
        <w:t>OHCHR &amp; WHO, Fact Sheet No. 31,</w:t>
      </w:r>
      <w:r w:rsidRPr="00E95958">
        <w:rPr>
          <w:i/>
        </w:rPr>
        <w:t xml:space="preserve"> supra</w:t>
      </w:r>
      <w:r w:rsidRPr="00E95958">
        <w:t xml:space="preserve"> note 133, at 4; </w:t>
      </w:r>
      <w:r w:rsidRPr="00E95958">
        <w:rPr>
          <w:i/>
        </w:rPr>
        <w:t>see also</w:t>
      </w:r>
      <w:r w:rsidRPr="00E95958">
        <w:t xml:space="preserve"> CEDAW Committee, </w:t>
      </w:r>
      <w:r w:rsidRPr="00E95958">
        <w:rPr>
          <w:smallCaps/>
        </w:rPr>
        <w:t>Concluding Observations: India</w:t>
      </w:r>
      <w:r w:rsidRPr="00E95958">
        <w:t xml:space="preserve">, para. 41, U.N. Doc. CEDAW/C/IND/CO/3 (2007). </w:t>
      </w:r>
    </w:p>
  </w:endnote>
  <w:endnote w:id="142">
    <w:p w14:paraId="0FBD396C" w14:textId="77777777" w:rsidR="002772C9" w:rsidRPr="00E95958" w:rsidRDefault="002772C9" w:rsidP="00E95958">
      <w:pPr>
        <w:pStyle w:val="EndnoteText"/>
        <w:ind w:left="-36" w:hanging="324"/>
      </w:pPr>
      <w:r w:rsidRPr="00E95958">
        <w:rPr>
          <w:vertAlign w:val="superscript"/>
        </w:rPr>
        <w:endnoteRef/>
      </w:r>
      <w:r w:rsidRPr="00E95958">
        <w:t xml:space="preserve">Vanderbilt Kennedy Center, Health Care for Adults with Intellectual and Developmental Disabilities (2017), </w:t>
      </w:r>
      <w:r w:rsidRPr="00E95958">
        <w:rPr>
          <w:rStyle w:val="Hyperlink"/>
        </w:rPr>
        <w:t>http://vkc.mc.vanderbilt.edu/etoolkit/</w:t>
      </w:r>
    </w:p>
  </w:endnote>
  <w:endnote w:id="143">
    <w:p w14:paraId="69509F33" w14:textId="23B76B89" w:rsidR="002772C9" w:rsidRPr="00E95958" w:rsidRDefault="002772C9" w:rsidP="00E95958">
      <w:pPr>
        <w:pStyle w:val="EndnoteText"/>
        <w:ind w:left="-36" w:hanging="324"/>
      </w:pPr>
      <w:r w:rsidRPr="00E95958">
        <w:rPr>
          <w:vertAlign w:val="superscript"/>
        </w:rPr>
        <w:endnoteRef/>
      </w:r>
      <w:r w:rsidRPr="00E95958">
        <w:rPr>
          <w:smallCaps/>
        </w:rPr>
        <w:t>Women’s Refugee Commission (WRC) and International Rescue Committee (IRC), Building Capacity for Disability Inclusion in Gender-Based Violence Programming in Humanitarian Settings: Toolkit for GBV Practitioners</w:t>
      </w:r>
      <w:r w:rsidRPr="00E95958">
        <w:t xml:space="preserve"> 75-78 (2015),</w:t>
      </w:r>
      <w:r>
        <w:t xml:space="preserve"> </w:t>
      </w:r>
      <w:hyperlink r:id="rId55" w:history="1">
        <w:r w:rsidRPr="00612242">
          <w:rPr>
            <w:rStyle w:val="Hyperlink"/>
          </w:rPr>
          <w:t>https://www.womensrefugeecommission.org/?option=com_zdocs&amp;view=document&amp;id=1173</w:t>
        </w:r>
      </w:hyperlink>
      <w:r>
        <w:t xml:space="preserve"> </w:t>
      </w:r>
      <w:r w:rsidRPr="00E95958">
        <w:t xml:space="preserve"> [hereinafter </w:t>
      </w:r>
      <w:r w:rsidRPr="00E95958">
        <w:rPr>
          <w:smallCaps/>
        </w:rPr>
        <w:t>WRC &amp; IRC, Toolkit for GBV Practitioners</w:t>
      </w:r>
      <w:r w:rsidRPr="00E95958">
        <w:t xml:space="preserve">]. </w:t>
      </w:r>
    </w:p>
  </w:endnote>
  <w:endnote w:id="144">
    <w:p w14:paraId="7F6ED7F2" w14:textId="57F91CD4" w:rsidR="002772C9" w:rsidRPr="00E95958" w:rsidRDefault="002772C9" w:rsidP="00E95958">
      <w:pPr>
        <w:pStyle w:val="EndnoteText"/>
        <w:ind w:left="-36" w:hanging="324"/>
      </w:pPr>
      <w:r w:rsidRPr="00E95958">
        <w:rPr>
          <w:rStyle w:val="EndnoteReference"/>
        </w:rPr>
        <w:endnoteRef/>
      </w:r>
      <w:r w:rsidRPr="00E95958">
        <w:t xml:space="preserve"> </w:t>
      </w:r>
      <w:r w:rsidRPr="00E95958">
        <w:rPr>
          <w:smallCaps/>
          <w:lang w:val="en-GB"/>
        </w:rPr>
        <w:t>Inter-Agency Standing Committee (IASC), The Gender Handbook for Humanitarian Action 66 (</w:t>
      </w:r>
      <w:r w:rsidRPr="00E95958">
        <w:rPr>
          <w:lang w:val="en-GB"/>
        </w:rPr>
        <w:t>2</w:t>
      </w:r>
      <w:r w:rsidRPr="00E95958">
        <w:rPr>
          <w:vertAlign w:val="superscript"/>
          <w:lang w:val="en-GB"/>
        </w:rPr>
        <w:t>nd</w:t>
      </w:r>
      <w:r w:rsidRPr="00E95958">
        <w:rPr>
          <w:lang w:val="en-GB"/>
        </w:rPr>
        <w:t xml:space="preserve"> ed. </w:t>
      </w:r>
      <w:r w:rsidRPr="00E95958">
        <w:rPr>
          <w:smallCaps/>
          <w:lang w:val="en-GB"/>
        </w:rPr>
        <w:t xml:space="preserve">2017), </w:t>
      </w:r>
      <w:r w:rsidRPr="00F3261F">
        <w:rPr>
          <w:rStyle w:val="Hyperlink"/>
          <w:rFonts w:cs="Times New Roman"/>
        </w:rPr>
        <w:t>https://interagencystandingcommittee.org/system/files/2018-iasc_gender_handbook_for_humanitarian_action_eng_0.pdf</w:t>
      </w:r>
    </w:p>
  </w:endnote>
  <w:endnote w:id="145">
    <w:p w14:paraId="54F865DB" w14:textId="77777777" w:rsidR="002772C9" w:rsidRPr="00E95958" w:rsidRDefault="002772C9" w:rsidP="00E95958">
      <w:pPr>
        <w:pStyle w:val="EndnoteText"/>
        <w:ind w:left="-36" w:hanging="324"/>
        <w:rPr>
          <w:i/>
        </w:rPr>
      </w:pPr>
      <w:r w:rsidRPr="00E95958">
        <w:rPr>
          <w:vertAlign w:val="superscript"/>
        </w:rPr>
        <w:endnoteRef/>
      </w:r>
      <w:r w:rsidRPr="00E95958">
        <w:t xml:space="preserve"> Cecil Begley, et. al, </w:t>
      </w:r>
      <w:r w:rsidRPr="00E95958">
        <w:rPr>
          <w:i/>
        </w:rPr>
        <w:t>Women with Disabilities: Barriers and Facilitators to Accessing Services during Pregnancy, Childbirth and Early Motherhood</w:t>
      </w:r>
      <w:r w:rsidRPr="00E95958">
        <w:t xml:space="preserve">, </w:t>
      </w:r>
      <w:r w:rsidRPr="00E95958">
        <w:rPr>
          <w:smallCaps/>
        </w:rPr>
        <w:t>School of Nursing and</w:t>
      </w:r>
      <w:r w:rsidRPr="00E95958">
        <w:rPr>
          <w:i/>
        </w:rPr>
        <w:t xml:space="preserve"> </w:t>
      </w:r>
      <w:r w:rsidRPr="00E95958">
        <w:rPr>
          <w:smallCaps/>
        </w:rPr>
        <w:t>Midwifery</w:t>
      </w:r>
      <w:r w:rsidRPr="00E95958">
        <w:rPr>
          <w:i/>
        </w:rPr>
        <w:t xml:space="preserve"> </w:t>
      </w:r>
      <w:r w:rsidRPr="00E95958">
        <w:t xml:space="preserve">69-73 (Sept. 8, 2009), </w:t>
      </w:r>
      <w:r w:rsidRPr="00E95958">
        <w:rPr>
          <w:rStyle w:val="Hyperlink"/>
        </w:rPr>
        <w:t>https://nursing-midwifery.tcd.ie/assets/publications/pdf/nda-literature-review.pdf</w:t>
      </w:r>
      <w:r w:rsidRPr="00E95958">
        <w:t xml:space="preserve"> [hereinafter Begley, et. al, </w:t>
      </w:r>
      <w:r w:rsidRPr="00E95958">
        <w:rPr>
          <w:i/>
        </w:rPr>
        <w:t xml:space="preserve">Barriers and Facilitators to Accessing Service]. </w:t>
      </w:r>
    </w:p>
  </w:endnote>
  <w:endnote w:id="146">
    <w:p w14:paraId="586865D6"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 xml:space="preserve">See </w:t>
      </w:r>
      <w:r w:rsidRPr="00E95958">
        <w:t xml:space="preserve">CRPD Committee, </w:t>
      </w:r>
      <w:r w:rsidRPr="00E95958">
        <w:rPr>
          <w:i/>
        </w:rPr>
        <w:t xml:space="preserve">Concluding Observations on the Initial Report of Kenya, </w:t>
      </w:r>
      <w:r w:rsidRPr="00E95958">
        <w:t xml:space="preserve">para. 22(c), U.N. Doc. CRPD/C/KEN/CO/1(Sept, 30, 2015). </w:t>
      </w:r>
    </w:p>
  </w:endnote>
  <w:endnote w:id="147">
    <w:p w14:paraId="3817B66F" w14:textId="6B902BF1" w:rsidR="002772C9" w:rsidRPr="00E95958" w:rsidRDefault="002772C9" w:rsidP="00E95958">
      <w:pPr>
        <w:pStyle w:val="EndnoteText"/>
        <w:ind w:left="-36" w:hanging="324"/>
      </w:pPr>
      <w:r w:rsidRPr="00E95958">
        <w:rPr>
          <w:vertAlign w:val="superscript"/>
        </w:rPr>
        <w:endnoteRef/>
      </w:r>
      <w:r w:rsidRPr="00E95958">
        <w:t xml:space="preserve"> CRPD, </w:t>
      </w:r>
      <w:r w:rsidRPr="00E95958">
        <w:rPr>
          <w:i/>
        </w:rPr>
        <w:t>supra</w:t>
      </w:r>
      <w:r w:rsidRPr="00E95958">
        <w:t xml:space="preserve"> note 1, at preamble (v), art. 9. </w:t>
      </w:r>
    </w:p>
  </w:endnote>
  <w:endnote w:id="148">
    <w:p w14:paraId="00BE8530" w14:textId="77777777" w:rsidR="002772C9" w:rsidRPr="00E95958" w:rsidRDefault="002772C9" w:rsidP="00E95958">
      <w:pPr>
        <w:pStyle w:val="EndnoteText"/>
        <w:ind w:left="-36" w:hanging="324"/>
        <w:rPr>
          <w:rStyle w:val="Hyperlink"/>
        </w:rPr>
      </w:pPr>
      <w:r w:rsidRPr="00E95958">
        <w:rPr>
          <w:vertAlign w:val="superscript"/>
        </w:rPr>
        <w:endnoteRef/>
      </w:r>
      <w:r w:rsidRPr="00E95958">
        <w:t xml:space="preserve"> P</w:t>
      </w:r>
      <w:r w:rsidRPr="00E95958">
        <w:rPr>
          <w:smallCaps/>
        </w:rPr>
        <w:t>aul Hunt &amp; Judith Bueno de Mesquita, University of Essex Human Rights Centre, The Rights to Sexual and Reproductive Health</w:t>
      </w:r>
      <w:r w:rsidRPr="00E95958">
        <w:t xml:space="preserve"> 9 (2007), </w:t>
      </w:r>
      <w:r w:rsidRPr="00E95958">
        <w:rPr>
          <w:rStyle w:val="Hyperlink"/>
        </w:rPr>
        <w:t>http://repository.essex.ac.uk/9718/1/right-sexual-reproductive-health.pdf</w:t>
      </w:r>
    </w:p>
  </w:endnote>
  <w:endnote w:id="149">
    <w:p w14:paraId="28083325" w14:textId="77777777" w:rsidR="002772C9" w:rsidRPr="00E95958" w:rsidRDefault="002772C9" w:rsidP="00E95958">
      <w:pPr>
        <w:pStyle w:val="EndnoteText"/>
        <w:ind w:left="-36" w:hanging="324"/>
        <w:rPr>
          <w:rStyle w:val="Hyperlink"/>
        </w:rPr>
      </w:pPr>
      <w:r w:rsidRPr="00E95958">
        <w:rPr>
          <w:vertAlign w:val="superscript"/>
        </w:rPr>
        <w:endnoteRef/>
      </w:r>
      <w:r w:rsidRPr="00E95958">
        <w:t xml:space="preserve"> </w:t>
      </w:r>
      <w:r w:rsidRPr="00E95958">
        <w:rPr>
          <w:smallCaps/>
        </w:rPr>
        <w:t>United Nations Department of Economic and Social Affairs (UNDESA) Division for Social Policy and Development (DSPD), Toolkit on Disability for Africa: Module 8 - Access to Justice for Persons with Disabilities</w:t>
      </w:r>
      <w:r w:rsidRPr="00E95958">
        <w:t xml:space="preserve"> 16, </w:t>
      </w:r>
      <w:hyperlink r:id="rId56">
        <w:r w:rsidRPr="00E95958">
          <w:rPr>
            <w:rStyle w:val="Hyperlink"/>
          </w:rPr>
          <w:t>http://www.un.org/esa/socdev/documents/disability/Toolkit/Access-to-justice.pdf</w:t>
        </w:r>
      </w:hyperlink>
    </w:p>
  </w:endnote>
  <w:endnote w:id="150">
    <w:p w14:paraId="2F7D6126" w14:textId="0CBD33AA" w:rsidR="002772C9" w:rsidRPr="00E95958" w:rsidRDefault="002772C9" w:rsidP="00F3261F">
      <w:pPr>
        <w:pStyle w:val="EndnoteText"/>
        <w:ind w:left="-36" w:hanging="324"/>
      </w:pPr>
      <w:r w:rsidRPr="00E95958">
        <w:rPr>
          <w:bCs/>
          <w:vertAlign w:val="superscript"/>
        </w:rPr>
        <w:endnoteRef/>
      </w:r>
      <w:r w:rsidRPr="00E95958">
        <w:rPr>
          <w:smallCaps/>
        </w:rPr>
        <w:t>Safety</w:t>
      </w:r>
      <w:r w:rsidRPr="00E95958">
        <w:rPr>
          <w:bCs/>
          <w:smallCaps/>
        </w:rPr>
        <w:t xml:space="preserve"> First Initiative, Accessibility and Responsiveness Review Tool </w:t>
      </w:r>
      <w:r w:rsidRPr="00E95958">
        <w:t xml:space="preserve">(2011), </w:t>
      </w:r>
      <w:r w:rsidRPr="00E95958">
        <w:rPr>
          <w:i/>
          <w:iCs/>
        </w:rPr>
        <w:t>available at</w:t>
      </w:r>
      <w:r w:rsidRPr="00F3261F">
        <w:rPr>
          <w:i/>
          <w:iCs/>
        </w:rPr>
        <w:t xml:space="preserve"> </w:t>
      </w:r>
      <w:hyperlink r:id="rId57">
        <w:r w:rsidRPr="00F3261F">
          <w:rPr>
            <w:rStyle w:val="Hyperlink"/>
          </w:rPr>
          <w:t>https://www.endabusepwd.org/publications/safety-first-initiative-accessibility-and-responsiveness-review-tool/</w:t>
        </w:r>
      </w:hyperlink>
      <w:r w:rsidRPr="00E95958">
        <w:t xml:space="preserve">; </w:t>
      </w:r>
      <w:r w:rsidRPr="00E95958">
        <w:rPr>
          <w:bCs/>
          <w:smallCaps/>
        </w:rPr>
        <w:t>Safety First Initiative, Accessibility and Responsiveness Review Scoring Tool</w:t>
      </w:r>
      <w:r w:rsidRPr="00E95958">
        <w:t xml:space="preserve">, </w:t>
      </w:r>
      <w:r w:rsidRPr="00E95958">
        <w:rPr>
          <w:i/>
          <w:iCs/>
        </w:rPr>
        <w:t>available at</w:t>
      </w:r>
      <w:r w:rsidRPr="00E95958">
        <w:t xml:space="preserve"> </w:t>
      </w:r>
      <w:hyperlink r:id="rId58">
        <w:r w:rsidRPr="00F3261F">
          <w:rPr>
            <w:rStyle w:val="Hyperlink"/>
          </w:rPr>
          <w:t>https://www.endabusepwd.org/publications/safety-first-initiative-accessibility-and-responsiveness-review-scoring-tool/</w:t>
        </w:r>
      </w:hyperlink>
    </w:p>
  </w:endnote>
  <w:endnote w:id="151">
    <w:p w14:paraId="7804BDC7" w14:textId="77777777" w:rsidR="002772C9" w:rsidRPr="00E95958" w:rsidRDefault="002772C9" w:rsidP="00E95958">
      <w:pPr>
        <w:pStyle w:val="EndnoteText"/>
        <w:ind w:left="-36" w:hanging="324"/>
        <w:rPr>
          <w:rStyle w:val="Hyperlink"/>
        </w:rPr>
      </w:pPr>
      <w:r w:rsidRPr="00E95958">
        <w:rPr>
          <w:vertAlign w:val="superscript"/>
        </w:rPr>
        <w:endnoteRef/>
      </w:r>
      <w:r w:rsidRPr="00E95958">
        <w:t xml:space="preserve"> </w:t>
      </w:r>
      <w:r w:rsidRPr="00E95958">
        <w:rPr>
          <w:smallCaps/>
        </w:rPr>
        <w:t>International Organization for Standardization, ISO 21542:2011 Building construction - Accessibility and Usability of the Built Environment (</w:t>
      </w:r>
      <w:r w:rsidRPr="00E95958">
        <w:t xml:space="preserve">Dec. 2011), </w:t>
      </w:r>
      <w:r w:rsidRPr="00E95958">
        <w:rPr>
          <w:i/>
        </w:rPr>
        <w:t xml:space="preserve">available at </w:t>
      </w:r>
      <w:hyperlink r:id="rId59">
        <w:r w:rsidRPr="00E95958">
          <w:rPr>
            <w:rStyle w:val="Hyperlink"/>
          </w:rPr>
          <w:t>https://www.iso.org/standard/50498.html</w:t>
        </w:r>
      </w:hyperlink>
    </w:p>
  </w:endnote>
  <w:endnote w:id="152">
    <w:p w14:paraId="68F1665D" w14:textId="3B9CB3C3" w:rsidR="002772C9" w:rsidRPr="00E95958" w:rsidRDefault="002772C9" w:rsidP="00E95958">
      <w:pPr>
        <w:pStyle w:val="EndnoteText"/>
        <w:ind w:left="-36" w:hanging="324"/>
      </w:pPr>
      <w:r w:rsidRPr="00E95958">
        <w:rPr>
          <w:vertAlign w:val="superscript"/>
        </w:rPr>
        <w:endnoteRef/>
      </w:r>
      <w:r w:rsidRPr="00E95958">
        <w:t xml:space="preserve"> CRPD, </w:t>
      </w:r>
      <w:r w:rsidRPr="00E95958">
        <w:rPr>
          <w:i/>
        </w:rPr>
        <w:t>supra</w:t>
      </w:r>
      <w:r w:rsidRPr="00E95958">
        <w:t xml:space="preserve"> note 1, at art. 9(1). </w:t>
      </w:r>
    </w:p>
  </w:endnote>
  <w:endnote w:id="153">
    <w:p w14:paraId="0FF0ED5B" w14:textId="43259B90" w:rsidR="002772C9" w:rsidRPr="00E95958" w:rsidRDefault="002772C9" w:rsidP="00E95958">
      <w:pPr>
        <w:pStyle w:val="EndnoteText"/>
        <w:ind w:left="-36" w:hanging="324"/>
      </w:pPr>
      <w:r w:rsidRPr="00E95958">
        <w:rPr>
          <w:vertAlign w:val="superscript"/>
        </w:rPr>
        <w:endnoteRef/>
      </w:r>
      <w:r w:rsidRPr="00E95958">
        <w:t xml:space="preserve"> CRPD, </w:t>
      </w:r>
      <w:r w:rsidRPr="00E95958">
        <w:rPr>
          <w:i/>
        </w:rPr>
        <w:t>supra</w:t>
      </w:r>
      <w:r w:rsidRPr="00E95958">
        <w:t xml:space="preserve"> note 1, at art 2. </w:t>
      </w:r>
    </w:p>
  </w:endnote>
  <w:endnote w:id="154">
    <w:p w14:paraId="28CE814B" w14:textId="64F032AD"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 xml:space="preserve">Canadian Disability Policy Alliance, Accessibility Checklist, </w:t>
      </w:r>
      <w:r w:rsidRPr="00E95958">
        <w:rPr>
          <w:i/>
        </w:rPr>
        <w:t>supra</w:t>
      </w:r>
      <w:r w:rsidRPr="00E95958">
        <w:t xml:space="preserve"> note 127. </w:t>
      </w:r>
    </w:p>
  </w:endnote>
  <w:endnote w:id="155">
    <w:p w14:paraId="1542EDCB" w14:textId="77777777" w:rsidR="002772C9" w:rsidRPr="00E95958" w:rsidRDefault="002772C9" w:rsidP="00E95958">
      <w:pPr>
        <w:pStyle w:val="EndnoteText"/>
        <w:ind w:left="-36" w:hanging="324"/>
        <w:rPr>
          <w:rStyle w:val="Hyperlink"/>
        </w:rPr>
      </w:pPr>
      <w:r w:rsidRPr="00E95958">
        <w:rPr>
          <w:vertAlign w:val="superscript"/>
        </w:rPr>
        <w:endnoteRef/>
      </w:r>
      <w:r w:rsidRPr="00E95958">
        <w:t xml:space="preserve"> </w:t>
      </w:r>
      <w:r w:rsidRPr="00E95958">
        <w:rPr>
          <w:i/>
        </w:rPr>
        <w:t>Vision, Mission and Practices</w:t>
      </w:r>
      <w:r w:rsidRPr="00E95958">
        <w:t xml:space="preserve">, </w:t>
      </w:r>
      <w:r w:rsidRPr="00E95958">
        <w:rPr>
          <w:smallCaps/>
        </w:rPr>
        <w:t>Adaptive Design Association</w:t>
      </w:r>
      <w:r w:rsidRPr="00E95958">
        <w:t xml:space="preserve">, </w:t>
      </w:r>
      <w:hyperlink r:id="rId60">
        <w:r w:rsidRPr="00E95958">
          <w:rPr>
            <w:rStyle w:val="Hyperlink"/>
          </w:rPr>
          <w:t>http://www.adaptivedesign.org/copy-of-vision-mission-practices</w:t>
        </w:r>
      </w:hyperlink>
      <w:r w:rsidRPr="00E95958">
        <w:rPr>
          <w:rStyle w:val="Hyperlink"/>
        </w:rPr>
        <w:t xml:space="preserve"> </w:t>
      </w:r>
    </w:p>
  </w:endnote>
  <w:endnote w:id="156">
    <w:p w14:paraId="43A94C87" w14:textId="77777777" w:rsidR="002772C9" w:rsidRPr="00E95958" w:rsidRDefault="002772C9" w:rsidP="00E95958">
      <w:pPr>
        <w:pStyle w:val="EndnoteText"/>
        <w:ind w:left="-36" w:hanging="324"/>
        <w:rPr>
          <w:rStyle w:val="Hyperlink"/>
        </w:rPr>
      </w:pPr>
      <w:r w:rsidRPr="00E95958">
        <w:rPr>
          <w:vertAlign w:val="superscript"/>
        </w:rPr>
        <w:endnoteRef/>
      </w:r>
      <w:r w:rsidRPr="00E95958">
        <w:t xml:space="preserve">Adaptive Design NYC, </w:t>
      </w:r>
      <w:r w:rsidRPr="00E95958">
        <w:rPr>
          <w:smallCaps/>
        </w:rPr>
        <w:t>YouTube</w:t>
      </w:r>
      <w:r w:rsidRPr="00E95958">
        <w:t xml:space="preserve">, </w:t>
      </w:r>
      <w:hyperlink r:id="rId61">
        <w:r w:rsidRPr="00E95958">
          <w:rPr>
            <w:rStyle w:val="Hyperlink"/>
          </w:rPr>
          <w:t>https://www.youtube.com/user/adaptivedesignnyc/feed</w:t>
        </w:r>
      </w:hyperlink>
    </w:p>
  </w:endnote>
  <w:endnote w:id="157">
    <w:p w14:paraId="50E9B155" w14:textId="59D30CCE" w:rsidR="002772C9" w:rsidRPr="00E95958" w:rsidRDefault="002772C9" w:rsidP="00E95958">
      <w:pPr>
        <w:pStyle w:val="EndnoteText"/>
        <w:ind w:left="-36" w:hanging="324"/>
        <w:rPr>
          <w:i/>
        </w:rPr>
      </w:pPr>
      <w:r w:rsidRPr="00E95958">
        <w:rPr>
          <w:vertAlign w:val="superscript"/>
        </w:rPr>
        <w:endnoteRef/>
      </w:r>
      <w:r w:rsidRPr="00E95958">
        <w:t xml:space="preserve"> Begley, et. al, </w:t>
      </w:r>
      <w:r w:rsidRPr="00E95958">
        <w:rPr>
          <w:i/>
        </w:rPr>
        <w:t>Barriers and Facilitators to Accessing Services, supra</w:t>
      </w:r>
      <w:r w:rsidRPr="00E95958">
        <w:t xml:space="preserve"> note 144, at 69-73.</w:t>
      </w:r>
    </w:p>
  </w:endnote>
  <w:endnote w:id="158">
    <w:p w14:paraId="3044DF00" w14:textId="118318EA"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 xml:space="preserve">Canadian Disability Policy Alliance, Accessibility Checklist, </w:t>
      </w:r>
      <w:r w:rsidRPr="00E95958">
        <w:rPr>
          <w:i/>
        </w:rPr>
        <w:t>supra</w:t>
      </w:r>
      <w:r w:rsidRPr="00E95958">
        <w:t xml:space="preserve"> note 127.</w:t>
      </w:r>
    </w:p>
  </w:endnote>
  <w:endnote w:id="159">
    <w:p w14:paraId="5D2BC3A9"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UNHCR, Sexual and Gender-Based Violence against Refugees, Returnees and Internally Displaced Persons, Guidelines for Prevention and Response: Guidelines for Prevention and Response</w:t>
      </w:r>
      <w:r w:rsidRPr="00E95958">
        <w:t xml:space="preserve"> 42 (May 2003), </w:t>
      </w:r>
      <w:hyperlink r:id="rId62">
        <w:r w:rsidRPr="00E95958">
          <w:rPr>
            <w:rStyle w:val="Hyperlink"/>
          </w:rPr>
          <w:t>http://www.unhcr.org/en-us/protection/women/3f696bcc4/sexual-gender-based-violence-against-refugees-returnees-internally-displaced.html</w:t>
        </w:r>
      </w:hyperlink>
      <w:r w:rsidRPr="00E95958">
        <w:t xml:space="preserve"> [hereinafter </w:t>
      </w:r>
      <w:r w:rsidRPr="00E95958">
        <w:rPr>
          <w:smallCaps/>
        </w:rPr>
        <w:t>UNHCR, Sexual and GBV against Refugees, Returnees and Internally Displaced Persons</w:t>
      </w:r>
      <w:r w:rsidRPr="00E95958">
        <w:t>].</w:t>
      </w:r>
    </w:p>
  </w:endnote>
  <w:endnote w:id="160">
    <w:p w14:paraId="72FE213A" w14:textId="0FB86244"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 xml:space="preserve">See </w:t>
      </w:r>
      <w:r w:rsidRPr="00E95958">
        <w:t xml:space="preserve">Human Rights Committee, </w:t>
      </w:r>
      <w:r w:rsidRPr="00E95958">
        <w:rPr>
          <w:i/>
        </w:rPr>
        <w:t>Concluding Observations on the Second Periodic Report of Chad</w:t>
      </w:r>
      <w:r w:rsidRPr="00E95958">
        <w:t>, para. 21, U.N. Doc. CCPR/C/TCD/CO/2 (Apr. 15, 2014).</w:t>
      </w:r>
    </w:p>
  </w:endnote>
  <w:endnote w:id="161">
    <w:p w14:paraId="10963CDD" w14:textId="1AAAF593" w:rsidR="002772C9" w:rsidRPr="00E95958" w:rsidRDefault="002772C9" w:rsidP="00E95958">
      <w:pPr>
        <w:pStyle w:val="EndnoteText"/>
        <w:ind w:left="-36" w:hanging="324"/>
      </w:pPr>
      <w:r w:rsidRPr="00E95958">
        <w:rPr>
          <w:rStyle w:val="EndnoteReference"/>
        </w:rPr>
        <w:endnoteRef/>
      </w:r>
      <w:r w:rsidRPr="00E95958">
        <w:t xml:space="preserve"> </w:t>
      </w:r>
      <w:r w:rsidRPr="00E95958">
        <w:rPr>
          <w:i/>
        </w:rPr>
        <w:t>See e.g.</w:t>
      </w:r>
      <w:r w:rsidRPr="00E95958">
        <w:t xml:space="preserve"> </w:t>
      </w:r>
      <w:r w:rsidRPr="00E95958">
        <w:rPr>
          <w:smallCaps/>
          <w:lang w:val="en-GB"/>
        </w:rPr>
        <w:t>International Organization for Migration (IOM), IOM Mobile Clinics, Transitional and Temporary Health Facilities (</w:t>
      </w:r>
      <w:r w:rsidRPr="00E95958">
        <w:t xml:space="preserve">Aug. 2014), </w:t>
      </w:r>
      <w:r w:rsidRPr="00F3261F">
        <w:rPr>
          <w:rStyle w:val="Hyperlink"/>
          <w:rFonts w:cs="Times New Roman"/>
        </w:rPr>
        <w:t>https://www.iom.int/sites/default/files/our_work/DMM/Migration-Health/MP_infosheets/August%202014%20IOM%20Mobile%20Temporary%20TransitionaHealth%20Facilities.pdf</w:t>
      </w:r>
    </w:p>
  </w:endnote>
  <w:endnote w:id="162">
    <w:p w14:paraId="1A4DB16C"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International Federation of Red Cross and Red Crescent Societies, All Under One Roof Disability-inclusive Shelter and Settlements in Emergencies</w:t>
      </w:r>
      <w:r w:rsidRPr="00E95958">
        <w:t xml:space="preserve"> (2015), </w:t>
      </w:r>
      <w:hyperlink r:id="rId63">
        <w:r w:rsidRPr="00F3261F">
          <w:rPr>
            <w:rStyle w:val="Hyperlink"/>
            <w:rFonts w:cs="Times New Roman"/>
          </w:rPr>
          <w:t>http://www.ifrc.org/Global/Documents/Secretariat/Shelter/All-under-one-roof_EN.pdf</w:t>
        </w:r>
      </w:hyperlink>
    </w:p>
  </w:endnote>
  <w:endnote w:id="163">
    <w:p w14:paraId="319C3FBF" w14:textId="77777777" w:rsidR="002772C9" w:rsidRPr="00E95958" w:rsidRDefault="002772C9" w:rsidP="00E95958">
      <w:pPr>
        <w:pStyle w:val="EndnoteText"/>
        <w:ind w:left="-36" w:hanging="324"/>
        <w:rPr>
          <w:smallCaps/>
        </w:rPr>
      </w:pPr>
      <w:r w:rsidRPr="00E95958">
        <w:rPr>
          <w:vertAlign w:val="superscript"/>
        </w:rPr>
        <w:endnoteRef/>
      </w:r>
      <w:r w:rsidRPr="00E95958">
        <w:t xml:space="preserve"> </w:t>
      </w:r>
      <w:r w:rsidRPr="00E95958">
        <w:rPr>
          <w:smallCaps/>
        </w:rPr>
        <w:t>Centre for Community Organizations, Accessibility Checklist for Organizers and Facilitators</w:t>
      </w:r>
      <w:r w:rsidRPr="00E95958">
        <w:t xml:space="preserve"> 2 (2015), </w:t>
      </w:r>
      <w:hyperlink r:id="rId64">
        <w:r w:rsidRPr="00F3261F">
          <w:rPr>
            <w:rStyle w:val="Hyperlink"/>
            <w:rFonts w:cs="Times New Roman"/>
          </w:rPr>
          <w:t>http://coco-net.org/wp-content/uploads/2016/01/Access-Checklist-EN.pdf</w:t>
        </w:r>
      </w:hyperlink>
      <w:r w:rsidRPr="00E95958">
        <w:t xml:space="preserve"> [hereinafter </w:t>
      </w:r>
      <w:r w:rsidRPr="00E95958">
        <w:rPr>
          <w:smallCaps/>
        </w:rPr>
        <w:t>CCOA,</w:t>
      </w:r>
      <w:r w:rsidRPr="00E95958">
        <w:t xml:space="preserve"> </w:t>
      </w:r>
      <w:r w:rsidRPr="00E95958">
        <w:rPr>
          <w:smallCaps/>
        </w:rPr>
        <w:t xml:space="preserve">Accessibility Checklist] </w:t>
      </w:r>
    </w:p>
  </w:endnote>
  <w:endnote w:id="164">
    <w:p w14:paraId="52464F1D" w14:textId="34407A5C"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CCOA,</w:t>
      </w:r>
      <w:r w:rsidRPr="00E95958">
        <w:t xml:space="preserve"> </w:t>
      </w:r>
      <w:r w:rsidRPr="00E95958">
        <w:rPr>
          <w:smallCaps/>
        </w:rPr>
        <w:t xml:space="preserve">Accessibility Checklist, </w:t>
      </w:r>
      <w:r w:rsidRPr="00E95958">
        <w:rPr>
          <w:i/>
        </w:rPr>
        <w:t>supra</w:t>
      </w:r>
      <w:r w:rsidRPr="00E95958">
        <w:t xml:space="preserve"> note 162, at 2. </w:t>
      </w:r>
    </w:p>
  </w:endnote>
  <w:endnote w:id="165">
    <w:p w14:paraId="6E55E55F" w14:textId="161B5C7E"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CCOA,</w:t>
      </w:r>
      <w:r w:rsidRPr="00E95958">
        <w:t xml:space="preserve"> </w:t>
      </w:r>
      <w:r w:rsidRPr="00E95958">
        <w:rPr>
          <w:smallCaps/>
        </w:rPr>
        <w:t xml:space="preserve">Accessibility Checklist, </w:t>
      </w:r>
      <w:r w:rsidRPr="00E95958">
        <w:rPr>
          <w:i/>
        </w:rPr>
        <w:t>supra</w:t>
      </w:r>
      <w:r w:rsidRPr="00E95958">
        <w:t xml:space="preserve"> note 162, at 2.</w:t>
      </w:r>
    </w:p>
  </w:endnote>
  <w:endnote w:id="166">
    <w:p w14:paraId="704D658B" w14:textId="37571E2B"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CCOA,</w:t>
      </w:r>
      <w:r w:rsidRPr="00E95958">
        <w:t xml:space="preserve"> </w:t>
      </w:r>
      <w:r w:rsidRPr="00E95958">
        <w:rPr>
          <w:smallCaps/>
        </w:rPr>
        <w:t xml:space="preserve">Accessibility Checklist, </w:t>
      </w:r>
      <w:r w:rsidRPr="00E95958">
        <w:rPr>
          <w:i/>
        </w:rPr>
        <w:t>supra</w:t>
      </w:r>
      <w:r w:rsidRPr="00E95958">
        <w:t xml:space="preserve"> note 162, at 2.</w:t>
      </w:r>
    </w:p>
  </w:endnote>
  <w:endnote w:id="167">
    <w:p w14:paraId="643D8566" w14:textId="0993B99F"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CCOA,</w:t>
      </w:r>
      <w:r w:rsidRPr="00E95958">
        <w:t xml:space="preserve"> </w:t>
      </w:r>
      <w:r w:rsidRPr="00E95958">
        <w:rPr>
          <w:smallCaps/>
        </w:rPr>
        <w:t xml:space="preserve">Accessibility Checklist, </w:t>
      </w:r>
      <w:r w:rsidRPr="00E95958">
        <w:rPr>
          <w:i/>
        </w:rPr>
        <w:t>supra</w:t>
      </w:r>
      <w:r w:rsidRPr="00E95958">
        <w:t xml:space="preserve"> note 162, at 2.</w:t>
      </w:r>
    </w:p>
  </w:endnote>
  <w:endnote w:id="168">
    <w:p w14:paraId="2733764B" w14:textId="577F8248"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CCOA,</w:t>
      </w:r>
      <w:r w:rsidRPr="00E95958">
        <w:t xml:space="preserve"> </w:t>
      </w:r>
      <w:r w:rsidRPr="00E95958">
        <w:rPr>
          <w:smallCaps/>
        </w:rPr>
        <w:t xml:space="preserve">Accessibility Checklist, </w:t>
      </w:r>
      <w:r w:rsidRPr="00E95958">
        <w:rPr>
          <w:i/>
        </w:rPr>
        <w:t>supra</w:t>
      </w:r>
      <w:r w:rsidRPr="00E95958">
        <w:t xml:space="preserve"> note 162, at 2.</w:t>
      </w:r>
    </w:p>
  </w:endnote>
  <w:endnote w:id="169">
    <w:p w14:paraId="7C4DE5B9"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USAID &amp; Handicap International, Disability Inclusive Sexual and Reproductive Health Component: Training of Trainers Manual on Disability – Inclusive HIV and Sexual Reproductive Health for Health Workers (Parts 4-5) 38</w:t>
      </w:r>
      <w:r w:rsidRPr="00E95958">
        <w:t xml:space="preserve"> (Sept. 2011) [hereinafter </w:t>
      </w:r>
      <w:r w:rsidRPr="00E95958">
        <w:rPr>
          <w:smallCaps/>
        </w:rPr>
        <w:t>USAID &amp; HI, Reproductive Health Training Manual (Parts 4-5)</w:t>
      </w:r>
      <w:r w:rsidRPr="00E95958">
        <w:t xml:space="preserve">]. </w:t>
      </w:r>
    </w:p>
  </w:endnote>
  <w:endnote w:id="170">
    <w:p w14:paraId="5372D92D" w14:textId="6F50EECE"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Women’s Refugee Commission (WRC) and International Rescue Committee (IRC), Building Capacity for Disability Inclusion in Gender-Based Violence Programming in Humanitarian Settings: Toolkit for GBV Practitioners</w:t>
      </w:r>
      <w:r w:rsidRPr="00E95958">
        <w:t xml:space="preserve"> (2015),</w:t>
      </w:r>
      <w:r>
        <w:t xml:space="preserve"> </w:t>
      </w:r>
      <w:hyperlink r:id="rId65" w:history="1">
        <w:r w:rsidRPr="00612242">
          <w:rPr>
            <w:rStyle w:val="Hyperlink"/>
          </w:rPr>
          <w:t>https://www.womensrefugeecommission.org/?option=com_zdocs&amp;view=document&amp;id=1173</w:t>
        </w:r>
      </w:hyperlink>
      <w:r>
        <w:t xml:space="preserve"> </w:t>
      </w:r>
      <w:r w:rsidRPr="00E95958">
        <w:t xml:space="preserve"> [hereinafter </w:t>
      </w:r>
      <w:r w:rsidRPr="00E95958">
        <w:rPr>
          <w:smallCaps/>
        </w:rPr>
        <w:t>WRC &amp; IRC, Toolkit for GBV Practitioners</w:t>
      </w:r>
      <w:r w:rsidRPr="00E95958">
        <w:t xml:space="preserve">] </w:t>
      </w:r>
    </w:p>
  </w:endnote>
  <w:endnote w:id="171">
    <w:p w14:paraId="78026DA2" w14:textId="7748565E"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See</w:t>
      </w:r>
      <w:r w:rsidRPr="00E95958">
        <w:t xml:space="preserve"> </w:t>
      </w:r>
      <w:r w:rsidRPr="00E95958">
        <w:rPr>
          <w:smallCaps/>
        </w:rPr>
        <w:t>CCOA,</w:t>
      </w:r>
      <w:r w:rsidRPr="00E95958">
        <w:t xml:space="preserve"> </w:t>
      </w:r>
      <w:r w:rsidRPr="00E95958">
        <w:rPr>
          <w:smallCaps/>
        </w:rPr>
        <w:t xml:space="preserve">Accessibility Checklist, </w:t>
      </w:r>
      <w:r w:rsidRPr="00E95958">
        <w:rPr>
          <w:i/>
        </w:rPr>
        <w:t>supra</w:t>
      </w:r>
      <w:r w:rsidRPr="00E95958">
        <w:t xml:space="preserve"> note 162, at 8. </w:t>
      </w:r>
    </w:p>
  </w:endnote>
  <w:endnote w:id="172">
    <w:p w14:paraId="1034DB56" w14:textId="2D5CBE6E" w:rsidR="002772C9" w:rsidRPr="00E95958" w:rsidRDefault="002772C9" w:rsidP="00E95958">
      <w:pPr>
        <w:pStyle w:val="EndnoteText"/>
        <w:ind w:left="-36" w:hanging="324"/>
        <w:rPr>
          <w:smallCaps/>
        </w:rPr>
      </w:pPr>
      <w:r w:rsidRPr="00E95958">
        <w:rPr>
          <w:vertAlign w:val="superscript"/>
        </w:rPr>
        <w:endnoteRef/>
      </w:r>
      <w:r w:rsidRPr="00E95958">
        <w:t xml:space="preserve"> </w:t>
      </w:r>
      <w:r w:rsidRPr="00E95958">
        <w:rPr>
          <w:i/>
        </w:rPr>
        <w:t>See</w:t>
      </w:r>
      <w:r w:rsidRPr="00E95958">
        <w:t xml:space="preserve"> </w:t>
      </w:r>
      <w:r w:rsidRPr="00E95958">
        <w:rPr>
          <w:smallCaps/>
        </w:rPr>
        <w:t>Essential Services for Women and Girls Subject to Violence (Module 4),</w:t>
      </w:r>
      <w:r w:rsidRPr="00E95958">
        <w:rPr>
          <w:i/>
        </w:rPr>
        <w:t xml:space="preserve"> supra </w:t>
      </w:r>
      <w:r w:rsidRPr="00E95958">
        <w:t xml:space="preserve">note 118, at 17. </w:t>
      </w:r>
    </w:p>
  </w:endnote>
  <w:endnote w:id="173">
    <w:p w14:paraId="56CF32E7" w14:textId="471B900C"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See</w:t>
      </w:r>
      <w:r w:rsidRPr="00E95958">
        <w:rPr>
          <w:smallCaps/>
        </w:rPr>
        <w:t xml:space="preserve"> CCOA,</w:t>
      </w:r>
      <w:r w:rsidRPr="00E95958">
        <w:t xml:space="preserve"> </w:t>
      </w:r>
      <w:r w:rsidRPr="00E95958">
        <w:rPr>
          <w:smallCaps/>
        </w:rPr>
        <w:t xml:space="preserve">Accessibility Checklist, </w:t>
      </w:r>
      <w:r w:rsidRPr="00E95958">
        <w:rPr>
          <w:i/>
        </w:rPr>
        <w:t>supra</w:t>
      </w:r>
      <w:r w:rsidRPr="00E95958">
        <w:t xml:space="preserve"> note 162, at 8.</w:t>
      </w:r>
    </w:p>
  </w:endnote>
  <w:endnote w:id="174">
    <w:p w14:paraId="65E0BEC1" w14:textId="27223C0D"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 xml:space="preserve">See </w:t>
      </w:r>
      <w:r w:rsidRPr="00E95958">
        <w:rPr>
          <w:smallCaps/>
        </w:rPr>
        <w:t>CCOA,</w:t>
      </w:r>
      <w:r w:rsidRPr="00E95958">
        <w:t xml:space="preserve"> </w:t>
      </w:r>
      <w:r w:rsidRPr="00E95958">
        <w:rPr>
          <w:smallCaps/>
        </w:rPr>
        <w:t xml:space="preserve">Accessibility Checklist, </w:t>
      </w:r>
      <w:r w:rsidRPr="00E95958">
        <w:rPr>
          <w:i/>
        </w:rPr>
        <w:t>supra</w:t>
      </w:r>
      <w:r w:rsidRPr="00E95958">
        <w:t xml:space="preserve"> note 162, at 2.</w:t>
      </w:r>
    </w:p>
  </w:endnote>
  <w:endnote w:id="175">
    <w:p w14:paraId="5458F00A" w14:textId="4C389B82" w:rsidR="002772C9" w:rsidRPr="00E95958" w:rsidRDefault="002772C9" w:rsidP="00E95958">
      <w:pPr>
        <w:pStyle w:val="EndnoteText"/>
        <w:ind w:left="-36" w:hanging="324"/>
        <w:rPr>
          <w:smallCaps/>
        </w:rPr>
      </w:pPr>
      <w:r w:rsidRPr="00E95958">
        <w:rPr>
          <w:vertAlign w:val="superscript"/>
        </w:rPr>
        <w:endnoteRef/>
      </w:r>
      <w:r w:rsidRPr="00E95958">
        <w:rPr>
          <w:smallCaps/>
        </w:rPr>
        <w:t>Maxwell et al., Health Handbook</w:t>
      </w:r>
      <w:r w:rsidRPr="00E95958">
        <w:t xml:space="preserve">, </w:t>
      </w:r>
      <w:r w:rsidRPr="00E95958">
        <w:rPr>
          <w:i/>
        </w:rPr>
        <w:t>supra</w:t>
      </w:r>
      <w:r w:rsidRPr="00E95958">
        <w:t xml:space="preserve"> note 93, at 43</w:t>
      </w:r>
    </w:p>
  </w:endnote>
  <w:endnote w:id="176">
    <w:p w14:paraId="72FD996E" w14:textId="11C02A11" w:rsidR="002772C9" w:rsidRPr="00E95958" w:rsidRDefault="002772C9" w:rsidP="00E95958">
      <w:pPr>
        <w:pStyle w:val="EndnoteText"/>
        <w:ind w:left="-36" w:hanging="324"/>
      </w:pPr>
      <w:r w:rsidRPr="00E95958">
        <w:rPr>
          <w:vertAlign w:val="superscript"/>
        </w:rPr>
        <w:endnoteRef/>
      </w:r>
      <w:r w:rsidRPr="00E95958">
        <w:rPr>
          <w:smallCaps/>
        </w:rPr>
        <w:t>Maxwell et al., Health Handbook</w:t>
      </w:r>
      <w:r w:rsidRPr="00E95958">
        <w:t xml:space="preserve">, </w:t>
      </w:r>
      <w:r w:rsidRPr="00E95958">
        <w:rPr>
          <w:i/>
        </w:rPr>
        <w:t>supra</w:t>
      </w:r>
      <w:r w:rsidRPr="00E95958">
        <w:t xml:space="preserve"> note 93, at 43.</w:t>
      </w:r>
    </w:p>
  </w:endnote>
  <w:endnote w:id="177">
    <w:p w14:paraId="05F3FD16" w14:textId="7765892C"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Maxwell et al., Health Handbook</w:t>
      </w:r>
      <w:r w:rsidRPr="00E95958">
        <w:t xml:space="preserve">, </w:t>
      </w:r>
      <w:r w:rsidRPr="00E95958">
        <w:rPr>
          <w:i/>
        </w:rPr>
        <w:t>supra</w:t>
      </w:r>
      <w:r w:rsidRPr="00E95958">
        <w:t xml:space="preserve"> note 93, at 43.</w:t>
      </w:r>
    </w:p>
  </w:endnote>
  <w:endnote w:id="178">
    <w:p w14:paraId="7C40ECA9" w14:textId="5D2AD1ED"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Maxwell et al., Health Handbook</w:t>
      </w:r>
      <w:r w:rsidRPr="00E95958">
        <w:t xml:space="preserve">, </w:t>
      </w:r>
      <w:r w:rsidRPr="00E95958">
        <w:rPr>
          <w:i/>
        </w:rPr>
        <w:t>supra</w:t>
      </w:r>
      <w:r w:rsidRPr="00E95958">
        <w:t xml:space="preserve"> note 93, at 43.</w:t>
      </w:r>
    </w:p>
  </w:endnote>
  <w:endnote w:id="179">
    <w:p w14:paraId="61C40E06" w14:textId="77777777" w:rsidR="002772C9" w:rsidRPr="00E95958" w:rsidRDefault="002772C9" w:rsidP="00E95958">
      <w:pPr>
        <w:pStyle w:val="EndnoteText"/>
        <w:ind w:left="-36" w:hanging="324"/>
        <w:rPr>
          <w:smallCaps/>
        </w:rPr>
      </w:pPr>
      <w:r w:rsidRPr="00E95958">
        <w:rPr>
          <w:vertAlign w:val="superscript"/>
        </w:rPr>
        <w:endnoteRef/>
      </w:r>
      <w:r w:rsidRPr="00E95958">
        <w:t xml:space="preserve"> </w:t>
      </w:r>
      <w:r w:rsidRPr="00E95958">
        <w:rPr>
          <w:smallCaps/>
        </w:rPr>
        <w:t>Table Manners and Beyond: The Gynecological Exam for Women with Developmental Disabilities and Other Functional Limitations</w:t>
      </w:r>
      <w:r w:rsidRPr="00E95958">
        <w:t xml:space="preserve"> 25 (Katherine M. Simpson ed. May 2001) [hereinafter </w:t>
      </w:r>
      <w:r w:rsidRPr="00E95958">
        <w:rPr>
          <w:smallCaps/>
        </w:rPr>
        <w:t>Table Manners and Beyond].</w:t>
      </w:r>
    </w:p>
  </w:endnote>
  <w:endnote w:id="180">
    <w:p w14:paraId="395AD51F" w14:textId="0A7A0D6F"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Maxwell et al., Health Handbook</w:t>
      </w:r>
      <w:r w:rsidRPr="00E95958">
        <w:t xml:space="preserve">, </w:t>
      </w:r>
      <w:r w:rsidRPr="00E95958">
        <w:rPr>
          <w:i/>
        </w:rPr>
        <w:t>supra</w:t>
      </w:r>
      <w:r w:rsidRPr="00E95958">
        <w:t xml:space="preserve"> note 93, at 43.</w:t>
      </w:r>
    </w:p>
  </w:endnote>
  <w:endnote w:id="181">
    <w:p w14:paraId="6CAED10A" w14:textId="6D1A3A55"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Maxwell et al., Health Handbook</w:t>
      </w:r>
      <w:r w:rsidRPr="00E95958">
        <w:t xml:space="preserve">, </w:t>
      </w:r>
      <w:r w:rsidRPr="00E95958">
        <w:rPr>
          <w:i/>
        </w:rPr>
        <w:t>supra</w:t>
      </w:r>
      <w:r w:rsidRPr="00E95958">
        <w:t xml:space="preserve"> note 93, at 43.</w:t>
      </w:r>
    </w:p>
  </w:endnote>
  <w:endnote w:id="182">
    <w:p w14:paraId="0996511E" w14:textId="78B14BCE"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Maxwell et al., Health Handbook</w:t>
      </w:r>
      <w:r w:rsidRPr="00E95958">
        <w:t xml:space="preserve">, </w:t>
      </w:r>
      <w:r w:rsidRPr="00E95958">
        <w:rPr>
          <w:i/>
        </w:rPr>
        <w:t>supra</w:t>
      </w:r>
      <w:r w:rsidRPr="00E95958">
        <w:t xml:space="preserve"> note 93, at 43.</w:t>
      </w:r>
    </w:p>
  </w:endnote>
  <w:endnote w:id="183">
    <w:p w14:paraId="66B28F56" w14:textId="6A5117CF"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Maxwell et al., Health Handbook</w:t>
      </w:r>
      <w:r w:rsidRPr="00E95958">
        <w:t xml:space="preserve">, </w:t>
      </w:r>
      <w:r w:rsidRPr="00E95958">
        <w:rPr>
          <w:i/>
        </w:rPr>
        <w:t>supra</w:t>
      </w:r>
      <w:r w:rsidRPr="00E95958">
        <w:t xml:space="preserve"> note 93, at 43.</w:t>
      </w:r>
    </w:p>
  </w:endnote>
  <w:endnote w:id="184">
    <w:p w14:paraId="6B31D338" w14:textId="0914B3CF"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Maxwell et al., Health Handbook</w:t>
      </w:r>
      <w:r w:rsidRPr="00E95958">
        <w:t xml:space="preserve">, </w:t>
      </w:r>
      <w:r w:rsidRPr="00E95958">
        <w:rPr>
          <w:i/>
        </w:rPr>
        <w:t>supra</w:t>
      </w:r>
      <w:r w:rsidRPr="00E95958">
        <w:t xml:space="preserve"> note 93, at 43.</w:t>
      </w:r>
    </w:p>
  </w:endnote>
  <w:endnote w:id="185">
    <w:p w14:paraId="71810AA5" w14:textId="7BF4A369" w:rsidR="002772C9" w:rsidRPr="00E95958" w:rsidRDefault="002772C9" w:rsidP="00E95958">
      <w:pPr>
        <w:pStyle w:val="EndnoteText"/>
        <w:ind w:left="-36" w:hanging="324"/>
      </w:pPr>
      <w:r w:rsidRPr="00E95958">
        <w:rPr>
          <w:vertAlign w:val="superscript"/>
        </w:rPr>
        <w:endnoteRef/>
      </w:r>
      <w:r w:rsidRPr="00E95958">
        <w:t xml:space="preserve"> Begley, et. al, </w:t>
      </w:r>
      <w:r w:rsidRPr="00E95958">
        <w:rPr>
          <w:i/>
        </w:rPr>
        <w:t>Barriers and Facilitators to Accessing Services, supra</w:t>
      </w:r>
      <w:r w:rsidRPr="00E95958">
        <w:t xml:space="preserve"> note 144, at 85-87. </w:t>
      </w:r>
    </w:p>
  </w:endnote>
  <w:endnote w:id="186">
    <w:p w14:paraId="7E824D28" w14:textId="3AE2A264" w:rsidR="002772C9" w:rsidRPr="00E95958" w:rsidRDefault="002772C9" w:rsidP="00E95958">
      <w:pPr>
        <w:pStyle w:val="EndnoteText"/>
        <w:ind w:left="-36" w:hanging="324"/>
      </w:pPr>
      <w:r w:rsidRPr="00E95958">
        <w:rPr>
          <w:vertAlign w:val="superscript"/>
        </w:rPr>
        <w:endnoteRef/>
      </w:r>
      <w:r w:rsidRPr="00E95958">
        <w:t xml:space="preserve"> Begley, et. al, </w:t>
      </w:r>
      <w:r w:rsidRPr="00E95958">
        <w:rPr>
          <w:i/>
        </w:rPr>
        <w:t>Barriers and Facilitators to Accessing Services, supra</w:t>
      </w:r>
      <w:r w:rsidRPr="00E95958">
        <w:t xml:space="preserve"> note 144, at 85-87.</w:t>
      </w:r>
    </w:p>
  </w:endnote>
  <w:endnote w:id="187">
    <w:p w14:paraId="67D6E30D" w14:textId="45629EDC" w:rsidR="002772C9" w:rsidRPr="00E95958" w:rsidRDefault="002772C9" w:rsidP="00E95958">
      <w:pPr>
        <w:pStyle w:val="EndnoteText"/>
        <w:ind w:left="-36" w:hanging="324"/>
      </w:pPr>
      <w:r w:rsidRPr="00E95958">
        <w:rPr>
          <w:vertAlign w:val="superscript"/>
        </w:rPr>
        <w:endnoteRef/>
      </w:r>
      <w:r w:rsidRPr="00E95958">
        <w:t xml:space="preserve"> Begley, et. al, </w:t>
      </w:r>
      <w:r w:rsidRPr="00E95958">
        <w:rPr>
          <w:i/>
        </w:rPr>
        <w:t>Barriers and Facilitators to Accessing Services, supra</w:t>
      </w:r>
      <w:r w:rsidRPr="00E95958">
        <w:t xml:space="preserve"> note 144, at 85-87.</w:t>
      </w:r>
    </w:p>
  </w:endnote>
  <w:endnote w:id="188">
    <w:p w14:paraId="39D15CBD" w14:textId="05ED8D43"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Maxwell et al., Health Handbook</w:t>
      </w:r>
      <w:r w:rsidRPr="00E95958">
        <w:t xml:space="preserve">, </w:t>
      </w:r>
      <w:r w:rsidRPr="00E95958">
        <w:rPr>
          <w:i/>
        </w:rPr>
        <w:t>supra</w:t>
      </w:r>
      <w:r w:rsidRPr="00E95958">
        <w:t xml:space="preserve"> note 93, at 43.</w:t>
      </w:r>
    </w:p>
  </w:endnote>
  <w:endnote w:id="189">
    <w:p w14:paraId="2FDF9188" w14:textId="2A905E1B"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Maxwell et al., Health Handbook</w:t>
      </w:r>
      <w:r w:rsidRPr="00E95958">
        <w:t xml:space="preserve">, </w:t>
      </w:r>
      <w:r w:rsidRPr="00E95958">
        <w:rPr>
          <w:i/>
        </w:rPr>
        <w:t>supra</w:t>
      </w:r>
      <w:r w:rsidRPr="00E95958">
        <w:t xml:space="preserve"> note 93, at 43.</w:t>
      </w:r>
    </w:p>
  </w:endnote>
  <w:endnote w:id="190">
    <w:p w14:paraId="2EDEE433" w14:textId="218435DC"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Maxwell et al., Health Handbook</w:t>
      </w:r>
      <w:r w:rsidRPr="00E95958">
        <w:t xml:space="preserve">, </w:t>
      </w:r>
      <w:r w:rsidRPr="00E95958">
        <w:rPr>
          <w:i/>
        </w:rPr>
        <w:t>supra</w:t>
      </w:r>
      <w:r w:rsidRPr="00E95958">
        <w:t xml:space="preserve"> note 93, at 43.</w:t>
      </w:r>
    </w:p>
  </w:endnote>
  <w:endnote w:id="191">
    <w:p w14:paraId="37E5518B" w14:textId="3FBF2DA2"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Maxwell et al., Health Handbook</w:t>
      </w:r>
      <w:r w:rsidRPr="00E95958">
        <w:t xml:space="preserve">, </w:t>
      </w:r>
      <w:r w:rsidRPr="00E95958">
        <w:rPr>
          <w:i/>
        </w:rPr>
        <w:t>supra</w:t>
      </w:r>
      <w:r w:rsidRPr="00E95958">
        <w:t xml:space="preserve"> note 93, at 43.</w:t>
      </w:r>
    </w:p>
  </w:endnote>
  <w:endnote w:id="192">
    <w:p w14:paraId="7376133D" w14:textId="22933A2B"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Maxwell et al., Health Handbook</w:t>
      </w:r>
      <w:r w:rsidRPr="00E95958">
        <w:t xml:space="preserve">, </w:t>
      </w:r>
      <w:r w:rsidRPr="00E95958">
        <w:rPr>
          <w:i/>
        </w:rPr>
        <w:t>supra</w:t>
      </w:r>
      <w:r w:rsidRPr="00E95958">
        <w:t xml:space="preserve"> note 93, at 43.</w:t>
      </w:r>
    </w:p>
  </w:endnote>
  <w:endnote w:id="193">
    <w:p w14:paraId="13CD11E2" w14:textId="432DA507" w:rsidR="002772C9" w:rsidRPr="00E95958" w:rsidRDefault="002772C9" w:rsidP="00E95958">
      <w:pPr>
        <w:pStyle w:val="EndnoteText"/>
        <w:ind w:left="-36" w:hanging="324"/>
      </w:pPr>
      <w:r w:rsidRPr="00E95958">
        <w:rPr>
          <w:vertAlign w:val="superscript"/>
        </w:rPr>
        <w:endnoteRef/>
      </w:r>
      <w:r w:rsidRPr="00E95958">
        <w:t xml:space="preserve"> Begley, et. al, </w:t>
      </w:r>
      <w:r w:rsidRPr="00E95958">
        <w:rPr>
          <w:i/>
        </w:rPr>
        <w:t>Barriers and Facilitators to Accessing Services, supra</w:t>
      </w:r>
      <w:r w:rsidRPr="00E95958">
        <w:t xml:space="preserve"> note 144, at 85-87.</w:t>
      </w:r>
    </w:p>
  </w:endnote>
  <w:endnote w:id="194">
    <w:p w14:paraId="3D33D55B" w14:textId="13E5385A" w:rsidR="002772C9" w:rsidRPr="00E95958" w:rsidRDefault="002772C9" w:rsidP="00E95958">
      <w:pPr>
        <w:pStyle w:val="EndnoteText"/>
        <w:ind w:left="-36" w:hanging="324"/>
      </w:pPr>
      <w:r w:rsidRPr="00E95958">
        <w:rPr>
          <w:vertAlign w:val="superscript"/>
        </w:rPr>
        <w:endnoteRef/>
      </w:r>
      <w:r w:rsidRPr="00E95958">
        <w:t xml:space="preserve"> Begley, et. al, </w:t>
      </w:r>
      <w:r w:rsidRPr="00E95958">
        <w:rPr>
          <w:i/>
        </w:rPr>
        <w:t>Barriers and Facilitators to Accessing Services, supra</w:t>
      </w:r>
      <w:r w:rsidRPr="00E95958">
        <w:t xml:space="preserve"> note 144, at 85-87.</w:t>
      </w:r>
    </w:p>
  </w:endnote>
  <w:endnote w:id="195">
    <w:p w14:paraId="088CDE20" w14:textId="7FF3AA0A"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Maxwell et al., Health Handbook</w:t>
      </w:r>
      <w:r w:rsidRPr="00E95958">
        <w:t xml:space="preserve">, </w:t>
      </w:r>
      <w:r w:rsidRPr="00E95958">
        <w:rPr>
          <w:i/>
        </w:rPr>
        <w:t>supra</w:t>
      </w:r>
      <w:r w:rsidRPr="00E95958">
        <w:t xml:space="preserve"> note 93, at 43.</w:t>
      </w:r>
    </w:p>
  </w:endnote>
  <w:endnote w:id="196">
    <w:p w14:paraId="1F3231D7" w14:textId="0B6D37C3"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Maxwell et al., Health Handbook</w:t>
      </w:r>
      <w:r w:rsidRPr="00E95958">
        <w:t xml:space="preserve">, </w:t>
      </w:r>
      <w:r w:rsidRPr="00E95958">
        <w:rPr>
          <w:i/>
        </w:rPr>
        <w:t>supra</w:t>
      </w:r>
      <w:r w:rsidRPr="00E95958">
        <w:t xml:space="preserve"> note 93, at 43.</w:t>
      </w:r>
    </w:p>
  </w:endnote>
  <w:endnote w:id="197">
    <w:p w14:paraId="63AED221" w14:textId="3466FF71"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Maxwell et al., Health Handbook</w:t>
      </w:r>
      <w:r w:rsidRPr="00E95958">
        <w:t xml:space="preserve">, </w:t>
      </w:r>
      <w:r w:rsidRPr="00E95958">
        <w:rPr>
          <w:i/>
        </w:rPr>
        <w:t>supra</w:t>
      </w:r>
      <w:r w:rsidRPr="00E95958">
        <w:t xml:space="preserve"> note 93, at 43.</w:t>
      </w:r>
    </w:p>
  </w:endnote>
  <w:endnote w:id="198">
    <w:p w14:paraId="44C031B3" w14:textId="6C7F9CC3"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Maxwell et al., Health Handbook</w:t>
      </w:r>
      <w:r w:rsidRPr="00E95958">
        <w:t xml:space="preserve">, </w:t>
      </w:r>
      <w:r w:rsidRPr="00E95958">
        <w:rPr>
          <w:i/>
        </w:rPr>
        <w:t>supra</w:t>
      </w:r>
      <w:r w:rsidRPr="00E95958">
        <w:t xml:space="preserve"> note 93, at 43.</w:t>
      </w:r>
    </w:p>
  </w:endnote>
  <w:endnote w:id="199">
    <w:p w14:paraId="1C3F8795" w14:textId="47EF3158"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Maxwell et al., Health Handbook</w:t>
      </w:r>
      <w:r w:rsidRPr="00E95958">
        <w:t xml:space="preserve">, </w:t>
      </w:r>
      <w:r w:rsidRPr="00E95958">
        <w:rPr>
          <w:i/>
        </w:rPr>
        <w:t>supra</w:t>
      </w:r>
      <w:r w:rsidRPr="00E95958">
        <w:t xml:space="preserve"> note 93, at 43.</w:t>
      </w:r>
    </w:p>
  </w:endnote>
  <w:endnote w:id="200">
    <w:p w14:paraId="4C4113A7" w14:textId="24D56203" w:rsidR="002772C9" w:rsidRPr="00E95958" w:rsidRDefault="002772C9" w:rsidP="00E95958">
      <w:pPr>
        <w:pStyle w:val="EndnoteText"/>
        <w:ind w:left="-36" w:hanging="324"/>
        <w:rPr>
          <w:vertAlign w:val="superscript"/>
        </w:rPr>
      </w:pPr>
      <w:r w:rsidRPr="00E95958">
        <w:rPr>
          <w:vertAlign w:val="superscript"/>
        </w:rPr>
        <w:endnoteRef/>
      </w:r>
      <w:r w:rsidRPr="00E95958">
        <w:rPr>
          <w:vertAlign w:val="superscript"/>
        </w:rPr>
        <w:t xml:space="preserve"> </w:t>
      </w:r>
      <w:r w:rsidRPr="00E95958">
        <w:rPr>
          <w:smallCaps/>
        </w:rPr>
        <w:t>Maxwell et al., Health Handbook</w:t>
      </w:r>
      <w:r w:rsidRPr="00E95958">
        <w:t xml:space="preserve">, </w:t>
      </w:r>
      <w:r w:rsidRPr="00E95958">
        <w:rPr>
          <w:i/>
        </w:rPr>
        <w:t>supra</w:t>
      </w:r>
      <w:r w:rsidRPr="00E95958">
        <w:t xml:space="preserve"> note 93, at 43.</w:t>
      </w:r>
    </w:p>
  </w:endnote>
  <w:endnote w:id="201">
    <w:p w14:paraId="779BD42B" w14:textId="4B5A36BA"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Maxwell et al., Health Handbook</w:t>
      </w:r>
      <w:r w:rsidRPr="00E95958">
        <w:t xml:space="preserve">, </w:t>
      </w:r>
      <w:r w:rsidRPr="00E95958">
        <w:rPr>
          <w:i/>
        </w:rPr>
        <w:t>supra</w:t>
      </w:r>
      <w:r w:rsidRPr="00E95958">
        <w:t xml:space="preserve"> note 93, at 43.</w:t>
      </w:r>
    </w:p>
  </w:endnote>
  <w:endnote w:id="202">
    <w:p w14:paraId="3027620B" w14:textId="35D84F2C"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Maxwell et al., Health Handbook</w:t>
      </w:r>
      <w:r w:rsidRPr="00E95958">
        <w:t xml:space="preserve">, </w:t>
      </w:r>
      <w:r w:rsidRPr="00E95958">
        <w:rPr>
          <w:i/>
        </w:rPr>
        <w:t>supra</w:t>
      </w:r>
      <w:r w:rsidRPr="00E95958">
        <w:t xml:space="preserve"> note 93, at 43.</w:t>
      </w:r>
    </w:p>
  </w:endnote>
  <w:endnote w:id="203">
    <w:p w14:paraId="71E9138A" w14:textId="73B6D3B4"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Maxwell et al., Health Handbook</w:t>
      </w:r>
      <w:r w:rsidRPr="00E95958">
        <w:t xml:space="preserve">, </w:t>
      </w:r>
      <w:r w:rsidRPr="00E95958">
        <w:rPr>
          <w:i/>
        </w:rPr>
        <w:t>supra</w:t>
      </w:r>
      <w:r w:rsidRPr="00E95958">
        <w:t xml:space="preserve"> note 93, at 43.</w:t>
      </w:r>
    </w:p>
  </w:endnote>
  <w:endnote w:id="204">
    <w:p w14:paraId="2CA05C4D" w14:textId="33681DE5" w:rsidR="002772C9" w:rsidRPr="00E95958" w:rsidRDefault="002772C9" w:rsidP="00E95958">
      <w:pPr>
        <w:pStyle w:val="EndnoteText"/>
        <w:ind w:left="-36" w:hanging="324"/>
        <w:rPr>
          <w:i/>
        </w:rPr>
      </w:pPr>
      <w:r w:rsidRPr="00E95958">
        <w:rPr>
          <w:vertAlign w:val="superscript"/>
        </w:rPr>
        <w:endnoteRef/>
      </w:r>
      <w:r w:rsidRPr="00E95958">
        <w:t xml:space="preserve"> Begley, et. al, </w:t>
      </w:r>
      <w:r w:rsidRPr="00E95958">
        <w:rPr>
          <w:i/>
        </w:rPr>
        <w:t>Barriers and Facilitators to Accessing Services, supra</w:t>
      </w:r>
      <w:r w:rsidRPr="00E95958">
        <w:t xml:space="preserve"> note 144, at 109-112.</w:t>
      </w:r>
    </w:p>
  </w:endnote>
  <w:endnote w:id="205">
    <w:p w14:paraId="1F01D18A" w14:textId="599F6B2C" w:rsidR="002772C9" w:rsidRPr="00E95958" w:rsidRDefault="002772C9" w:rsidP="00E95958">
      <w:pPr>
        <w:pStyle w:val="EndnoteText"/>
        <w:ind w:left="-36" w:hanging="324"/>
        <w:rPr>
          <w:i/>
        </w:rPr>
      </w:pPr>
      <w:r w:rsidRPr="00E95958">
        <w:rPr>
          <w:vertAlign w:val="superscript"/>
        </w:rPr>
        <w:endnoteRef/>
      </w:r>
      <w:r w:rsidRPr="00E95958">
        <w:t xml:space="preserve"> Begley, et. al, </w:t>
      </w:r>
      <w:r w:rsidRPr="00E95958">
        <w:rPr>
          <w:i/>
        </w:rPr>
        <w:t>Barriers and Facilitators to Accessing Services, supra</w:t>
      </w:r>
      <w:r w:rsidRPr="00E95958">
        <w:t xml:space="preserve"> note 144, at 109-112.</w:t>
      </w:r>
    </w:p>
  </w:endnote>
  <w:endnote w:id="206">
    <w:p w14:paraId="23D04D43" w14:textId="1E97D8A8" w:rsidR="002772C9" w:rsidRPr="00E95958" w:rsidRDefault="002772C9" w:rsidP="00E95958">
      <w:pPr>
        <w:pStyle w:val="EndnoteText"/>
        <w:ind w:left="-36" w:hanging="324"/>
      </w:pPr>
      <w:r w:rsidRPr="00E95958">
        <w:rPr>
          <w:vertAlign w:val="superscript"/>
        </w:rPr>
        <w:endnoteRef/>
      </w:r>
      <w:r w:rsidRPr="00E95958">
        <w:t xml:space="preserve">Begley, et. al, </w:t>
      </w:r>
      <w:r w:rsidRPr="00E95958">
        <w:rPr>
          <w:i/>
        </w:rPr>
        <w:t>Barriers and Facilitators to Accessing Services, supra</w:t>
      </w:r>
      <w:r w:rsidRPr="00E95958">
        <w:t xml:space="preserve"> note 144, at 109. </w:t>
      </w:r>
    </w:p>
  </w:endnote>
  <w:endnote w:id="207">
    <w:p w14:paraId="0930CAAD" w14:textId="56093373" w:rsidR="002772C9" w:rsidRPr="00E95958" w:rsidRDefault="002772C9" w:rsidP="00E95958">
      <w:pPr>
        <w:pStyle w:val="EndnoteText"/>
        <w:ind w:left="-36" w:hanging="324"/>
        <w:rPr>
          <w:i/>
        </w:rPr>
      </w:pPr>
      <w:r w:rsidRPr="00E95958">
        <w:rPr>
          <w:vertAlign w:val="superscript"/>
        </w:rPr>
        <w:endnoteRef/>
      </w:r>
      <w:r w:rsidRPr="00E95958">
        <w:t xml:space="preserve"> Begley, et. al, </w:t>
      </w:r>
      <w:r w:rsidRPr="00E95958">
        <w:rPr>
          <w:i/>
        </w:rPr>
        <w:t>Barriers and Facilitators to Accessing Services, supra</w:t>
      </w:r>
      <w:r w:rsidRPr="00E95958">
        <w:t xml:space="preserve"> note 144, at 109-112.</w:t>
      </w:r>
    </w:p>
  </w:endnote>
  <w:endnote w:id="208">
    <w:p w14:paraId="2FDBFF54" w14:textId="3EE62E63" w:rsidR="002772C9" w:rsidRPr="00E95958" w:rsidRDefault="002772C9" w:rsidP="00E95958">
      <w:pPr>
        <w:pStyle w:val="EndnoteText"/>
        <w:ind w:left="-36" w:hanging="324"/>
        <w:rPr>
          <w:i/>
        </w:rPr>
      </w:pPr>
      <w:r w:rsidRPr="00E95958">
        <w:rPr>
          <w:vertAlign w:val="superscript"/>
        </w:rPr>
        <w:endnoteRef/>
      </w:r>
      <w:r w:rsidRPr="00E95958">
        <w:t xml:space="preserve"> Begley, et. al, </w:t>
      </w:r>
      <w:r w:rsidRPr="00E95958">
        <w:rPr>
          <w:i/>
        </w:rPr>
        <w:t>Barriers and Facilitators to Accessing Services, supra</w:t>
      </w:r>
      <w:r w:rsidRPr="00E95958">
        <w:t xml:space="preserve"> note 144, at 109-112.</w:t>
      </w:r>
    </w:p>
  </w:endnote>
  <w:endnote w:id="209">
    <w:p w14:paraId="10D3A683"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Inter-Agency Standing Committee (IASC), Guidelines for Integrating Gender-based Violence Interventions in Humanitarian Action</w:t>
      </w:r>
      <w:r w:rsidRPr="00E95958">
        <w:t xml:space="preserve"> 322 (Aug. 2015), </w:t>
      </w:r>
      <w:r w:rsidRPr="00E95958">
        <w:rPr>
          <w:rStyle w:val="Hyperlink"/>
        </w:rPr>
        <w:t>https://interagencystandingcommittee.org/system/files/2015-iasc-gender-based-violence-guidelines_lo-res.pdf</w:t>
      </w:r>
      <w:r w:rsidRPr="00E95958">
        <w:t>.</w:t>
      </w:r>
    </w:p>
  </w:endnote>
  <w:endnote w:id="210">
    <w:p w14:paraId="22A7A5D7" w14:textId="77777777" w:rsidR="002772C9" w:rsidRPr="00E95958" w:rsidRDefault="002772C9" w:rsidP="00E95958">
      <w:pPr>
        <w:pStyle w:val="EndnoteText"/>
        <w:ind w:left="-36" w:hanging="324"/>
      </w:pPr>
      <w:r w:rsidRPr="00E95958">
        <w:rPr>
          <w:vertAlign w:val="superscript"/>
        </w:rPr>
        <w:endnoteRef/>
      </w:r>
      <w:r w:rsidRPr="00E95958">
        <w:t xml:space="preserve"> Young men and boys with disabilities also have a right to be free from violence, including sexual and domestic violence. This right is grounded in the right to physical and mental integrity. Universal Declaration of Human Rights, arts., 1, 5, G.A. Res. 217A, pmbl., U.N. GAOR, 3d Sess., 1st plen. mtg., at 71, U.N. Doc. A/810 (Dec. 10, 1948); International Covenant on Civil and Political Rights, </w:t>
      </w:r>
      <w:r w:rsidRPr="00E95958">
        <w:rPr>
          <w:i/>
        </w:rPr>
        <w:t xml:space="preserve">adopted </w:t>
      </w:r>
      <w:r w:rsidRPr="00E95958">
        <w:t>Dec. 16, 1966, arts., 7,9, G.A. Res. 2200A (XXI), U.N. GAOR, 21</w:t>
      </w:r>
      <w:r w:rsidRPr="00E95958">
        <w:rPr>
          <w:vertAlign w:val="superscript"/>
        </w:rPr>
        <w:t xml:space="preserve">st </w:t>
      </w:r>
      <w:r w:rsidRPr="00E95958">
        <w:t>Sess., Supp. No. 16, U.N. Doc. A/6316 (1966), 999 U.N.T.S. 171 (</w:t>
      </w:r>
      <w:r w:rsidRPr="00E95958">
        <w:rPr>
          <w:i/>
        </w:rPr>
        <w:t xml:space="preserve">entered into force </w:t>
      </w:r>
      <w:r w:rsidRPr="00E95958">
        <w:t xml:space="preserve">Mar. 23, 1976); Convention on the Rights of the Child, </w:t>
      </w:r>
      <w:r w:rsidRPr="00E95958">
        <w:rPr>
          <w:i/>
        </w:rPr>
        <w:t xml:space="preserve">adopted </w:t>
      </w:r>
      <w:r w:rsidRPr="00E95958">
        <w:t>Nov. 20, 1989, arts. 19, 37, 39, G.A. Res. 44/25, annex, U.N. GAOR, 44</w:t>
      </w:r>
      <w:r w:rsidRPr="00E95958">
        <w:rPr>
          <w:vertAlign w:val="superscript"/>
        </w:rPr>
        <w:t xml:space="preserve">th </w:t>
      </w:r>
      <w:r w:rsidRPr="00E95958">
        <w:t>Sess., Supp. No. 49, U.N. Doc. A/44/49 (1989) (</w:t>
      </w:r>
      <w:r w:rsidRPr="00E95958">
        <w:rPr>
          <w:i/>
        </w:rPr>
        <w:t xml:space="preserve">entered into force </w:t>
      </w:r>
      <w:r w:rsidRPr="00E95958">
        <w:t xml:space="preserve">Sept. 2, 1990); Convention against Torture and Other Cruel, Inhuman or Degrading Treatment or Punishment, art. 1, G.A. Res. 39/46 (Dec. 10, 1984); Convention on the Rights of Persons with Disabilities, art. 16, G.A. Res. 61/106, U.N. Doc. A/RES/61/106 (Dec. 13, 2006). </w:t>
      </w:r>
    </w:p>
  </w:endnote>
  <w:endnote w:id="211">
    <w:p w14:paraId="1491F011" w14:textId="77777777" w:rsidR="002772C9" w:rsidRPr="00E95958" w:rsidRDefault="002772C9" w:rsidP="00E95958">
      <w:pPr>
        <w:pStyle w:val="EndnoteText"/>
        <w:ind w:left="-36" w:hanging="324"/>
      </w:pPr>
      <w:r w:rsidRPr="00E95958">
        <w:rPr>
          <w:vertAlign w:val="superscript"/>
        </w:rPr>
        <w:endnoteRef/>
      </w:r>
      <w:r w:rsidRPr="00E95958">
        <w:t xml:space="preserve"> Office of the United Nations High Commissioner for Human Rights (OHCHR), </w:t>
      </w:r>
      <w:r w:rsidRPr="00E95958">
        <w:rPr>
          <w:i/>
        </w:rPr>
        <w:t>Thematic Study on the Issue of Violence Against Women and Girls and Disability</w:t>
      </w:r>
      <w:r w:rsidRPr="00E95958">
        <w:t xml:space="preserve">, para. 22, U.N. Doc. A/HRC/20/5 (Mar. 30 2012). </w:t>
      </w:r>
      <w:hyperlink r:id="rId66">
        <w:r w:rsidRPr="00E95958">
          <w:rPr>
            <w:rStyle w:val="Hyperlink"/>
          </w:rPr>
          <w:t>http://www2.ohchr.org/english/issues/women/docs/A.HRC.20.5.pdf</w:t>
        </w:r>
      </w:hyperlink>
      <w:r w:rsidRPr="00E95958">
        <w:t>.</w:t>
      </w:r>
    </w:p>
  </w:endnote>
  <w:endnote w:id="212">
    <w:p w14:paraId="3DB3702D" w14:textId="77777777" w:rsidR="002772C9" w:rsidRPr="00E95958" w:rsidRDefault="002772C9" w:rsidP="00E95958">
      <w:pPr>
        <w:pStyle w:val="EndnoteText"/>
        <w:ind w:left="-36" w:hanging="324"/>
      </w:pPr>
      <w:r w:rsidRPr="00E95958">
        <w:rPr>
          <w:vertAlign w:val="superscript"/>
        </w:rPr>
        <w:endnoteRef/>
      </w:r>
      <w:r w:rsidRPr="00E95958">
        <w:t xml:space="preserve"> Karen Hughes, Mark A Bellis, Lisa Jones, Sara Wood, Geoff Bates, Lindsay Eckley, Ellie McCoy, Christopher Mikton, Tom Shakespeare, &amp; Alana Officer</w:t>
      </w:r>
      <w:r w:rsidRPr="00E95958">
        <w:rPr>
          <w:i/>
        </w:rPr>
        <w:t xml:space="preserve">, Prevalence and Risk of Violence against Adults with Disabilities: A Systematic Review and Meta-Analysis of Observational Studies, </w:t>
      </w:r>
      <w:r w:rsidRPr="00E95958">
        <w:t xml:space="preserve">379 </w:t>
      </w:r>
      <w:r w:rsidRPr="00E95958">
        <w:rPr>
          <w:smallCaps/>
        </w:rPr>
        <w:t>The Lancet</w:t>
      </w:r>
      <w:r w:rsidRPr="00E95958">
        <w:rPr>
          <w:i/>
        </w:rPr>
        <w:t xml:space="preserve"> </w:t>
      </w:r>
      <w:r w:rsidRPr="00E95958">
        <w:t>1621,</w:t>
      </w:r>
      <w:r w:rsidRPr="00E95958">
        <w:rPr>
          <w:i/>
        </w:rPr>
        <w:t xml:space="preserve"> </w:t>
      </w:r>
      <w:r w:rsidRPr="00E95958">
        <w:t>1627 (Feb. 28, 2012).</w:t>
      </w:r>
    </w:p>
  </w:endnote>
  <w:endnote w:id="213">
    <w:p w14:paraId="27E34A70" w14:textId="2B5AC351" w:rsidR="002772C9" w:rsidRPr="00E95958" w:rsidRDefault="002772C9" w:rsidP="00E95958">
      <w:pPr>
        <w:pStyle w:val="EndnoteText"/>
        <w:ind w:left="-36" w:hanging="324"/>
        <w:rPr>
          <w:rStyle w:val="Hyperlink"/>
        </w:rPr>
      </w:pPr>
      <w:r w:rsidRPr="00E95958">
        <w:rPr>
          <w:vertAlign w:val="superscript"/>
        </w:rPr>
        <w:endnoteRef/>
      </w:r>
      <w:r w:rsidRPr="00E95958">
        <w:t xml:space="preserve"> </w:t>
      </w:r>
      <w:r w:rsidRPr="00E95958">
        <w:rPr>
          <w:smallCaps/>
        </w:rPr>
        <w:t xml:space="preserve">Management Sciences for Health &amp; UNFPA, We Decide Young Persons with Disabilities: Equal Rights and a Life Free of Violence </w:t>
      </w:r>
      <w:r w:rsidRPr="00E95958">
        <w:t xml:space="preserve">(May 2016),  </w:t>
      </w:r>
      <w:hyperlink r:id="rId67">
        <w:r w:rsidRPr="00E95958">
          <w:rPr>
            <w:rStyle w:val="Hyperlink"/>
          </w:rPr>
          <w:t>https://www.msh.org/sites/msh.org/files/we_decide_infographic.pdf</w:t>
        </w:r>
      </w:hyperlink>
      <w:r w:rsidRPr="00E95958">
        <w:t>.</w:t>
      </w:r>
      <w:r w:rsidRPr="00E95958">
        <w:rPr>
          <w:rStyle w:val="Hyperlink"/>
        </w:rPr>
        <w:t xml:space="preserve"> </w:t>
      </w:r>
    </w:p>
  </w:endnote>
  <w:endnote w:id="214">
    <w:p w14:paraId="55AB673B"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 xml:space="preserve">MSH &amp; UNFPA, We Decide, </w:t>
      </w:r>
      <w:r w:rsidRPr="00E95958">
        <w:rPr>
          <w:i/>
        </w:rPr>
        <w:t>supra</w:t>
      </w:r>
      <w:r w:rsidRPr="00E95958">
        <w:t xml:space="preserve"> note 212.</w:t>
      </w:r>
    </w:p>
  </w:endnote>
  <w:endnote w:id="215">
    <w:p w14:paraId="2BA41348"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Dick Sobsey, Violence and Abuse in the Lives of People with Disabilities: The End of Silent Acceptance (</w:t>
      </w:r>
      <w:r w:rsidRPr="00E95958">
        <w:t>Jan. 1994).</w:t>
      </w:r>
    </w:p>
  </w:endnote>
  <w:endnote w:id="216">
    <w:p w14:paraId="50848A9F"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 xml:space="preserve">MSH &amp; UNFPA, We Decide, </w:t>
      </w:r>
      <w:r w:rsidRPr="00E95958">
        <w:rPr>
          <w:i/>
        </w:rPr>
        <w:t>supra</w:t>
      </w:r>
      <w:r w:rsidRPr="00E95958">
        <w:t xml:space="preserve"> note 212.</w:t>
      </w:r>
    </w:p>
  </w:endnote>
  <w:endnote w:id="217">
    <w:p w14:paraId="07C6CAF5"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 xml:space="preserve">MSH &amp; UNFPA, We Decide, </w:t>
      </w:r>
      <w:r w:rsidRPr="00E95958">
        <w:rPr>
          <w:i/>
        </w:rPr>
        <w:t>supra</w:t>
      </w:r>
      <w:r w:rsidRPr="00E95958">
        <w:t xml:space="preserve"> note 212. </w:t>
      </w:r>
    </w:p>
  </w:endnote>
  <w:endnote w:id="218">
    <w:p w14:paraId="7064E0A2" w14:textId="77777777" w:rsidR="002772C9" w:rsidRPr="00E95958" w:rsidRDefault="002772C9" w:rsidP="00E95958">
      <w:pPr>
        <w:pStyle w:val="EndnoteText"/>
        <w:ind w:left="-36" w:hanging="324"/>
        <w:rPr>
          <w:vertAlign w:val="superscript"/>
        </w:rPr>
      </w:pPr>
      <w:r w:rsidRPr="00E95958">
        <w:rPr>
          <w:vertAlign w:val="superscript"/>
        </w:rPr>
        <w:endnoteRef/>
      </w:r>
      <w:r w:rsidRPr="00E95958">
        <w:t xml:space="preserve"> OHCHR, </w:t>
      </w:r>
      <w:r w:rsidRPr="00E95958">
        <w:rPr>
          <w:i/>
        </w:rPr>
        <w:t>Thematic Study on the Issue of Violence Against Women and Girls and Disability</w:t>
      </w:r>
      <w:r w:rsidRPr="00E95958">
        <w:t xml:space="preserve">, </w:t>
      </w:r>
      <w:r w:rsidRPr="00E95958">
        <w:rPr>
          <w:i/>
        </w:rPr>
        <w:t>supra</w:t>
      </w:r>
      <w:r w:rsidRPr="00E95958">
        <w:t xml:space="preserve"> note 11, para. 23. </w:t>
      </w:r>
    </w:p>
  </w:endnote>
  <w:endnote w:id="219">
    <w:p w14:paraId="690A9991"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United Nations Children’s Fund (UNICEF), The State of the World’s Children 2013: Children with Disabilities</w:t>
      </w:r>
      <w:r w:rsidRPr="00E95958">
        <w:t xml:space="preserve"> 45 (May 2013), </w:t>
      </w:r>
      <w:hyperlink r:id="rId68">
        <w:r w:rsidRPr="00E95958">
          <w:rPr>
            <w:rStyle w:val="Hyperlink"/>
          </w:rPr>
          <w:t>https://www.unicef.org/publications/files/SWCR2013_ENG_Lo_res_24_Apr_2013.pdf</w:t>
        </w:r>
      </w:hyperlink>
      <w:r w:rsidRPr="00E95958">
        <w:t>.</w:t>
      </w:r>
    </w:p>
  </w:endnote>
  <w:endnote w:id="220">
    <w:p w14:paraId="56B22D1C"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 xml:space="preserve">UNICEF, The State of the World’s Children 2013, </w:t>
      </w:r>
      <w:r w:rsidRPr="00E95958">
        <w:rPr>
          <w:i/>
        </w:rPr>
        <w:t xml:space="preserve">supra </w:t>
      </w:r>
      <w:r w:rsidRPr="00E95958">
        <w:t xml:space="preserve">note 218, at 44. </w:t>
      </w:r>
    </w:p>
  </w:endnote>
  <w:endnote w:id="221">
    <w:p w14:paraId="0C79786C"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 xml:space="preserve">See </w:t>
      </w:r>
      <w:r w:rsidRPr="00E95958">
        <w:t>Karen Hughes, Mark A Bellis, Lisa Jones, Sara Wood, Geoff Bates, Lindsay Eckley, Ellie McCoy, Christopher Mikton, Tom Shakespeare, &amp; Alana Officer</w:t>
      </w:r>
      <w:r w:rsidRPr="00E95958">
        <w:rPr>
          <w:i/>
        </w:rPr>
        <w:t xml:space="preserve"> Prevalence and Risk of Violence against Adults with Disabilities: A Systematic Review and Meta-Analysis of Observational Studies</w:t>
      </w:r>
      <w:r w:rsidRPr="00E95958">
        <w:rPr>
          <w:rFonts w:eastAsia="MS Gothic"/>
          <w:i/>
        </w:rPr>
        <w:t>,</w:t>
      </w:r>
      <w:r w:rsidRPr="00E95958">
        <w:rPr>
          <w:i/>
        </w:rPr>
        <w:t xml:space="preserve"> </w:t>
      </w:r>
      <w:r w:rsidRPr="00E95958">
        <w:t xml:space="preserve">379 </w:t>
      </w:r>
      <w:r w:rsidRPr="00E95958">
        <w:rPr>
          <w:smallCaps/>
        </w:rPr>
        <w:t>The Lancet</w:t>
      </w:r>
      <w:r w:rsidRPr="00E95958">
        <w:rPr>
          <w:i/>
        </w:rPr>
        <w:t xml:space="preserve"> </w:t>
      </w:r>
      <w:r w:rsidRPr="00E95958">
        <w:t>1621,</w:t>
      </w:r>
      <w:r w:rsidRPr="00E95958">
        <w:rPr>
          <w:i/>
        </w:rPr>
        <w:t xml:space="preserve"> </w:t>
      </w:r>
      <w:r w:rsidRPr="00E95958">
        <w:t>1626-28 (Feb. 28, 2012).</w:t>
      </w:r>
    </w:p>
  </w:endnote>
  <w:endnote w:id="222">
    <w:p w14:paraId="2B0D7445" w14:textId="77777777" w:rsidR="002772C9" w:rsidRPr="00E95958" w:rsidRDefault="002772C9" w:rsidP="00E95958">
      <w:pPr>
        <w:pStyle w:val="EndnoteText"/>
        <w:ind w:left="-36" w:hanging="324"/>
      </w:pPr>
      <w:r w:rsidRPr="00E95958">
        <w:rPr>
          <w:vertAlign w:val="superscript"/>
        </w:rPr>
        <w:endnoteRef/>
      </w:r>
      <w:r w:rsidRPr="00E95958">
        <w:t xml:space="preserve"> OHCHR, </w:t>
      </w:r>
      <w:r w:rsidRPr="00E95958">
        <w:rPr>
          <w:i/>
        </w:rPr>
        <w:t>Thematic Study on the Issue of Violence Against Women and Girls and Disability</w:t>
      </w:r>
      <w:r w:rsidRPr="00E95958">
        <w:t xml:space="preserve">, </w:t>
      </w:r>
      <w:r w:rsidRPr="00E95958">
        <w:rPr>
          <w:i/>
        </w:rPr>
        <w:t>supra</w:t>
      </w:r>
      <w:r w:rsidRPr="00E95958">
        <w:t xml:space="preserve"> note 11, para. 17. </w:t>
      </w:r>
    </w:p>
  </w:endnote>
  <w:endnote w:id="223">
    <w:p w14:paraId="3E3234E9" w14:textId="7F414DC9" w:rsidR="002772C9" w:rsidRPr="00E95958" w:rsidRDefault="002772C9" w:rsidP="00E95958">
      <w:pPr>
        <w:pStyle w:val="EndnoteText"/>
        <w:ind w:left="-36" w:hanging="324"/>
        <w:rPr>
          <w:i/>
        </w:rPr>
      </w:pPr>
      <w:r w:rsidRPr="00E95958">
        <w:rPr>
          <w:vertAlign w:val="superscript"/>
        </w:rPr>
        <w:endnoteRef/>
      </w:r>
      <w:r w:rsidRPr="00E95958">
        <w:rPr>
          <w:smallCaps/>
        </w:rPr>
        <w:t>Inter-Agency Standing Committee (IASC), Guidelines for Integrating Gender-based Violence Interventions in Humanitarian Action</w:t>
      </w:r>
      <w:r w:rsidRPr="00E95958">
        <w:t xml:space="preserve"> 1-8 (Aug. 2015), </w:t>
      </w:r>
      <w:hyperlink r:id="rId69" w:history="1">
        <w:r w:rsidRPr="00E95958">
          <w:rPr>
            <w:rStyle w:val="Hyperlink"/>
          </w:rPr>
          <w:t>https://interagencystandingcommittee.org/system/files/2015-iasc-gender-based-violence-guidelines_lo-res.pdf</w:t>
        </w:r>
      </w:hyperlink>
      <w:r w:rsidRPr="00E95958">
        <w:t>.</w:t>
      </w:r>
    </w:p>
  </w:endnote>
  <w:endnote w:id="224">
    <w:p w14:paraId="2724B12D" w14:textId="77777777" w:rsidR="002772C9" w:rsidRPr="00E95958" w:rsidRDefault="002772C9" w:rsidP="00E95958">
      <w:pPr>
        <w:pStyle w:val="EndnoteText"/>
        <w:ind w:left="-36" w:hanging="324"/>
      </w:pPr>
      <w:r w:rsidRPr="00E95958">
        <w:rPr>
          <w:vertAlign w:val="superscript"/>
        </w:rPr>
        <w:endnoteRef/>
      </w:r>
      <w:r w:rsidRPr="00E95958">
        <w:t xml:space="preserve">WRC &amp; IRC, </w:t>
      </w:r>
      <w:r w:rsidRPr="00E95958">
        <w:rPr>
          <w:smallCaps/>
        </w:rPr>
        <w:t xml:space="preserve">“I See That It Is Possible,” </w:t>
      </w:r>
      <w:r w:rsidRPr="00E95958">
        <w:rPr>
          <w:i/>
        </w:rPr>
        <w:t>supra</w:t>
      </w:r>
      <w:r w:rsidRPr="00E95958">
        <w:t xml:space="preserve"> note 31, at 1.</w:t>
      </w:r>
      <w:r w:rsidRPr="00E95958">
        <w:rPr>
          <w:smallCaps/>
        </w:rPr>
        <w:t xml:space="preserve"> </w:t>
      </w:r>
    </w:p>
  </w:endnote>
  <w:endnote w:id="225">
    <w:p w14:paraId="45ADDFB8" w14:textId="77777777" w:rsidR="002772C9" w:rsidRPr="00E95958" w:rsidRDefault="002772C9" w:rsidP="00E95958">
      <w:pPr>
        <w:pStyle w:val="EndnoteText"/>
        <w:ind w:left="-36" w:hanging="324"/>
      </w:pPr>
      <w:r w:rsidRPr="00E95958">
        <w:rPr>
          <w:vertAlign w:val="superscript"/>
        </w:rPr>
        <w:endnoteRef/>
      </w:r>
      <w:r w:rsidRPr="00E95958">
        <w:t xml:space="preserve"> WRC &amp; IRC, </w:t>
      </w:r>
      <w:r w:rsidRPr="00E95958">
        <w:rPr>
          <w:smallCaps/>
        </w:rPr>
        <w:t xml:space="preserve">“I See That It Is Possible,” </w:t>
      </w:r>
      <w:r w:rsidRPr="00E95958">
        <w:rPr>
          <w:i/>
        </w:rPr>
        <w:t>supra</w:t>
      </w:r>
      <w:r w:rsidRPr="00E95958">
        <w:t xml:space="preserve"> note 31, at 14-17. </w:t>
      </w:r>
    </w:p>
  </w:endnote>
  <w:endnote w:id="226">
    <w:p w14:paraId="3A6C5D8D" w14:textId="77777777" w:rsidR="002772C9" w:rsidRPr="00E95958" w:rsidRDefault="002772C9" w:rsidP="00E95958">
      <w:pPr>
        <w:pStyle w:val="EndnoteText"/>
        <w:ind w:left="-36" w:hanging="324"/>
        <w:rPr>
          <w:smallCaps/>
        </w:rPr>
      </w:pPr>
      <w:r w:rsidRPr="00E95958">
        <w:rPr>
          <w:vertAlign w:val="superscript"/>
        </w:rPr>
        <w:endnoteRef/>
      </w:r>
      <w:r w:rsidRPr="00E95958">
        <w:t xml:space="preserve"> WHO, </w:t>
      </w:r>
      <w:r w:rsidRPr="00E95958">
        <w:rPr>
          <w:smallCaps/>
        </w:rPr>
        <w:t>Responding to Intimate Partner Violence and Sexual Violence against Women: WHO Clinical and Policy Guidelines</w:t>
      </w:r>
      <w:r w:rsidRPr="00E95958">
        <w:t xml:space="preserve"> vii (2013), </w:t>
      </w:r>
      <w:hyperlink r:id="rId70">
        <w:r w:rsidRPr="00E95958">
          <w:rPr>
            <w:rStyle w:val="Hyperlink"/>
          </w:rPr>
          <w:t>http://apps.who.int/iris/bitstream/10665/85240/1/9789241548595_eng.pdf</w:t>
        </w:r>
      </w:hyperlink>
      <w:r w:rsidRPr="00E95958">
        <w:t xml:space="preserve"> [hereinafter WHO, WHO, </w:t>
      </w:r>
      <w:r w:rsidRPr="00E95958">
        <w:rPr>
          <w:smallCaps/>
        </w:rPr>
        <w:t xml:space="preserve">Responding to Intimate Partner Violence]. </w:t>
      </w:r>
    </w:p>
  </w:endnote>
  <w:endnote w:id="227">
    <w:p w14:paraId="6A4DBD8A" w14:textId="77777777" w:rsidR="002772C9" w:rsidRPr="00E95958" w:rsidRDefault="002772C9" w:rsidP="00E95958">
      <w:pPr>
        <w:pStyle w:val="EndnoteText"/>
        <w:ind w:left="-36" w:hanging="324"/>
      </w:pPr>
      <w:r w:rsidRPr="00E95958">
        <w:rPr>
          <w:vertAlign w:val="superscript"/>
        </w:rPr>
        <w:endnoteRef/>
      </w:r>
      <w:r w:rsidRPr="00E95958">
        <w:t xml:space="preserve"> U.N. Secretary-General, </w:t>
      </w:r>
      <w:r w:rsidRPr="00E95958">
        <w:rPr>
          <w:i/>
        </w:rPr>
        <w:t>In-depth Study on All Forms of Violence Against Women: Report of the Secretary General</w:t>
      </w:r>
      <w:r w:rsidRPr="00E95958">
        <w:t xml:space="preserve">, para.111-112, U.N. Doc.A/61/122/Add.1 (July 6, 2006), </w:t>
      </w:r>
      <w:hyperlink r:id="rId71">
        <w:r w:rsidRPr="00E95958">
          <w:rPr>
            <w:rStyle w:val="Hyperlink"/>
          </w:rPr>
          <w:t>https://documents-dds-ny.un.org/doc/UNDOC/GEN/N06/419/74/PDF/N0641974.pdf?OpenElement</w:t>
        </w:r>
      </w:hyperlink>
      <w:r w:rsidRPr="00E95958">
        <w:t>.</w:t>
      </w:r>
    </w:p>
  </w:endnote>
  <w:endnote w:id="228">
    <w:p w14:paraId="436D56BC" w14:textId="77777777" w:rsidR="002772C9" w:rsidRPr="00E95958" w:rsidRDefault="002772C9" w:rsidP="00E95958">
      <w:pPr>
        <w:pStyle w:val="EndnoteText"/>
        <w:ind w:left="-36" w:hanging="324"/>
      </w:pPr>
      <w:r w:rsidRPr="00E95958">
        <w:rPr>
          <w:vertAlign w:val="superscript"/>
        </w:rPr>
        <w:endnoteRef/>
      </w:r>
      <w:r w:rsidRPr="00E95958">
        <w:t xml:space="preserve"> Committee on the Elimination of Discrimination against Women, </w:t>
      </w:r>
      <w:r w:rsidRPr="00E95958">
        <w:rPr>
          <w:i/>
        </w:rPr>
        <w:t>General Recommendation No. 19: Violence against Women (Eleventh Session, 1992)</w:t>
      </w:r>
      <w:r w:rsidRPr="00E95958">
        <w:t xml:space="preserve">, paras. 1, 7, U.N. Doc. A/47/38 (1992) [hereinafter CEDAW Committee, </w:t>
      </w:r>
      <w:r w:rsidRPr="00E95958">
        <w:rPr>
          <w:i/>
        </w:rPr>
        <w:t>General Recommendation No. 19</w:t>
      </w:r>
      <w:r w:rsidRPr="00E95958">
        <w:t xml:space="preserve">]. </w:t>
      </w:r>
    </w:p>
  </w:endnote>
  <w:endnote w:id="229">
    <w:p w14:paraId="54A550F3" w14:textId="77777777" w:rsidR="002772C9" w:rsidRPr="00E95958" w:rsidRDefault="002772C9" w:rsidP="00E95958">
      <w:pPr>
        <w:pStyle w:val="EndnoteText"/>
        <w:ind w:left="-36" w:hanging="324"/>
      </w:pPr>
      <w:r w:rsidRPr="00E95958">
        <w:rPr>
          <w:vertAlign w:val="superscript"/>
        </w:rPr>
        <w:endnoteRef/>
      </w:r>
      <w:r w:rsidRPr="00E95958">
        <w:t xml:space="preserve"> Convention on the Rights of Persons with Disabilities, arts. 6, 16, G.A. Res. 61/106, U.N. Doc. A/RES/61/106 (Dec. 13, 2006) [hereinafter CRPD].  </w:t>
      </w:r>
      <w:r w:rsidRPr="00E95958">
        <w:rPr>
          <w:i/>
        </w:rPr>
        <w:t>See also</w:t>
      </w:r>
      <w:r w:rsidRPr="00E95958">
        <w:t xml:space="preserve"> Committee on the Rights of Persons with Disabilities (CRPD Committee), </w:t>
      </w:r>
      <w:r w:rsidRPr="00E95958">
        <w:rPr>
          <w:i/>
        </w:rPr>
        <w:t>General Comment No. 3 (2016) Article 6: Women and Girls with Disabilities</w:t>
      </w:r>
      <w:r w:rsidRPr="00E95958">
        <w:t xml:space="preserve">, U.N. Doc. CRPD/C/GC/3 (Nov. 25, 2016) [hereinafter CRPD Committee, </w:t>
      </w:r>
      <w:r w:rsidRPr="00E95958">
        <w:rPr>
          <w:i/>
        </w:rPr>
        <w:t>General Comment No. 3</w:t>
      </w:r>
      <w:r w:rsidRPr="00E95958">
        <w:t xml:space="preserve">]. </w:t>
      </w:r>
    </w:p>
  </w:endnote>
  <w:endnote w:id="230">
    <w:p w14:paraId="651F4E45" w14:textId="77777777" w:rsidR="002772C9" w:rsidRPr="00E95958" w:rsidRDefault="002772C9" w:rsidP="00E95958">
      <w:pPr>
        <w:pStyle w:val="EndnoteText"/>
        <w:ind w:left="-36" w:hanging="324"/>
      </w:pPr>
      <w:r w:rsidRPr="00E95958">
        <w:rPr>
          <w:vertAlign w:val="superscript"/>
        </w:rPr>
        <w:endnoteRef/>
      </w:r>
      <w:r w:rsidRPr="00E95958">
        <w:t xml:space="preserve"> Convention on the Elimination of All Forms of Discrimination against Women, </w:t>
      </w:r>
      <w:r w:rsidRPr="00E95958">
        <w:rPr>
          <w:i/>
        </w:rPr>
        <w:t xml:space="preserve">adopted </w:t>
      </w:r>
      <w:r w:rsidRPr="00E95958">
        <w:t>Dec.</w:t>
      </w:r>
      <w:r w:rsidRPr="00E95958">
        <w:rPr>
          <w:rFonts w:ascii="MS Gothic" w:eastAsia="MS Gothic" w:hAnsi="MS Gothic" w:cs="MS Gothic" w:hint="eastAsia"/>
        </w:rPr>
        <w:t> </w:t>
      </w:r>
      <w:r w:rsidRPr="00E95958">
        <w:t>18, 1979, arts. 5, 6, G.A. Res. 34/180, U.N. GAOR, 34</w:t>
      </w:r>
      <w:r w:rsidRPr="00E95958">
        <w:rPr>
          <w:vertAlign w:val="superscript"/>
        </w:rPr>
        <w:t xml:space="preserve">th </w:t>
      </w:r>
      <w:r w:rsidRPr="00E95958">
        <w:t>Sess., Supp. No. 46, at 193, U.N. Doc. A/34/46, U.N.T.S. 13 (</w:t>
      </w:r>
      <w:r w:rsidRPr="00E95958">
        <w:rPr>
          <w:i/>
        </w:rPr>
        <w:t xml:space="preserve">entered into force </w:t>
      </w:r>
      <w:r w:rsidRPr="00E95958">
        <w:t xml:space="preserve">Sept. 3, 1981) [hereinafter CEDAW]. </w:t>
      </w:r>
      <w:r w:rsidRPr="00E95958">
        <w:rPr>
          <w:i/>
        </w:rPr>
        <w:t>See also</w:t>
      </w:r>
      <w:r w:rsidRPr="00E95958">
        <w:t xml:space="preserve">, Committee on the Elimination of Discrimination against Women, </w:t>
      </w:r>
      <w:r w:rsidRPr="00E95958">
        <w:rPr>
          <w:i/>
        </w:rPr>
        <w:t>General Recommendation No. 19: Violence against Women (Eleventh Session, 1992)</w:t>
      </w:r>
      <w:r w:rsidRPr="00E95958">
        <w:t xml:space="preserve">, U.N. Doc. A/47/38 (1992) [hereinafter CEDAW Committee, </w:t>
      </w:r>
      <w:r w:rsidRPr="00E95958">
        <w:rPr>
          <w:i/>
        </w:rPr>
        <w:t>General Recommendation No. 19</w:t>
      </w:r>
      <w:r w:rsidRPr="00E95958">
        <w:t xml:space="preserve">]; A.T. v. Hungary, Comm. 2/2003, U.N. Doc. A/60/38 (2005), </w:t>
      </w:r>
      <w:r w:rsidRPr="00E95958">
        <w:rPr>
          <w:rStyle w:val="Hyperlink"/>
        </w:rPr>
        <w:t>http://www.un.org/womenwatch/daw/cedaw/protocol/decisions-views/CEDAW%20Decision%20on%20AT%20vs%20Hungary%20English.pdf</w:t>
      </w:r>
      <w:r w:rsidRPr="00E95958">
        <w:t>. </w:t>
      </w:r>
    </w:p>
  </w:endnote>
  <w:endnote w:id="231">
    <w:p w14:paraId="7D0A9EA7" w14:textId="77777777" w:rsidR="002772C9" w:rsidRPr="00E95958" w:rsidRDefault="002772C9" w:rsidP="00E95958">
      <w:pPr>
        <w:pStyle w:val="EndnoteText"/>
        <w:ind w:left="-36" w:hanging="324"/>
      </w:pPr>
      <w:r w:rsidRPr="00E95958">
        <w:rPr>
          <w:vertAlign w:val="superscript"/>
        </w:rPr>
        <w:endnoteRef/>
      </w:r>
      <w:r w:rsidRPr="00E95958">
        <w:t xml:space="preserve"> Convention on the Rights of the Child, </w:t>
      </w:r>
      <w:r w:rsidRPr="00E95958">
        <w:rPr>
          <w:i/>
        </w:rPr>
        <w:t xml:space="preserve">adopted </w:t>
      </w:r>
      <w:r w:rsidRPr="00E95958">
        <w:t>Nov. 20, 1989, arts. 19,34, G.A. Res. 44/25, annex, U.N. GAOR, 44</w:t>
      </w:r>
      <w:r w:rsidRPr="00E95958">
        <w:rPr>
          <w:vertAlign w:val="superscript"/>
        </w:rPr>
        <w:t xml:space="preserve">th </w:t>
      </w:r>
      <w:r w:rsidRPr="00E95958">
        <w:t>Sess., Supp. No. 49, U.N. Doc. A/44/49 (1989) (</w:t>
      </w:r>
      <w:r w:rsidRPr="00E95958">
        <w:rPr>
          <w:i/>
        </w:rPr>
        <w:t xml:space="preserve">entered into force </w:t>
      </w:r>
      <w:r w:rsidRPr="00E95958">
        <w:t>Sept. 2, 1990) [hereinafter CRC]</w:t>
      </w:r>
      <w:r w:rsidRPr="00E95958">
        <w:rPr>
          <w:i/>
        </w:rPr>
        <w:t xml:space="preserve">. See also </w:t>
      </w:r>
      <w:r w:rsidRPr="00E95958">
        <w:t xml:space="preserve">Committee on the Rights of the Child (CRC Committee), </w:t>
      </w:r>
      <w:r w:rsidRPr="00E95958">
        <w:rPr>
          <w:i/>
        </w:rPr>
        <w:t>General Comment No. 13 (2011) The Right of the Child to Freedom from all Forms of Violence</w:t>
      </w:r>
      <w:r w:rsidRPr="00E95958">
        <w:t xml:space="preserve">, U.N. Doc. CRC/C/GC/13 (April 18, 2011). </w:t>
      </w:r>
    </w:p>
  </w:endnote>
  <w:endnote w:id="232">
    <w:p w14:paraId="1B757AF6" w14:textId="77777777" w:rsidR="002772C9" w:rsidRPr="00E95958" w:rsidRDefault="002772C9" w:rsidP="00E95958">
      <w:pPr>
        <w:pStyle w:val="EndnoteText"/>
        <w:ind w:left="-36" w:hanging="324"/>
      </w:pPr>
      <w:r w:rsidRPr="00E95958">
        <w:rPr>
          <w:vertAlign w:val="superscript"/>
        </w:rPr>
        <w:endnoteRef/>
      </w:r>
      <w:r w:rsidRPr="00E95958">
        <w:t xml:space="preserve"> CRPD, </w:t>
      </w:r>
      <w:r w:rsidRPr="00E95958">
        <w:rPr>
          <w:i/>
        </w:rPr>
        <w:t>supra</w:t>
      </w:r>
      <w:r w:rsidRPr="00E95958">
        <w:t xml:space="preserve"> note 228, at art. 16(4).</w:t>
      </w:r>
    </w:p>
  </w:endnote>
  <w:endnote w:id="233">
    <w:p w14:paraId="04FAE073" w14:textId="77777777" w:rsidR="002772C9" w:rsidRPr="00E95958" w:rsidRDefault="002772C9" w:rsidP="00E95958">
      <w:pPr>
        <w:pStyle w:val="EndnoteText"/>
        <w:ind w:left="-36" w:hanging="324"/>
      </w:pPr>
      <w:r w:rsidRPr="00E95958">
        <w:rPr>
          <w:vertAlign w:val="superscript"/>
        </w:rPr>
        <w:endnoteRef/>
      </w:r>
      <w:r w:rsidRPr="00E95958">
        <w:t xml:space="preserve"> CRC, </w:t>
      </w:r>
      <w:r w:rsidRPr="00E95958">
        <w:rPr>
          <w:i/>
        </w:rPr>
        <w:t>supra</w:t>
      </w:r>
      <w:r w:rsidRPr="00E95958">
        <w:t xml:space="preserve"> note 230, at art. 39.</w:t>
      </w:r>
    </w:p>
  </w:endnote>
  <w:endnote w:id="234">
    <w:p w14:paraId="27814E48" w14:textId="77777777" w:rsidR="002772C9" w:rsidRPr="00E95958" w:rsidRDefault="002772C9" w:rsidP="00E95958">
      <w:pPr>
        <w:pStyle w:val="EndnoteText"/>
        <w:ind w:left="-36" w:hanging="324"/>
      </w:pPr>
      <w:r w:rsidRPr="00E95958">
        <w:rPr>
          <w:vertAlign w:val="superscript"/>
        </w:rPr>
        <w:endnoteRef/>
      </w:r>
      <w:r w:rsidRPr="00E95958">
        <w:t xml:space="preserve"> International Covenant on Civil and Political Rights, </w:t>
      </w:r>
      <w:r w:rsidRPr="00E95958">
        <w:rPr>
          <w:i/>
        </w:rPr>
        <w:t xml:space="preserve">adopted </w:t>
      </w:r>
      <w:r w:rsidRPr="00E95958">
        <w:t>Dec. 16, 1966, art. 2(1), G.A. Res. 2200A (XXI), U.N. GAOR, 21</w:t>
      </w:r>
      <w:r w:rsidRPr="00E95958">
        <w:rPr>
          <w:vertAlign w:val="superscript"/>
        </w:rPr>
        <w:t xml:space="preserve">st </w:t>
      </w:r>
      <w:r w:rsidRPr="00E95958">
        <w:t>Sess., Supp. No. 16, U.N. Doc. A/6316 (1966), 999 U.N.T.S. 171 (</w:t>
      </w:r>
      <w:r w:rsidRPr="00E95958">
        <w:rPr>
          <w:i/>
        </w:rPr>
        <w:t xml:space="preserve">entered into force </w:t>
      </w:r>
      <w:r w:rsidRPr="00E95958">
        <w:t>Mar. 23, 1976) [hereinafter ICCPR].</w:t>
      </w:r>
    </w:p>
  </w:endnote>
  <w:endnote w:id="235">
    <w:p w14:paraId="26A4E3F8" w14:textId="77777777" w:rsidR="002772C9" w:rsidRPr="00E95958" w:rsidRDefault="002772C9" w:rsidP="00E95958">
      <w:pPr>
        <w:pStyle w:val="EndnoteText"/>
        <w:ind w:left="-36" w:hanging="324"/>
      </w:pPr>
      <w:r w:rsidRPr="00E95958">
        <w:rPr>
          <w:vertAlign w:val="superscript"/>
        </w:rPr>
        <w:endnoteRef/>
      </w:r>
      <w:r w:rsidRPr="00E95958">
        <w:t xml:space="preserve"> International Covenant on Economic, Social and Cultural Rights, art. 2(2), G.A. Res. 2200A (XXI), U.N. GAOR, Supp. No. 16, U.N. Doc. A/6316 (1966) [hereinafter IESCR].  </w:t>
      </w:r>
    </w:p>
  </w:endnote>
  <w:endnote w:id="236">
    <w:p w14:paraId="1ECA6355" w14:textId="77777777" w:rsidR="002772C9" w:rsidRPr="00E95958" w:rsidRDefault="002772C9" w:rsidP="00E95958">
      <w:pPr>
        <w:pStyle w:val="EndnoteText"/>
        <w:ind w:left="-36" w:hanging="324"/>
      </w:pPr>
      <w:r w:rsidRPr="00E95958">
        <w:rPr>
          <w:vertAlign w:val="superscript"/>
        </w:rPr>
        <w:endnoteRef/>
      </w:r>
      <w:r w:rsidRPr="00E95958">
        <w:t xml:space="preserve"> CRPD, </w:t>
      </w:r>
      <w:r w:rsidRPr="00E95958">
        <w:rPr>
          <w:i/>
        </w:rPr>
        <w:t>supra</w:t>
      </w:r>
      <w:r w:rsidRPr="00E95958">
        <w:t xml:space="preserve"> note 228, at arts.5, 6(1), 7.</w:t>
      </w:r>
    </w:p>
  </w:endnote>
  <w:endnote w:id="237">
    <w:p w14:paraId="55517D3C" w14:textId="77777777" w:rsidR="002772C9" w:rsidRPr="00E95958" w:rsidRDefault="002772C9" w:rsidP="00E95958">
      <w:pPr>
        <w:pStyle w:val="EndnoteText"/>
        <w:ind w:left="-36" w:hanging="324"/>
      </w:pPr>
      <w:r w:rsidRPr="00E95958">
        <w:rPr>
          <w:vertAlign w:val="superscript"/>
        </w:rPr>
        <w:endnoteRef/>
      </w:r>
      <w:r w:rsidRPr="00E95958">
        <w:t xml:space="preserve"> CEDAW, </w:t>
      </w:r>
      <w:r w:rsidRPr="00E95958">
        <w:rPr>
          <w:i/>
        </w:rPr>
        <w:t>supra</w:t>
      </w:r>
      <w:r w:rsidRPr="00E95958">
        <w:t xml:space="preserve"> note 229, at arts.1, 3.</w:t>
      </w:r>
    </w:p>
  </w:endnote>
  <w:endnote w:id="238">
    <w:p w14:paraId="323E39F8" w14:textId="77777777" w:rsidR="002772C9" w:rsidRPr="00E95958" w:rsidRDefault="002772C9" w:rsidP="00E95958">
      <w:pPr>
        <w:pStyle w:val="EndnoteText"/>
        <w:ind w:left="-36" w:hanging="324"/>
      </w:pPr>
      <w:r w:rsidRPr="00E95958">
        <w:rPr>
          <w:vertAlign w:val="superscript"/>
        </w:rPr>
        <w:endnoteRef/>
      </w:r>
      <w:r w:rsidRPr="00E95958">
        <w:t xml:space="preserve"> ICCPR, </w:t>
      </w:r>
      <w:r w:rsidRPr="00E95958">
        <w:rPr>
          <w:i/>
        </w:rPr>
        <w:t>supra</w:t>
      </w:r>
      <w:r w:rsidRPr="00E95958">
        <w:t xml:space="preserve"> note 233, at art. 6(1).</w:t>
      </w:r>
    </w:p>
  </w:endnote>
  <w:endnote w:id="239">
    <w:p w14:paraId="1842AA66" w14:textId="77777777" w:rsidR="002772C9" w:rsidRPr="00E95958" w:rsidRDefault="002772C9" w:rsidP="00E95958">
      <w:pPr>
        <w:pStyle w:val="EndnoteText"/>
        <w:ind w:left="-36" w:hanging="324"/>
      </w:pPr>
      <w:r w:rsidRPr="00E95958">
        <w:rPr>
          <w:vertAlign w:val="superscript"/>
        </w:rPr>
        <w:endnoteRef/>
      </w:r>
      <w:r w:rsidRPr="00E95958">
        <w:t xml:space="preserve"> CRPD, </w:t>
      </w:r>
      <w:r w:rsidRPr="00E95958">
        <w:rPr>
          <w:i/>
        </w:rPr>
        <w:t>supra</w:t>
      </w:r>
      <w:r w:rsidRPr="00E95958">
        <w:t xml:space="preserve"> note 228, at art. 10.</w:t>
      </w:r>
    </w:p>
  </w:endnote>
  <w:endnote w:id="240">
    <w:p w14:paraId="508FD396" w14:textId="77777777" w:rsidR="002772C9" w:rsidRPr="00E95958" w:rsidRDefault="002772C9" w:rsidP="00E95958">
      <w:pPr>
        <w:pStyle w:val="EndnoteText"/>
        <w:ind w:left="-36" w:hanging="324"/>
      </w:pPr>
      <w:r w:rsidRPr="00E95958">
        <w:rPr>
          <w:vertAlign w:val="superscript"/>
        </w:rPr>
        <w:endnoteRef/>
      </w:r>
      <w:r w:rsidRPr="00E95958">
        <w:t xml:space="preserve"> CRC, </w:t>
      </w:r>
      <w:r w:rsidRPr="00E95958">
        <w:rPr>
          <w:i/>
        </w:rPr>
        <w:t>supra</w:t>
      </w:r>
      <w:r w:rsidRPr="00E95958">
        <w:t xml:space="preserve"> note 230, at arts. 6(1), 24(1).</w:t>
      </w:r>
    </w:p>
  </w:endnote>
  <w:endnote w:id="241">
    <w:p w14:paraId="38B4F4BD" w14:textId="77777777" w:rsidR="002772C9" w:rsidRPr="00E95958" w:rsidRDefault="002772C9" w:rsidP="00E95958">
      <w:pPr>
        <w:pStyle w:val="EndnoteText"/>
        <w:ind w:left="-36" w:hanging="324"/>
      </w:pPr>
      <w:r w:rsidRPr="00E95958">
        <w:rPr>
          <w:vertAlign w:val="superscript"/>
        </w:rPr>
        <w:endnoteRef/>
      </w:r>
      <w:r w:rsidRPr="00E95958">
        <w:t xml:space="preserve"> ICCPR, </w:t>
      </w:r>
      <w:r w:rsidRPr="00E95958">
        <w:rPr>
          <w:i/>
        </w:rPr>
        <w:t>supra</w:t>
      </w:r>
      <w:r w:rsidRPr="00E95958">
        <w:t xml:space="preserve"> note 233, at art. 7.</w:t>
      </w:r>
    </w:p>
  </w:endnote>
  <w:endnote w:id="242">
    <w:p w14:paraId="111DC8EF" w14:textId="77777777" w:rsidR="002772C9" w:rsidRPr="00E95958" w:rsidRDefault="002772C9" w:rsidP="00E95958">
      <w:pPr>
        <w:pStyle w:val="EndnoteText"/>
        <w:ind w:left="-36" w:hanging="324"/>
      </w:pPr>
      <w:r w:rsidRPr="00E95958">
        <w:rPr>
          <w:vertAlign w:val="superscript"/>
        </w:rPr>
        <w:endnoteRef/>
      </w:r>
      <w:r w:rsidRPr="00E95958">
        <w:t xml:space="preserve"> Convention against Torture and Other Cruel, Inhuman or Degrading Treatment or Punishment, arts.  2(1), 16(1), G.A. Res. 39/46 (Dec. 10, 1984) [hereinafter CAT]. </w:t>
      </w:r>
    </w:p>
  </w:endnote>
  <w:endnote w:id="243">
    <w:p w14:paraId="3EB23D3C" w14:textId="77777777" w:rsidR="002772C9" w:rsidRPr="00E95958" w:rsidRDefault="002772C9" w:rsidP="00E95958">
      <w:pPr>
        <w:pStyle w:val="EndnoteText"/>
        <w:ind w:left="-36" w:hanging="324"/>
      </w:pPr>
      <w:r w:rsidRPr="00E95958">
        <w:rPr>
          <w:vertAlign w:val="superscript"/>
        </w:rPr>
        <w:endnoteRef/>
      </w:r>
      <w:r w:rsidRPr="00E95958">
        <w:t xml:space="preserve"> CRPD, </w:t>
      </w:r>
      <w:r w:rsidRPr="00E95958">
        <w:rPr>
          <w:i/>
        </w:rPr>
        <w:t>supra</w:t>
      </w:r>
      <w:r w:rsidRPr="00E95958">
        <w:t xml:space="preserve"> note 228, at art. 15. </w:t>
      </w:r>
    </w:p>
  </w:endnote>
  <w:endnote w:id="244">
    <w:p w14:paraId="56E3FA6A" w14:textId="77777777" w:rsidR="002772C9" w:rsidRPr="00E95958" w:rsidRDefault="002772C9" w:rsidP="00E95958">
      <w:pPr>
        <w:pStyle w:val="EndnoteText"/>
        <w:ind w:left="-36" w:hanging="324"/>
      </w:pPr>
      <w:r w:rsidRPr="00E95958">
        <w:rPr>
          <w:vertAlign w:val="superscript"/>
        </w:rPr>
        <w:endnoteRef/>
      </w:r>
      <w:r w:rsidRPr="00E95958">
        <w:t xml:space="preserve"> CRC, </w:t>
      </w:r>
      <w:r w:rsidRPr="00E95958">
        <w:rPr>
          <w:i/>
        </w:rPr>
        <w:t>supra</w:t>
      </w:r>
      <w:r w:rsidRPr="00E95958">
        <w:t xml:space="preserve"> note 230, at art. 37(a)</w:t>
      </w:r>
    </w:p>
  </w:endnote>
  <w:endnote w:id="245">
    <w:p w14:paraId="030AA9A0" w14:textId="77777777" w:rsidR="002772C9" w:rsidRPr="00E95958" w:rsidRDefault="002772C9" w:rsidP="00E95958">
      <w:pPr>
        <w:pStyle w:val="EndnoteText"/>
        <w:ind w:left="-36" w:hanging="324"/>
      </w:pPr>
      <w:r w:rsidRPr="00E95958">
        <w:rPr>
          <w:vertAlign w:val="superscript"/>
        </w:rPr>
        <w:endnoteRef/>
      </w:r>
      <w:r w:rsidRPr="00E95958">
        <w:t xml:space="preserve"> ICCPR, </w:t>
      </w:r>
      <w:r w:rsidRPr="00E95958">
        <w:rPr>
          <w:i/>
        </w:rPr>
        <w:t>supra</w:t>
      </w:r>
      <w:r w:rsidRPr="00E95958">
        <w:t xml:space="preserve"> note 233, at art. 9(1).</w:t>
      </w:r>
    </w:p>
  </w:endnote>
  <w:endnote w:id="246">
    <w:p w14:paraId="4B1A0EEE" w14:textId="77777777" w:rsidR="002772C9" w:rsidRPr="00E95958" w:rsidRDefault="002772C9" w:rsidP="00E95958">
      <w:pPr>
        <w:pStyle w:val="EndnoteText"/>
        <w:ind w:left="-36" w:hanging="324"/>
      </w:pPr>
      <w:r w:rsidRPr="00E95958">
        <w:rPr>
          <w:vertAlign w:val="superscript"/>
        </w:rPr>
        <w:endnoteRef/>
      </w:r>
      <w:r w:rsidRPr="00E95958">
        <w:t xml:space="preserve"> CRPD, </w:t>
      </w:r>
      <w:r w:rsidRPr="00E95958">
        <w:rPr>
          <w:i/>
        </w:rPr>
        <w:t>supra</w:t>
      </w:r>
      <w:r w:rsidRPr="00E95958">
        <w:t xml:space="preserve"> note 228, at art.14.</w:t>
      </w:r>
    </w:p>
  </w:endnote>
  <w:endnote w:id="247">
    <w:p w14:paraId="41BB95F5" w14:textId="77777777" w:rsidR="002772C9" w:rsidRPr="00E95958" w:rsidRDefault="002772C9" w:rsidP="00E95958">
      <w:pPr>
        <w:pStyle w:val="EndnoteText"/>
        <w:ind w:left="-36" w:hanging="324"/>
      </w:pPr>
      <w:r w:rsidRPr="00E95958">
        <w:rPr>
          <w:vertAlign w:val="superscript"/>
        </w:rPr>
        <w:endnoteRef/>
      </w:r>
      <w:r w:rsidRPr="00E95958">
        <w:t xml:space="preserve"> ICCPR, </w:t>
      </w:r>
      <w:r w:rsidRPr="00E95958">
        <w:rPr>
          <w:i/>
        </w:rPr>
        <w:t>supra</w:t>
      </w:r>
      <w:r w:rsidRPr="00E95958">
        <w:t xml:space="preserve"> note 233, at art. 23.</w:t>
      </w:r>
    </w:p>
  </w:endnote>
  <w:endnote w:id="248">
    <w:p w14:paraId="5474AC26" w14:textId="77777777" w:rsidR="002772C9" w:rsidRPr="00E95958" w:rsidRDefault="002772C9" w:rsidP="00E95958">
      <w:pPr>
        <w:pStyle w:val="EndnoteText"/>
        <w:ind w:left="-36" w:hanging="324"/>
      </w:pPr>
      <w:r w:rsidRPr="00E95958">
        <w:rPr>
          <w:vertAlign w:val="superscript"/>
        </w:rPr>
        <w:endnoteRef/>
      </w:r>
      <w:r w:rsidRPr="00E95958">
        <w:t xml:space="preserve"> ICESCR, </w:t>
      </w:r>
      <w:r w:rsidRPr="00E95958">
        <w:rPr>
          <w:i/>
        </w:rPr>
        <w:t>supra</w:t>
      </w:r>
      <w:r w:rsidRPr="00E95958">
        <w:t xml:space="preserve"> note 234, at art. 10(1).</w:t>
      </w:r>
    </w:p>
  </w:endnote>
  <w:endnote w:id="249">
    <w:p w14:paraId="1AFD06F9" w14:textId="77777777" w:rsidR="002772C9" w:rsidRPr="00E95958" w:rsidRDefault="002772C9" w:rsidP="00E95958">
      <w:pPr>
        <w:pStyle w:val="EndnoteText"/>
        <w:ind w:left="-36" w:hanging="324"/>
      </w:pPr>
      <w:r w:rsidRPr="00E95958">
        <w:rPr>
          <w:vertAlign w:val="superscript"/>
        </w:rPr>
        <w:endnoteRef/>
      </w:r>
      <w:r w:rsidRPr="00E95958">
        <w:t xml:space="preserve"> CEDAW, </w:t>
      </w:r>
      <w:r w:rsidRPr="00E95958">
        <w:rPr>
          <w:i/>
        </w:rPr>
        <w:t>supra</w:t>
      </w:r>
      <w:r w:rsidRPr="00E95958">
        <w:t xml:space="preserve"> note 229 at art.16.</w:t>
      </w:r>
    </w:p>
  </w:endnote>
  <w:endnote w:id="250">
    <w:p w14:paraId="780137C6" w14:textId="77777777" w:rsidR="002772C9" w:rsidRPr="00E95958" w:rsidRDefault="002772C9" w:rsidP="00E95958">
      <w:pPr>
        <w:pStyle w:val="EndnoteText"/>
        <w:ind w:left="-36" w:hanging="324"/>
      </w:pPr>
      <w:r w:rsidRPr="00E95958">
        <w:rPr>
          <w:vertAlign w:val="superscript"/>
        </w:rPr>
        <w:endnoteRef/>
      </w:r>
      <w:r w:rsidRPr="00E95958">
        <w:t xml:space="preserve"> CRPD, </w:t>
      </w:r>
      <w:r w:rsidRPr="00E95958">
        <w:rPr>
          <w:i/>
        </w:rPr>
        <w:t>supra</w:t>
      </w:r>
      <w:r w:rsidRPr="00E95958">
        <w:t xml:space="preserve"> note 228, at art. 23(1).</w:t>
      </w:r>
    </w:p>
  </w:endnote>
  <w:endnote w:id="251">
    <w:p w14:paraId="61C5A568" w14:textId="77777777" w:rsidR="002772C9" w:rsidRPr="00E95958" w:rsidRDefault="002772C9" w:rsidP="00E95958">
      <w:pPr>
        <w:pStyle w:val="EndnoteText"/>
        <w:ind w:left="-36" w:hanging="324"/>
      </w:pPr>
      <w:r w:rsidRPr="00E95958">
        <w:rPr>
          <w:vertAlign w:val="superscript"/>
        </w:rPr>
        <w:endnoteRef/>
      </w:r>
      <w:r w:rsidRPr="00E95958">
        <w:t xml:space="preserve"> CRPD, </w:t>
      </w:r>
      <w:r w:rsidRPr="00E95958">
        <w:rPr>
          <w:i/>
        </w:rPr>
        <w:t>supra</w:t>
      </w:r>
      <w:r w:rsidRPr="00E95958">
        <w:t xml:space="preserve"> note 228, at arts. 6, 8(1)(b). </w:t>
      </w:r>
      <w:r w:rsidRPr="00E95958">
        <w:rPr>
          <w:i/>
        </w:rPr>
        <w:t>See als</w:t>
      </w:r>
      <w:r w:rsidRPr="00E95958">
        <w:t xml:space="preserve">o CRPD Committee, </w:t>
      </w:r>
      <w:r w:rsidRPr="00E95958">
        <w:rPr>
          <w:i/>
        </w:rPr>
        <w:t>General Comment No. 3, supra</w:t>
      </w:r>
      <w:r w:rsidRPr="00E95958">
        <w:t xml:space="preserve"> note 228. </w:t>
      </w:r>
    </w:p>
  </w:endnote>
  <w:endnote w:id="252">
    <w:p w14:paraId="766777FF" w14:textId="77777777" w:rsidR="002772C9" w:rsidRPr="00E95958" w:rsidRDefault="002772C9" w:rsidP="00E95958">
      <w:pPr>
        <w:pStyle w:val="EndnoteText"/>
        <w:ind w:left="-36" w:hanging="324"/>
      </w:pPr>
      <w:r w:rsidRPr="00E95958">
        <w:rPr>
          <w:vertAlign w:val="superscript"/>
        </w:rPr>
        <w:endnoteRef/>
      </w:r>
      <w:r w:rsidRPr="00E95958">
        <w:t xml:space="preserve"> CEDAW, </w:t>
      </w:r>
      <w:r w:rsidRPr="00E95958">
        <w:rPr>
          <w:i/>
        </w:rPr>
        <w:t>supra</w:t>
      </w:r>
      <w:r w:rsidRPr="00E95958">
        <w:t xml:space="preserve"> note 229, at arts. 2, 5.</w:t>
      </w:r>
    </w:p>
  </w:endnote>
  <w:endnote w:id="253">
    <w:p w14:paraId="7A735D15" w14:textId="77777777" w:rsidR="002772C9" w:rsidRPr="00E95958" w:rsidRDefault="002772C9" w:rsidP="00E95958">
      <w:pPr>
        <w:pStyle w:val="EndnoteText"/>
        <w:ind w:left="-36" w:hanging="324"/>
      </w:pPr>
      <w:r w:rsidRPr="00E95958">
        <w:rPr>
          <w:vertAlign w:val="superscript"/>
        </w:rPr>
        <w:endnoteRef/>
      </w:r>
      <w:r w:rsidRPr="00E95958">
        <w:t xml:space="preserve"> CRC, </w:t>
      </w:r>
      <w:r w:rsidRPr="00E95958">
        <w:rPr>
          <w:i/>
        </w:rPr>
        <w:t>supra</w:t>
      </w:r>
      <w:r w:rsidRPr="00E95958">
        <w:t xml:space="preserve"> note 230, at art. 24.</w:t>
      </w:r>
    </w:p>
  </w:endnote>
  <w:endnote w:id="254">
    <w:p w14:paraId="36C6DAC0" w14:textId="77777777" w:rsidR="002772C9" w:rsidRPr="00E95958" w:rsidRDefault="002772C9" w:rsidP="00E95958">
      <w:pPr>
        <w:pStyle w:val="EndnoteText"/>
        <w:ind w:left="-36" w:hanging="324"/>
      </w:pPr>
      <w:r w:rsidRPr="00E95958">
        <w:rPr>
          <w:vertAlign w:val="superscript"/>
        </w:rPr>
        <w:endnoteRef/>
      </w:r>
      <w:r w:rsidRPr="00E95958">
        <w:t xml:space="preserve"> ICCPR, </w:t>
      </w:r>
      <w:r w:rsidRPr="00E95958">
        <w:rPr>
          <w:i/>
        </w:rPr>
        <w:t>supra</w:t>
      </w:r>
      <w:r w:rsidRPr="00E95958">
        <w:t xml:space="preserve"> note 233, at art. 26.</w:t>
      </w:r>
    </w:p>
  </w:endnote>
  <w:endnote w:id="255">
    <w:p w14:paraId="05C2D5CA" w14:textId="77777777" w:rsidR="002772C9" w:rsidRPr="00E95958" w:rsidRDefault="002772C9" w:rsidP="00E95958">
      <w:pPr>
        <w:pStyle w:val="EndnoteText"/>
        <w:ind w:left="-36" w:hanging="324"/>
      </w:pPr>
      <w:r w:rsidRPr="00E95958">
        <w:rPr>
          <w:vertAlign w:val="superscript"/>
        </w:rPr>
        <w:endnoteRef/>
      </w:r>
      <w:r w:rsidRPr="00E95958">
        <w:t xml:space="preserve"> CRPD, </w:t>
      </w:r>
      <w:r w:rsidRPr="00E95958">
        <w:rPr>
          <w:i/>
        </w:rPr>
        <w:t>supra</w:t>
      </w:r>
      <w:r w:rsidRPr="00E95958">
        <w:t xml:space="preserve"> note 228, at arts. 12, 13.</w:t>
      </w:r>
    </w:p>
  </w:endnote>
  <w:endnote w:id="256">
    <w:p w14:paraId="1E90584A" w14:textId="77777777" w:rsidR="002772C9" w:rsidRPr="00E95958" w:rsidRDefault="002772C9" w:rsidP="00E95958">
      <w:pPr>
        <w:pStyle w:val="EndnoteText"/>
        <w:ind w:left="-36" w:hanging="324"/>
      </w:pPr>
      <w:r w:rsidRPr="00E95958">
        <w:rPr>
          <w:vertAlign w:val="superscript"/>
        </w:rPr>
        <w:endnoteRef/>
      </w:r>
      <w:r w:rsidRPr="00E95958">
        <w:t xml:space="preserve"> ICESCR, </w:t>
      </w:r>
      <w:r w:rsidRPr="00E95958">
        <w:rPr>
          <w:i/>
        </w:rPr>
        <w:t>supra</w:t>
      </w:r>
      <w:r w:rsidRPr="00E95958">
        <w:t xml:space="preserve"> note 234, at art.11.</w:t>
      </w:r>
    </w:p>
  </w:endnote>
  <w:endnote w:id="257">
    <w:p w14:paraId="2297C150" w14:textId="77777777" w:rsidR="002772C9" w:rsidRPr="00E95958" w:rsidRDefault="002772C9" w:rsidP="00E95958">
      <w:pPr>
        <w:pStyle w:val="EndnoteText"/>
        <w:ind w:left="-36" w:hanging="324"/>
      </w:pPr>
      <w:r w:rsidRPr="00E95958">
        <w:rPr>
          <w:vertAlign w:val="superscript"/>
        </w:rPr>
        <w:endnoteRef/>
      </w:r>
      <w:r w:rsidRPr="00E95958">
        <w:t xml:space="preserve"> CRPD, </w:t>
      </w:r>
      <w:r w:rsidRPr="00E95958">
        <w:rPr>
          <w:i/>
        </w:rPr>
        <w:t>supra</w:t>
      </w:r>
      <w:r w:rsidRPr="00E95958">
        <w:t xml:space="preserve"> note 228, at art. 28.</w:t>
      </w:r>
    </w:p>
  </w:endnote>
  <w:endnote w:id="258">
    <w:p w14:paraId="32DFD6E8" w14:textId="77777777" w:rsidR="002772C9" w:rsidRPr="00E95958" w:rsidRDefault="002772C9" w:rsidP="00E95958">
      <w:pPr>
        <w:pStyle w:val="EndnoteText"/>
        <w:ind w:left="-36" w:hanging="324"/>
      </w:pPr>
      <w:r w:rsidRPr="00E95958">
        <w:rPr>
          <w:vertAlign w:val="superscript"/>
        </w:rPr>
        <w:endnoteRef/>
      </w:r>
      <w:r w:rsidRPr="00E95958">
        <w:t xml:space="preserve"> CRPD, </w:t>
      </w:r>
      <w:r w:rsidRPr="00E95958">
        <w:rPr>
          <w:i/>
        </w:rPr>
        <w:t>supra</w:t>
      </w:r>
      <w:r w:rsidRPr="00E95958">
        <w:t xml:space="preserve"> note 228, at art. 11.</w:t>
      </w:r>
    </w:p>
  </w:endnote>
  <w:endnote w:id="259">
    <w:p w14:paraId="504448A3"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See, e.g.</w:t>
      </w:r>
      <w:r w:rsidRPr="00E95958">
        <w:t xml:space="preserve">, CRPD, </w:t>
      </w:r>
      <w:r w:rsidRPr="00E95958">
        <w:rPr>
          <w:i/>
        </w:rPr>
        <w:t>supra</w:t>
      </w:r>
      <w:r w:rsidRPr="00E95958">
        <w:t xml:space="preserve"> note 228, at art. 9; U.N. Commission on Human Rights, </w:t>
      </w:r>
      <w:r w:rsidRPr="00E95958">
        <w:rPr>
          <w:i/>
        </w:rPr>
        <w:t>Report of the Special Rapporteur on Violence against Women, Its Causes and Consequences on the Due Diligence Standard as a Tool for the Elimination of Violence against Women</w:t>
      </w:r>
      <w:r w:rsidRPr="00E95958">
        <w:t>, U.N. Doc. E/CN.4/2006/61 (Jan. 20, 2006) (by Yakin Ertürk); Inter-American Convention on the Prevention, Punishment, and Eradication of Violence against Women, art. 7, 33 I.L.M. 1534; Protocol to the African Charter on Human and Peoples’ Rights on the Rights of Women in Africa, 2</w:t>
      </w:r>
      <w:r w:rsidRPr="00E95958">
        <w:rPr>
          <w:vertAlign w:val="superscript"/>
        </w:rPr>
        <w:t>nd</w:t>
      </w:r>
      <w:r w:rsidRPr="00E95958">
        <w:t xml:space="preserve"> Ordinary Sess., Assembly of the Union, </w:t>
      </w:r>
      <w:r w:rsidRPr="00E95958">
        <w:rPr>
          <w:i/>
        </w:rPr>
        <w:t xml:space="preserve">adopted </w:t>
      </w:r>
      <w:r w:rsidRPr="00E95958">
        <w:t>July 11, 2003, arts. 4, 23; Council of Europe, Convention on Preventing and Combating Violence against Women and Domestic Violence, art. 5 (</w:t>
      </w:r>
      <w:r w:rsidRPr="00E95958">
        <w:rPr>
          <w:i/>
        </w:rPr>
        <w:t>entry into force</w:t>
      </w:r>
      <w:r w:rsidRPr="00E95958">
        <w:t xml:space="preserve"> Aug. 1, 2014). </w:t>
      </w:r>
    </w:p>
  </w:endnote>
  <w:endnote w:id="260">
    <w:p w14:paraId="66A3848E" w14:textId="77777777" w:rsidR="002772C9" w:rsidRPr="00E95958" w:rsidRDefault="002772C9" w:rsidP="00E95958">
      <w:pPr>
        <w:pStyle w:val="EndnoteText"/>
        <w:ind w:left="-36" w:hanging="324"/>
      </w:pPr>
      <w:r w:rsidRPr="00E95958">
        <w:rPr>
          <w:vertAlign w:val="superscript"/>
        </w:rPr>
        <w:endnoteRef/>
      </w:r>
      <w:r w:rsidRPr="00E95958">
        <w:t xml:space="preserve"> Human Rights Committee, </w:t>
      </w:r>
      <w:r w:rsidRPr="00E95958">
        <w:rPr>
          <w:i/>
        </w:rPr>
        <w:t>Concluding Observations: Belgium</w:t>
      </w:r>
      <w:r w:rsidRPr="00E95958">
        <w:t xml:space="preserve">, para. 9, U.N. Doc. CCPR/C/BEL/CO/5 (2010); </w:t>
      </w:r>
      <w:r w:rsidRPr="00E95958">
        <w:rPr>
          <w:i/>
        </w:rPr>
        <w:t>Brazil</w:t>
      </w:r>
      <w:r w:rsidRPr="00E95958">
        <w:t xml:space="preserve">, para. 5, U.N. Doc. CCPR/C/BRA/CO/2 (2005); </w:t>
      </w:r>
      <w:r w:rsidRPr="00E95958">
        <w:rPr>
          <w:i/>
        </w:rPr>
        <w:t>Burundi</w:t>
      </w:r>
      <w:r w:rsidRPr="00E95958">
        <w:t xml:space="preserve">, para.12, U.N. Doc. CCPR/C/BDI/CO/2 (2014); </w:t>
      </w:r>
      <w:r w:rsidRPr="00E95958">
        <w:rPr>
          <w:i/>
        </w:rPr>
        <w:t>Cameroon</w:t>
      </w:r>
      <w:r w:rsidRPr="00E95958">
        <w:t xml:space="preserve">, para. 11, U.N. Doc. CCPR/C/CMR/CO/4 (2010); </w:t>
      </w:r>
      <w:r w:rsidRPr="00E95958">
        <w:rPr>
          <w:i/>
        </w:rPr>
        <w:t>China (Macao)</w:t>
      </w:r>
      <w:r w:rsidRPr="00E95958">
        <w:t xml:space="preserve">, para. 10, U.N. Doc. CCPR/C/CHN-MAC/CO/1 (2013); </w:t>
      </w:r>
      <w:r w:rsidRPr="00E95958">
        <w:rPr>
          <w:i/>
        </w:rPr>
        <w:t>Czech Republic</w:t>
      </w:r>
      <w:r w:rsidRPr="00E95958">
        <w:t xml:space="preserve">, para. 14, U.N. Doc. CCPR/CO/72/CZE (2001); </w:t>
      </w:r>
      <w:r w:rsidRPr="00E95958">
        <w:rPr>
          <w:i/>
        </w:rPr>
        <w:t>Democratic Republic of the Congo</w:t>
      </w:r>
      <w:r w:rsidRPr="00E95958">
        <w:t xml:space="preserve">, para.12, U.N. Doc. CCPR/C/COD/CO/3 (2006); </w:t>
      </w:r>
      <w:r w:rsidRPr="00E95958">
        <w:rPr>
          <w:i/>
        </w:rPr>
        <w:t>Finland</w:t>
      </w:r>
      <w:r w:rsidRPr="00E95958">
        <w:t xml:space="preserve">, para.7, U.N. Doc. CCPR/C/FIN/CO/6 (2013); </w:t>
      </w:r>
      <w:r w:rsidRPr="00E95958">
        <w:rPr>
          <w:i/>
        </w:rPr>
        <w:t>Georgia</w:t>
      </w:r>
      <w:r w:rsidRPr="00E95958">
        <w:t>, para. 14, U.N. Doc. CCPR/CO/74/GEO (2002);</w:t>
      </w:r>
      <w:r w:rsidRPr="00E95958">
        <w:rPr>
          <w:i/>
        </w:rPr>
        <w:t xml:space="preserve"> Haiti</w:t>
      </w:r>
      <w:r w:rsidRPr="00E95958">
        <w:t xml:space="preserve">, para. 13; U.N. Doc. CCPR/C/HTI/CO/1 (2014); </w:t>
      </w:r>
      <w:r w:rsidRPr="00E95958">
        <w:rPr>
          <w:i/>
        </w:rPr>
        <w:t>Ireland</w:t>
      </w:r>
      <w:r w:rsidRPr="00E95958">
        <w:t>, para. 9, U.N. Doc. CCPR/C/IRL/CO/3 (2008);</w:t>
      </w:r>
      <w:r w:rsidRPr="00E95958">
        <w:rPr>
          <w:i/>
        </w:rPr>
        <w:t xml:space="preserve"> Jordan</w:t>
      </w:r>
      <w:r w:rsidRPr="00E95958">
        <w:t>, para. 8, U.N. Doc. CCPR/C/JOR/CO/4 (2010);</w:t>
      </w:r>
      <w:r w:rsidRPr="00E95958">
        <w:rPr>
          <w:i/>
        </w:rPr>
        <w:t xml:space="preserve"> Kenya</w:t>
      </w:r>
      <w:r w:rsidRPr="00E95958">
        <w:t>, para.11, U.N. Doc. CCPR/CO/83/KEN (2005);</w:t>
      </w:r>
      <w:r w:rsidRPr="00E95958">
        <w:rPr>
          <w:i/>
        </w:rPr>
        <w:t xml:space="preserve"> Latvia</w:t>
      </w:r>
      <w:r w:rsidRPr="00E95958">
        <w:t xml:space="preserve">, para. 13, U.N. Doc. CCPR/CO/79/LVA (2003); </w:t>
      </w:r>
      <w:r w:rsidRPr="00E95958">
        <w:rPr>
          <w:i/>
        </w:rPr>
        <w:t>Libya</w:t>
      </w:r>
      <w:r w:rsidRPr="00E95958">
        <w:t>, para.10, U.N. Doc. CCPR/C/LBY/CO/4 (2007);</w:t>
      </w:r>
      <w:r w:rsidRPr="00E95958">
        <w:rPr>
          <w:i/>
        </w:rPr>
        <w:t xml:space="preserve"> Lithuania</w:t>
      </w:r>
      <w:r w:rsidRPr="00E95958">
        <w:t>, para. 9, U.N. Doc. CCPR/CO/80/LTU (2004);</w:t>
      </w:r>
      <w:r w:rsidRPr="00E95958">
        <w:rPr>
          <w:i/>
        </w:rPr>
        <w:t xml:space="preserve"> Malawi</w:t>
      </w:r>
      <w:r w:rsidRPr="00E95958">
        <w:t>, para. 14, U.N. Doc. CCPR/C/MWI/CO/1/Add.1 (2014);</w:t>
      </w:r>
      <w:r w:rsidRPr="00E95958">
        <w:rPr>
          <w:i/>
        </w:rPr>
        <w:t xml:space="preserve"> Mali</w:t>
      </w:r>
      <w:r w:rsidRPr="00E95958">
        <w:t xml:space="preserve">, para.12; U.N. Doc. CCPR/CO/77/MLI (2003); </w:t>
      </w:r>
      <w:r w:rsidRPr="00E95958">
        <w:rPr>
          <w:i/>
        </w:rPr>
        <w:t>Monaco</w:t>
      </w:r>
      <w:r w:rsidRPr="00E95958">
        <w:t xml:space="preserve">, para. 9, U.N. Doc. CCPR/C/MCO/CO/2 (2008); </w:t>
      </w:r>
      <w:r w:rsidRPr="00E95958">
        <w:rPr>
          <w:i/>
        </w:rPr>
        <w:t>Paraguay</w:t>
      </w:r>
      <w:r w:rsidRPr="00E95958">
        <w:t>, para.12, U.N. Doc. CCPR/C/PRY/CO/3 (2013);</w:t>
      </w:r>
      <w:r w:rsidRPr="00E95958">
        <w:rPr>
          <w:i/>
        </w:rPr>
        <w:t xml:space="preserve"> Russia</w:t>
      </w:r>
      <w:r w:rsidRPr="00E95958">
        <w:t>, para. 10, U.N. Doc. CCPR/C/RUS/CO/6 (2009);</w:t>
      </w:r>
      <w:r w:rsidRPr="00E95958">
        <w:rPr>
          <w:i/>
        </w:rPr>
        <w:t xml:space="preserve"> Slovakia</w:t>
      </w:r>
      <w:r w:rsidRPr="00E95958">
        <w:t>, para. 9, U.N. Doc. CCPR/CO/78/SVK (2003);</w:t>
      </w:r>
      <w:r w:rsidRPr="00E95958">
        <w:rPr>
          <w:i/>
        </w:rPr>
        <w:t xml:space="preserve"> Slovenia</w:t>
      </w:r>
      <w:r w:rsidRPr="00E95958">
        <w:t>, para. 7, U.N. Doc. CCPR/CO/84/SVN (2005);</w:t>
      </w:r>
      <w:r w:rsidRPr="00E95958">
        <w:rPr>
          <w:i/>
        </w:rPr>
        <w:t xml:space="preserve"> Suriname</w:t>
      </w:r>
      <w:r w:rsidRPr="00E95958">
        <w:t>, para.12, U.N. Doc. CCPR/CO/80/SUR (2004);</w:t>
      </w:r>
      <w:r w:rsidRPr="00E95958">
        <w:rPr>
          <w:i/>
        </w:rPr>
        <w:t xml:space="preserve"> Thailand</w:t>
      </w:r>
      <w:r w:rsidRPr="00E95958">
        <w:t>, para. 12, U.N. Doc. CCPR/CO/84/THA (2005);</w:t>
      </w:r>
      <w:r w:rsidRPr="00E95958">
        <w:rPr>
          <w:i/>
        </w:rPr>
        <w:t xml:space="preserve"> Togo</w:t>
      </w:r>
      <w:r w:rsidRPr="00E95958">
        <w:t>, para. 11, U.N. Doc. CCPR/C/TGO/CO/4 (2011);</w:t>
      </w:r>
      <w:r w:rsidRPr="00E95958">
        <w:rPr>
          <w:i/>
        </w:rPr>
        <w:t xml:space="preserve"> Ukraine</w:t>
      </w:r>
      <w:r w:rsidRPr="00E95958">
        <w:t>, para. 14, U.N. Doc. CCPR/C/UKR/CO/7 (2013);</w:t>
      </w:r>
      <w:r w:rsidRPr="00E95958">
        <w:rPr>
          <w:i/>
        </w:rPr>
        <w:t xml:space="preserve"> Uzbekistan</w:t>
      </w:r>
      <w:r w:rsidRPr="00E95958">
        <w:t>, para. 13, U.N. Doc. CCPR/C/UZB/CO/3 (2010);</w:t>
      </w:r>
      <w:r w:rsidRPr="00E95958">
        <w:rPr>
          <w:i/>
        </w:rPr>
        <w:t xml:space="preserve"> Yemen</w:t>
      </w:r>
      <w:r w:rsidRPr="00E95958">
        <w:t>, para. 12, U.N. Doc. CCPR/CO/84/YEM (2005).</w:t>
      </w:r>
    </w:p>
  </w:endnote>
  <w:endnote w:id="261">
    <w:p w14:paraId="2A2138A5" w14:textId="77777777" w:rsidR="002772C9" w:rsidRPr="00E95958" w:rsidRDefault="002772C9" w:rsidP="00E95958">
      <w:pPr>
        <w:pStyle w:val="EndnoteText"/>
        <w:ind w:left="-36" w:hanging="324"/>
      </w:pPr>
      <w:r w:rsidRPr="00E95958">
        <w:rPr>
          <w:vertAlign w:val="superscript"/>
        </w:rPr>
        <w:endnoteRef/>
      </w:r>
      <w:r w:rsidRPr="00E95958">
        <w:t xml:space="preserve"> Committee on the Elimination of Discrimination against Women, </w:t>
      </w:r>
      <w:r w:rsidRPr="00E95958">
        <w:rPr>
          <w:i/>
        </w:rPr>
        <w:t>General Recommendation No. 19: Violence against Women (Eleventh Session, 1992)</w:t>
      </w:r>
      <w:r w:rsidRPr="00E95958">
        <w:t xml:space="preserve">, paras. 24(a), U.N. Doc. A/47/38 (1992) </w:t>
      </w:r>
    </w:p>
  </w:endnote>
  <w:endnote w:id="262">
    <w:p w14:paraId="5786CB7C" w14:textId="77777777" w:rsidR="002772C9" w:rsidRPr="00E95958" w:rsidRDefault="002772C9" w:rsidP="00E95958">
      <w:pPr>
        <w:pStyle w:val="EndnoteText"/>
        <w:ind w:left="-36" w:hanging="324"/>
      </w:pPr>
      <w:r w:rsidRPr="00E95958">
        <w:rPr>
          <w:vertAlign w:val="superscript"/>
        </w:rPr>
        <w:endnoteRef/>
      </w:r>
      <w:r w:rsidRPr="00E95958">
        <w:t xml:space="preserve"> Committee on the Elimination of Discrimination against Women, </w:t>
      </w:r>
      <w:r w:rsidRPr="00E95958">
        <w:rPr>
          <w:i/>
        </w:rPr>
        <w:t>General Recommendation No. 35 on gender-based violence against women, updating general recommendation No. 19</w:t>
      </w:r>
      <w:r w:rsidRPr="00E95958">
        <w:t xml:space="preserve">, para. 31(c), U.N. Doc. CEDAW/C/GC/35 (July 14, 2017) [CEDAW Committee, </w:t>
      </w:r>
      <w:r w:rsidRPr="00E95958">
        <w:rPr>
          <w:i/>
        </w:rPr>
        <w:t>General Recommendation No. 35</w:t>
      </w:r>
      <w:r w:rsidRPr="00E95958">
        <w:rPr>
          <w:iCs/>
        </w:rPr>
        <w:t xml:space="preserve">]. </w:t>
      </w:r>
    </w:p>
  </w:endnote>
  <w:endnote w:id="263">
    <w:p w14:paraId="69394111" w14:textId="77777777" w:rsidR="002772C9" w:rsidRPr="00E95958" w:rsidRDefault="002772C9" w:rsidP="00E95958">
      <w:pPr>
        <w:pStyle w:val="EndnoteText"/>
        <w:ind w:left="-36" w:hanging="324"/>
      </w:pPr>
      <w:r w:rsidRPr="00E95958">
        <w:rPr>
          <w:vertAlign w:val="superscript"/>
        </w:rPr>
        <w:endnoteRef/>
      </w:r>
      <w:r w:rsidRPr="00E95958">
        <w:t xml:space="preserve"> CEDAW Committee, </w:t>
      </w:r>
      <w:r w:rsidRPr="00E95958">
        <w:rPr>
          <w:i/>
        </w:rPr>
        <w:t xml:space="preserve">General Recommendation No. 35, supra </w:t>
      </w:r>
      <w:r w:rsidRPr="00E95958">
        <w:t xml:space="preserve">note 261, paras. 34, 35. </w:t>
      </w:r>
    </w:p>
  </w:endnote>
  <w:endnote w:id="264">
    <w:p w14:paraId="54820E07" w14:textId="77777777" w:rsidR="002772C9" w:rsidRPr="00E95958" w:rsidRDefault="002772C9" w:rsidP="00E95958">
      <w:pPr>
        <w:pStyle w:val="EndnoteText"/>
        <w:ind w:left="-36" w:hanging="324"/>
      </w:pPr>
      <w:r w:rsidRPr="00E95958">
        <w:rPr>
          <w:vertAlign w:val="superscript"/>
        </w:rPr>
        <w:endnoteRef/>
      </w:r>
      <w:r w:rsidRPr="00E95958">
        <w:t xml:space="preserve">CEDAW Committee, </w:t>
      </w:r>
      <w:r w:rsidRPr="00E95958">
        <w:rPr>
          <w:i/>
        </w:rPr>
        <w:t>General Recommendation No. 19, supra</w:t>
      </w:r>
      <w:r w:rsidRPr="00E95958">
        <w:t xml:space="preserve"> note 227, at para. 24(b). </w:t>
      </w:r>
    </w:p>
  </w:endnote>
  <w:endnote w:id="265">
    <w:p w14:paraId="1C610F1E" w14:textId="77777777" w:rsidR="002772C9" w:rsidRPr="00E95958" w:rsidRDefault="002772C9" w:rsidP="00E95958">
      <w:pPr>
        <w:pStyle w:val="EndnoteText"/>
        <w:ind w:left="-36" w:hanging="324"/>
      </w:pPr>
      <w:r w:rsidRPr="00E95958">
        <w:rPr>
          <w:vertAlign w:val="superscript"/>
        </w:rPr>
        <w:endnoteRef/>
      </w:r>
      <w:r w:rsidRPr="00E95958">
        <w:t xml:space="preserve"> CEDAW Committee, </w:t>
      </w:r>
      <w:r w:rsidRPr="00E95958">
        <w:rPr>
          <w:i/>
        </w:rPr>
        <w:t>General Recommendation No. 19, supra</w:t>
      </w:r>
      <w:r w:rsidRPr="00E95958">
        <w:t xml:space="preserve"> note 227, at para. 24(f). </w:t>
      </w:r>
    </w:p>
  </w:endnote>
  <w:endnote w:id="266">
    <w:p w14:paraId="528DACF1" w14:textId="77777777" w:rsidR="002772C9" w:rsidRPr="00E95958" w:rsidRDefault="002772C9" w:rsidP="00E95958">
      <w:pPr>
        <w:pStyle w:val="EndnoteText"/>
        <w:ind w:left="-36" w:hanging="324"/>
      </w:pPr>
      <w:r w:rsidRPr="00E95958">
        <w:rPr>
          <w:vertAlign w:val="superscript"/>
        </w:rPr>
        <w:endnoteRef/>
      </w:r>
      <w:r w:rsidRPr="00E95958">
        <w:t xml:space="preserve"> CRPD Committee, </w:t>
      </w:r>
      <w:r w:rsidRPr="00E95958">
        <w:rPr>
          <w:i/>
        </w:rPr>
        <w:t>General Comment No. 3, supra</w:t>
      </w:r>
      <w:r w:rsidRPr="00E95958">
        <w:t xml:space="preserve"> note 228, at para. 29. </w:t>
      </w:r>
    </w:p>
  </w:endnote>
  <w:endnote w:id="267">
    <w:p w14:paraId="2030787D" w14:textId="77777777" w:rsidR="002772C9" w:rsidRPr="00E95958" w:rsidRDefault="002772C9" w:rsidP="00E95958">
      <w:pPr>
        <w:pStyle w:val="EndnoteText"/>
        <w:ind w:left="-36" w:hanging="324"/>
      </w:pPr>
      <w:r w:rsidRPr="00E95958">
        <w:rPr>
          <w:vertAlign w:val="superscript"/>
        </w:rPr>
        <w:endnoteRef/>
      </w:r>
      <w:r w:rsidRPr="00E95958">
        <w:t xml:space="preserve"> CRC Committee, </w:t>
      </w:r>
      <w:r w:rsidRPr="00E95958">
        <w:rPr>
          <w:i/>
        </w:rPr>
        <w:t>General Comment No. 20 (2016) on the implementation of the rights of the child during adolescence</w:t>
      </w:r>
      <w:r w:rsidRPr="00E95958">
        <w:t>, para. 49, U.N. Doc. CRC/C/GC/20 (April 20, 2017).</w:t>
      </w:r>
    </w:p>
  </w:endnote>
  <w:endnote w:id="268">
    <w:p w14:paraId="7E8B0C34" w14:textId="77777777" w:rsidR="002772C9" w:rsidRPr="00E95958" w:rsidRDefault="002772C9" w:rsidP="00E95958">
      <w:pPr>
        <w:pStyle w:val="EndnoteText"/>
        <w:ind w:left="-36" w:hanging="324"/>
      </w:pPr>
      <w:r w:rsidRPr="00E95958">
        <w:rPr>
          <w:vertAlign w:val="superscript"/>
        </w:rPr>
        <w:endnoteRef/>
      </w:r>
      <w:r w:rsidRPr="00E95958">
        <w:t xml:space="preserve"> CRC Committee, </w:t>
      </w:r>
      <w:r w:rsidRPr="00E95958">
        <w:rPr>
          <w:i/>
        </w:rPr>
        <w:t>General Comment No. 20, supra</w:t>
      </w:r>
      <w:r w:rsidRPr="00E95958">
        <w:t xml:space="preserve"> note 266, para. 49. </w:t>
      </w:r>
    </w:p>
  </w:endnote>
  <w:endnote w:id="269">
    <w:p w14:paraId="37601AF5" w14:textId="77777777" w:rsidR="002772C9" w:rsidRPr="00E95958" w:rsidRDefault="002772C9" w:rsidP="00E95958">
      <w:pPr>
        <w:pStyle w:val="EndnoteText"/>
        <w:ind w:left="-36" w:hanging="324"/>
        <w:rPr>
          <w:iCs/>
          <w:u w:val="single"/>
        </w:rPr>
      </w:pPr>
      <w:r w:rsidRPr="00E95958">
        <w:rPr>
          <w:rStyle w:val="EndnoteReference"/>
        </w:rPr>
        <w:endnoteRef/>
      </w:r>
      <w:r w:rsidRPr="00E95958">
        <w:t xml:space="preserve"> </w:t>
      </w:r>
      <w:r w:rsidRPr="00E95958">
        <w:rPr>
          <w:smallCaps/>
          <w:lang w:val="en-GB"/>
        </w:rPr>
        <w:t>Inter-Agency Standing Committee (IASC), The Gender Handbook for Humanitarian Action (</w:t>
      </w:r>
      <w:r w:rsidRPr="00E95958">
        <w:rPr>
          <w:lang w:val="en-GB"/>
        </w:rPr>
        <w:t>2</w:t>
      </w:r>
      <w:r w:rsidRPr="00E95958">
        <w:rPr>
          <w:vertAlign w:val="superscript"/>
          <w:lang w:val="en-GB"/>
        </w:rPr>
        <w:t>nd</w:t>
      </w:r>
      <w:r w:rsidRPr="00E95958">
        <w:rPr>
          <w:lang w:val="en-GB"/>
        </w:rPr>
        <w:t xml:space="preserve"> ed. </w:t>
      </w:r>
      <w:r w:rsidRPr="00E95958">
        <w:rPr>
          <w:smallCaps/>
          <w:lang w:val="en-GB"/>
        </w:rPr>
        <w:t xml:space="preserve">2017), </w:t>
      </w:r>
      <w:r w:rsidRPr="00E95958">
        <w:rPr>
          <w:rStyle w:val="Hyperlink"/>
        </w:rPr>
        <w:t>https://interagencystandingcommittee.org/system/files/2018-iasc_gender_handbook_for_humanitarian_action_eng_0.pdf</w:t>
      </w:r>
      <w:r w:rsidRPr="00E95958">
        <w:t>.</w:t>
      </w:r>
    </w:p>
  </w:endnote>
  <w:endnote w:id="270">
    <w:p w14:paraId="7CF6EA6A" w14:textId="77777777" w:rsidR="002772C9" w:rsidRPr="00E95958" w:rsidRDefault="002772C9" w:rsidP="00E95958">
      <w:pPr>
        <w:pStyle w:val="EndnoteText"/>
        <w:ind w:left="-36" w:hanging="324"/>
      </w:pPr>
      <w:r w:rsidRPr="00E95958">
        <w:rPr>
          <w:rStyle w:val="EndnoteReference"/>
        </w:rPr>
        <w:endnoteRef/>
      </w:r>
      <w:r w:rsidRPr="00E95958">
        <w:t xml:space="preserve"> </w:t>
      </w:r>
      <w:r w:rsidRPr="00E95958">
        <w:rPr>
          <w:smallCaps/>
        </w:rPr>
        <w:t>UNFPA, Minimum Standards for Prevention and Response to Gender-Based Violence in Emergencies</w:t>
      </w:r>
      <w:r w:rsidRPr="00E95958">
        <w:t xml:space="preserve"> (2015), </w:t>
      </w:r>
      <w:r w:rsidRPr="00E95958">
        <w:rPr>
          <w:rStyle w:val="Hyperlink"/>
        </w:rPr>
        <w:t>https://www.unfpa.org/sites/default/files/pub-pdf/GBVIE.Minimum.Standards.Publication.FINAL_.ENG_.pdf</w:t>
      </w:r>
      <w:r w:rsidRPr="00E95958">
        <w:t xml:space="preserve"> [hereinafter </w:t>
      </w:r>
      <w:r w:rsidRPr="00E95958">
        <w:rPr>
          <w:smallCaps/>
        </w:rPr>
        <w:t>UNFPA</w:t>
      </w:r>
      <w:r w:rsidRPr="00E95958">
        <w:rPr>
          <w:smallCaps/>
          <w:lang w:eastAsia="zh-CN"/>
        </w:rPr>
        <w:t>,</w:t>
      </w:r>
      <w:r w:rsidRPr="00E95958">
        <w:rPr>
          <w:smallCaps/>
        </w:rPr>
        <w:t xml:space="preserve"> Min. Standards for GBV]</w:t>
      </w:r>
      <w:r w:rsidRPr="00E95958">
        <w:t xml:space="preserve">; </w:t>
      </w:r>
      <w:r w:rsidRPr="00E95958">
        <w:rPr>
          <w:smallCaps/>
        </w:rPr>
        <w:t>Inter-Agency Standing Committee (IASC), Guidelines for Integrating Gender-based Violence Interventions in Humanitarian Action: Reducing Risk, Promoting Resilience and Aiding Recovery</w:t>
      </w:r>
      <w:r w:rsidRPr="00E95958">
        <w:t xml:space="preserve"> 241-262 (Aug. 2015), </w:t>
      </w:r>
      <w:hyperlink r:id="rId72">
        <w:r w:rsidRPr="00E95958">
          <w:rPr>
            <w:rStyle w:val="Hyperlink"/>
          </w:rPr>
          <w:t>https://interagencystandingcommittee.org/system/files/2015-iasc-gender-based-violence-guidelines_lo-res.pdf</w:t>
        </w:r>
      </w:hyperlink>
      <w:r w:rsidRPr="00E95958">
        <w:t xml:space="preserve"> [hereinafter </w:t>
      </w:r>
      <w:r w:rsidRPr="00E95958">
        <w:rPr>
          <w:smallCaps/>
        </w:rPr>
        <w:t>IASC, Guidelines for Integrating Gender-based Violence Interventions].</w:t>
      </w:r>
    </w:p>
  </w:endnote>
  <w:endnote w:id="271">
    <w:p w14:paraId="278BD44D"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 xml:space="preserve">UNFPA, Min. Standards for GBV, </w:t>
      </w:r>
      <w:r w:rsidRPr="00E95958">
        <w:rPr>
          <w:i/>
        </w:rPr>
        <w:t xml:space="preserve">supra </w:t>
      </w:r>
      <w:r w:rsidRPr="00E95958">
        <w:t xml:space="preserve">note 269, at xii-xiii. </w:t>
      </w:r>
    </w:p>
  </w:endnote>
  <w:endnote w:id="272">
    <w:p w14:paraId="3A5C681D" w14:textId="77777777" w:rsidR="002772C9" w:rsidRPr="00E95958" w:rsidRDefault="002772C9" w:rsidP="00E95958">
      <w:pPr>
        <w:pStyle w:val="EndnoteText"/>
        <w:ind w:left="-36" w:hanging="324"/>
        <w:rPr>
          <w:smallCaps/>
        </w:rPr>
      </w:pPr>
      <w:r w:rsidRPr="00E95958">
        <w:rPr>
          <w:vertAlign w:val="superscript"/>
        </w:rPr>
        <w:endnoteRef/>
      </w:r>
      <w:r w:rsidRPr="00E95958">
        <w:t xml:space="preserve"> </w:t>
      </w:r>
      <w:r w:rsidRPr="00E95958">
        <w:rPr>
          <w:smallCaps/>
        </w:rPr>
        <w:t xml:space="preserve">UNFPA, Min. Standards for GBV, </w:t>
      </w:r>
      <w:r w:rsidRPr="00E95958">
        <w:rPr>
          <w:i/>
        </w:rPr>
        <w:t xml:space="preserve">supra </w:t>
      </w:r>
      <w:r w:rsidRPr="00E95958">
        <w:t xml:space="preserve">note 269, at xii-xiii. </w:t>
      </w:r>
    </w:p>
  </w:endnote>
  <w:endnote w:id="273">
    <w:p w14:paraId="0612E7B9" w14:textId="77777777" w:rsidR="002772C9" w:rsidRPr="00E95958" w:rsidRDefault="002772C9" w:rsidP="00E95958">
      <w:pPr>
        <w:pStyle w:val="EndnoteText"/>
        <w:ind w:left="-36" w:hanging="324"/>
      </w:pPr>
      <w:r w:rsidRPr="00E95958">
        <w:rPr>
          <w:vertAlign w:val="superscript"/>
        </w:rPr>
        <w:endnoteRef/>
      </w:r>
      <w:r w:rsidRPr="00E95958">
        <w:rPr>
          <w:smallCaps/>
        </w:rPr>
        <w:t xml:space="preserve"> IASC, Guidelines for Integrating Gender-based Violence Interventions, </w:t>
      </w:r>
      <w:r w:rsidRPr="00E95958">
        <w:rPr>
          <w:i/>
        </w:rPr>
        <w:t>supra</w:t>
      </w:r>
      <w:r w:rsidRPr="00E95958">
        <w:t xml:space="preserve"> note 269, at 241-262. </w:t>
      </w:r>
    </w:p>
  </w:endnote>
  <w:endnote w:id="274">
    <w:p w14:paraId="1E5046C0" w14:textId="77777777" w:rsidR="002772C9" w:rsidRPr="00E95958" w:rsidRDefault="002772C9" w:rsidP="00E95958">
      <w:pPr>
        <w:pStyle w:val="EndnoteText"/>
        <w:ind w:left="-36" w:hanging="324"/>
      </w:pPr>
      <w:r w:rsidRPr="00E95958">
        <w:rPr>
          <w:vertAlign w:val="superscript"/>
        </w:rPr>
        <w:endnoteRef/>
      </w:r>
      <w:r w:rsidRPr="00E95958">
        <w:rPr>
          <w:smallCaps/>
        </w:rPr>
        <w:t xml:space="preserve">IASC, Guidelines for Integrating Gender-based Violence Interventions, </w:t>
      </w:r>
      <w:r w:rsidRPr="00E95958">
        <w:rPr>
          <w:i/>
        </w:rPr>
        <w:t>supra</w:t>
      </w:r>
      <w:r w:rsidRPr="00E95958">
        <w:t xml:space="preserve"> note 269, at 249.  </w:t>
      </w:r>
    </w:p>
  </w:endnote>
  <w:endnote w:id="275">
    <w:p w14:paraId="08B7037A"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 xml:space="preserve">UNFPA, Addressing Violence against Women and Girls in Sexual and Reproductive Health Services </w:t>
      </w:r>
      <w:r w:rsidRPr="00E95958">
        <w:t xml:space="preserve">33-34 (2010), </w:t>
      </w:r>
      <w:hyperlink r:id="rId73">
        <w:r w:rsidRPr="00E95958">
          <w:rPr>
            <w:rStyle w:val="Hyperlink"/>
          </w:rPr>
          <w:t>http://www.unfpa.org/publications/addressing-violence-against-women-and-girls-sexual-and-reproductive-health-services</w:t>
        </w:r>
      </w:hyperlink>
      <w:r w:rsidRPr="00E95958">
        <w:t xml:space="preserve"> [hereinafter UNFPA, </w:t>
      </w:r>
      <w:r w:rsidRPr="00E95958">
        <w:rPr>
          <w:smallCaps/>
        </w:rPr>
        <w:t xml:space="preserve">Addressing Violence]. </w:t>
      </w:r>
    </w:p>
  </w:endnote>
  <w:endnote w:id="276">
    <w:p w14:paraId="700D1CFC"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 xml:space="preserve">WHO, World Report on Violence and Health </w:t>
      </w:r>
      <w:r w:rsidRPr="00E95958">
        <w:t xml:space="preserve">154-155 (Etienne G. Krug, Linda L. Dahlberg, James A. Mercy, Anthony B. Zwi, &amp; Rafael Lozano eds. 2002), </w:t>
      </w:r>
      <w:hyperlink r:id="rId74">
        <w:r w:rsidRPr="00E95958">
          <w:rPr>
            <w:rStyle w:val="Hyperlink"/>
          </w:rPr>
          <w:t>http://apps.who.int/iris/bitstream/10665/42495/1/9241545615_eng.pdf</w:t>
        </w:r>
      </w:hyperlink>
      <w:r w:rsidRPr="00E95958">
        <w:t xml:space="preserve">. </w:t>
      </w:r>
    </w:p>
  </w:endnote>
  <w:endnote w:id="277">
    <w:p w14:paraId="421DDC31" w14:textId="77777777" w:rsidR="002772C9" w:rsidRPr="00E95958" w:rsidRDefault="002772C9" w:rsidP="00E95958">
      <w:pPr>
        <w:pStyle w:val="EndnoteText"/>
        <w:ind w:left="-36" w:hanging="324"/>
      </w:pPr>
      <w:r w:rsidRPr="00E95958">
        <w:rPr>
          <w:vertAlign w:val="superscript"/>
        </w:rPr>
        <w:endnoteRef/>
      </w:r>
      <w:r w:rsidRPr="00E95958">
        <w:t xml:space="preserve"> Mary Ann Curry et al., </w:t>
      </w:r>
      <w:r w:rsidRPr="00E95958">
        <w:rPr>
          <w:i/>
        </w:rPr>
        <w:t>Facilitators and barriers to disclosing abuse among women with disabilities</w:t>
      </w:r>
      <w:r w:rsidRPr="00E95958">
        <w:t xml:space="preserve">, 26(4) </w:t>
      </w:r>
      <w:r w:rsidRPr="00E95958">
        <w:rPr>
          <w:smallCaps/>
        </w:rPr>
        <w:t>Violence and Victims 430, 442</w:t>
      </w:r>
      <w:r w:rsidRPr="00E95958">
        <w:t xml:space="preserve"> (2011). </w:t>
      </w:r>
    </w:p>
  </w:endnote>
  <w:endnote w:id="278">
    <w:p w14:paraId="0E952C54"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highlight w:val="white"/>
        </w:rPr>
        <w:t xml:space="preserve">Human Rights Watch, What to do if someone hurts you or does bad things to you: Information about Gender-Based Violence for People with Disabilities </w:t>
      </w:r>
      <w:r w:rsidRPr="00E95958">
        <w:rPr>
          <w:highlight w:val="white"/>
        </w:rPr>
        <w:t xml:space="preserve">(March 2015), </w:t>
      </w:r>
      <w:r w:rsidRPr="00E95958">
        <w:rPr>
          <w:rStyle w:val="Hyperlink"/>
          <w:highlight w:val="white"/>
        </w:rPr>
        <w:t>https://www.hrw.org/sites/default/files/accessible_document/gender_based_violence_etr_final.pdf</w:t>
      </w:r>
      <w:r w:rsidRPr="00E95958">
        <w:t>.</w:t>
      </w:r>
    </w:p>
  </w:endnote>
  <w:endnote w:id="279">
    <w:p w14:paraId="0BD254E8" w14:textId="77777777" w:rsidR="002772C9" w:rsidRPr="00E95958" w:rsidRDefault="002772C9" w:rsidP="00E95958">
      <w:pPr>
        <w:pStyle w:val="EndnoteText"/>
        <w:ind w:left="-36" w:hanging="324"/>
      </w:pPr>
      <w:r w:rsidRPr="00E95958">
        <w:rPr>
          <w:vertAlign w:val="superscript"/>
        </w:rPr>
        <w:endnoteRef/>
      </w:r>
      <w:r w:rsidRPr="00E95958">
        <w:t xml:space="preserve"> ESCR Committee, </w:t>
      </w:r>
      <w:r w:rsidRPr="00E95958">
        <w:rPr>
          <w:i/>
        </w:rPr>
        <w:t>General Comment No. 22 (2016) on the Right to Sexual and Reproductive Health (Article 12 of the International Covenant on the Economic, Social and Cultural Rights</w:t>
      </w:r>
      <w:r w:rsidRPr="00E95958">
        <w:t xml:space="preserve">, para. 7, U.N. Doc. E/C.12/GC/22 (May 2016) [hereinafter ESCR Committee, </w:t>
      </w:r>
      <w:r w:rsidRPr="00E95958">
        <w:rPr>
          <w:i/>
        </w:rPr>
        <w:t>General Comment No. 22</w:t>
      </w:r>
      <w:r w:rsidRPr="00E95958">
        <w:t>].</w:t>
      </w:r>
    </w:p>
  </w:endnote>
  <w:endnote w:id="280">
    <w:p w14:paraId="1F0FF936"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DisAbled Women’s Network (DAWN) and Canadian Association of Community Living (CACL), ‘Our Right to be Safe! Building Safe Communities for People with Disabilities and Deaf People’</w:t>
      </w:r>
      <w:r w:rsidRPr="00E95958">
        <w:t xml:space="preserve"> (2015) (on file with author). </w:t>
      </w:r>
    </w:p>
  </w:endnote>
  <w:endnote w:id="281">
    <w:p w14:paraId="42D8578C" w14:textId="77777777" w:rsidR="002772C9" w:rsidRPr="00E95958" w:rsidRDefault="002772C9" w:rsidP="00E95958">
      <w:pPr>
        <w:pStyle w:val="EndnoteText"/>
        <w:ind w:left="-36" w:hanging="324"/>
      </w:pPr>
      <w:r w:rsidRPr="00E95958">
        <w:rPr>
          <w:vertAlign w:val="superscript"/>
        </w:rPr>
        <w:endnoteRef/>
      </w:r>
      <w:r w:rsidRPr="00E95958">
        <w:rPr>
          <w:vertAlign w:val="superscript"/>
        </w:rPr>
        <w:t xml:space="preserve"> </w:t>
      </w:r>
      <w:r w:rsidRPr="00E95958">
        <w:rPr>
          <w:smallCaps/>
        </w:rPr>
        <w:t>Save the Children &amp; Handicap International, Out of the Shadows:  Sexual Violence against Children with Disabilities</w:t>
      </w:r>
      <w:r w:rsidRPr="00E95958">
        <w:t xml:space="preserve"> 22 (2011), </w:t>
      </w:r>
      <w:r w:rsidRPr="00E95958">
        <w:rPr>
          <w:rStyle w:val="Hyperlink"/>
        </w:rPr>
        <w:t>http://www.savethechildren.org.uk/sites/default/files/docs/out_of_the_shadows_5.pdf</w:t>
      </w:r>
      <w:r w:rsidRPr="00E95958">
        <w:t xml:space="preserve">. </w:t>
      </w:r>
    </w:p>
  </w:endnote>
  <w:endnote w:id="282">
    <w:p w14:paraId="00A361EA"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Channtey Heng, et. al., Challenging Discrimination Against Women with Disabilities: A Community Toolkit</w:t>
      </w:r>
      <w:r w:rsidRPr="00E95958">
        <w:t xml:space="preserve"> (Nov. 2012),</w:t>
      </w:r>
      <w:r w:rsidRPr="00E95958">
        <w:rPr>
          <w:i/>
        </w:rPr>
        <w:t xml:space="preserve"> </w:t>
      </w:r>
      <w:hyperlink r:id="rId75">
        <w:r w:rsidRPr="00E95958">
          <w:rPr>
            <w:rStyle w:val="Hyperlink"/>
          </w:rPr>
          <w:t>http://banteaysrei.info/wp-content/uploads/2013/03/A-Community-Training-Toolkit-EN.pdf</w:t>
        </w:r>
      </w:hyperlink>
      <w:r w:rsidRPr="00E95958">
        <w:t>.</w:t>
      </w:r>
    </w:p>
  </w:endnote>
  <w:endnote w:id="283">
    <w:p w14:paraId="16F00F7F" w14:textId="77777777" w:rsidR="002772C9" w:rsidRPr="00E95958" w:rsidRDefault="002772C9" w:rsidP="00E95958">
      <w:pPr>
        <w:pStyle w:val="EndnoteText"/>
        <w:ind w:left="-36" w:hanging="324"/>
      </w:pPr>
      <w:r w:rsidRPr="00E95958">
        <w:rPr>
          <w:vertAlign w:val="superscript"/>
        </w:rPr>
        <w:endnoteRef/>
      </w:r>
      <w:r w:rsidRPr="00E95958">
        <w:t xml:space="preserve"> CRPD Committee, </w:t>
      </w:r>
      <w:r w:rsidRPr="00E95958">
        <w:rPr>
          <w:i/>
        </w:rPr>
        <w:t>Concluding Observations: Mauritius</w:t>
      </w:r>
      <w:r w:rsidRPr="00E95958">
        <w:t xml:space="preserve">, para. 28, U.N. Doc. CRPD/C/MUS/CO/1 (2015); CRPD Committee, </w:t>
      </w:r>
      <w:r w:rsidRPr="00E95958">
        <w:rPr>
          <w:i/>
        </w:rPr>
        <w:t>Concluding Observations:  Sweden</w:t>
      </w:r>
      <w:r w:rsidRPr="00E95958">
        <w:t>, para. 42, U.N. Doc. CRPD/C/CWE/CO/1 (2014).</w:t>
      </w:r>
    </w:p>
  </w:endnote>
  <w:endnote w:id="284">
    <w:p w14:paraId="128F4B8A" w14:textId="77777777" w:rsidR="002772C9" w:rsidRPr="00E95958" w:rsidRDefault="002772C9" w:rsidP="00E95958">
      <w:pPr>
        <w:pStyle w:val="EndnoteText"/>
        <w:ind w:left="-36" w:hanging="324"/>
      </w:pPr>
      <w:r w:rsidRPr="00E95958">
        <w:rPr>
          <w:vertAlign w:val="superscript"/>
        </w:rPr>
        <w:endnoteRef/>
      </w:r>
      <w:r w:rsidRPr="00E95958">
        <w:t xml:space="preserve"> CRPD Committee, </w:t>
      </w:r>
      <w:r w:rsidRPr="00E95958">
        <w:rPr>
          <w:i/>
        </w:rPr>
        <w:t>Concluding Observations: Cook Islands</w:t>
      </w:r>
      <w:r w:rsidRPr="00E95958">
        <w:t xml:space="preserve">, para. 30, U.N. Doc. CRPD/C/COK/CO/1 (2015); CRPD Committee, </w:t>
      </w:r>
      <w:r w:rsidRPr="00E95958">
        <w:rPr>
          <w:i/>
        </w:rPr>
        <w:t>Concluding Observations: El Salvador</w:t>
      </w:r>
      <w:r w:rsidRPr="00E95958">
        <w:t xml:space="preserve">, para. 30, U.N. Doc. CRPD/C/SLV/CO/1 (2014); CRPD Committee, </w:t>
      </w:r>
      <w:r w:rsidRPr="00E95958">
        <w:rPr>
          <w:i/>
        </w:rPr>
        <w:t>Concluding Observations: Sweden</w:t>
      </w:r>
      <w:r w:rsidRPr="00E95958">
        <w:t>, para. 42, U.N. Doc. CRPD/C/CWE/CO/1 (2014).</w:t>
      </w:r>
    </w:p>
  </w:endnote>
  <w:endnote w:id="285">
    <w:p w14:paraId="1E51A84B" w14:textId="77777777" w:rsidR="002772C9" w:rsidRPr="00E95958" w:rsidRDefault="002772C9" w:rsidP="00E95958">
      <w:pPr>
        <w:pStyle w:val="EndnoteText"/>
        <w:ind w:left="-36" w:hanging="324"/>
      </w:pPr>
      <w:r w:rsidRPr="00E95958">
        <w:rPr>
          <w:vertAlign w:val="superscript"/>
        </w:rPr>
        <w:endnoteRef/>
      </w:r>
      <w:r w:rsidRPr="00E95958">
        <w:t xml:space="preserve"> Human Rights Committee, </w:t>
      </w:r>
      <w:r w:rsidRPr="00E95958">
        <w:rPr>
          <w:i/>
        </w:rPr>
        <w:t>Concluding Observations: Albania</w:t>
      </w:r>
      <w:r w:rsidRPr="00E95958">
        <w:t>, para. 20, U.N. Doc. CCPR/CO/82/ALB (2004).</w:t>
      </w:r>
    </w:p>
  </w:endnote>
  <w:endnote w:id="286">
    <w:p w14:paraId="3DB1F517" w14:textId="77777777" w:rsidR="002772C9" w:rsidRPr="00E95958" w:rsidRDefault="002772C9" w:rsidP="00E95958">
      <w:pPr>
        <w:pStyle w:val="EndnoteText"/>
        <w:ind w:left="-36" w:hanging="324"/>
      </w:pPr>
      <w:r w:rsidRPr="00E95958">
        <w:rPr>
          <w:vertAlign w:val="superscript"/>
        </w:rPr>
        <w:endnoteRef/>
      </w:r>
      <w:r w:rsidRPr="00E95958">
        <w:t xml:space="preserve"> CRPD Committee, </w:t>
      </w:r>
      <w:r w:rsidRPr="00E95958">
        <w:rPr>
          <w:i/>
        </w:rPr>
        <w:t>Concluding Observations: Tunisia</w:t>
      </w:r>
      <w:r w:rsidRPr="00E95958">
        <w:t xml:space="preserve">, para. 27, U.N. Doc. CRPD/C/TUN/CO/1 (2011); Human Rights Committee, </w:t>
      </w:r>
      <w:r w:rsidRPr="00E95958">
        <w:rPr>
          <w:i/>
        </w:rPr>
        <w:t>Concluding Observations: Sweden</w:t>
      </w:r>
      <w:r w:rsidRPr="00E95958">
        <w:t>, para. 8, U.N. Doc. CCPR/C/SWE/CO/6 (2009).</w:t>
      </w:r>
    </w:p>
  </w:endnote>
  <w:endnote w:id="287">
    <w:p w14:paraId="6F143926" w14:textId="77777777" w:rsidR="002772C9" w:rsidRPr="00E95958" w:rsidRDefault="002772C9" w:rsidP="00E95958">
      <w:pPr>
        <w:pStyle w:val="EndnoteText"/>
        <w:ind w:left="-36" w:hanging="324"/>
      </w:pPr>
      <w:r w:rsidRPr="00E95958">
        <w:rPr>
          <w:vertAlign w:val="superscript"/>
        </w:rPr>
        <w:endnoteRef/>
      </w:r>
      <w:r w:rsidRPr="00E95958">
        <w:t xml:space="preserve"> CRPD Committee, </w:t>
      </w:r>
      <w:r w:rsidRPr="00E95958">
        <w:rPr>
          <w:i/>
        </w:rPr>
        <w:t>Concluding Observations: Brazil</w:t>
      </w:r>
      <w:r w:rsidRPr="00E95958">
        <w:t xml:space="preserve">, para. 35, U.N. Doc. CRPD/C/BRA/CO/1 (2015); CRPD Committee, </w:t>
      </w:r>
      <w:r w:rsidRPr="00E95958">
        <w:rPr>
          <w:i/>
        </w:rPr>
        <w:t>Concluding Observations: Costa Rica</w:t>
      </w:r>
      <w:r w:rsidRPr="00E95958">
        <w:t xml:space="preserve">, para. 36, U.N. Doc. CRPD/C/CRI/CO/1 (2014); CRPD Committee, </w:t>
      </w:r>
      <w:r w:rsidRPr="00E95958">
        <w:rPr>
          <w:i/>
        </w:rPr>
        <w:t>Concluding Observations: Qatar</w:t>
      </w:r>
      <w:r w:rsidRPr="00E95958">
        <w:t xml:space="preserve">, para. 14, U.N. Doc. CRPD/C/QAT/CO/1 (2015); CRPD Committee, </w:t>
      </w:r>
      <w:r w:rsidRPr="00E95958">
        <w:rPr>
          <w:i/>
        </w:rPr>
        <w:t>Concluding Observations: South Korea</w:t>
      </w:r>
      <w:r w:rsidRPr="00E95958">
        <w:t xml:space="preserve">, para. 34, U.N. Doc. CRPD/C/KOR/CO/1 (2014); CRPD Committee, </w:t>
      </w:r>
      <w:r w:rsidRPr="00E95958">
        <w:rPr>
          <w:i/>
        </w:rPr>
        <w:t>Concluding Observations: Tunisia</w:t>
      </w:r>
      <w:r w:rsidRPr="00E95958">
        <w:t>, para. 15, U.N. Doc. CRPD/C/TUN/CO/1 (2011).</w:t>
      </w:r>
    </w:p>
  </w:endnote>
  <w:endnote w:id="288">
    <w:p w14:paraId="75E15B64" w14:textId="77777777" w:rsidR="002772C9" w:rsidRPr="00E95958" w:rsidRDefault="002772C9" w:rsidP="00E95958">
      <w:pPr>
        <w:pStyle w:val="EndnoteText"/>
        <w:ind w:left="-36" w:hanging="324"/>
      </w:pPr>
      <w:r w:rsidRPr="00E95958">
        <w:rPr>
          <w:vertAlign w:val="superscript"/>
        </w:rPr>
        <w:endnoteRef/>
      </w:r>
      <w:r w:rsidRPr="00E95958">
        <w:t xml:space="preserve"> CRPD Committee, </w:t>
      </w:r>
      <w:r w:rsidRPr="00E95958">
        <w:rPr>
          <w:i/>
        </w:rPr>
        <w:t>Concluding Observations: Tunisia</w:t>
      </w:r>
      <w:r w:rsidRPr="00E95958">
        <w:t xml:space="preserve">, para. 27, U.N. Doc. CRPD/C/TUN/CO/1 (2011). </w:t>
      </w:r>
    </w:p>
  </w:endnote>
  <w:endnote w:id="289">
    <w:p w14:paraId="617BFD71" w14:textId="77777777" w:rsidR="002772C9" w:rsidRPr="00E95958" w:rsidRDefault="002772C9" w:rsidP="00E95958">
      <w:pPr>
        <w:pStyle w:val="EndnoteText"/>
        <w:ind w:left="-36" w:hanging="324"/>
      </w:pPr>
      <w:r w:rsidRPr="00E95958">
        <w:rPr>
          <w:vertAlign w:val="superscript"/>
        </w:rPr>
        <w:endnoteRef/>
      </w:r>
      <w:r w:rsidRPr="00E95958">
        <w:t xml:space="preserve"> Human Rights Committee, </w:t>
      </w:r>
      <w:r w:rsidRPr="00E95958">
        <w:rPr>
          <w:i/>
        </w:rPr>
        <w:t>Concluding Observations: Mexico</w:t>
      </w:r>
      <w:r w:rsidRPr="00E95958">
        <w:t>, para.  8; U.N. Doc. CCPR/C/MEX/CO/5 (2010).</w:t>
      </w:r>
    </w:p>
  </w:endnote>
  <w:endnote w:id="290">
    <w:p w14:paraId="6CB6CA77" w14:textId="77777777" w:rsidR="002772C9" w:rsidRPr="00E95958" w:rsidRDefault="002772C9" w:rsidP="00E95958">
      <w:pPr>
        <w:pStyle w:val="EndnoteText"/>
        <w:ind w:left="-36" w:hanging="324"/>
      </w:pPr>
      <w:r w:rsidRPr="00E95958">
        <w:rPr>
          <w:vertAlign w:val="superscript"/>
        </w:rPr>
        <w:endnoteRef/>
      </w:r>
      <w:r w:rsidRPr="00E95958">
        <w:t xml:space="preserve"> Human Rights Committee, </w:t>
      </w:r>
      <w:r w:rsidRPr="00E95958">
        <w:rPr>
          <w:i/>
        </w:rPr>
        <w:t>Concluding Observations: Albania</w:t>
      </w:r>
      <w:r w:rsidRPr="00E95958">
        <w:t xml:space="preserve">, para. 10, U.N. Doc. CCPR/CO/82/ALB (2004); Human Rights Committee, </w:t>
      </w:r>
      <w:r w:rsidRPr="00E95958">
        <w:rPr>
          <w:i/>
        </w:rPr>
        <w:t>Concluding Observations: Brazil</w:t>
      </w:r>
      <w:r w:rsidRPr="00E95958">
        <w:t xml:space="preserve">, ¶ 5, U.N. Doc. CCPR/C/BRA/CO/2 (2005); Human Rights Committee, </w:t>
      </w:r>
      <w:r w:rsidRPr="00E95958">
        <w:rPr>
          <w:i/>
        </w:rPr>
        <w:t>Concluding Observations: Latvia</w:t>
      </w:r>
      <w:r w:rsidRPr="00E95958">
        <w:t xml:space="preserve">, ¶ 13, U.N. Doc. CCPR/CO/79/LVA (2003); Human Rights Committee, </w:t>
      </w:r>
      <w:r w:rsidRPr="00E95958">
        <w:rPr>
          <w:i/>
        </w:rPr>
        <w:t>Concluding Observations: Serbia</w:t>
      </w:r>
      <w:r w:rsidRPr="00E95958">
        <w:t xml:space="preserve">, ¶ 9, U.N. Doc. CCPR/C/SRB/CO/2 (2011); Human Rights Committee, </w:t>
      </w:r>
      <w:r w:rsidRPr="00E95958">
        <w:rPr>
          <w:i/>
        </w:rPr>
        <w:t>Concluding Observations: Slovakia</w:t>
      </w:r>
      <w:r w:rsidRPr="00E95958">
        <w:t xml:space="preserve">, ¶ 9, U.N. Doc. CCPR/CO/78/SVK (2003); Human Rights Committee, </w:t>
      </w:r>
      <w:r w:rsidRPr="00E95958">
        <w:rPr>
          <w:i/>
        </w:rPr>
        <w:t>Concluding Observations: Slovenia</w:t>
      </w:r>
      <w:r w:rsidRPr="00E95958">
        <w:t>, ¶ 7, U.N. Doc. CCPR/CO/84/SVN (2005).</w:t>
      </w:r>
    </w:p>
  </w:endnote>
  <w:endnote w:id="291">
    <w:p w14:paraId="3B821F15"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See, e.g.</w:t>
      </w:r>
      <w:r w:rsidRPr="00E95958">
        <w:t xml:space="preserve">, CRPD, </w:t>
      </w:r>
      <w:r w:rsidRPr="00E95958">
        <w:rPr>
          <w:i/>
        </w:rPr>
        <w:t xml:space="preserve">supra </w:t>
      </w:r>
      <w:r w:rsidRPr="00E95958">
        <w:t>note 228, at art. 28(2)(c).</w:t>
      </w:r>
    </w:p>
  </w:endnote>
  <w:endnote w:id="292">
    <w:p w14:paraId="09EF392E"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See</w:t>
      </w:r>
      <w:r w:rsidRPr="00E95958">
        <w:t xml:space="preserve"> </w:t>
      </w:r>
      <w:r w:rsidRPr="00E95958">
        <w:rPr>
          <w:smallCaps/>
        </w:rPr>
        <w:t>UNFPA, Addressing Violence,</w:t>
      </w:r>
      <w:r w:rsidRPr="00E95958">
        <w:t xml:space="preserve"> </w:t>
      </w:r>
      <w:r w:rsidRPr="00E95958">
        <w:rPr>
          <w:i/>
        </w:rPr>
        <w:t xml:space="preserve">supra </w:t>
      </w:r>
      <w:r w:rsidRPr="00E95958">
        <w:t xml:space="preserve">note 274, at 36. </w:t>
      </w:r>
    </w:p>
  </w:endnote>
  <w:endnote w:id="293">
    <w:p w14:paraId="3971574D"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Pacific Disability Forum &amp; Fiji Disabled Peoples’ Federation, Toolkit on Eliminating Violence Against Women and Girls with Disabilities in Fiji</w:t>
      </w:r>
      <w:r w:rsidRPr="00E95958">
        <w:t xml:space="preserve"> (2014),  </w:t>
      </w:r>
      <w:hyperlink r:id="rId76">
        <w:r w:rsidRPr="00E95958">
          <w:rPr>
            <w:rStyle w:val="Hyperlink"/>
          </w:rPr>
          <w:t>http://www.pacificdisability.org/getattachment/Resources/PDF-Resources/Toolkit-on-Eliminating-Violence-Against-Women-And-Girls-With-Disabilities-In-Fiji-(1).pdf.aspx</w:t>
        </w:r>
      </w:hyperlink>
      <w:r w:rsidRPr="00E95958">
        <w:t>.</w:t>
      </w:r>
    </w:p>
  </w:endnote>
  <w:endnote w:id="294">
    <w:p w14:paraId="4C2F0AA6"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UNFPA, Addressing Violence,</w:t>
      </w:r>
      <w:r w:rsidRPr="00E95958">
        <w:t xml:space="preserve"> </w:t>
      </w:r>
      <w:r w:rsidRPr="00E95958">
        <w:rPr>
          <w:i/>
        </w:rPr>
        <w:t xml:space="preserve">supra </w:t>
      </w:r>
      <w:r w:rsidRPr="00E95958">
        <w:t>note 274, at 35.</w:t>
      </w:r>
    </w:p>
  </w:endnote>
  <w:endnote w:id="295">
    <w:p w14:paraId="43B86ECD" w14:textId="77777777" w:rsidR="002772C9" w:rsidRPr="00E95958" w:rsidRDefault="002772C9" w:rsidP="00E95958">
      <w:pPr>
        <w:pStyle w:val="EndnoteText"/>
        <w:ind w:left="-36" w:hanging="324"/>
        <w:rPr>
          <w:smallCaps/>
        </w:rPr>
      </w:pPr>
      <w:r w:rsidRPr="00E95958">
        <w:rPr>
          <w:vertAlign w:val="superscript"/>
        </w:rPr>
        <w:endnoteRef/>
      </w:r>
      <w:r w:rsidRPr="00E95958">
        <w:t xml:space="preserve"> </w:t>
      </w:r>
      <w:r w:rsidRPr="00E95958">
        <w:rPr>
          <w:smallCaps/>
        </w:rPr>
        <w:t>UNFPA, Addressing Violence,</w:t>
      </w:r>
      <w:r w:rsidRPr="00E95958">
        <w:t xml:space="preserve"> </w:t>
      </w:r>
      <w:r w:rsidRPr="00E95958">
        <w:rPr>
          <w:i/>
        </w:rPr>
        <w:t xml:space="preserve">supra </w:t>
      </w:r>
      <w:r w:rsidRPr="00E95958">
        <w:t>note 274, at</w:t>
      </w:r>
      <w:r w:rsidRPr="00E95958">
        <w:rPr>
          <w:smallCaps/>
        </w:rPr>
        <w:t xml:space="preserve"> </w:t>
      </w:r>
      <w:r w:rsidRPr="00E95958">
        <w:t xml:space="preserve">33-34. </w:t>
      </w:r>
    </w:p>
  </w:endnote>
  <w:endnote w:id="296">
    <w:p w14:paraId="157F88EA"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Carolyn Frohmader and Stephanie Ortoleva, Issues Paper: The Sexual and Reproductive Rights of Women and Girls with Disabilities</w:t>
      </w:r>
      <w:r w:rsidRPr="00E95958">
        <w:t xml:space="preserve"> 7 (July 1, 2013), </w:t>
      </w:r>
      <w:hyperlink r:id="rId77">
        <w:r w:rsidRPr="00E95958">
          <w:rPr>
            <w:rStyle w:val="Hyperlink"/>
          </w:rPr>
          <w:t>http://womenenabled.org/pdfs/issues_paper_srr_women_and_girls_with_disabilities_final.pdf</w:t>
        </w:r>
      </w:hyperlink>
      <w:r w:rsidRPr="00E95958">
        <w:t xml:space="preserve">. </w:t>
      </w:r>
    </w:p>
  </w:endnote>
  <w:endnote w:id="297">
    <w:p w14:paraId="58B435B3" w14:textId="77777777" w:rsidR="002772C9" w:rsidRPr="00E95958" w:rsidRDefault="002772C9" w:rsidP="00E95958">
      <w:pPr>
        <w:pStyle w:val="EndnoteText"/>
        <w:ind w:left="-36" w:hanging="324"/>
        <w:rPr>
          <w:smallCaps/>
        </w:rPr>
      </w:pPr>
      <w:r w:rsidRPr="00E95958">
        <w:rPr>
          <w:vertAlign w:val="superscript"/>
        </w:rPr>
        <w:endnoteRef/>
      </w:r>
      <w:r w:rsidRPr="00E95958">
        <w:t xml:space="preserve"> </w:t>
      </w:r>
      <w:r w:rsidRPr="00E95958">
        <w:rPr>
          <w:smallCaps/>
        </w:rPr>
        <w:t xml:space="preserve">Doris Rajan, DisAbled Women’s Network (DAWN Canada), Women with Disabilities &amp; Breast Cancer Screening: An Environmental Scan. Identified Problems, Strategies and Recommended Next Steps </w:t>
      </w:r>
      <w:r w:rsidRPr="00E95958">
        <w:t xml:space="preserve">6 (2012) [hereinafter </w:t>
      </w:r>
      <w:r w:rsidRPr="00E95958">
        <w:rPr>
          <w:smallCaps/>
        </w:rPr>
        <w:t>Rajan,</w:t>
      </w:r>
      <w:r w:rsidRPr="00E95958">
        <w:t xml:space="preserve"> </w:t>
      </w:r>
      <w:r w:rsidRPr="00E95958">
        <w:rPr>
          <w:smallCaps/>
        </w:rPr>
        <w:t xml:space="preserve">Women with Disabilities &amp; Breast Cancer Screening]. </w:t>
      </w:r>
    </w:p>
  </w:endnote>
  <w:endnote w:id="298">
    <w:p w14:paraId="147CF2D1" w14:textId="77777777" w:rsidR="002772C9" w:rsidRPr="00E95958" w:rsidRDefault="002772C9" w:rsidP="00E95958">
      <w:pPr>
        <w:pStyle w:val="EndnoteText"/>
        <w:ind w:left="-36" w:hanging="324"/>
        <w:rPr>
          <w:smallCaps/>
        </w:rPr>
      </w:pPr>
      <w:r w:rsidRPr="00E95958">
        <w:rPr>
          <w:vertAlign w:val="superscript"/>
        </w:rPr>
        <w:endnoteRef/>
      </w:r>
      <w:r w:rsidRPr="00E95958">
        <w:t xml:space="preserve"> </w:t>
      </w:r>
      <w:r w:rsidRPr="00E95958">
        <w:rPr>
          <w:i/>
        </w:rPr>
        <w:t>See</w:t>
      </w:r>
      <w:r w:rsidRPr="00E95958">
        <w:t xml:space="preserve"> </w:t>
      </w:r>
      <w:r w:rsidRPr="00E95958">
        <w:rPr>
          <w:smallCaps/>
        </w:rPr>
        <w:t xml:space="preserve">United Nations Population Fund (UNFPA), UN Women, World Health Organization (WHO), United Nations Development Programme (UNDP), </w:t>
      </w:r>
      <w:r w:rsidRPr="00E95958">
        <w:t>and</w:t>
      </w:r>
      <w:r w:rsidRPr="00E95958">
        <w:rPr>
          <w:smallCaps/>
        </w:rPr>
        <w:t xml:space="preserve"> United Nations Office on Drugs and Crime (UNODC), Essential Services for Women and Girls Subject to Violence (Module 2) 7 (2015), </w:t>
      </w:r>
      <w:hyperlink r:id="rId78">
        <w:r w:rsidRPr="00E95958">
          <w:rPr>
            <w:rStyle w:val="Hyperlink"/>
          </w:rPr>
          <w:t>http://www.unfpa.org/publications/essential-services-package-women-and-girls-subject-violence</w:t>
        </w:r>
      </w:hyperlink>
      <w:r w:rsidRPr="00E95958">
        <w:rPr>
          <w:rStyle w:val="Hyperlink"/>
        </w:rPr>
        <w:t xml:space="preserve"> </w:t>
      </w:r>
      <w:r w:rsidRPr="00E95958">
        <w:t xml:space="preserve">[hereinafter </w:t>
      </w:r>
      <w:r w:rsidRPr="00E95958">
        <w:rPr>
          <w:smallCaps/>
        </w:rPr>
        <w:t>Essential Services for Women and Girls Subject to Violence(Module 2)].</w:t>
      </w:r>
    </w:p>
  </w:endnote>
  <w:endnote w:id="299">
    <w:p w14:paraId="187BE6CA"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 xml:space="preserve">Illinois Coalition Against Sexual Assault (ICASA), Illinois Sexual Assault Nurse Examiner (SANE) Picture Guides, </w:t>
      </w:r>
      <w:hyperlink r:id="rId79">
        <w:r w:rsidRPr="00E95958">
          <w:rPr>
            <w:rStyle w:val="Hyperlink"/>
          </w:rPr>
          <w:t>http://www.icasa.org/index.aspx?PageID=1045</w:t>
        </w:r>
      </w:hyperlink>
      <w:r w:rsidRPr="00E95958">
        <w:t xml:space="preserve">. </w:t>
      </w:r>
    </w:p>
  </w:endnote>
  <w:endnote w:id="300">
    <w:p w14:paraId="645182F6"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Essential Services for Women and Girls Subject to Violence (Module 2),</w:t>
      </w:r>
      <w:r w:rsidRPr="00E95958">
        <w:rPr>
          <w:i/>
        </w:rPr>
        <w:t xml:space="preserve"> supra </w:t>
      </w:r>
      <w:r w:rsidRPr="00E95958">
        <w:t xml:space="preserve">note 297, at 14; </w:t>
      </w:r>
      <w:r w:rsidRPr="00E95958">
        <w:rPr>
          <w:smallCaps/>
        </w:rPr>
        <w:t>UNFPA, Addressing Violence,</w:t>
      </w:r>
      <w:r w:rsidRPr="00E95958">
        <w:t xml:space="preserve"> </w:t>
      </w:r>
      <w:r w:rsidRPr="00E95958">
        <w:rPr>
          <w:i/>
        </w:rPr>
        <w:t xml:space="preserve">supra </w:t>
      </w:r>
      <w:r w:rsidRPr="00E95958">
        <w:t xml:space="preserve">note 284, at 39.  </w:t>
      </w:r>
      <w:r w:rsidRPr="00E95958">
        <w:rPr>
          <w:i/>
        </w:rPr>
        <w:t xml:space="preserve">See also </w:t>
      </w:r>
      <w:r w:rsidRPr="00E95958">
        <w:rPr>
          <w:smallCaps/>
        </w:rPr>
        <w:t>WHO, Global Plan of Action: Health Systems Address Violence Against Women and Girls 21(</w:t>
      </w:r>
      <w:r w:rsidRPr="00E95958">
        <w:t xml:space="preserve">2016), </w:t>
      </w:r>
      <w:r w:rsidRPr="00E95958">
        <w:rPr>
          <w:rStyle w:val="Hyperlink"/>
        </w:rPr>
        <w:t>http://apps.who.int/iris/bitstream/10665/251664/1/WHO-RHR-16.13-eng.pdf?ua=1</w:t>
      </w:r>
    </w:p>
  </w:endnote>
  <w:endnote w:id="301">
    <w:p w14:paraId="2619FE52"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UNFPA, Addressing Violence,</w:t>
      </w:r>
      <w:r w:rsidRPr="00E95958">
        <w:t xml:space="preserve"> </w:t>
      </w:r>
      <w:r w:rsidRPr="00E95958">
        <w:rPr>
          <w:i/>
        </w:rPr>
        <w:t xml:space="preserve">supra </w:t>
      </w:r>
      <w:r w:rsidRPr="00E95958">
        <w:t xml:space="preserve">note 274, at 74. </w:t>
      </w:r>
    </w:p>
  </w:endnote>
  <w:endnote w:id="302">
    <w:p w14:paraId="4E3E594B"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Promundo, UNFPA, MenEngage, Gender-Based Violence: A Global Toolkit for</w:t>
      </w:r>
      <w:r w:rsidRPr="00E95958">
        <w:t xml:space="preserve"> </w:t>
      </w:r>
      <w:r w:rsidRPr="00E95958">
        <w:rPr>
          <w:smallCaps/>
        </w:rPr>
        <w:t>Action 85</w:t>
      </w:r>
      <w:r w:rsidRPr="00E95958">
        <w:t xml:space="preserve"> (2010), </w:t>
      </w:r>
      <w:hyperlink r:id="rId80">
        <w:r w:rsidRPr="00E95958">
          <w:rPr>
            <w:rStyle w:val="Hyperlink"/>
          </w:rPr>
          <w:t>http://www.unfpa.org/publications/gender-based-violence</w:t>
        </w:r>
      </w:hyperlink>
      <w:r w:rsidRPr="00E95958">
        <w:t xml:space="preserve">. </w:t>
      </w:r>
    </w:p>
  </w:endnote>
  <w:endnote w:id="303">
    <w:p w14:paraId="48F4735A"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Cathy Hoog, Model Protocol on Screening Practices for Domestic Violence Victims with Disabilities, Washington State Coalition Against Domestic Violence</w:t>
      </w:r>
      <w:r w:rsidRPr="00E95958">
        <w:t xml:space="preserve"> 6 (Jan. 2010), </w:t>
      </w:r>
      <w:hyperlink r:id="rId81">
        <w:r w:rsidRPr="00E95958">
          <w:rPr>
            <w:rStyle w:val="Hyperlink"/>
          </w:rPr>
          <w:t>https://wscadv.org/wp-content/uploads/2015/06/protocol_disability_screening.pdf</w:t>
        </w:r>
      </w:hyperlink>
      <w:r w:rsidRPr="00E95958">
        <w:t xml:space="preserve">.  </w:t>
      </w:r>
    </w:p>
  </w:endnote>
  <w:endnote w:id="304">
    <w:p w14:paraId="64FA2D1E"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See</w:t>
      </w:r>
      <w:r w:rsidRPr="00E95958">
        <w:t xml:space="preserve"> </w:t>
      </w:r>
      <w:r w:rsidRPr="00E95958">
        <w:rPr>
          <w:smallCaps/>
        </w:rPr>
        <w:t>UNFPA, Addressing Violence,</w:t>
      </w:r>
      <w:r w:rsidRPr="00E95958">
        <w:t xml:space="preserve"> </w:t>
      </w:r>
      <w:r w:rsidRPr="00E95958">
        <w:rPr>
          <w:i/>
        </w:rPr>
        <w:t xml:space="preserve">supra </w:t>
      </w:r>
      <w:r w:rsidRPr="00E95958">
        <w:t>note 274, at 9.</w:t>
      </w:r>
    </w:p>
  </w:endnote>
  <w:endnote w:id="305">
    <w:p w14:paraId="6CA1C78A" w14:textId="77777777" w:rsidR="002772C9" w:rsidRPr="00E95958" w:rsidRDefault="002772C9" w:rsidP="00E95958">
      <w:pPr>
        <w:pStyle w:val="EndnoteText"/>
        <w:ind w:left="-36" w:hanging="324"/>
        <w:rPr>
          <w:smallCaps/>
        </w:rPr>
      </w:pPr>
      <w:r w:rsidRPr="00E95958">
        <w:rPr>
          <w:vertAlign w:val="superscript"/>
        </w:rPr>
        <w:endnoteRef/>
      </w:r>
      <w:r w:rsidRPr="00E95958">
        <w:t xml:space="preserve"> </w:t>
      </w:r>
      <w:r w:rsidRPr="00E95958">
        <w:rPr>
          <w:smallCaps/>
        </w:rPr>
        <w:t xml:space="preserve">Essential Services for Women and Girls Subject to Violence (Module 2), </w:t>
      </w:r>
      <w:r w:rsidRPr="00E95958">
        <w:rPr>
          <w:i/>
        </w:rPr>
        <w:t>supra</w:t>
      </w:r>
      <w:r w:rsidRPr="00E95958">
        <w:t xml:space="preserve"> note 297, at</w:t>
      </w:r>
      <w:r w:rsidRPr="00E95958">
        <w:rPr>
          <w:smallCaps/>
        </w:rPr>
        <w:t xml:space="preserve"> 18, . </w:t>
      </w:r>
    </w:p>
  </w:endnote>
  <w:endnote w:id="306">
    <w:p w14:paraId="1570EBB3" w14:textId="77777777" w:rsidR="002772C9" w:rsidRPr="00E95958" w:rsidRDefault="002772C9" w:rsidP="00E95958">
      <w:pPr>
        <w:pStyle w:val="EndnoteText"/>
        <w:ind w:left="-36" w:hanging="324"/>
        <w:rPr>
          <w:smallCaps/>
        </w:rPr>
      </w:pPr>
      <w:r w:rsidRPr="00E95958">
        <w:rPr>
          <w:vertAlign w:val="superscript"/>
        </w:rPr>
        <w:endnoteRef/>
      </w:r>
      <w:r w:rsidRPr="00E95958">
        <w:rPr>
          <w:smallCaps/>
        </w:rPr>
        <w:t xml:space="preserve">Nancy Smith, et. al., Vera Institute of Justice, Measuring Capacity to Serve Survivors with Disabilities: Domestic Violence/ Rape Crisis Dual Agencies </w:t>
      </w:r>
      <w:r w:rsidRPr="00E95958">
        <w:t xml:space="preserve">53 (Sept. 2015), </w:t>
      </w:r>
      <w:hyperlink r:id="rId82">
        <w:r w:rsidRPr="00E95958">
          <w:rPr>
            <w:rStyle w:val="Hyperlink"/>
          </w:rPr>
          <w:t>https://www.vera.org/publications/measuring-capacity-to-serve-survivors-with-disabilities</w:t>
        </w:r>
      </w:hyperlink>
      <w:r w:rsidRPr="00E95958">
        <w:t xml:space="preserve"> [hereinafter </w:t>
      </w:r>
      <w:r w:rsidRPr="00E95958">
        <w:rPr>
          <w:smallCaps/>
        </w:rPr>
        <w:t xml:space="preserve">Vera Institute, Measuring Capacity to Serve Survivors with Disabilities]. </w:t>
      </w:r>
    </w:p>
  </w:endnote>
  <w:endnote w:id="307">
    <w:p w14:paraId="280F0187" w14:textId="77777777" w:rsidR="002772C9" w:rsidRPr="00E95958" w:rsidRDefault="002772C9" w:rsidP="00E95958">
      <w:pPr>
        <w:pStyle w:val="EndnoteText"/>
        <w:ind w:left="-36" w:hanging="324"/>
      </w:pPr>
      <w:r w:rsidRPr="00E95958">
        <w:rPr>
          <w:vertAlign w:val="superscript"/>
        </w:rPr>
        <w:endnoteRef/>
      </w:r>
      <w:r w:rsidRPr="00E95958">
        <w:t xml:space="preserve"> Stephanie Ortoleva, </w:t>
      </w:r>
      <w:r w:rsidRPr="00E95958">
        <w:rPr>
          <w:i/>
        </w:rPr>
        <w:t>Inaccessible Justice: Human Rights, Persons with Disabilities and the Legal System</w:t>
      </w:r>
      <w:r w:rsidRPr="00E95958">
        <w:t xml:space="preserve">, 17 </w:t>
      </w:r>
      <w:r w:rsidRPr="00E95958">
        <w:rPr>
          <w:smallCaps/>
        </w:rPr>
        <w:t>ILSA Journal of Int’l and Comparative Law</w:t>
      </w:r>
      <w:r w:rsidRPr="00E95958">
        <w:t xml:space="preserve"> 281, 284 (2011).  Although not addressed in these Guidelines, the role and systematic denial of persons with disabilities from participating in the justice system as witnesses, jurors, judges, lawyers, and administers, is an important facet of the discrimination persons with disabilities face in accessing justice and must be addressed to ensure substantive justice for people with disabilities. </w:t>
      </w:r>
      <w:r w:rsidRPr="00E95958">
        <w:rPr>
          <w:i/>
        </w:rPr>
        <w:t>Id</w:t>
      </w:r>
      <w:r w:rsidRPr="00E95958">
        <w:t xml:space="preserve">. at 284-85. </w:t>
      </w:r>
    </w:p>
  </w:endnote>
  <w:endnote w:id="308">
    <w:p w14:paraId="62BA672A" w14:textId="77777777" w:rsidR="002772C9" w:rsidRPr="00E95958" w:rsidRDefault="002772C9" w:rsidP="00E95958">
      <w:pPr>
        <w:pStyle w:val="EndnoteText"/>
        <w:ind w:left="-36" w:hanging="324"/>
      </w:pPr>
      <w:r w:rsidRPr="00E95958">
        <w:rPr>
          <w:vertAlign w:val="superscript"/>
        </w:rPr>
        <w:endnoteRef/>
      </w:r>
      <w:r w:rsidRPr="00E95958">
        <w:t xml:space="preserve"> The consequences of effective access to justice extends far beyond the justice system as noted by the UN Development Program: “There are strong links between establishing democratic governance, reducing poverty, and securing access to justice. Democratic governance is undermined where access to justice for all citizens (irrespective of [disability,] gender, race, religion, age, class or creed) is absent. Access to justice is also closely linked to poverty reduction since being poor and marginalized means being deprived of choices, opportunities, access to basic resources and a voice in decision-making. Lack of access to justice limits the effectiveness of poverty reduction and democratic governance programmes by limiting participation, transparency and accountability.  </w:t>
      </w:r>
      <w:r w:rsidRPr="00E95958">
        <w:rPr>
          <w:smallCaps/>
        </w:rPr>
        <w:t>United Nations Development Programme (UNDP), Access to Justice: Practice Note</w:t>
      </w:r>
      <w:r w:rsidRPr="00E95958">
        <w:t xml:space="preserve"> 3 (Sept. 3, 2004), </w:t>
      </w:r>
      <w:r w:rsidRPr="00E95958">
        <w:rPr>
          <w:rStyle w:val="Hyperlink"/>
        </w:rPr>
        <w:t>http://www.undp.org/governance/docs/Justice_PN_English.pdf</w:t>
      </w:r>
      <w:r w:rsidRPr="00E95958">
        <w:t xml:space="preserve">. </w:t>
      </w:r>
    </w:p>
  </w:endnote>
  <w:endnote w:id="309">
    <w:p w14:paraId="2414AF45" w14:textId="77777777" w:rsidR="002772C9" w:rsidRPr="00E95958" w:rsidRDefault="002772C9" w:rsidP="00E95958">
      <w:pPr>
        <w:pStyle w:val="EndnoteText"/>
        <w:ind w:left="-36" w:hanging="324"/>
      </w:pPr>
      <w:r w:rsidRPr="00E95958">
        <w:rPr>
          <w:vertAlign w:val="superscript"/>
        </w:rPr>
        <w:endnoteRef/>
      </w:r>
      <w:r w:rsidRPr="00E95958">
        <w:t xml:space="preserve"> Hilary Brown, </w:t>
      </w:r>
      <w:r w:rsidRPr="00E95958">
        <w:rPr>
          <w:i/>
        </w:rPr>
        <w:t>Sexual Assault: Facing Facts</w:t>
      </w:r>
      <w:r w:rsidRPr="00E95958">
        <w:t xml:space="preserve">, </w:t>
      </w:r>
      <w:r w:rsidRPr="00E95958">
        <w:rPr>
          <w:smallCaps/>
        </w:rPr>
        <w:t>87 Nursing Times 65</w:t>
      </w:r>
      <w:r w:rsidRPr="00E95958">
        <w:t xml:space="preserve"> (1991); Jeanine Benedet &amp; Isabel Grant, </w:t>
      </w:r>
      <w:r w:rsidRPr="00E95958">
        <w:rPr>
          <w:i/>
        </w:rPr>
        <w:t>Hearing the Sexual Assault Complaints of Women with Mental Disabilities: Evidentiary and Procedural Issues</w:t>
      </w:r>
      <w:r w:rsidRPr="00E95958">
        <w:t xml:space="preserve">, </w:t>
      </w:r>
      <w:r w:rsidRPr="00E95958">
        <w:rPr>
          <w:smallCaps/>
        </w:rPr>
        <w:t>52 McGill L.J. 515</w:t>
      </w:r>
      <w:r w:rsidRPr="00E95958">
        <w:t xml:space="preserve">, 523 (2007); Rashida Manjoo (Special Rapporteur on Violence Against Women), </w:t>
      </w:r>
      <w:r w:rsidRPr="00E95958">
        <w:rPr>
          <w:i/>
        </w:rPr>
        <w:t>Report of the Special Rapporteur on Violence against Women, Its Causes and Consequences: Women with Disabilities</w:t>
      </w:r>
      <w:r w:rsidRPr="00E95958">
        <w:t xml:space="preserve">, para. 60, U.N. Doc. A/67/227 (Aug. 3, 2012), </w:t>
      </w:r>
      <w:hyperlink r:id="rId83">
        <w:r w:rsidRPr="00E95958">
          <w:rPr>
            <w:rStyle w:val="Hyperlink"/>
          </w:rPr>
          <w:t>http://undocs.org/A/67/227</w:t>
        </w:r>
      </w:hyperlink>
      <w:r w:rsidRPr="00E95958">
        <w:t xml:space="preserve"> [hereinafter </w:t>
      </w:r>
      <w:r w:rsidRPr="00E95958">
        <w:rPr>
          <w:i/>
        </w:rPr>
        <w:t>Report of the Special Rapporteur on Violence against Women with Disabilities</w:t>
      </w:r>
      <w:r w:rsidRPr="00E95958">
        <w:t>].</w:t>
      </w:r>
    </w:p>
  </w:endnote>
  <w:endnote w:id="310">
    <w:p w14:paraId="4894AAF4"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Report of the Special Rapporteur on Violence against Women with Disabilities</w:t>
      </w:r>
      <w:r w:rsidRPr="00E95958">
        <w:t xml:space="preserve">, </w:t>
      </w:r>
      <w:r w:rsidRPr="00E95958">
        <w:rPr>
          <w:i/>
        </w:rPr>
        <w:t>supra</w:t>
      </w:r>
      <w:r w:rsidRPr="00E95958">
        <w:t xml:space="preserve"> note 11, para. 42.</w:t>
      </w:r>
    </w:p>
  </w:endnote>
  <w:endnote w:id="311">
    <w:p w14:paraId="0A6F3806"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Report of the Special Rapporteur on Violence against Women with Disabilities</w:t>
      </w:r>
      <w:r w:rsidRPr="00E95958">
        <w:t xml:space="preserve">, </w:t>
      </w:r>
      <w:r w:rsidRPr="00E95958">
        <w:rPr>
          <w:i/>
        </w:rPr>
        <w:t>supra</w:t>
      </w:r>
      <w:r w:rsidRPr="00E95958">
        <w:t xml:space="preserve"> note 11, para. 42.</w:t>
      </w:r>
    </w:p>
  </w:endnote>
  <w:endnote w:id="312">
    <w:p w14:paraId="67C4E870"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Doris Rajan &amp; Institute for Research and Development on Inclusion and Society (IRIS), People with Mental Health and Cognitive Disabilities &amp; Access to the Justice System: Report on a Review of the Literature</w:t>
      </w:r>
      <w:r w:rsidRPr="00E95958">
        <w:t xml:space="preserve"> (Mar. 26, 2015) [hereinafter </w:t>
      </w:r>
      <w:r w:rsidRPr="00E95958">
        <w:rPr>
          <w:smallCaps/>
        </w:rPr>
        <w:t xml:space="preserve">Rajan &amp; IRIS, Access to the Justice Literature Review]. </w:t>
      </w:r>
    </w:p>
  </w:endnote>
  <w:endnote w:id="313">
    <w:p w14:paraId="0815FB9D"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 xml:space="preserve">Rajan &amp; IRIS, Access to the Justice Literature Review, </w:t>
      </w:r>
      <w:r w:rsidRPr="00E95958">
        <w:rPr>
          <w:i/>
        </w:rPr>
        <w:t>supra</w:t>
      </w:r>
      <w:r w:rsidRPr="00E95958">
        <w:t xml:space="preserve"> note 311. </w:t>
      </w:r>
    </w:p>
  </w:endnote>
  <w:endnote w:id="314">
    <w:p w14:paraId="4E62713A"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Safe Austin, In My Jurisdiction: Responding to Crimes Against People with Disabilities, Deaf Individuals, and Older Adults</w:t>
      </w:r>
      <w:r w:rsidRPr="00E95958">
        <w:t xml:space="preserve"> (2007), </w:t>
      </w:r>
      <w:hyperlink r:id="rId84">
        <w:r w:rsidRPr="00E95958">
          <w:rPr>
            <w:rStyle w:val="Hyperlink"/>
          </w:rPr>
          <w:t>http://safeaustin.org/wp-content/uploads/2013/12/Law-Enforcement-Curriculum-packaged.pdf</w:t>
        </w:r>
      </w:hyperlink>
      <w:r w:rsidRPr="00E95958">
        <w:t>.</w:t>
      </w:r>
    </w:p>
  </w:endnote>
  <w:endnote w:id="315">
    <w:p w14:paraId="319EAAF1" w14:textId="77777777" w:rsidR="002772C9" w:rsidRPr="00E95958" w:rsidRDefault="002772C9" w:rsidP="00E95958">
      <w:pPr>
        <w:pStyle w:val="EndnoteText"/>
        <w:ind w:left="-36" w:hanging="324"/>
      </w:pPr>
      <w:r w:rsidRPr="00E95958">
        <w:rPr>
          <w:vertAlign w:val="superscript"/>
        </w:rPr>
        <w:endnoteRef/>
      </w:r>
      <w:r w:rsidRPr="00E95958">
        <w:rPr>
          <w:lang w:val="fr-FR"/>
        </w:rPr>
        <w:t xml:space="preserve"> Cathy Vaughan, Alexandra Devine, Raquel Ignacio, Wanet Lacsamana, Ma. </w:t>
      </w:r>
      <w:r w:rsidRPr="00E95958">
        <w:t xml:space="preserve">Jesusa Marco, Jerome Zayas &amp; Carolyn Sobritchea, </w:t>
      </w:r>
      <w:r w:rsidRPr="00E95958">
        <w:rPr>
          <w:i/>
        </w:rPr>
        <w:t>Building capacity for a</w:t>
      </w:r>
      <w:r w:rsidRPr="00E95958">
        <w:t xml:space="preserve"> </w:t>
      </w:r>
      <w:r w:rsidRPr="00E95958">
        <w:rPr>
          <w:i/>
        </w:rPr>
        <w:t>disability-inclusive response to violence against women and girls: experiences from</w:t>
      </w:r>
      <w:r w:rsidRPr="00E95958">
        <w:t xml:space="preserve"> </w:t>
      </w:r>
      <w:r w:rsidRPr="00E95958">
        <w:rPr>
          <w:i/>
        </w:rPr>
        <w:t>the W-DARE project in the Philippines</w:t>
      </w:r>
      <w:r w:rsidRPr="00E95958">
        <w:t xml:space="preserve">, </w:t>
      </w:r>
      <w:r w:rsidRPr="00E95958">
        <w:rPr>
          <w:smallCaps/>
        </w:rPr>
        <w:t>24 Gender &amp; Development</w:t>
      </w:r>
      <w:r w:rsidRPr="00E95958">
        <w:t xml:space="preserve"> 2, </w:t>
      </w:r>
      <w:r w:rsidRPr="00E95958">
        <w:rPr>
          <w:i/>
        </w:rPr>
        <w:t>257-258</w:t>
      </w:r>
      <w:r w:rsidRPr="00E95958">
        <w:t xml:space="preserve"> (June 15, 2016), </w:t>
      </w:r>
      <w:r w:rsidRPr="00E95958">
        <w:rPr>
          <w:rStyle w:val="Hyperlink"/>
        </w:rPr>
        <w:t>http://dx.doi.org/10.1080/13552074.2016.1194031</w:t>
      </w:r>
      <w:r w:rsidRPr="00E95958">
        <w:t>.</w:t>
      </w:r>
    </w:p>
  </w:endnote>
  <w:endnote w:id="316">
    <w:p w14:paraId="2F10B678" w14:textId="77777777" w:rsidR="002772C9" w:rsidRPr="00E95958" w:rsidRDefault="002772C9" w:rsidP="00E95958">
      <w:pPr>
        <w:pStyle w:val="EndnoteText"/>
        <w:ind w:left="-36" w:hanging="324"/>
      </w:pPr>
      <w:r w:rsidRPr="00E95958">
        <w:rPr>
          <w:vertAlign w:val="superscript"/>
        </w:rPr>
        <w:endnoteRef/>
      </w:r>
      <w:r w:rsidRPr="00E95958">
        <w:t xml:space="preserve"> Shanah Shamim, </w:t>
      </w:r>
      <w:r w:rsidRPr="00E95958">
        <w:rPr>
          <w:i/>
        </w:rPr>
        <w:t>Paralegals Supporting Girls and Women with Disabilitie</w:t>
      </w:r>
      <w:r w:rsidRPr="00E95958">
        <w:t xml:space="preserve">s, </w:t>
      </w:r>
      <w:r w:rsidRPr="00E95958">
        <w:rPr>
          <w:smallCaps/>
        </w:rPr>
        <w:t>National Union of Women with Disabilities of Uganda</w:t>
      </w:r>
      <w:r w:rsidRPr="00E95958">
        <w:t>, May 19, 2017,</w:t>
      </w:r>
      <w:r w:rsidRPr="00E95958">
        <w:rPr>
          <w:smallCaps/>
        </w:rPr>
        <w:t xml:space="preserve"> </w:t>
      </w:r>
      <w:hyperlink r:id="rId85">
        <w:r w:rsidRPr="00E95958">
          <w:rPr>
            <w:rStyle w:val="Hyperlink"/>
          </w:rPr>
          <w:t>https://nuwoduganda.org/2017/05/19/paralegals-supporting-girls-and-women-with-disabilities/</w:t>
        </w:r>
      </w:hyperlink>
      <w:r w:rsidRPr="00E95958">
        <w:t xml:space="preserve">. </w:t>
      </w:r>
    </w:p>
  </w:endnote>
  <w:endnote w:id="317">
    <w:p w14:paraId="2F34E80C" w14:textId="77777777" w:rsidR="002772C9" w:rsidRPr="00E95958" w:rsidRDefault="002772C9" w:rsidP="00E95958">
      <w:pPr>
        <w:pStyle w:val="EndnoteText"/>
        <w:ind w:left="-36" w:hanging="324"/>
      </w:pPr>
      <w:r w:rsidRPr="00E95958">
        <w:rPr>
          <w:vertAlign w:val="superscript"/>
        </w:rPr>
        <w:endnoteRef/>
      </w:r>
      <w:r w:rsidRPr="00E95958">
        <w:rPr>
          <w:i/>
        </w:rPr>
        <w:t>Sexual Abuse Victim Empowerment [SAVE]</w:t>
      </w:r>
      <w:r w:rsidRPr="00E95958">
        <w:rPr>
          <w:smallCaps/>
        </w:rPr>
        <w:t xml:space="preserve">, Cape Mental Health (2017), </w:t>
      </w:r>
      <w:r w:rsidRPr="00E95958">
        <w:t xml:space="preserve"> </w:t>
      </w:r>
      <w:hyperlink r:id="rId86">
        <w:r w:rsidRPr="00E95958">
          <w:rPr>
            <w:rStyle w:val="Hyperlink"/>
          </w:rPr>
          <w:t>http://www.capementalhealth.co.za/save.html</w:t>
        </w:r>
      </w:hyperlink>
      <w:r w:rsidRPr="00E95958">
        <w:t>.</w:t>
      </w:r>
    </w:p>
  </w:endnote>
  <w:endnote w:id="318">
    <w:p w14:paraId="1BB6CEA8" w14:textId="77777777" w:rsidR="002772C9" w:rsidRPr="00E95958" w:rsidRDefault="002772C9" w:rsidP="00E95958">
      <w:pPr>
        <w:pStyle w:val="EndnoteText"/>
        <w:ind w:left="-36" w:hanging="324"/>
      </w:pPr>
      <w:r w:rsidRPr="00E95958">
        <w:rPr>
          <w:vertAlign w:val="superscript"/>
        </w:rPr>
        <w:endnoteRef/>
      </w:r>
      <w:r w:rsidRPr="00E95958">
        <w:rPr>
          <w:smallCaps/>
        </w:rPr>
        <w:t>United Nations Department of Economic and Social Affairs (UNDESA) Division for Social Policy and Development (DSPD), Toolkit on Disability for Africa: Module 8 - Access to Justice for Persons with Disabilities</w:t>
      </w:r>
      <w:r w:rsidRPr="00E95958">
        <w:t xml:space="preserve"> 15-16, </w:t>
      </w:r>
      <w:hyperlink r:id="rId87">
        <w:r w:rsidRPr="00E95958">
          <w:rPr>
            <w:rStyle w:val="Hyperlink"/>
          </w:rPr>
          <w:t>http://www.un.org/esa/socdev/documents/disability/Toolkit/Access-to-justice.pdf</w:t>
        </w:r>
      </w:hyperlink>
      <w:r w:rsidRPr="00E95958">
        <w:rPr>
          <w:rStyle w:val="Hyperlink"/>
        </w:rPr>
        <w:t xml:space="preserve"> </w:t>
      </w:r>
      <w:r w:rsidRPr="00E95958">
        <w:t xml:space="preserve">[hereinafter </w:t>
      </w:r>
      <w:r w:rsidRPr="00E95958">
        <w:rPr>
          <w:smallCaps/>
        </w:rPr>
        <w:t xml:space="preserve">UNDESA DSPD, Toolkit on Disability for Africa]. </w:t>
      </w:r>
    </w:p>
  </w:endnote>
  <w:endnote w:id="319">
    <w:p w14:paraId="4F22C2A5"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Brasilia Regulations Regarding Access to Justice for Vulnerable People</w:t>
      </w:r>
      <w:r w:rsidRPr="00E95958">
        <w:t xml:space="preserve"> (March 2008), </w:t>
      </w:r>
      <w:hyperlink r:id="rId88">
        <w:r w:rsidRPr="00E95958">
          <w:rPr>
            <w:rStyle w:val="Hyperlink"/>
          </w:rPr>
          <w:t>http://www.osce.org/odihr/68082?download=true</w:t>
        </w:r>
      </w:hyperlink>
      <w:r w:rsidRPr="00E95958">
        <w:t>.</w:t>
      </w:r>
    </w:p>
  </w:endnote>
  <w:endnote w:id="320">
    <w:p w14:paraId="039215F4" w14:textId="77777777" w:rsidR="002772C9" w:rsidRPr="00E95958" w:rsidRDefault="002772C9" w:rsidP="00E95958">
      <w:pPr>
        <w:pStyle w:val="EndnoteText"/>
        <w:ind w:left="-36" w:hanging="324"/>
      </w:pPr>
      <w:r w:rsidRPr="00E95958">
        <w:rPr>
          <w:vertAlign w:val="superscript"/>
        </w:rPr>
        <w:endnoteRef/>
      </w:r>
      <w:r w:rsidRPr="00E95958">
        <w:t xml:space="preserve"> Human Rights Committee, </w:t>
      </w:r>
      <w:r w:rsidRPr="00E95958">
        <w:rPr>
          <w:i/>
        </w:rPr>
        <w:t>Concluding Observations: Chad</w:t>
      </w:r>
      <w:r w:rsidRPr="00E95958">
        <w:t>, para. 21, U.N. Doc. CCPR/C/TCD/CO/2 (2014).</w:t>
      </w:r>
    </w:p>
  </w:endnote>
  <w:endnote w:id="321">
    <w:p w14:paraId="1660D53C"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Advocates &amp; UNWOMEN, Working with the Justice Sector</w:t>
      </w:r>
      <w:r w:rsidRPr="00E95958">
        <w:t xml:space="preserve">, </w:t>
      </w:r>
      <w:r w:rsidRPr="00E95958">
        <w:rPr>
          <w:i/>
        </w:rPr>
        <w:t>supra</w:t>
      </w:r>
      <w:r w:rsidRPr="00E95958">
        <w:t xml:space="preserve"> note 37, at 25. </w:t>
      </w:r>
    </w:p>
  </w:endnote>
  <w:endnote w:id="322">
    <w:p w14:paraId="1BE11CFD" w14:textId="77777777" w:rsidR="002772C9" w:rsidRPr="00E95958" w:rsidRDefault="002772C9" w:rsidP="00E95958">
      <w:pPr>
        <w:pStyle w:val="EndnoteText"/>
        <w:ind w:left="-36" w:hanging="324"/>
      </w:pPr>
      <w:r w:rsidRPr="00E95958">
        <w:rPr>
          <w:vertAlign w:val="superscript"/>
        </w:rPr>
        <w:endnoteRef/>
      </w:r>
      <w:r w:rsidRPr="00E95958">
        <w:t xml:space="preserve"> Leonard Cheshire Disability Zimbabwe, Access to Justice for Girls and Women with Disabilities Project</w:t>
      </w:r>
      <w:r w:rsidRPr="00E95958">
        <w:rPr>
          <w:smallCaps/>
        </w:rPr>
        <w:t xml:space="preserve"> (2016) (</w:t>
      </w:r>
      <w:r w:rsidRPr="00E95958">
        <w:t xml:space="preserve">on file with the author). For more information on the project, </w:t>
      </w:r>
      <w:r w:rsidRPr="00E95958">
        <w:rPr>
          <w:i/>
        </w:rPr>
        <w:t>see Access to Justice for Disabled Women</w:t>
      </w:r>
      <w:r w:rsidRPr="00E95958">
        <w:t xml:space="preserve">, </w:t>
      </w:r>
      <w:r w:rsidRPr="00E95958">
        <w:rPr>
          <w:smallCaps/>
        </w:rPr>
        <w:t>The Zimbabwean</w:t>
      </w:r>
      <w:r w:rsidRPr="00E95958">
        <w:t xml:space="preserve">, May 25, 2015, </w:t>
      </w:r>
      <w:r w:rsidRPr="00E95958">
        <w:rPr>
          <w:i/>
        </w:rPr>
        <w:t>available at</w:t>
      </w:r>
      <w:r w:rsidRPr="00E95958">
        <w:t xml:space="preserve"> </w:t>
      </w:r>
      <w:hyperlink r:id="rId89">
        <w:r w:rsidRPr="00E95958">
          <w:rPr>
            <w:rStyle w:val="Hyperlink"/>
          </w:rPr>
          <w:t>http://reliefweb.int/report/zimbabwe/access-justice-disabled-women</w:t>
        </w:r>
      </w:hyperlink>
      <w:r w:rsidRPr="00E95958">
        <w:t>.</w:t>
      </w:r>
    </w:p>
  </w:endnote>
  <w:endnote w:id="323">
    <w:p w14:paraId="2621E69C" w14:textId="77777777" w:rsidR="002772C9" w:rsidRPr="00E95958" w:rsidRDefault="002772C9" w:rsidP="00E95958">
      <w:pPr>
        <w:pStyle w:val="EndnoteText"/>
        <w:ind w:left="-36" w:hanging="324"/>
        <w:rPr>
          <w:smallCaps/>
        </w:rPr>
      </w:pPr>
      <w:r w:rsidRPr="00E95958">
        <w:rPr>
          <w:vertAlign w:val="superscript"/>
        </w:rPr>
        <w:endnoteRef/>
      </w:r>
      <w:r w:rsidRPr="00E95958">
        <w:t xml:space="preserve"> </w:t>
      </w:r>
      <w:r w:rsidRPr="00E95958">
        <w:rPr>
          <w:smallCaps/>
        </w:rPr>
        <w:t>UNDESA DSPD, Toolkit on Disability for Africa</w:t>
      </w:r>
      <w:r w:rsidRPr="00E95958">
        <w:rPr>
          <w:i/>
        </w:rPr>
        <w:t>, supra</w:t>
      </w:r>
      <w:r w:rsidRPr="00E95958">
        <w:t xml:space="preserve"> note 327, at 15. </w:t>
      </w:r>
    </w:p>
  </w:endnote>
  <w:endnote w:id="324">
    <w:p w14:paraId="7D98BA32" w14:textId="77777777" w:rsidR="002772C9" w:rsidRPr="00E95958" w:rsidRDefault="002772C9" w:rsidP="00E95958">
      <w:pPr>
        <w:pStyle w:val="EndnoteText"/>
        <w:ind w:left="-36" w:hanging="324"/>
      </w:pPr>
      <w:r w:rsidRPr="00E95958">
        <w:rPr>
          <w:vertAlign w:val="superscript"/>
        </w:rPr>
        <w:endnoteRef/>
      </w:r>
      <w:r w:rsidRPr="00E95958">
        <w:t xml:space="preserve"> Committee Against Torture, </w:t>
      </w:r>
      <w:r w:rsidRPr="00E95958">
        <w:rPr>
          <w:i/>
        </w:rPr>
        <w:t xml:space="preserve">Concluding Observations: United States of America, </w:t>
      </w:r>
      <w:r w:rsidRPr="00E95958">
        <w:t xml:space="preserve">U.N. Doc. CAT/C/USA/CO/2 para. 32 (July 25, 2006); Committee Against Torture, </w:t>
      </w:r>
      <w:r w:rsidRPr="00E95958">
        <w:rPr>
          <w:i/>
        </w:rPr>
        <w:t>General Comment No. 2: Implementation of Article 2 by States Parties</w:t>
      </w:r>
      <w:r w:rsidRPr="00E95958">
        <w:t xml:space="preserve">, U.N. Doc. CAT/C/GC/2 para. 18 (Jan. 24, 2008). </w:t>
      </w:r>
    </w:p>
  </w:endnote>
  <w:endnote w:id="325">
    <w:p w14:paraId="672C13F6" w14:textId="77777777" w:rsidR="002772C9" w:rsidRPr="00E95958" w:rsidRDefault="002772C9" w:rsidP="00E95958">
      <w:pPr>
        <w:pStyle w:val="EndnoteText"/>
        <w:ind w:left="-36" w:hanging="324"/>
      </w:pPr>
      <w:r w:rsidRPr="00E95958">
        <w:rPr>
          <w:vertAlign w:val="superscript"/>
        </w:rPr>
        <w:endnoteRef/>
      </w:r>
      <w:r w:rsidRPr="00E95958">
        <w:t xml:space="preserve"> Human Rights Committee, </w:t>
      </w:r>
      <w:r w:rsidRPr="00E95958">
        <w:rPr>
          <w:i/>
        </w:rPr>
        <w:t>Concluding Observations: Colombia</w:t>
      </w:r>
      <w:r w:rsidRPr="00E95958">
        <w:t xml:space="preserve">, para. 18, U.N. Doc. CCPR/C/COL/CO/6 (2010); Human Rights Committee, </w:t>
      </w:r>
      <w:r w:rsidRPr="00E95958">
        <w:rPr>
          <w:i/>
        </w:rPr>
        <w:t>Concluding Observations: Kenya</w:t>
      </w:r>
      <w:r w:rsidRPr="00E95958">
        <w:t>, para. 12, U.N. Doc. CCPR/C/KEN/CO/3 (2012).</w:t>
      </w:r>
    </w:p>
  </w:endnote>
  <w:endnote w:id="326">
    <w:p w14:paraId="2106B1B1"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Shelah S. Bloom &amp; UNAID, Violence Against Women and Girls- A Compendium of Monitoring and Evaluation Indicators: Measure Evaluation</w:t>
      </w:r>
      <w:r w:rsidRPr="00E95958">
        <w:t xml:space="preserve"> 128-129 (2008), </w:t>
      </w:r>
      <w:r w:rsidRPr="00E95958">
        <w:rPr>
          <w:rStyle w:val="Hyperlink"/>
        </w:rPr>
        <w:t>https://www.measureevaluation.org/resources/tools/gender/violence-against-women-and-girls-compendium-of-indicators</w:t>
      </w:r>
      <w:r w:rsidRPr="00E95958">
        <w:t xml:space="preserve">. </w:t>
      </w:r>
    </w:p>
  </w:endnote>
  <w:endnote w:id="327">
    <w:p w14:paraId="18DB874E" w14:textId="77777777" w:rsidR="002772C9" w:rsidRPr="00E95958" w:rsidRDefault="002772C9" w:rsidP="00E95958">
      <w:pPr>
        <w:pStyle w:val="EndnoteText"/>
        <w:ind w:left="-36" w:hanging="324"/>
      </w:pPr>
      <w:r w:rsidRPr="00E95958">
        <w:rPr>
          <w:vertAlign w:val="superscript"/>
        </w:rPr>
        <w:endnoteRef/>
      </w:r>
      <w:r w:rsidRPr="00E95958">
        <w:rPr>
          <w:smallCaps/>
        </w:rPr>
        <w:t>Vera Institute, Measuring Capacity to Serve Survivors with Disabilities</w:t>
      </w:r>
      <w:r w:rsidRPr="00E95958">
        <w:t xml:space="preserve">, </w:t>
      </w:r>
      <w:r w:rsidRPr="00E95958">
        <w:rPr>
          <w:i/>
        </w:rPr>
        <w:t xml:space="preserve">supra </w:t>
      </w:r>
      <w:r w:rsidRPr="00E95958">
        <w:t>note 305, at 54-55 (“...including: Resources for advocates that explain how to raise with prosecutors the survivor’s disability as a possible aggravating factor in the crime; A pictorial guide to use when working with a survivor with an intellectual disability to familiarize her or him with the courtroom and courtroom proceedings; An information sheet to provide to prosecutors outlining unique needs or considerations when working with survivors with disabilities; An information sheet for survivors on coping skills for dealing with the emotional impact of legal system involvement”).</w:t>
      </w:r>
    </w:p>
  </w:endnote>
  <w:endnote w:id="328">
    <w:p w14:paraId="38E2710F" w14:textId="77777777" w:rsidR="002772C9" w:rsidRPr="00E95958" w:rsidRDefault="002772C9" w:rsidP="00E95958">
      <w:pPr>
        <w:pStyle w:val="EndnoteText"/>
        <w:ind w:left="-36" w:hanging="324"/>
      </w:pPr>
      <w:r w:rsidRPr="00E95958">
        <w:rPr>
          <w:vertAlign w:val="superscript"/>
        </w:rPr>
        <w:endnoteRef/>
      </w:r>
      <w:r w:rsidRPr="00E95958">
        <w:t xml:space="preserve"> Declaration on the Elimination of Violence Against Women, art. 4(g), G.A. Res. 48/104, U.N. Doc. A/RES/48/104 (Dec. 20, 1993) [hereinafter Declaration on the Elimination of Violence Against Women].  </w:t>
      </w:r>
    </w:p>
  </w:endnote>
  <w:endnote w:id="329">
    <w:p w14:paraId="62182F5A"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See, e.g.</w:t>
      </w:r>
      <w:r w:rsidRPr="00E95958">
        <w:t xml:space="preserve">, Declaration on the Elimination of Violence Against Women, </w:t>
      </w:r>
      <w:r w:rsidRPr="00E95958">
        <w:rPr>
          <w:i/>
        </w:rPr>
        <w:t>supra</w:t>
      </w:r>
      <w:r w:rsidRPr="00E95958">
        <w:t xml:space="preserve"> note 309, at art. 4(c); U.N. Commission on Human Rights, </w:t>
      </w:r>
      <w:r w:rsidRPr="00E95958">
        <w:rPr>
          <w:i/>
        </w:rPr>
        <w:t>Report of the Special Rapporteur on Violence against Women, Its Causes and Consequences on the Due Diligence Standard as a Tool for the Elimination of Violence against Women</w:t>
      </w:r>
      <w:r w:rsidRPr="00E95958">
        <w:t>, U.N. Doc. E/CN.4/2006/61, para. 38-55 (Jan. 20, 2006) (by Yakin Ertürk); Inter-American Convention on the Prevention, Punishment, and Eradication of Violence against Women, art. 7, 33 I.L.M. 1534; Protocol to the African Charter on Human and Peoples’ Rights on the Rights of Women in Africa, 2</w:t>
      </w:r>
      <w:r w:rsidRPr="00E95958">
        <w:rPr>
          <w:vertAlign w:val="superscript"/>
        </w:rPr>
        <w:t>nd</w:t>
      </w:r>
      <w:r w:rsidRPr="00E95958">
        <w:t xml:space="preserve"> Ordinary Sess., Assembly of the Union, </w:t>
      </w:r>
      <w:r w:rsidRPr="00E95958">
        <w:rPr>
          <w:i/>
        </w:rPr>
        <w:t xml:space="preserve">adopted </w:t>
      </w:r>
      <w:r w:rsidRPr="00E95958">
        <w:t>July 11, 2003, arts. 4, 23; Council of Europe, Convention on Preventing and Combating Violence against Women and Domestic Violence, art. 5 (</w:t>
      </w:r>
      <w:r w:rsidRPr="00E95958">
        <w:rPr>
          <w:i/>
        </w:rPr>
        <w:t>entry into force</w:t>
      </w:r>
      <w:r w:rsidRPr="00E95958">
        <w:t xml:space="preserve"> Aug. 1, 2014).  </w:t>
      </w:r>
    </w:p>
  </w:endnote>
  <w:endnote w:id="330">
    <w:p w14:paraId="54DD86E8"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UNFPA, Addressing Violence,</w:t>
      </w:r>
      <w:r w:rsidRPr="00E95958">
        <w:t xml:space="preserve"> </w:t>
      </w:r>
      <w:r w:rsidRPr="00E95958">
        <w:rPr>
          <w:i/>
        </w:rPr>
        <w:t xml:space="preserve">supra </w:t>
      </w:r>
      <w:r w:rsidRPr="00E95958">
        <w:t xml:space="preserve">note 274, at 33-34. </w:t>
      </w:r>
    </w:p>
  </w:endnote>
  <w:endnote w:id="331">
    <w:p w14:paraId="518D4BBF"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UNFPA, Addressing Violence,</w:t>
      </w:r>
      <w:r w:rsidRPr="00E95958">
        <w:t xml:space="preserve"> </w:t>
      </w:r>
      <w:r w:rsidRPr="00E95958">
        <w:rPr>
          <w:i/>
        </w:rPr>
        <w:t xml:space="preserve">supra </w:t>
      </w:r>
      <w:r w:rsidRPr="00E95958">
        <w:t>note 274, at 33-34.</w:t>
      </w:r>
    </w:p>
  </w:endnote>
  <w:endnote w:id="332">
    <w:p w14:paraId="349FB395" w14:textId="77777777" w:rsidR="002772C9" w:rsidRPr="00E95958" w:rsidRDefault="002772C9" w:rsidP="00E95958">
      <w:pPr>
        <w:pStyle w:val="EndnoteText"/>
        <w:ind w:left="-36" w:hanging="324"/>
      </w:pPr>
      <w:r w:rsidRPr="00E95958">
        <w:rPr>
          <w:vertAlign w:val="superscript"/>
        </w:rPr>
        <w:endnoteRef/>
      </w:r>
      <w:r w:rsidRPr="00E95958">
        <w:rPr>
          <w:i/>
        </w:rPr>
        <w:t>Report of the Special Rapporteur on Violence against Women with Disabilities</w:t>
      </w:r>
      <w:r w:rsidRPr="00E95958">
        <w:t xml:space="preserve">, </w:t>
      </w:r>
      <w:r w:rsidRPr="00E95958">
        <w:rPr>
          <w:i/>
        </w:rPr>
        <w:t>supra</w:t>
      </w:r>
      <w:r w:rsidRPr="00E95958">
        <w:t xml:space="preserve"> note 11, paras. 59, 62. </w:t>
      </w:r>
    </w:p>
  </w:endnote>
  <w:endnote w:id="333">
    <w:p w14:paraId="6DB922C2" w14:textId="77777777" w:rsidR="002772C9" w:rsidRPr="00E95958" w:rsidRDefault="002772C9" w:rsidP="00E95958">
      <w:pPr>
        <w:pStyle w:val="EndnoteText"/>
        <w:ind w:left="-36" w:hanging="324"/>
      </w:pPr>
      <w:r w:rsidRPr="00E95958">
        <w:rPr>
          <w:vertAlign w:val="superscript"/>
        </w:rPr>
        <w:endnoteRef/>
      </w:r>
      <w:r w:rsidRPr="00E95958">
        <w:t xml:space="preserve"> OHCHR, </w:t>
      </w:r>
      <w:r w:rsidRPr="00E95958">
        <w:rPr>
          <w:i/>
        </w:rPr>
        <w:t>Thematic Study on the Issue of Violence Against Women and Girls and Disability</w:t>
      </w:r>
      <w:r w:rsidRPr="00E95958">
        <w:t xml:space="preserve">, </w:t>
      </w:r>
      <w:r w:rsidRPr="00E95958">
        <w:rPr>
          <w:i/>
        </w:rPr>
        <w:t>supra</w:t>
      </w:r>
      <w:r w:rsidRPr="00E95958">
        <w:t xml:space="preserve"> note 11, para. 16. </w:t>
      </w:r>
    </w:p>
  </w:endnote>
  <w:endnote w:id="334">
    <w:p w14:paraId="72775F30" w14:textId="77777777" w:rsidR="002772C9" w:rsidRPr="00E95958" w:rsidRDefault="002772C9" w:rsidP="00E95958">
      <w:pPr>
        <w:pStyle w:val="EndnoteText"/>
        <w:ind w:left="-36" w:hanging="324"/>
      </w:pPr>
      <w:r w:rsidRPr="00E95958">
        <w:rPr>
          <w:vertAlign w:val="superscript"/>
        </w:rPr>
        <w:endnoteRef/>
      </w:r>
      <w:r w:rsidRPr="00E95958">
        <w:t xml:space="preserve"> OHCHR, </w:t>
      </w:r>
      <w:r w:rsidRPr="00E95958">
        <w:rPr>
          <w:i/>
        </w:rPr>
        <w:t>Thematic Study on the Issue of Violence Against Women and Girls and Disability</w:t>
      </w:r>
      <w:r w:rsidRPr="00E95958">
        <w:t xml:space="preserve">, </w:t>
      </w:r>
      <w:r w:rsidRPr="00E95958">
        <w:rPr>
          <w:i/>
        </w:rPr>
        <w:t>supra</w:t>
      </w:r>
      <w:r w:rsidRPr="00E95958">
        <w:t xml:space="preserve"> note 11, para. 16. </w:t>
      </w:r>
    </w:p>
  </w:endnote>
  <w:endnote w:id="335">
    <w:p w14:paraId="688BB83C" w14:textId="77777777" w:rsidR="002772C9" w:rsidRPr="00E95958" w:rsidRDefault="002772C9" w:rsidP="00E95958">
      <w:pPr>
        <w:pStyle w:val="EndnoteText"/>
        <w:ind w:left="-36" w:hanging="324"/>
      </w:pPr>
      <w:r w:rsidRPr="00E95958">
        <w:rPr>
          <w:vertAlign w:val="superscript"/>
        </w:rPr>
        <w:endnoteRef/>
      </w:r>
      <w:r w:rsidRPr="00E95958">
        <w:t xml:space="preserve"> OHCHR, </w:t>
      </w:r>
      <w:r w:rsidRPr="00E95958">
        <w:rPr>
          <w:i/>
        </w:rPr>
        <w:t>Thematic Study on the Issue of Violence Against Women and Girls and Disability</w:t>
      </w:r>
      <w:r w:rsidRPr="00E95958">
        <w:t xml:space="preserve">, </w:t>
      </w:r>
      <w:r w:rsidRPr="00E95958">
        <w:rPr>
          <w:i/>
        </w:rPr>
        <w:t>supra</w:t>
      </w:r>
      <w:r w:rsidRPr="00E95958">
        <w:t xml:space="preserve"> note 11, para. 14.</w:t>
      </w:r>
    </w:p>
  </w:endnote>
  <w:endnote w:id="336">
    <w:p w14:paraId="5327C31E" w14:textId="77777777" w:rsidR="002772C9" w:rsidRPr="00E95958" w:rsidRDefault="002772C9" w:rsidP="00E95958">
      <w:pPr>
        <w:pStyle w:val="EndnoteText"/>
        <w:ind w:left="-36" w:hanging="324"/>
      </w:pPr>
      <w:r w:rsidRPr="00E95958">
        <w:rPr>
          <w:vertAlign w:val="superscript"/>
        </w:rPr>
        <w:endnoteRef/>
      </w:r>
      <w:r w:rsidRPr="00E95958">
        <w:t xml:space="preserve"> OHCHR, </w:t>
      </w:r>
      <w:r w:rsidRPr="00E95958">
        <w:rPr>
          <w:i/>
        </w:rPr>
        <w:t>Thematic Study on the Issue of Violence Against Women and Girls and Disability</w:t>
      </w:r>
      <w:r w:rsidRPr="00E95958">
        <w:t xml:space="preserve">, </w:t>
      </w:r>
      <w:r w:rsidRPr="00E95958">
        <w:rPr>
          <w:i/>
        </w:rPr>
        <w:t>supra</w:t>
      </w:r>
      <w:r w:rsidRPr="00E95958">
        <w:t xml:space="preserve"> note 11, para. 17. </w:t>
      </w:r>
    </w:p>
  </w:endnote>
  <w:endnote w:id="337">
    <w:p w14:paraId="37753043" w14:textId="77777777" w:rsidR="002772C9" w:rsidRPr="00E95958" w:rsidRDefault="002772C9" w:rsidP="00E95958">
      <w:pPr>
        <w:pStyle w:val="EndnoteText"/>
        <w:ind w:left="-36" w:hanging="324"/>
      </w:pPr>
      <w:r w:rsidRPr="00E95958">
        <w:rPr>
          <w:vertAlign w:val="superscript"/>
        </w:rPr>
        <w:endnoteRef/>
      </w:r>
      <w:r w:rsidRPr="00E95958">
        <w:t xml:space="preserve">OHCHR, </w:t>
      </w:r>
      <w:r w:rsidRPr="00E95958">
        <w:rPr>
          <w:i/>
        </w:rPr>
        <w:t>Thematic Study on the Issue of Violence Against Women and Girls and Disability</w:t>
      </w:r>
      <w:r w:rsidRPr="00E95958">
        <w:t xml:space="preserve">, </w:t>
      </w:r>
      <w:r w:rsidRPr="00E95958">
        <w:rPr>
          <w:i/>
        </w:rPr>
        <w:t>supra</w:t>
      </w:r>
      <w:r w:rsidRPr="00E95958">
        <w:t xml:space="preserve"> note 11, para. 14. </w:t>
      </w:r>
    </w:p>
  </w:endnote>
  <w:endnote w:id="338">
    <w:p w14:paraId="25C9566E" w14:textId="77777777" w:rsidR="002772C9" w:rsidRPr="00E95958" w:rsidRDefault="002772C9" w:rsidP="00E95958">
      <w:pPr>
        <w:pStyle w:val="EndnoteText"/>
        <w:ind w:left="-36" w:hanging="324"/>
      </w:pPr>
      <w:r w:rsidRPr="00E95958">
        <w:rPr>
          <w:vertAlign w:val="superscript"/>
        </w:rPr>
        <w:endnoteRef/>
      </w:r>
      <w:r w:rsidRPr="00E95958">
        <w:t xml:space="preserve"> OHCHR, </w:t>
      </w:r>
      <w:r w:rsidRPr="00E95958">
        <w:rPr>
          <w:i/>
        </w:rPr>
        <w:t>Thematic Study on the Issue of Violence Against Women and Girls and Disability</w:t>
      </w:r>
      <w:r w:rsidRPr="00E95958">
        <w:t xml:space="preserve">, </w:t>
      </w:r>
      <w:r w:rsidRPr="00E95958">
        <w:rPr>
          <w:i/>
        </w:rPr>
        <w:t>supra</w:t>
      </w:r>
      <w:r w:rsidRPr="00E95958">
        <w:t xml:space="preserve"> note 11, para. 17.</w:t>
      </w:r>
    </w:p>
  </w:endnote>
  <w:endnote w:id="339">
    <w:p w14:paraId="38057681" w14:textId="77777777" w:rsidR="002772C9" w:rsidRPr="00E95958" w:rsidRDefault="002772C9" w:rsidP="00E95958">
      <w:pPr>
        <w:pStyle w:val="EndnoteText"/>
        <w:ind w:left="-36" w:hanging="324"/>
      </w:pPr>
      <w:r w:rsidRPr="00E95958">
        <w:rPr>
          <w:vertAlign w:val="superscript"/>
        </w:rPr>
        <w:endnoteRef/>
      </w:r>
      <w:r w:rsidRPr="00E95958">
        <w:t xml:space="preserve"> OHCHR, </w:t>
      </w:r>
      <w:r w:rsidRPr="00E95958">
        <w:rPr>
          <w:i/>
        </w:rPr>
        <w:t>Thematic Study on the Issue of Violence Against Women and Girls and Disability</w:t>
      </w:r>
      <w:r w:rsidRPr="00E95958">
        <w:t xml:space="preserve">, </w:t>
      </w:r>
      <w:r w:rsidRPr="00E95958">
        <w:rPr>
          <w:i/>
        </w:rPr>
        <w:t>supra</w:t>
      </w:r>
      <w:r w:rsidRPr="00E95958">
        <w:t xml:space="preserve"> note 314, paras. 16, 37. </w:t>
      </w:r>
    </w:p>
  </w:endnote>
  <w:endnote w:id="340">
    <w:p w14:paraId="49BB3695" w14:textId="5CB2A9DB"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See, e.g.</w:t>
      </w:r>
      <w:r w:rsidRPr="00E95958">
        <w:t xml:space="preserve">, </w:t>
      </w:r>
      <w:r w:rsidRPr="00E95958">
        <w:rPr>
          <w:smallCaps/>
        </w:rPr>
        <w:t>UNFPA Pacific Sub Regional Office, An Assessment of the State of Violence against Women in Fiji</w:t>
      </w:r>
      <w:r w:rsidRPr="00E95958">
        <w:t xml:space="preserve"> 33 (2008),</w:t>
      </w:r>
      <w:hyperlink r:id="rId90">
        <w:r w:rsidRPr="00E95958">
          <w:rPr>
            <w:rStyle w:val="Hyperlink"/>
          </w:rPr>
          <w:t>http://www.un.org/womenwatch/ianwge/taskforces/vaw/Fiji_VAW_Assessment_2008.pdf</w:t>
        </w:r>
      </w:hyperlink>
      <w:r w:rsidRPr="00E95958">
        <w:t>.</w:t>
      </w:r>
    </w:p>
  </w:endnote>
  <w:endnote w:id="341">
    <w:p w14:paraId="2E29C753"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Women with Disabilities Australia (WWDA), More than Just a Ramp: A Guide for Women’s Refuges to Develop Disability Discrimination Act Action Plans 48-73</w:t>
      </w:r>
      <w:r w:rsidRPr="00E95958">
        <w:t xml:space="preserve"> (2007), </w:t>
      </w:r>
      <w:hyperlink r:id="rId91">
        <w:r w:rsidRPr="00E95958">
          <w:rPr>
            <w:rStyle w:val="Hyperlink"/>
          </w:rPr>
          <w:t>http://wwda.org.au/wp-content/uploads/2013/12/More_Than_Just_A_Ramp.pdf</w:t>
        </w:r>
      </w:hyperlink>
      <w:r w:rsidRPr="00E95958">
        <w:t xml:space="preserve">.  </w:t>
      </w:r>
    </w:p>
  </w:endnote>
  <w:endnote w:id="342">
    <w:p w14:paraId="13D082C9"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 xml:space="preserve">Project CARE, Advocate Guide: Safety Planning for People with Disabilities </w:t>
      </w:r>
      <w:r w:rsidRPr="00E95958">
        <w:t xml:space="preserve">(2007), </w:t>
      </w:r>
      <w:r w:rsidRPr="00E95958">
        <w:rPr>
          <w:i/>
        </w:rPr>
        <w:t>available at</w:t>
      </w:r>
      <w:r w:rsidRPr="00E95958">
        <w:t xml:space="preserve"> </w:t>
      </w:r>
      <w:hyperlink r:id="rId92">
        <w:r w:rsidRPr="00E95958">
          <w:rPr>
            <w:rStyle w:val="Hyperlink"/>
          </w:rPr>
          <w:t>https://www.endabusepwd.org/publications/project-care-advocate-guide-safety-planning-disabilities/</w:t>
        </w:r>
      </w:hyperlink>
    </w:p>
  </w:endnote>
  <w:endnote w:id="343">
    <w:p w14:paraId="4136255F" w14:textId="77777777" w:rsidR="002772C9" w:rsidRPr="00E95958" w:rsidRDefault="002772C9" w:rsidP="00E95958">
      <w:pPr>
        <w:pStyle w:val="EndnoteText"/>
        <w:ind w:left="-36" w:hanging="324"/>
      </w:pPr>
      <w:r w:rsidRPr="00E95958">
        <w:rPr>
          <w:vertAlign w:val="superscript"/>
        </w:rPr>
        <w:endnoteRef/>
      </w:r>
      <w:r w:rsidRPr="00E95958">
        <w:t xml:space="preserve">OHCHR, </w:t>
      </w:r>
      <w:r w:rsidRPr="00E95958">
        <w:rPr>
          <w:i/>
        </w:rPr>
        <w:t>Thematic Study on the Issue of Violence Against Women and Girls and Disability</w:t>
      </w:r>
      <w:r w:rsidRPr="00E95958">
        <w:t xml:space="preserve">, </w:t>
      </w:r>
      <w:r w:rsidRPr="00E95958">
        <w:rPr>
          <w:i/>
        </w:rPr>
        <w:t>supra</w:t>
      </w:r>
      <w:r w:rsidRPr="00E95958">
        <w:t xml:space="preserve"> note 11, para. 36. </w:t>
      </w:r>
    </w:p>
  </w:endnote>
  <w:endnote w:id="344">
    <w:p w14:paraId="55448ADF"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 xml:space="preserve">Vera Institute, Measuring Capacity to Serve Survivors with Disabilities, </w:t>
      </w:r>
      <w:r w:rsidRPr="00E95958">
        <w:rPr>
          <w:i/>
        </w:rPr>
        <w:t xml:space="preserve">supra </w:t>
      </w:r>
      <w:r w:rsidRPr="00E95958">
        <w:t xml:space="preserve">note 305, at 34. </w:t>
      </w:r>
    </w:p>
  </w:endnote>
  <w:endnote w:id="345">
    <w:p w14:paraId="4190734A"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 xml:space="preserve">Vera Institute, Measuring Capacity to Serve Survivors with Disabilities, </w:t>
      </w:r>
      <w:r w:rsidRPr="00E95958">
        <w:rPr>
          <w:i/>
        </w:rPr>
        <w:t xml:space="preserve">supra </w:t>
      </w:r>
      <w:r w:rsidRPr="00E95958">
        <w:t>note 305, at 37-38.</w:t>
      </w:r>
    </w:p>
  </w:endnote>
  <w:endnote w:id="346">
    <w:p w14:paraId="5DA3B566"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 xml:space="preserve">Vera Institute, Measuring Capacity to Serve Survivors with Disabilities, </w:t>
      </w:r>
      <w:r w:rsidRPr="00E95958">
        <w:rPr>
          <w:i/>
        </w:rPr>
        <w:t xml:space="preserve">supra </w:t>
      </w:r>
      <w:r w:rsidRPr="00E95958">
        <w:t xml:space="preserve">note 305, at 34. </w:t>
      </w:r>
    </w:p>
  </w:endnote>
  <w:endnote w:id="347">
    <w:p w14:paraId="6C72E9E3" w14:textId="77777777" w:rsidR="002772C9" w:rsidRPr="00E95958" w:rsidRDefault="002772C9" w:rsidP="00E95958">
      <w:pPr>
        <w:pStyle w:val="EndnoteText"/>
        <w:ind w:left="-36" w:hanging="324"/>
      </w:pPr>
      <w:r w:rsidRPr="00E95958">
        <w:rPr>
          <w:vertAlign w:val="superscript"/>
        </w:rPr>
        <w:endnoteRef/>
      </w:r>
      <w:r w:rsidRPr="00E95958">
        <w:t xml:space="preserve"> CRPD, </w:t>
      </w:r>
      <w:r w:rsidRPr="00E95958">
        <w:rPr>
          <w:i/>
        </w:rPr>
        <w:t>supra</w:t>
      </w:r>
      <w:r w:rsidRPr="00E95958">
        <w:t xml:space="preserve"> note 117, art. 26; CEDAW Committee, </w:t>
      </w:r>
      <w:r w:rsidRPr="00E95958">
        <w:rPr>
          <w:i/>
        </w:rPr>
        <w:t xml:space="preserve">Concluding Observations: Jordan; </w:t>
      </w:r>
      <w:r w:rsidRPr="00E95958">
        <w:t xml:space="preserve">para. 28, 40, U.N. Doc. CEDAW/C/JOR/CO/5 (2012); Declaration on the Elimination of Violence Against Women, art. 4(g), G.A. Res. 48/104, U.N. Doc. A/RES/48/104 (Dec. 20, 1993). </w:t>
      </w:r>
    </w:p>
  </w:endnote>
  <w:endnote w:id="348">
    <w:p w14:paraId="0F838F85"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 xml:space="preserve">See </w:t>
      </w:r>
      <w:r w:rsidRPr="00E95958">
        <w:rPr>
          <w:smallCaps/>
        </w:rPr>
        <w:t>Essential Services for Women and Girls Subject to Violence (Module 4),</w:t>
      </w:r>
      <w:r w:rsidRPr="00E95958">
        <w:rPr>
          <w:i/>
        </w:rPr>
        <w:t xml:space="preserve"> supra </w:t>
      </w:r>
      <w:r w:rsidRPr="00E95958">
        <w:t xml:space="preserve">note 118, at 10. </w:t>
      </w:r>
    </w:p>
  </w:endnote>
  <w:endnote w:id="349">
    <w:p w14:paraId="4525A414" w14:textId="77777777" w:rsidR="002772C9" w:rsidRPr="00E95958" w:rsidRDefault="002772C9" w:rsidP="00E95958">
      <w:pPr>
        <w:pStyle w:val="EndnoteText"/>
        <w:ind w:left="-36" w:hanging="324"/>
      </w:pPr>
      <w:r w:rsidRPr="00E95958">
        <w:rPr>
          <w:vertAlign w:val="superscript"/>
        </w:rPr>
        <w:endnoteRef/>
      </w:r>
      <w:r w:rsidRPr="00E95958">
        <w:t xml:space="preserve"> Human Rights Committee, </w:t>
      </w:r>
      <w:r w:rsidRPr="00E95958">
        <w:rPr>
          <w:i/>
        </w:rPr>
        <w:t>Concluding Observations: Angola</w:t>
      </w:r>
      <w:r w:rsidRPr="00E95958">
        <w:t xml:space="preserve">, para. 10, U.N. Doc. CCPR/C/AGO/CO/1 (2013); </w:t>
      </w:r>
      <w:r w:rsidRPr="00E95958">
        <w:rPr>
          <w:i/>
        </w:rPr>
        <w:t>Ireland</w:t>
      </w:r>
      <w:r w:rsidRPr="00E95958">
        <w:t xml:space="preserve">, para. 9, U.N. Doc. CCPR/C/IRL/CO/3 (2008); </w:t>
      </w:r>
      <w:r w:rsidRPr="00E95958">
        <w:rPr>
          <w:i/>
        </w:rPr>
        <w:t>Japan</w:t>
      </w:r>
      <w:r w:rsidRPr="00E95958">
        <w:t xml:space="preserve">, para. 15, U.N. Doc. CCPR/C/JPN/CO/5 (2008); </w:t>
      </w:r>
      <w:r w:rsidRPr="00E95958">
        <w:rPr>
          <w:i/>
        </w:rPr>
        <w:t>Kyrgyz Republic</w:t>
      </w:r>
      <w:r w:rsidRPr="00E95958">
        <w:t xml:space="preserve">, para. 14, U.N. Doc. CCPR/CO/69/KGZ (2000); </w:t>
      </w:r>
      <w:r w:rsidRPr="00E95958">
        <w:rPr>
          <w:i/>
        </w:rPr>
        <w:t>Maldives</w:t>
      </w:r>
      <w:r w:rsidRPr="00E95958">
        <w:t xml:space="preserve">, para. 11; U.N. Doc. CCPR/C/MDV/CO/1 (2012); </w:t>
      </w:r>
      <w:r w:rsidRPr="00E95958">
        <w:rPr>
          <w:i/>
        </w:rPr>
        <w:t>Mexico</w:t>
      </w:r>
      <w:r w:rsidRPr="00E95958">
        <w:t>, para. 8; U.N. Doc. CCPR/C/MEX/CO/5 (2010);</w:t>
      </w:r>
      <w:r w:rsidRPr="00E95958">
        <w:rPr>
          <w:i/>
        </w:rPr>
        <w:t xml:space="preserve"> Ukraine</w:t>
      </w:r>
      <w:r w:rsidRPr="00E95958">
        <w:t xml:space="preserve">, para. 10, U.N. Doc. CCPR/C/UKR/CO/6 (2006); </w:t>
      </w:r>
      <w:r w:rsidRPr="00E95958">
        <w:rPr>
          <w:i/>
        </w:rPr>
        <w:t>United States</w:t>
      </w:r>
      <w:r w:rsidRPr="00E95958">
        <w:t>, para. 16, U.N. Doc. CCPR/C/USA/CO/4 (2014).</w:t>
      </w:r>
    </w:p>
  </w:endnote>
  <w:endnote w:id="350">
    <w:p w14:paraId="50146709"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See</w:t>
      </w:r>
      <w:r w:rsidRPr="00E95958">
        <w:t xml:space="preserve"> </w:t>
      </w:r>
      <w:r w:rsidRPr="00E95958">
        <w:rPr>
          <w:smallCaps/>
        </w:rPr>
        <w:t>UNFPA, Implementation of the International and Regional Human Rights Framework for the Elimination of Female Genital Mutilation</w:t>
      </w:r>
      <w:r w:rsidRPr="00E95958">
        <w:t xml:space="preserve"> 33 (Nov. 2014), </w:t>
      </w:r>
      <w:hyperlink r:id="rId93">
        <w:r w:rsidRPr="00E95958">
          <w:rPr>
            <w:rStyle w:val="Hyperlink"/>
          </w:rPr>
          <w:t>https://www.unfpa.org/sites/default/files/pub-pdf/FGMC-humanrights.pdf</w:t>
        </w:r>
      </w:hyperlink>
      <w:r w:rsidRPr="00E95958">
        <w:t xml:space="preserve">  [hereinafter </w:t>
      </w:r>
      <w:r w:rsidRPr="00E95958">
        <w:rPr>
          <w:smallCaps/>
        </w:rPr>
        <w:t xml:space="preserve">UNFPA, Human Rights Framework for the Elimination of Female Genital Mutilation]. </w:t>
      </w:r>
    </w:p>
  </w:endnote>
  <w:endnote w:id="351">
    <w:p w14:paraId="39C1A0F5"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 xml:space="preserve">IASC Reference Group for Mental Health and Psychosocial Support in Emergency Settings, IASC Guidelines on Mental Health and Psychosocial Support in Humanitarian Emergencies: What Humanitarian Health Actors Should Know? 1 </w:t>
      </w:r>
      <w:r w:rsidRPr="00E95958">
        <w:t xml:space="preserve">(2010), </w:t>
      </w:r>
      <w:hyperlink r:id="rId94">
        <w:r w:rsidRPr="00E95958">
          <w:rPr>
            <w:rStyle w:val="Hyperlink"/>
          </w:rPr>
          <w:t>https://interagencystandingcommittee.org/system/files/legacy_files/IASC%20RG%20doc%20health%20audience.pdf</w:t>
        </w:r>
      </w:hyperlink>
      <w:r w:rsidRPr="00E95958">
        <w:t xml:space="preserve">. </w:t>
      </w:r>
    </w:p>
  </w:endnote>
  <w:endnote w:id="352">
    <w:p w14:paraId="5448A4EE"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See</w:t>
      </w:r>
      <w:r w:rsidRPr="00E95958">
        <w:t xml:space="preserve"> </w:t>
      </w:r>
      <w:r w:rsidRPr="00E95958">
        <w:rPr>
          <w:smallCaps/>
        </w:rPr>
        <w:t>Essential Services for Women and Girls Subject to Violence (Module 4),</w:t>
      </w:r>
      <w:r w:rsidRPr="00E95958">
        <w:rPr>
          <w:i/>
        </w:rPr>
        <w:t xml:space="preserve"> supra </w:t>
      </w:r>
      <w:r w:rsidRPr="00E95958">
        <w:t xml:space="preserve">note 118, at 15. </w:t>
      </w:r>
    </w:p>
  </w:endnote>
  <w:endnote w:id="353">
    <w:p w14:paraId="01EC14B5"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See</w:t>
      </w:r>
      <w:r w:rsidRPr="00E95958">
        <w:t xml:space="preserve"> </w:t>
      </w:r>
      <w:r w:rsidRPr="00E95958">
        <w:rPr>
          <w:smallCaps/>
        </w:rPr>
        <w:t>Essential Services for Women and Girls Subject to Violence (Module 4),</w:t>
      </w:r>
      <w:r w:rsidRPr="00E95958">
        <w:rPr>
          <w:i/>
        </w:rPr>
        <w:t xml:space="preserve"> supra </w:t>
      </w:r>
      <w:r w:rsidRPr="00E95958">
        <w:t>note 118, at 15.</w:t>
      </w:r>
    </w:p>
  </w:endnote>
  <w:endnote w:id="354">
    <w:p w14:paraId="58E319DA"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Illinois Imagines Project, Our Rights, Right Now: Women with Disabilities and Sexual Violence Education Guide</w:t>
      </w:r>
      <w:r w:rsidRPr="00E95958">
        <w:t xml:space="preserve"> (May 2010), </w:t>
      </w:r>
      <w:hyperlink r:id="rId95">
        <w:r w:rsidRPr="00E95958">
          <w:rPr>
            <w:rStyle w:val="Hyperlink"/>
          </w:rPr>
          <w:t>http://www.icasa.org/docs/illinois%20imagines/mini%20module%204%20education%20guide.pdf</w:t>
        </w:r>
      </w:hyperlink>
      <w:r w:rsidRPr="00E95958">
        <w:t>.</w:t>
      </w:r>
    </w:p>
  </w:endnote>
  <w:endnote w:id="355">
    <w:p w14:paraId="1B639F95"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See</w:t>
      </w:r>
      <w:r w:rsidRPr="00E95958">
        <w:rPr>
          <w:i/>
          <w:smallCaps/>
        </w:rPr>
        <w:t xml:space="preserve"> </w:t>
      </w:r>
      <w:r w:rsidRPr="00E95958">
        <w:rPr>
          <w:smallCaps/>
        </w:rPr>
        <w:t>Essential Services for Women and Girls Subject to Violence (Module 4),</w:t>
      </w:r>
      <w:r w:rsidRPr="00E95958">
        <w:rPr>
          <w:i/>
        </w:rPr>
        <w:t xml:space="preserve"> supra </w:t>
      </w:r>
      <w:r w:rsidRPr="00E95958">
        <w:t xml:space="preserve">note 118, at 17. </w:t>
      </w:r>
    </w:p>
  </w:endnote>
  <w:endnote w:id="356">
    <w:p w14:paraId="57EDEA60"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UNFPA, Addressing Violence,</w:t>
      </w:r>
      <w:r w:rsidRPr="00E95958">
        <w:t xml:space="preserve"> </w:t>
      </w:r>
      <w:r w:rsidRPr="00E95958">
        <w:rPr>
          <w:i/>
        </w:rPr>
        <w:t xml:space="preserve">supra </w:t>
      </w:r>
      <w:r w:rsidRPr="00E95958">
        <w:t>note 274, at 44-45.</w:t>
      </w:r>
    </w:p>
  </w:endnote>
  <w:endnote w:id="357">
    <w:p w14:paraId="5D453725"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See</w:t>
      </w:r>
      <w:r w:rsidRPr="00E95958">
        <w:t xml:space="preserve"> </w:t>
      </w:r>
      <w:r w:rsidRPr="00E95958">
        <w:rPr>
          <w:smallCaps/>
        </w:rPr>
        <w:t>UNFPA, Addressing Violence,</w:t>
      </w:r>
      <w:r w:rsidRPr="00E95958">
        <w:t xml:space="preserve"> </w:t>
      </w:r>
      <w:r w:rsidRPr="00E95958">
        <w:rPr>
          <w:i/>
        </w:rPr>
        <w:t xml:space="preserve">supra </w:t>
      </w:r>
      <w:r w:rsidRPr="00E95958">
        <w:t>note 274, at 9.</w:t>
      </w:r>
    </w:p>
  </w:endnote>
  <w:endnote w:id="358">
    <w:p w14:paraId="43617137"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highlight w:val="white"/>
        </w:rPr>
        <w:t>Wisconsin's Violence Against Women with Disabilities and Deaf Women Project, A Practical Guide for Creating Trauma-Informed Disability, Domestic Violence and Sexual Assault Organizations</w:t>
      </w:r>
      <w:r w:rsidRPr="00E95958">
        <w:rPr>
          <w:highlight w:val="white"/>
        </w:rPr>
        <w:t xml:space="preserve"> (Dec. 2011), </w:t>
      </w:r>
      <w:r w:rsidRPr="00E95958">
        <w:rPr>
          <w:i/>
          <w:highlight w:val="white"/>
        </w:rPr>
        <w:t xml:space="preserve">available at </w:t>
      </w:r>
      <w:hyperlink r:id="rId96">
        <w:r w:rsidRPr="00E95958">
          <w:rPr>
            <w:rStyle w:val="Hyperlink"/>
            <w:highlight w:val="white"/>
          </w:rPr>
          <w:t>https://www.endabusepwd.org/publications/guide-for-creating-trauma-informed-organizations/</w:t>
        </w:r>
      </w:hyperlink>
      <w:r w:rsidRPr="00E95958">
        <w:t xml:space="preserve">. </w:t>
      </w:r>
    </w:p>
  </w:endnote>
  <w:endnote w:id="359">
    <w:p w14:paraId="0C411E9B" w14:textId="1F0F3892" w:rsidR="002772C9" w:rsidRPr="00E95958" w:rsidRDefault="002772C9" w:rsidP="00E95958">
      <w:pPr>
        <w:pStyle w:val="EndnoteText"/>
        <w:ind w:left="-36" w:hanging="324"/>
      </w:pPr>
      <w:r w:rsidRPr="00E95958">
        <w:rPr>
          <w:vertAlign w:val="superscript"/>
        </w:rPr>
        <w:endnoteRef/>
      </w:r>
      <w:r w:rsidRPr="00E95958">
        <w:rPr>
          <w:smallCaps/>
        </w:rPr>
        <w:t xml:space="preserve">  Women’s Refugee Commission (WRC) and International Rescue Committee (IRC), Building Capacity for Disability Inclusion in Gender-Based Violence Programming in Humanitarian Settings: Toolkit for GBV Practitioners</w:t>
      </w:r>
      <w:r w:rsidRPr="00E95958">
        <w:t xml:space="preserve"> (2015), </w:t>
      </w:r>
      <w:hyperlink r:id="rId97" w:history="1">
        <w:r w:rsidRPr="00612242">
          <w:rPr>
            <w:rStyle w:val="Hyperlink"/>
          </w:rPr>
          <w:t>https://www.womensrefugeecommission.org/?option=com_zdocs&amp;view=document&amp;id=1173</w:t>
        </w:r>
      </w:hyperlink>
      <w:r>
        <w:rPr>
          <w:color w:val="2200FF"/>
        </w:rPr>
        <w:t xml:space="preserve"> </w:t>
      </w:r>
      <w:r w:rsidRPr="00F3261F">
        <w:rPr>
          <w:b/>
          <w:bCs/>
          <w:color w:val="2200FF"/>
        </w:rPr>
        <w:t xml:space="preserve"> </w:t>
      </w:r>
      <w:r w:rsidRPr="00E95958">
        <w:t xml:space="preserve">[hereinafter </w:t>
      </w:r>
      <w:r w:rsidRPr="00E95958">
        <w:rPr>
          <w:smallCaps/>
        </w:rPr>
        <w:t>WRC &amp; IRC, Toolkit for GBV Practitioners</w:t>
      </w:r>
      <w:r w:rsidRPr="00E95958">
        <w:t xml:space="preserve">]. </w:t>
      </w:r>
      <w:r w:rsidRPr="00E95958">
        <w:rPr>
          <w:smallCaps/>
        </w:rPr>
        <w:t xml:space="preserve"> </w:t>
      </w:r>
    </w:p>
  </w:endnote>
  <w:endnote w:id="360">
    <w:p w14:paraId="393FC8B2"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See</w:t>
      </w:r>
      <w:r w:rsidRPr="00E95958">
        <w:t xml:space="preserve"> </w:t>
      </w:r>
      <w:r w:rsidRPr="00E95958">
        <w:rPr>
          <w:smallCaps/>
        </w:rPr>
        <w:t>Essential Services for Women and Girls Subject to Violence (Module 4),</w:t>
      </w:r>
      <w:r w:rsidRPr="00E95958">
        <w:rPr>
          <w:i/>
        </w:rPr>
        <w:t xml:space="preserve"> supra </w:t>
      </w:r>
      <w:r w:rsidRPr="00E95958">
        <w:t>note 118, at 15.</w:t>
      </w:r>
    </w:p>
  </w:endnote>
  <w:endnote w:id="361">
    <w:p w14:paraId="5F032AD4"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Essential Services for Women and Girls Subject to Violence (Module 4),</w:t>
      </w:r>
      <w:r w:rsidRPr="00E95958">
        <w:rPr>
          <w:i/>
        </w:rPr>
        <w:t xml:space="preserve"> supra </w:t>
      </w:r>
      <w:r w:rsidRPr="00E95958">
        <w:t xml:space="preserve">note 118, at 17. </w:t>
      </w:r>
    </w:p>
  </w:endnote>
  <w:endnote w:id="362">
    <w:p w14:paraId="178F02E0" w14:textId="77777777" w:rsidR="002772C9" w:rsidRPr="00E95958" w:rsidRDefault="002772C9" w:rsidP="00E95958">
      <w:pPr>
        <w:pStyle w:val="EndnoteText"/>
        <w:ind w:left="-36" w:hanging="324"/>
      </w:pPr>
      <w:r w:rsidRPr="00E95958">
        <w:rPr>
          <w:vertAlign w:val="superscript"/>
        </w:rPr>
        <w:endnoteRef/>
      </w:r>
      <w:r w:rsidRPr="00E95958">
        <w:rPr>
          <w:smallCaps/>
        </w:rPr>
        <w:t xml:space="preserve"> IASC Reference Group for Mental Health and Psychosocial Support in Emergency Settings, IASC Guidelines on Mental Health and Psychosocial Support in Humanitarian Emergencies: What Humanitarian Health Actors Should Know? 3 </w:t>
      </w:r>
      <w:r w:rsidRPr="00E95958">
        <w:t xml:space="preserve">(2010), </w:t>
      </w:r>
      <w:hyperlink r:id="rId98">
        <w:r w:rsidRPr="00E95958">
          <w:rPr>
            <w:rStyle w:val="Hyperlink"/>
          </w:rPr>
          <w:t>https://interagencystandingcommittee.org/system/files/legacy_files/IASC%20RG%20doc%20health%20audience.pdf</w:t>
        </w:r>
      </w:hyperlink>
      <w:r w:rsidRPr="00E95958">
        <w:t>.</w:t>
      </w:r>
    </w:p>
  </w:endnote>
  <w:endnote w:id="363">
    <w:p w14:paraId="646E0884" w14:textId="77777777" w:rsidR="002772C9" w:rsidRPr="00E95958" w:rsidRDefault="002772C9" w:rsidP="00E95958">
      <w:pPr>
        <w:pStyle w:val="EndnoteText"/>
        <w:ind w:left="-36" w:hanging="324"/>
        <w:rPr>
          <w:i/>
        </w:rPr>
      </w:pPr>
      <w:r w:rsidRPr="00E95958">
        <w:rPr>
          <w:vertAlign w:val="superscript"/>
        </w:rPr>
        <w:endnoteRef/>
      </w:r>
      <w:r w:rsidRPr="00E95958">
        <w:t xml:space="preserve"> IASC, </w:t>
      </w:r>
      <w:r w:rsidRPr="00E95958">
        <w:rPr>
          <w:smallCaps/>
        </w:rPr>
        <w:t>Mental Health and Psychosocial Support</w:t>
      </w:r>
      <w:r w:rsidRPr="00E95958">
        <w:rPr>
          <w:i/>
          <w:smallCaps/>
        </w:rPr>
        <w:t xml:space="preserve">, </w:t>
      </w:r>
      <w:r w:rsidRPr="00E95958">
        <w:rPr>
          <w:i/>
        </w:rPr>
        <w:t>supra</w:t>
      </w:r>
      <w:r w:rsidRPr="00E95958">
        <w:t xml:space="preserve"> note 361, at 3. </w:t>
      </w:r>
      <w:r w:rsidRPr="00E95958">
        <w:rPr>
          <w:i/>
          <w:smallCaps/>
        </w:rPr>
        <w:t xml:space="preserve"> </w:t>
      </w:r>
    </w:p>
  </w:endnote>
  <w:endnote w:id="364">
    <w:p w14:paraId="6C49922F"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 xml:space="preserve">Vera Institute, Measuring Capacity to Serve Survivors with Disabilities, </w:t>
      </w:r>
      <w:r w:rsidRPr="00E95958">
        <w:rPr>
          <w:i/>
        </w:rPr>
        <w:t xml:space="preserve">supra </w:t>
      </w:r>
      <w:r w:rsidRPr="00E95958">
        <w:t>note 305, at 31.</w:t>
      </w:r>
    </w:p>
  </w:endnote>
  <w:endnote w:id="365">
    <w:p w14:paraId="5D79F3EF" w14:textId="77777777" w:rsidR="002772C9" w:rsidRPr="00E95958" w:rsidRDefault="002772C9" w:rsidP="00E95958">
      <w:pPr>
        <w:pStyle w:val="EndnoteText"/>
        <w:ind w:left="-36" w:hanging="324"/>
      </w:pPr>
      <w:r w:rsidRPr="00E95958">
        <w:rPr>
          <w:vertAlign w:val="superscript"/>
        </w:rPr>
        <w:endnoteRef/>
      </w:r>
      <w:r w:rsidRPr="00E95958">
        <w:rPr>
          <w:i/>
        </w:rPr>
        <w:t xml:space="preserve">Disabilities and Rehabilitation: Violence Against Adults and Children with Disabilities, </w:t>
      </w:r>
      <w:r w:rsidRPr="00E95958">
        <w:rPr>
          <w:smallCaps/>
        </w:rPr>
        <w:t>WHO (</w:t>
      </w:r>
      <w:r w:rsidRPr="00E95958">
        <w:t>l</w:t>
      </w:r>
      <w:r w:rsidRPr="00E95958">
        <w:rPr>
          <w:smallCaps/>
        </w:rPr>
        <w:t xml:space="preserve">2017), </w:t>
      </w:r>
      <w:hyperlink r:id="rId99">
        <w:r w:rsidRPr="00E95958">
          <w:rPr>
            <w:rStyle w:val="Hyperlink"/>
          </w:rPr>
          <w:t>http://www.who.int/disabilities/violence/en/</w:t>
        </w:r>
      </w:hyperlink>
      <w:r w:rsidRPr="00E95958">
        <w:t xml:space="preserve">  (hereinafter WHO, </w:t>
      </w:r>
      <w:r w:rsidRPr="00E95958">
        <w:rPr>
          <w:i/>
        </w:rPr>
        <w:t>Violence Against Adults and Children with Disabilities</w:t>
      </w:r>
      <w:r w:rsidRPr="00E95958">
        <w:t>] (“</w:t>
      </w:r>
      <w:r w:rsidRPr="00E95958">
        <w:rPr>
          <w:highlight w:val="white"/>
        </w:rPr>
        <w:t xml:space="preserve">Placement of people with disabilities in institutions also increases their vulnerability to violence. In these settings and elsewhere, people with communication impairments are hampered in their ability to disclose abusive experiences”); </w:t>
      </w:r>
      <w:r w:rsidRPr="00E95958">
        <w:t xml:space="preserve">OHCHR, </w:t>
      </w:r>
      <w:r w:rsidRPr="00E95958">
        <w:rPr>
          <w:i/>
        </w:rPr>
        <w:t>Thematic Study on the Issue of Violence Against Women and Girls and Disability</w:t>
      </w:r>
      <w:r w:rsidRPr="00E95958">
        <w:t xml:space="preserve">, </w:t>
      </w:r>
      <w:r w:rsidRPr="00E95958">
        <w:rPr>
          <w:i/>
        </w:rPr>
        <w:t>supra</w:t>
      </w:r>
      <w:r w:rsidRPr="00E95958">
        <w:t xml:space="preserve"> note 11, para. 15. </w:t>
      </w:r>
    </w:p>
  </w:endnote>
  <w:endnote w:id="366">
    <w:p w14:paraId="2A8FF02B" w14:textId="77777777" w:rsidR="002772C9" w:rsidRPr="00E95958" w:rsidRDefault="002772C9" w:rsidP="00E95958">
      <w:pPr>
        <w:pStyle w:val="EndnoteText"/>
        <w:ind w:left="-36" w:hanging="324"/>
      </w:pPr>
      <w:r w:rsidRPr="00E95958">
        <w:rPr>
          <w:vertAlign w:val="superscript"/>
        </w:rPr>
        <w:endnoteRef/>
      </w:r>
      <w:r w:rsidRPr="00E95958">
        <w:t xml:space="preserve"> Report on the situation of minority women in the European Union </w:t>
      </w:r>
      <w:r w:rsidRPr="00E95958">
        <w:rPr>
          <w:smallCaps/>
        </w:rPr>
        <w:t>(</w:t>
      </w:r>
      <w:r w:rsidRPr="00E95958">
        <w:t xml:space="preserve">(2003/2109(INI)), </w:t>
      </w:r>
      <w:r w:rsidRPr="00E95958">
        <w:rPr>
          <w:smallCaps/>
        </w:rPr>
        <w:t xml:space="preserve">Eur. Parl. Doc. (A5-0102/2004) 13 </w:t>
      </w:r>
      <w:r w:rsidRPr="00E95958">
        <w:t xml:space="preserve">(Feb. 24, 2004), </w:t>
      </w:r>
      <w:hyperlink r:id="rId100">
        <w:r w:rsidRPr="00E95958">
          <w:rPr>
            <w:rStyle w:val="Hyperlink"/>
          </w:rPr>
          <w:t>http://www.europarl.europa.eu/sides/getDoc.do?pubRef=-//EP//NONSGML+REPORT+A5-2004-0102+0+DOC+PDF+V0//EN</w:t>
        </w:r>
      </w:hyperlink>
      <w:r w:rsidRPr="00E95958">
        <w:t>.</w:t>
      </w:r>
    </w:p>
  </w:endnote>
  <w:endnote w:id="367">
    <w:p w14:paraId="6EFD5B03" w14:textId="77777777" w:rsidR="002772C9" w:rsidRPr="00E95958" w:rsidRDefault="002772C9" w:rsidP="00E95958">
      <w:pPr>
        <w:pStyle w:val="EndnoteText"/>
        <w:ind w:left="-36" w:hanging="324"/>
      </w:pPr>
      <w:r w:rsidRPr="00E95958">
        <w:rPr>
          <w:vertAlign w:val="superscript"/>
        </w:rPr>
        <w:endnoteRef/>
      </w:r>
      <w:r w:rsidRPr="00E95958">
        <w:t xml:space="preserve"> Report on the situation of minority women in the European Union, </w:t>
      </w:r>
      <w:r w:rsidRPr="00E95958">
        <w:rPr>
          <w:i/>
        </w:rPr>
        <w:t>supra</w:t>
      </w:r>
      <w:r w:rsidRPr="00E95958">
        <w:t xml:space="preserve"> note 365, at 13. </w:t>
      </w:r>
    </w:p>
  </w:endnote>
  <w:endnote w:id="368">
    <w:p w14:paraId="0899878A" w14:textId="77777777" w:rsidR="002772C9" w:rsidRPr="00E95958" w:rsidRDefault="002772C9" w:rsidP="00E95958">
      <w:pPr>
        <w:pStyle w:val="EndnoteText"/>
        <w:ind w:left="-36" w:hanging="324"/>
      </w:pPr>
      <w:r w:rsidRPr="00E95958">
        <w:rPr>
          <w:vertAlign w:val="superscript"/>
        </w:rPr>
        <w:endnoteRef/>
      </w:r>
      <w:r w:rsidRPr="00E95958">
        <w:t xml:space="preserve"> CRPD, </w:t>
      </w:r>
      <w:r w:rsidRPr="00E95958">
        <w:rPr>
          <w:i/>
        </w:rPr>
        <w:t xml:space="preserve">supra </w:t>
      </w:r>
      <w:r w:rsidRPr="00E95958">
        <w:t>note 228, at art. 16(3).</w:t>
      </w:r>
    </w:p>
  </w:endnote>
  <w:endnote w:id="369">
    <w:p w14:paraId="04F17FF2"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See</w:t>
      </w:r>
      <w:r w:rsidRPr="00E95958">
        <w:t xml:space="preserve"> </w:t>
      </w:r>
      <w:r w:rsidRPr="00E95958">
        <w:rPr>
          <w:smallCaps/>
        </w:rPr>
        <w:t>SOS Village Children, From a Whisper to a Shout: A Call to End Violence against Children in Alternative Care</w:t>
      </w:r>
      <w:r w:rsidRPr="00E95958">
        <w:t xml:space="preserve"> 11, </w:t>
      </w:r>
      <w:hyperlink r:id="rId101">
        <w:r w:rsidRPr="00E95958">
          <w:rPr>
            <w:rStyle w:val="Hyperlink"/>
          </w:rPr>
          <w:t>https://www.sos-childrensvillages.org/getmedia/345ec018-7dd1-4ad1-a387-48fdabfb7297/From-a-whisper-to-a-shout-A4-EN-WEB-final.pdf</w:t>
        </w:r>
      </w:hyperlink>
      <w:r w:rsidRPr="00E95958">
        <w:t xml:space="preserve"> [hereinafter </w:t>
      </w:r>
      <w:r w:rsidRPr="00E95958">
        <w:rPr>
          <w:smallCaps/>
        </w:rPr>
        <w:t>SOS Village,</w:t>
      </w:r>
      <w:r w:rsidRPr="00E95958">
        <w:t xml:space="preserve"> </w:t>
      </w:r>
      <w:r w:rsidRPr="00E95958">
        <w:rPr>
          <w:smallCaps/>
        </w:rPr>
        <w:t xml:space="preserve">From a Whisper to a Shout]. </w:t>
      </w:r>
    </w:p>
  </w:endnote>
  <w:endnote w:id="370">
    <w:p w14:paraId="3FC60CFA" w14:textId="77777777" w:rsidR="002772C9" w:rsidRPr="00E95958" w:rsidRDefault="002772C9" w:rsidP="00E95958">
      <w:pPr>
        <w:pStyle w:val="EndnoteText"/>
        <w:ind w:left="-36" w:hanging="324"/>
      </w:pPr>
      <w:r w:rsidRPr="00E95958">
        <w:rPr>
          <w:vertAlign w:val="superscript"/>
        </w:rPr>
        <w:endnoteRef/>
      </w:r>
      <w:r w:rsidRPr="00E95958">
        <w:t xml:space="preserve"> Juan E. Méndez (Special Rapporteur on Torture and Other Cruel, Inhuman or Degrading Treatment or Punishment), </w:t>
      </w:r>
      <w:r w:rsidRPr="00E95958">
        <w:rPr>
          <w:i/>
        </w:rPr>
        <w:t>Report of the Special Rapporteur on Torture and Other Cruel, Inhuman or Degrading Treatment or Punishment Juan E. Méndez</w:t>
      </w:r>
      <w:r w:rsidRPr="00E95958">
        <w:t xml:space="preserve">, UN Doc. A/HRC/28/68 (March 5, 2015), </w:t>
      </w:r>
      <w:hyperlink r:id="rId102">
        <w:r w:rsidRPr="00E95958">
          <w:rPr>
            <w:rStyle w:val="Hyperlink"/>
          </w:rPr>
          <w:t>http://www.ohchr.org/EN/HRBodies/HRC/RegularSessions/Session28/Documents/A_HRC_28_68_E.doc</w:t>
        </w:r>
      </w:hyperlink>
      <w:r w:rsidRPr="00E95958">
        <w:t xml:space="preserve"> [hereinafter </w:t>
      </w:r>
      <w:r w:rsidRPr="00E95958">
        <w:rPr>
          <w:i/>
        </w:rPr>
        <w:t>Report of the Special Rapporteur on Torture and Other Cruel, Inhuman or Degrading Treatment or Punishment Juan E. Méndez 2015]</w:t>
      </w:r>
      <w:r w:rsidRPr="00E95958">
        <w:t xml:space="preserve">. For more information applying the report to children with disabilities, Eric Rosenthal, </w:t>
      </w:r>
      <w:r w:rsidRPr="00E95958">
        <w:rPr>
          <w:i/>
        </w:rPr>
        <w:t>A Mandate to End Placement of Children in Institutions and Orphanages: The Duty of Governments and Donors to Prevent Segregation and Torture</w:t>
      </w:r>
      <w:r w:rsidRPr="00E95958">
        <w:t xml:space="preserve">, </w:t>
      </w:r>
      <w:r w:rsidRPr="00E95958">
        <w:rPr>
          <w:smallCaps/>
        </w:rPr>
        <w:t>1 Georgetown Law Human Rights Institute Perspectives on Human Rights 3</w:t>
      </w:r>
      <w:r w:rsidRPr="00E95958">
        <w:t xml:space="preserve"> (Jan 2017), </w:t>
      </w:r>
      <w:hyperlink r:id="rId103">
        <w:r w:rsidRPr="00E95958">
          <w:rPr>
            <w:rStyle w:val="Hyperlink"/>
          </w:rPr>
          <w:t>https://www.law.georgetown.edu/academics/centers-institutes/human-rights-institute/our-work/research/upload/Perspectives-on-Human-Rights-Rosenthal.pdf</w:t>
        </w:r>
      </w:hyperlink>
      <w:r w:rsidRPr="00E95958">
        <w:t>.</w:t>
      </w:r>
    </w:p>
  </w:endnote>
  <w:endnote w:id="371">
    <w:p w14:paraId="2BECB727" w14:textId="77777777" w:rsidR="002772C9" w:rsidRPr="00E95958" w:rsidRDefault="002772C9" w:rsidP="00E95958">
      <w:pPr>
        <w:pStyle w:val="EndnoteText"/>
        <w:ind w:left="-36" w:hanging="324"/>
      </w:pPr>
      <w:r w:rsidRPr="00E95958">
        <w:rPr>
          <w:vertAlign w:val="superscript"/>
        </w:rPr>
        <w:endnoteRef/>
      </w:r>
      <w:r w:rsidRPr="00E95958">
        <w:t xml:space="preserve"> OHCHR, </w:t>
      </w:r>
      <w:r w:rsidRPr="00E95958">
        <w:rPr>
          <w:i/>
        </w:rPr>
        <w:t>Thematic Study on the Issue of Violence Against Women and Girls and Disability</w:t>
      </w:r>
      <w:r w:rsidRPr="00E95958">
        <w:t xml:space="preserve">, </w:t>
      </w:r>
      <w:r w:rsidRPr="00E95958">
        <w:rPr>
          <w:i/>
        </w:rPr>
        <w:t>supra</w:t>
      </w:r>
      <w:r w:rsidRPr="00E95958">
        <w:t xml:space="preserve"> note 11, para. 38. </w:t>
      </w:r>
    </w:p>
  </w:endnote>
  <w:endnote w:id="372">
    <w:p w14:paraId="333B0EF6" w14:textId="77777777" w:rsidR="002772C9" w:rsidRPr="00E95958" w:rsidRDefault="002772C9" w:rsidP="00E95958">
      <w:pPr>
        <w:pStyle w:val="EndnoteText"/>
        <w:ind w:left="-36" w:hanging="324"/>
      </w:pPr>
      <w:r w:rsidRPr="00E95958">
        <w:rPr>
          <w:vertAlign w:val="superscript"/>
        </w:rPr>
        <w:endnoteRef/>
      </w:r>
      <w:r w:rsidRPr="00E95958">
        <w:t xml:space="preserve"> OHCHR, </w:t>
      </w:r>
      <w:r w:rsidRPr="00E95958">
        <w:rPr>
          <w:i/>
        </w:rPr>
        <w:t>Thematic Study on the Issue of Violence Against Women and Girls and Disability</w:t>
      </w:r>
      <w:r w:rsidRPr="00E95958">
        <w:t xml:space="preserve">, </w:t>
      </w:r>
      <w:r w:rsidRPr="00E95958">
        <w:rPr>
          <w:i/>
        </w:rPr>
        <w:t>supra</w:t>
      </w:r>
      <w:r w:rsidRPr="00E95958">
        <w:t xml:space="preserve"> note 11, para. 38.</w:t>
      </w:r>
    </w:p>
  </w:endnote>
  <w:endnote w:id="373">
    <w:p w14:paraId="7BB9CB41"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DisAbled Women’s Network (DAWN-RAFH) Canada, Factsheet: Women with Disabilities and Violence</w:t>
      </w:r>
      <w:r w:rsidRPr="00E95958">
        <w:t xml:space="preserve"> (Jan. 2014), </w:t>
      </w:r>
      <w:hyperlink r:id="rId104">
        <w:r w:rsidRPr="00E95958">
          <w:rPr>
            <w:rStyle w:val="Hyperlink"/>
          </w:rPr>
          <w:t>http://www.dawncanada.net/main/wp-content/uploads/2014/03/English-Violence-January-2014.pdf</w:t>
        </w:r>
      </w:hyperlink>
      <w:r w:rsidRPr="00E95958">
        <w:t>.</w:t>
      </w:r>
    </w:p>
  </w:endnote>
  <w:endnote w:id="374">
    <w:p w14:paraId="21B77F4A" w14:textId="77777777" w:rsidR="002772C9" w:rsidRPr="00E95958" w:rsidRDefault="002772C9" w:rsidP="00E95958">
      <w:pPr>
        <w:pStyle w:val="EndnoteText"/>
        <w:ind w:left="-36" w:hanging="324"/>
      </w:pPr>
      <w:r w:rsidRPr="00E95958">
        <w:rPr>
          <w:vertAlign w:val="superscript"/>
        </w:rPr>
        <w:endnoteRef/>
      </w:r>
      <w:r w:rsidRPr="00E95958">
        <w:t xml:space="preserve"> OHCHR, </w:t>
      </w:r>
      <w:r w:rsidRPr="00E95958">
        <w:rPr>
          <w:i/>
        </w:rPr>
        <w:t>Thematic Study on the Issue of Violence Against Women and Girls and Disability</w:t>
      </w:r>
      <w:r w:rsidRPr="00E95958">
        <w:t xml:space="preserve">, </w:t>
      </w:r>
      <w:r w:rsidRPr="00E95958">
        <w:rPr>
          <w:i/>
        </w:rPr>
        <w:t>supra</w:t>
      </w:r>
      <w:r w:rsidRPr="00E95958">
        <w:t xml:space="preserve"> note 11, para. 15. </w:t>
      </w:r>
    </w:p>
  </w:endnote>
  <w:endnote w:id="375">
    <w:p w14:paraId="179B0B55"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 xml:space="preserve">Disabilities and Rehabilitation: Violence Against Adults and Children with Disabilities, </w:t>
      </w:r>
      <w:r w:rsidRPr="00E95958">
        <w:rPr>
          <w:smallCaps/>
        </w:rPr>
        <w:t>WHO (</w:t>
      </w:r>
      <w:r w:rsidRPr="00E95958">
        <w:t xml:space="preserve">last updated </w:t>
      </w:r>
      <w:r w:rsidRPr="00E95958">
        <w:rPr>
          <w:smallCaps/>
        </w:rPr>
        <w:t>2017</w:t>
      </w:r>
      <w:r w:rsidRPr="00E95958">
        <w:rPr>
          <w:rStyle w:val="Hyperlink"/>
        </w:rPr>
        <w:t xml:space="preserve">), </w:t>
      </w:r>
      <w:hyperlink r:id="rId105">
        <w:r w:rsidRPr="00E95958">
          <w:rPr>
            <w:rStyle w:val="Hyperlink"/>
          </w:rPr>
          <w:t>http://www.who.int/disabilities/violence/en/</w:t>
        </w:r>
      </w:hyperlink>
      <w:r w:rsidRPr="00E95958">
        <w:t xml:space="preserve">. </w:t>
      </w:r>
    </w:p>
  </w:endnote>
  <w:endnote w:id="376">
    <w:p w14:paraId="320E805D" w14:textId="7C9063AF"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Sense, A Right to Friendship: Challenging the Barriers to Friendship for People with Disabilities</w:t>
      </w:r>
      <w:r w:rsidRPr="00E95958">
        <w:t xml:space="preserve"> 4 (2015), </w:t>
      </w:r>
      <w:hyperlink r:id="rId106" w:history="1">
        <w:r w:rsidRPr="00E95958">
          <w:rPr>
            <w:rStyle w:val="Hyperlink"/>
          </w:rPr>
          <w:t>https://www.sense.org.uk/sites/default/files/11636-FriendshipReport-Sngl-MR.pdf</w:t>
        </w:r>
      </w:hyperlink>
    </w:p>
  </w:endnote>
  <w:endnote w:id="377">
    <w:p w14:paraId="715F4A5F"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 xml:space="preserve">Sense, A Right to Friendship, </w:t>
      </w:r>
      <w:r w:rsidRPr="00E95958">
        <w:rPr>
          <w:i/>
        </w:rPr>
        <w:t>supra</w:t>
      </w:r>
      <w:r w:rsidRPr="00E95958">
        <w:t xml:space="preserve"> note 375, at 4. </w:t>
      </w:r>
    </w:p>
  </w:endnote>
  <w:endnote w:id="378">
    <w:p w14:paraId="6FB50F80" w14:textId="77777777" w:rsidR="002772C9" w:rsidRPr="00E95958" w:rsidRDefault="002772C9" w:rsidP="00E95958">
      <w:pPr>
        <w:pStyle w:val="EndnoteText"/>
        <w:ind w:left="-36" w:hanging="324"/>
        <w:rPr>
          <w:rStyle w:val="Hyperlink"/>
        </w:rPr>
      </w:pPr>
      <w:r w:rsidRPr="00E95958">
        <w:rPr>
          <w:vertAlign w:val="superscript"/>
        </w:rPr>
        <w:endnoteRef/>
      </w:r>
      <w:r w:rsidRPr="00E95958">
        <w:t xml:space="preserve"> </w:t>
      </w:r>
      <w:r w:rsidRPr="00E95958">
        <w:rPr>
          <w:smallCaps/>
        </w:rPr>
        <w:t>Lao Disabled Women’s Developmental Centre</w:t>
      </w:r>
      <w:r w:rsidRPr="00E95958">
        <w:t xml:space="preserve">, </w:t>
      </w:r>
      <w:hyperlink r:id="rId107">
        <w:r w:rsidRPr="00E95958">
          <w:rPr>
            <w:rStyle w:val="Hyperlink"/>
          </w:rPr>
          <w:t>http://laodisabledwomen.com/about-us-2/</w:t>
        </w:r>
      </w:hyperlink>
      <w:r w:rsidRPr="00E95958">
        <w:rPr>
          <w:rStyle w:val="Hyperlink"/>
        </w:rPr>
        <w:t xml:space="preserve"> </w:t>
      </w:r>
    </w:p>
  </w:endnote>
  <w:endnote w:id="379">
    <w:p w14:paraId="10209E69"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See</w:t>
      </w:r>
      <w:r w:rsidRPr="00E95958">
        <w:t xml:space="preserve"> </w:t>
      </w:r>
      <w:r w:rsidRPr="00E95958">
        <w:rPr>
          <w:i/>
        </w:rPr>
        <w:t>India: Women with Disabilities Locked Away and Abused: End Forced Institutionalization, Sexual and Physical Violence, Involuntary Treatment</w:t>
      </w:r>
      <w:r w:rsidRPr="00E95958">
        <w:t xml:space="preserve">, </w:t>
      </w:r>
      <w:r w:rsidRPr="00E95958">
        <w:rPr>
          <w:smallCaps/>
        </w:rPr>
        <w:t>Human Rights Watch</w:t>
      </w:r>
      <w:r w:rsidRPr="00E95958">
        <w:t xml:space="preserve">, Dec. 3, 2014 12:45AM EST, </w:t>
      </w:r>
      <w:hyperlink r:id="rId108">
        <w:r w:rsidRPr="00E95958">
          <w:rPr>
            <w:rStyle w:val="Hyperlink"/>
          </w:rPr>
          <w:t>https://www.hrw.org/news/2014/12/03/india-women-disabilities-locked-away-and-abused</w:t>
        </w:r>
      </w:hyperlink>
      <w:r w:rsidRPr="00E95958">
        <w:t>.</w:t>
      </w:r>
    </w:p>
  </w:endnote>
  <w:endnote w:id="380">
    <w:p w14:paraId="4E69CDD4"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DisAbled Women’s Network (DAWN-RAFH) Canada, Factsheet: Women with Disabilities and Violence</w:t>
      </w:r>
      <w:r w:rsidRPr="00E95958">
        <w:t xml:space="preserve"> (Jan. 2014), </w:t>
      </w:r>
      <w:hyperlink r:id="rId109">
        <w:r w:rsidRPr="00E95958">
          <w:rPr>
            <w:rStyle w:val="Hyperlink"/>
          </w:rPr>
          <w:t>http://www.dawncanada.net/main/wp-content/uploads/2014/03/English-Violence-January-2014.pdf</w:t>
        </w:r>
      </w:hyperlink>
      <w:r w:rsidRPr="00E95958">
        <w:t>.</w:t>
      </w:r>
    </w:p>
  </w:endnote>
  <w:endnote w:id="381">
    <w:p w14:paraId="4C0A13E2"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 xml:space="preserve">See </w:t>
      </w:r>
      <w:r w:rsidRPr="00E95958">
        <w:rPr>
          <w:smallCaps/>
        </w:rPr>
        <w:t>Priscila Rodriguez, et als., Disability Rights International, No Justice: Torture, Trafficking and Segregation in Mexico</w:t>
      </w:r>
      <w:r w:rsidRPr="00E95958">
        <w:t xml:space="preserve"> 16 (July 22, 2015), </w:t>
      </w:r>
      <w:hyperlink r:id="rId110">
        <w:r w:rsidRPr="00E95958">
          <w:rPr>
            <w:rStyle w:val="Hyperlink"/>
          </w:rPr>
          <w:t>https://www.driadvocacy.org/wp-content/uploads/Sin-Justicia-MexRep_21_Abr_english-1.pdf</w:t>
        </w:r>
      </w:hyperlink>
      <w:r w:rsidRPr="00E95958">
        <w:t xml:space="preserve"> [hereinafter </w:t>
      </w:r>
      <w:r w:rsidRPr="00E95958">
        <w:rPr>
          <w:smallCaps/>
        </w:rPr>
        <w:t>DRI, No Justice</w:t>
      </w:r>
      <w:r w:rsidRPr="00E95958">
        <w:t xml:space="preserve">]. </w:t>
      </w:r>
    </w:p>
  </w:endnote>
  <w:endnote w:id="382">
    <w:p w14:paraId="39A9A516"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See</w:t>
      </w:r>
      <w:r w:rsidRPr="00E95958">
        <w:t xml:space="preserve"> S</w:t>
      </w:r>
      <w:r w:rsidRPr="00E95958">
        <w:rPr>
          <w:smallCaps/>
        </w:rPr>
        <w:t>OS Village,</w:t>
      </w:r>
      <w:r w:rsidRPr="00E95958">
        <w:t xml:space="preserve"> </w:t>
      </w:r>
      <w:r w:rsidRPr="00E95958">
        <w:rPr>
          <w:smallCaps/>
        </w:rPr>
        <w:t xml:space="preserve">From a Whisper to a Shout, </w:t>
      </w:r>
      <w:r w:rsidRPr="00E95958">
        <w:rPr>
          <w:i/>
        </w:rPr>
        <w:t xml:space="preserve">supra </w:t>
      </w:r>
      <w:r w:rsidRPr="00E95958">
        <w:t xml:space="preserve">note 368, at 12-13. </w:t>
      </w:r>
    </w:p>
  </w:endnote>
  <w:endnote w:id="383">
    <w:p w14:paraId="3C2F0A9E"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See</w:t>
      </w:r>
      <w:r w:rsidRPr="00E95958">
        <w:t xml:space="preserve"> S</w:t>
      </w:r>
      <w:r w:rsidRPr="00E95958">
        <w:rPr>
          <w:smallCaps/>
        </w:rPr>
        <w:t>OS Village,</w:t>
      </w:r>
      <w:r w:rsidRPr="00E95958">
        <w:t xml:space="preserve"> </w:t>
      </w:r>
      <w:r w:rsidRPr="00E95958">
        <w:rPr>
          <w:smallCaps/>
        </w:rPr>
        <w:t xml:space="preserve">From a Whisper to a Shout, </w:t>
      </w:r>
      <w:r w:rsidRPr="00E95958">
        <w:rPr>
          <w:i/>
        </w:rPr>
        <w:t xml:space="preserve">supra </w:t>
      </w:r>
      <w:r w:rsidRPr="00E95958">
        <w:t xml:space="preserve">note 368, at 11. </w:t>
      </w:r>
    </w:p>
  </w:endnote>
  <w:endnote w:id="384">
    <w:p w14:paraId="73B73021"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See</w:t>
      </w:r>
      <w:r w:rsidRPr="00E95958">
        <w:t xml:space="preserve"> S</w:t>
      </w:r>
      <w:r w:rsidRPr="00E95958">
        <w:rPr>
          <w:smallCaps/>
        </w:rPr>
        <w:t>OS Village,</w:t>
      </w:r>
      <w:r w:rsidRPr="00E95958">
        <w:t xml:space="preserve"> </w:t>
      </w:r>
      <w:r w:rsidRPr="00E95958">
        <w:rPr>
          <w:smallCaps/>
        </w:rPr>
        <w:t xml:space="preserve">From a Whisper to a Shout, </w:t>
      </w:r>
      <w:r w:rsidRPr="00E95958">
        <w:rPr>
          <w:i/>
        </w:rPr>
        <w:t xml:space="preserve">supra </w:t>
      </w:r>
      <w:r w:rsidRPr="00E95958">
        <w:t>note 368, at 11.</w:t>
      </w:r>
    </w:p>
  </w:endnote>
  <w:endnote w:id="385">
    <w:p w14:paraId="55BE4EEF"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See</w:t>
      </w:r>
      <w:r w:rsidRPr="00E95958">
        <w:t xml:space="preserve"> S</w:t>
      </w:r>
      <w:r w:rsidRPr="00E95958">
        <w:rPr>
          <w:smallCaps/>
        </w:rPr>
        <w:t>OS Village,</w:t>
      </w:r>
      <w:r w:rsidRPr="00E95958">
        <w:t xml:space="preserve"> </w:t>
      </w:r>
      <w:r w:rsidRPr="00E95958">
        <w:rPr>
          <w:smallCaps/>
        </w:rPr>
        <w:t xml:space="preserve">From a Whisper to a Shout, </w:t>
      </w:r>
      <w:r w:rsidRPr="00E95958">
        <w:rPr>
          <w:i/>
        </w:rPr>
        <w:t xml:space="preserve">supra </w:t>
      </w:r>
      <w:r w:rsidRPr="00E95958">
        <w:t>note 368, at 11.</w:t>
      </w:r>
    </w:p>
  </w:endnote>
  <w:endnote w:id="386">
    <w:p w14:paraId="00E704DD" w14:textId="77777777" w:rsidR="002772C9" w:rsidRPr="00E95958" w:rsidRDefault="002772C9" w:rsidP="00E95958">
      <w:pPr>
        <w:pStyle w:val="EndnoteText"/>
        <w:ind w:left="-36" w:hanging="324"/>
      </w:pPr>
      <w:r w:rsidRPr="00E95958">
        <w:rPr>
          <w:vertAlign w:val="superscript"/>
        </w:rPr>
        <w:endnoteRef/>
      </w:r>
      <w:r w:rsidRPr="00E95958">
        <w:t xml:space="preserve"> Guidelines for the Alternative Care of Children, G.A. Res. 64/142, U.N. Doc. A/RES/64/142 (Feb. 24, 2010), </w:t>
      </w:r>
      <w:r w:rsidRPr="00E95958">
        <w:rPr>
          <w:i/>
        </w:rPr>
        <w:t>available at</w:t>
      </w:r>
      <w:r w:rsidRPr="00E95958">
        <w:t xml:space="preserve"> </w:t>
      </w:r>
      <w:r w:rsidRPr="00E95958">
        <w:rPr>
          <w:rStyle w:val="Hyperlink"/>
        </w:rPr>
        <w:t>http:// www.unicef.org/protection/alternative_care_Guidelines-English.pdf</w:t>
      </w:r>
      <w:r w:rsidRPr="00E95958">
        <w:t>.</w:t>
      </w:r>
    </w:p>
  </w:endnote>
  <w:endnote w:id="387">
    <w:p w14:paraId="39B24430"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UN Partnership on the Rights of Persons with Disabilities (UNPRPD), Connections: Building Partnerships for Disability Rights. An Overview of Results from the first UNPRPD Funding Round</w:t>
      </w:r>
      <w:r w:rsidRPr="00E95958">
        <w:t xml:space="preserve"> 41-47 (May 2016), </w:t>
      </w:r>
      <w:hyperlink r:id="rId111">
        <w:r w:rsidRPr="00E95958">
          <w:rPr>
            <w:rStyle w:val="Hyperlink"/>
          </w:rPr>
          <w:t>http://mptf.undp.org/document/download/16578</w:t>
        </w:r>
      </w:hyperlink>
    </w:p>
  </w:endnote>
  <w:endnote w:id="388">
    <w:p w14:paraId="06EEBE3C"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 xml:space="preserve">See Disabilities and Rehabilitation: Violence Against Adults and Children with Disabilities, </w:t>
      </w:r>
      <w:r w:rsidRPr="00E95958">
        <w:rPr>
          <w:smallCaps/>
        </w:rPr>
        <w:t>WHO (</w:t>
      </w:r>
      <w:r w:rsidRPr="00E95958">
        <w:t xml:space="preserve">last updated </w:t>
      </w:r>
      <w:r w:rsidRPr="00E95958">
        <w:rPr>
          <w:smallCaps/>
        </w:rPr>
        <w:t xml:space="preserve">2017), </w:t>
      </w:r>
      <w:hyperlink r:id="rId112">
        <w:r w:rsidRPr="00E95958">
          <w:rPr>
            <w:rStyle w:val="Hyperlink"/>
          </w:rPr>
          <w:t>http://www.who.int/disabilities/violence/en/</w:t>
        </w:r>
      </w:hyperlink>
      <w:r w:rsidRPr="00E95958">
        <w:rPr>
          <w:highlight w:val="white"/>
        </w:rPr>
        <w:t xml:space="preserve">; </w:t>
      </w:r>
      <w:r w:rsidRPr="00E95958">
        <w:t xml:space="preserve">OHCHR, </w:t>
      </w:r>
      <w:r w:rsidRPr="00E95958">
        <w:rPr>
          <w:i/>
        </w:rPr>
        <w:t>Thematic Study on the Issue of Violence Against Women and Girls and Disability</w:t>
      </w:r>
      <w:r w:rsidRPr="00E95958">
        <w:t xml:space="preserve">, </w:t>
      </w:r>
      <w:r w:rsidRPr="00E95958">
        <w:rPr>
          <w:i/>
        </w:rPr>
        <w:t>supra</w:t>
      </w:r>
      <w:r w:rsidRPr="00E95958">
        <w:t xml:space="preserve"> note 11, para. 15.; </w:t>
      </w:r>
      <w:r w:rsidRPr="00E95958">
        <w:rPr>
          <w:smallCaps/>
        </w:rPr>
        <w:t xml:space="preserve">DRI, No Justice, </w:t>
      </w:r>
      <w:r w:rsidRPr="00E95958">
        <w:rPr>
          <w:i/>
        </w:rPr>
        <w:t xml:space="preserve">supra </w:t>
      </w:r>
      <w:r w:rsidRPr="00E95958">
        <w:t xml:space="preserve">note 380. </w:t>
      </w:r>
    </w:p>
  </w:endnote>
  <w:endnote w:id="389">
    <w:p w14:paraId="1004A5BE"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UNFPA, Make It Matter: 10 Key Advocacy Messages to Prevent HIV in Girls and Young Women (</w:t>
      </w:r>
      <w:r w:rsidRPr="00E95958">
        <w:t xml:space="preserve">2007), </w:t>
      </w:r>
      <w:hyperlink r:id="rId113">
        <w:r w:rsidRPr="00E95958">
          <w:rPr>
            <w:rStyle w:val="Hyperlink"/>
          </w:rPr>
          <w:t>http://www.unfpa.org/publications/make-it-matter</w:t>
        </w:r>
      </w:hyperlink>
      <w:r w:rsidRPr="00E95958">
        <w:t xml:space="preserve"> [hereinafter </w:t>
      </w:r>
      <w:r w:rsidRPr="00E95958">
        <w:rPr>
          <w:smallCaps/>
        </w:rPr>
        <w:t xml:space="preserve">UNFPA, Make It Matter] </w:t>
      </w:r>
    </w:p>
  </w:endnote>
  <w:endnote w:id="390">
    <w:p w14:paraId="1D57285E"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UNFPA &amp; Save the Children USA, Adolescent Sexual and Reproductive Health Toolkit for Humanitarian Settings: A Companion to the Inter-Agency Field Manual on Reproductive Health in Humanitarian Settings</w:t>
      </w:r>
      <w:r w:rsidRPr="00E95958">
        <w:t xml:space="preserve"> 7-8 (Sept. 2009), </w:t>
      </w:r>
      <w:hyperlink r:id="rId114">
        <w:r w:rsidRPr="00E95958">
          <w:rPr>
            <w:rStyle w:val="Hyperlink"/>
          </w:rPr>
          <w:t>http://www.unfpa.org/publications/adolescent-sexual-and-reproductive-health-toolkit-humanitarian-settings</w:t>
        </w:r>
      </w:hyperlink>
      <w:r w:rsidRPr="00E95958">
        <w:t xml:space="preserve"> [hereinafter </w:t>
      </w:r>
      <w:r w:rsidRPr="00E95958">
        <w:rPr>
          <w:smallCaps/>
        </w:rPr>
        <w:t>UNFPA, Adolescent Sexual and Reproductive Health Toolkit</w:t>
      </w:r>
      <w:r w:rsidRPr="00E95958">
        <w:t>].</w:t>
      </w:r>
    </w:p>
  </w:endnote>
  <w:endnote w:id="391">
    <w:p w14:paraId="33B4566C" w14:textId="77777777" w:rsidR="002772C9" w:rsidRPr="00E95958" w:rsidRDefault="002772C9" w:rsidP="00E95958">
      <w:pPr>
        <w:pStyle w:val="EndnoteText"/>
        <w:ind w:left="-36" w:hanging="324"/>
        <w:rPr>
          <w:smallCaps/>
        </w:rPr>
      </w:pPr>
      <w:r w:rsidRPr="00E95958">
        <w:rPr>
          <w:vertAlign w:val="superscript"/>
        </w:rPr>
        <w:endnoteRef/>
      </w:r>
      <w:r w:rsidRPr="00E95958">
        <w:t xml:space="preserve"> </w:t>
      </w:r>
      <w:r w:rsidRPr="00E95958">
        <w:rPr>
          <w:i/>
        </w:rPr>
        <w:t>See</w:t>
      </w:r>
      <w:r w:rsidRPr="00E95958">
        <w:rPr>
          <w:smallCaps/>
        </w:rPr>
        <w:t xml:space="preserve"> UNICEF, Ending Violence against Children: Six Strategies for Action</w:t>
      </w:r>
      <w:r w:rsidRPr="00E95958">
        <w:t xml:space="preserve"> 12 (Sept. 2014), </w:t>
      </w:r>
      <w:r w:rsidRPr="00E95958">
        <w:rPr>
          <w:rStyle w:val="Hyperlink"/>
        </w:rPr>
        <w:t>https://www.unicef.org/publications/files/Ending_Violence_Against_Children_Six_strategies_for_action_EN_9_Oct_2014.pdf</w:t>
      </w:r>
      <w:r w:rsidRPr="00E95958">
        <w:t xml:space="preserve"> [hereinafter </w:t>
      </w:r>
      <w:r w:rsidRPr="00E95958">
        <w:rPr>
          <w:smallCaps/>
        </w:rPr>
        <w:t xml:space="preserve">UNICEF, Ending Violence against Children]. </w:t>
      </w:r>
    </w:p>
  </w:endnote>
  <w:endnote w:id="392">
    <w:p w14:paraId="28643086"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 xml:space="preserve">See </w:t>
      </w:r>
      <w:r w:rsidRPr="00E95958">
        <w:rPr>
          <w:smallCaps/>
        </w:rPr>
        <w:t xml:space="preserve">UNICEF, Ending Violence against Children, </w:t>
      </w:r>
      <w:r w:rsidRPr="00E95958">
        <w:rPr>
          <w:i/>
        </w:rPr>
        <w:t xml:space="preserve">supra </w:t>
      </w:r>
      <w:r w:rsidRPr="00E95958">
        <w:t xml:space="preserve">note 390, at 12. </w:t>
      </w:r>
    </w:p>
  </w:endnote>
  <w:endnote w:id="393">
    <w:p w14:paraId="26A63C81"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Department of Economic and Social Affairs Division for the Advancement of Women now part of UN Women, Supplement to the Handbook for Legislation on Violence against Women: “Harmful practices” Against Women</w:t>
      </w:r>
      <w:r w:rsidRPr="00E95958">
        <w:t xml:space="preserve"> 29 (Mar. 2011), </w:t>
      </w:r>
      <w:hyperlink r:id="rId115">
        <w:r w:rsidRPr="00E95958">
          <w:rPr>
            <w:rStyle w:val="Hyperlink"/>
          </w:rPr>
          <w:t>http://www.un.org/womenwatch/daw/vaw/handbook/Supplement-to-Handbook-English.pdf</w:t>
        </w:r>
      </w:hyperlink>
      <w:r w:rsidRPr="00E95958">
        <w:t>.</w:t>
      </w:r>
    </w:p>
  </w:endnote>
  <w:endnote w:id="394">
    <w:p w14:paraId="526BE0B4"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UNFPA, Addressing Violence,</w:t>
      </w:r>
      <w:r w:rsidRPr="00E95958">
        <w:t xml:space="preserve"> </w:t>
      </w:r>
      <w:r w:rsidRPr="00E95958">
        <w:rPr>
          <w:i/>
        </w:rPr>
        <w:t xml:space="preserve">supra </w:t>
      </w:r>
      <w:r w:rsidRPr="00E95958">
        <w:t>note 274, at 85.</w:t>
      </w:r>
    </w:p>
  </w:endnote>
  <w:endnote w:id="395">
    <w:p w14:paraId="0F9829F1"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See</w:t>
      </w:r>
      <w:r w:rsidRPr="00E95958">
        <w:rPr>
          <w:i/>
          <w:smallCaps/>
        </w:rPr>
        <w:t xml:space="preserve"> </w:t>
      </w:r>
      <w:r w:rsidRPr="00E95958">
        <w:rPr>
          <w:smallCaps/>
        </w:rPr>
        <w:t>UNICEF, Summary Report Violence against Disabled Children:  UN Secretary General’s Report on Violence against Children Thematic Group on Violence against Disabled Children - Findings and Recommendations</w:t>
      </w:r>
      <w:r w:rsidRPr="00E95958">
        <w:t xml:space="preserve"> 22-29 (July 28, 2005), </w:t>
      </w:r>
      <w:hyperlink r:id="rId116">
        <w:r w:rsidRPr="00E95958">
          <w:rPr>
            <w:rStyle w:val="Hyperlink"/>
          </w:rPr>
          <w:t>https://www.unicef.org/videoaudio/PDFs/UNICEF_Violence_Against_Disabled_Children_Report_Distributed_Version.pdf</w:t>
        </w:r>
      </w:hyperlink>
      <w:r w:rsidRPr="00E95958">
        <w:t xml:space="preserve"> [hereinafter </w:t>
      </w:r>
      <w:r w:rsidRPr="00E95958">
        <w:rPr>
          <w:smallCaps/>
        </w:rPr>
        <w:t>UNICEF, Summary Report Violence against Disabled Children]; Plan International, International Centre for Evidence and Disability, SAME, &amp; London School of Hygiene and Tropical Medicine, Protect Us! Inclusion of children with disabilities in child protection (</w:t>
      </w:r>
      <w:r w:rsidRPr="00E95958">
        <w:t xml:space="preserve">2016), </w:t>
      </w:r>
      <w:hyperlink r:id="rId117">
        <w:r w:rsidRPr="00E95958">
          <w:rPr>
            <w:rStyle w:val="Hyperlink"/>
          </w:rPr>
          <w:t>https://plan-international.org/publications/protect-us</w:t>
        </w:r>
      </w:hyperlink>
      <w:r w:rsidRPr="00E95958">
        <w:t xml:space="preserve"> [hereinafter </w:t>
      </w:r>
      <w:r w:rsidRPr="00E95958">
        <w:rPr>
          <w:smallCaps/>
        </w:rPr>
        <w:t>Plan International et als. Protect Us!]; Save the Children &amp; Handicap International, Out of the Shadows:  Sexual Violence against Children with Disabilities</w:t>
      </w:r>
      <w:r w:rsidRPr="00E95958">
        <w:t xml:space="preserve"> 21 (2011), </w:t>
      </w:r>
      <w:hyperlink r:id="rId118">
        <w:r w:rsidRPr="00E95958">
          <w:rPr>
            <w:rStyle w:val="Hyperlink"/>
          </w:rPr>
          <w:t>http://www.savethechildren.org.uk/sites/default/files/docs/out_of_the_shadows_5.pdf</w:t>
        </w:r>
      </w:hyperlink>
      <w:r w:rsidRPr="00E95958">
        <w:t>.</w:t>
      </w:r>
    </w:p>
  </w:endnote>
  <w:endnote w:id="396">
    <w:p w14:paraId="5B8DC024"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See</w:t>
      </w:r>
      <w:r w:rsidRPr="00E95958">
        <w:t xml:space="preserve"> CRPD Committee, </w:t>
      </w:r>
      <w:r w:rsidRPr="00E95958">
        <w:rPr>
          <w:i/>
        </w:rPr>
        <w:t>Concluding Observations on the Initial Report of Ukraine</w:t>
      </w:r>
      <w:r w:rsidRPr="00E95958">
        <w:t xml:space="preserve">, para. 14, U.N. Doc. CRPD/C/UKR/CO/1(Oct. 2, 2015). </w:t>
      </w:r>
    </w:p>
  </w:endnote>
  <w:endnote w:id="397">
    <w:p w14:paraId="68110AC1" w14:textId="77777777" w:rsidR="002772C9" w:rsidRPr="00E95958" w:rsidRDefault="002772C9" w:rsidP="00E95958">
      <w:pPr>
        <w:pStyle w:val="EndnoteText"/>
        <w:ind w:left="-36" w:hanging="324"/>
      </w:pPr>
      <w:r w:rsidRPr="00E95958">
        <w:rPr>
          <w:vertAlign w:val="superscript"/>
        </w:rPr>
        <w:endnoteRef/>
      </w:r>
      <w:r w:rsidRPr="00E95958">
        <w:rPr>
          <w:vertAlign w:val="superscript"/>
        </w:rPr>
        <w:t xml:space="preserve"> </w:t>
      </w:r>
      <w:r w:rsidRPr="00E95958">
        <w:t xml:space="preserve">Kamikazi Jackline, </w:t>
      </w:r>
      <w:r w:rsidRPr="00E95958">
        <w:rPr>
          <w:i/>
        </w:rPr>
        <w:t>U-Report changing how people express and view themselves!</w:t>
      </w:r>
      <w:r w:rsidRPr="00E95958">
        <w:t xml:space="preserve">, </w:t>
      </w:r>
      <w:r w:rsidRPr="00E95958">
        <w:rPr>
          <w:smallCaps/>
        </w:rPr>
        <w:t>U-Report Uganda Voice Matters</w:t>
      </w:r>
      <w:r w:rsidRPr="00E95958">
        <w:t xml:space="preserve"> (Mar. 8 2016), </w:t>
      </w:r>
      <w:r w:rsidRPr="00E95958">
        <w:rPr>
          <w:rStyle w:val="Hyperlink"/>
        </w:rPr>
        <w:t>http://www.ureport.ug/story/230/</w:t>
      </w:r>
      <w:r w:rsidRPr="00E95958">
        <w:t>.</w:t>
      </w:r>
    </w:p>
  </w:endnote>
  <w:endnote w:id="398">
    <w:p w14:paraId="70D67A9B"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 xml:space="preserve">See </w:t>
      </w:r>
      <w:r w:rsidRPr="00E95958">
        <w:rPr>
          <w:smallCaps/>
        </w:rPr>
        <w:t xml:space="preserve">UNICEF, Summary Report Violence against Disabled Children, </w:t>
      </w:r>
      <w:r w:rsidRPr="00E95958">
        <w:rPr>
          <w:i/>
        </w:rPr>
        <w:t xml:space="preserve">supra </w:t>
      </w:r>
      <w:r w:rsidRPr="00E95958">
        <w:t xml:space="preserve">note 394, at 22-29; </w:t>
      </w:r>
      <w:r w:rsidRPr="00E95958">
        <w:rPr>
          <w:smallCaps/>
        </w:rPr>
        <w:t xml:space="preserve">Plan International et als. Protect Us!, </w:t>
      </w:r>
      <w:r w:rsidRPr="00E95958">
        <w:rPr>
          <w:i/>
        </w:rPr>
        <w:t xml:space="preserve">supra </w:t>
      </w:r>
      <w:r w:rsidRPr="00E95958">
        <w:t xml:space="preserve">note 394; </w:t>
      </w:r>
      <w:r w:rsidRPr="00E95958">
        <w:rPr>
          <w:smallCaps/>
        </w:rPr>
        <w:t xml:space="preserve">Save the Children &amp; Handicap International, Out of the Shadows, </w:t>
      </w:r>
      <w:r w:rsidRPr="00E95958">
        <w:rPr>
          <w:i/>
        </w:rPr>
        <w:t xml:space="preserve">supra </w:t>
      </w:r>
      <w:r w:rsidRPr="00E95958">
        <w:t>note 394, at 22.</w:t>
      </w:r>
    </w:p>
  </w:endnote>
  <w:endnote w:id="399">
    <w:p w14:paraId="6F2A8D1C"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 xml:space="preserve">Women’s Refugee Commission &amp; ChildFund, Gender-based Violence Against Children and Youth with Disabilities Toolkit: A Toolkit for Child Protection Actions </w:t>
      </w:r>
      <w:r w:rsidRPr="00E95958">
        <w:t xml:space="preserve">(Feb. 17, 2016), </w:t>
      </w:r>
      <w:hyperlink r:id="rId119">
        <w:r w:rsidRPr="00E95958">
          <w:rPr>
            <w:rStyle w:val="Hyperlink"/>
          </w:rPr>
          <w:t>https://www.womensrefugeecommission.org/disabilities/resources/1289-youth-disabilities-toolkit</w:t>
        </w:r>
      </w:hyperlink>
    </w:p>
  </w:endnote>
  <w:endnote w:id="400">
    <w:p w14:paraId="4E744E4D"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See Call to Action #ENDviolence against Children and Adolescents with Disabilities,</w:t>
      </w:r>
      <w:r w:rsidRPr="00E95958">
        <w:t xml:space="preserve"> </w:t>
      </w:r>
      <w:r w:rsidRPr="00E95958">
        <w:rPr>
          <w:smallCaps/>
        </w:rPr>
        <w:t>Global Partnership on Children with Disabilities</w:t>
      </w:r>
      <w:r w:rsidRPr="00E95958">
        <w:t xml:space="preserve">, </w:t>
      </w:r>
      <w:hyperlink r:id="rId120">
        <w:r w:rsidRPr="00E95958">
          <w:rPr>
            <w:rStyle w:val="Hyperlink"/>
          </w:rPr>
          <w:t>http://www.gpcwd.org/endviolence.html</w:t>
        </w:r>
      </w:hyperlink>
      <w:r w:rsidRPr="00E95958">
        <w:t>.</w:t>
      </w:r>
    </w:p>
  </w:endnote>
  <w:endnote w:id="401">
    <w:p w14:paraId="5EECC5CC"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 xml:space="preserve">See </w:t>
      </w:r>
      <w:r w:rsidRPr="00E95958">
        <w:rPr>
          <w:smallCaps/>
        </w:rPr>
        <w:t xml:space="preserve">UNICEF, Summary Report Violence against Disabled Children, </w:t>
      </w:r>
      <w:r w:rsidRPr="00E95958">
        <w:rPr>
          <w:i/>
        </w:rPr>
        <w:t xml:space="preserve">supra </w:t>
      </w:r>
      <w:r w:rsidRPr="00E95958">
        <w:t xml:space="preserve">note 394, at 25; </w:t>
      </w:r>
      <w:r w:rsidRPr="00E95958">
        <w:rPr>
          <w:smallCaps/>
        </w:rPr>
        <w:t xml:space="preserve">Plan International et als. Protect Us!, </w:t>
      </w:r>
      <w:r w:rsidRPr="00E95958">
        <w:rPr>
          <w:i/>
        </w:rPr>
        <w:t xml:space="preserve">supra </w:t>
      </w:r>
      <w:r w:rsidRPr="00E95958">
        <w:t xml:space="preserve">note 394; </w:t>
      </w:r>
      <w:r w:rsidRPr="00E95958">
        <w:rPr>
          <w:smallCaps/>
        </w:rPr>
        <w:t xml:space="preserve">Save the Children &amp; Handicap International, Out of the Shadows, </w:t>
      </w:r>
      <w:r w:rsidRPr="00E95958">
        <w:rPr>
          <w:i/>
        </w:rPr>
        <w:t xml:space="preserve">supra </w:t>
      </w:r>
      <w:r w:rsidRPr="00E95958">
        <w:t>note 394, at 21.</w:t>
      </w:r>
    </w:p>
  </w:endnote>
  <w:endnote w:id="402">
    <w:p w14:paraId="3C6D1D8B"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 xml:space="preserve">WHO, Making Health Services Adolescent Friendly: Developing National Quality Standards for Adolescent Friendly Health Services 5 </w:t>
      </w:r>
      <w:r w:rsidRPr="00E95958">
        <w:t xml:space="preserve">(2012), </w:t>
      </w:r>
      <w:hyperlink r:id="rId121">
        <w:r w:rsidRPr="00E95958">
          <w:rPr>
            <w:rStyle w:val="Hyperlink"/>
          </w:rPr>
          <w:t>http://www.who.int/maternal_child_adolescent/documents/adolescent_friendly_services/en/</w:t>
        </w:r>
      </w:hyperlink>
      <w:r w:rsidRPr="00E95958">
        <w:t>.</w:t>
      </w:r>
    </w:p>
  </w:endnote>
  <w:endnote w:id="403">
    <w:p w14:paraId="41132FB1" w14:textId="77777777" w:rsidR="002772C9" w:rsidRPr="00E95958" w:rsidRDefault="002772C9" w:rsidP="00E95958">
      <w:pPr>
        <w:pStyle w:val="EndnoteText"/>
        <w:ind w:left="-36" w:hanging="324"/>
        <w:rPr>
          <w:smallCaps/>
        </w:rPr>
      </w:pPr>
      <w:r w:rsidRPr="00E95958">
        <w:rPr>
          <w:vertAlign w:val="superscript"/>
        </w:rPr>
        <w:endnoteRef/>
      </w:r>
      <w:r w:rsidRPr="00E95958">
        <w:t xml:space="preserve"> </w:t>
      </w:r>
      <w:r w:rsidRPr="00E95958">
        <w:rPr>
          <w:i/>
        </w:rPr>
        <w:t>See</w:t>
      </w:r>
      <w:r w:rsidRPr="00E95958">
        <w:t xml:space="preserve"> </w:t>
      </w:r>
      <w:r w:rsidRPr="00E95958">
        <w:rPr>
          <w:smallCaps/>
        </w:rPr>
        <w:t>UNICEF, Ending Violence against Children: Six Strategies for Action</w:t>
      </w:r>
      <w:r w:rsidRPr="00E95958">
        <w:t xml:space="preserve"> 33-37 (Sept. 2014), </w:t>
      </w:r>
      <w:hyperlink r:id="rId122">
        <w:r w:rsidRPr="00E95958">
          <w:rPr>
            <w:rStyle w:val="Hyperlink"/>
          </w:rPr>
          <w:t>https://www.unicef.org/publications/files/Ending_Violence_Against_Children_Six_strategies_for_action_EN_9_Oct_2014.pdf</w:t>
        </w:r>
      </w:hyperlink>
      <w:r w:rsidRPr="00E95958">
        <w:t xml:space="preserve"> [hereinafter </w:t>
      </w:r>
      <w:r w:rsidRPr="00E95958">
        <w:rPr>
          <w:smallCaps/>
        </w:rPr>
        <w:t>UNICEF, Ending Violence against Children].</w:t>
      </w:r>
    </w:p>
  </w:endnote>
  <w:endnote w:id="404">
    <w:p w14:paraId="18197D1C"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See</w:t>
      </w:r>
      <w:r w:rsidRPr="00E95958">
        <w:t xml:space="preserve"> </w:t>
      </w:r>
      <w:r w:rsidRPr="00E95958">
        <w:rPr>
          <w:smallCaps/>
        </w:rPr>
        <w:t xml:space="preserve">UNICEF, Ending Violence against Children, </w:t>
      </w:r>
      <w:r w:rsidRPr="00E95958">
        <w:rPr>
          <w:i/>
        </w:rPr>
        <w:t xml:space="preserve">supra </w:t>
      </w:r>
      <w:r w:rsidRPr="00E95958">
        <w:t xml:space="preserve">note 402, at 38-41. </w:t>
      </w:r>
    </w:p>
  </w:endnote>
  <w:endnote w:id="405">
    <w:p w14:paraId="24E14C8D"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 xml:space="preserve">See </w:t>
      </w:r>
      <w:r w:rsidRPr="00E95958">
        <w:rPr>
          <w:smallCaps/>
        </w:rPr>
        <w:t xml:space="preserve">UNICEF, Summary Report Violence against Disabled Children, </w:t>
      </w:r>
      <w:r w:rsidRPr="00E95958">
        <w:rPr>
          <w:i/>
        </w:rPr>
        <w:t xml:space="preserve">supra </w:t>
      </w:r>
      <w:r w:rsidRPr="00E95958">
        <w:t xml:space="preserve">note 394, at 25; </w:t>
      </w:r>
      <w:r w:rsidRPr="00E95958">
        <w:rPr>
          <w:smallCaps/>
        </w:rPr>
        <w:t xml:space="preserve">Plan International et als. Protect Us!, </w:t>
      </w:r>
      <w:r w:rsidRPr="00E95958">
        <w:rPr>
          <w:i/>
        </w:rPr>
        <w:t xml:space="preserve">supra </w:t>
      </w:r>
      <w:r w:rsidRPr="00E95958">
        <w:t xml:space="preserve">note 394; </w:t>
      </w:r>
      <w:r w:rsidRPr="00E95958">
        <w:rPr>
          <w:smallCaps/>
        </w:rPr>
        <w:t xml:space="preserve">Save the Children &amp; Handicap International, Out of the Shadows, </w:t>
      </w:r>
      <w:r w:rsidRPr="00E95958">
        <w:rPr>
          <w:i/>
        </w:rPr>
        <w:t xml:space="preserve">supra </w:t>
      </w:r>
      <w:r w:rsidRPr="00E95958">
        <w:t>note 394, at 21.</w:t>
      </w:r>
    </w:p>
  </w:endnote>
  <w:endnote w:id="406">
    <w:p w14:paraId="72428B98"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See</w:t>
      </w:r>
      <w:r w:rsidRPr="00E95958">
        <w:t xml:space="preserve"> </w:t>
      </w:r>
      <w:r w:rsidRPr="00E95958">
        <w:rPr>
          <w:smallCaps/>
        </w:rPr>
        <w:t>Department of Economic and Social Affairs Division for the Advancement of Women now part of UN Women, Supplement to the Handbook for Legislation on Violence against Women: “Harmful practices” Against Women</w:t>
      </w:r>
      <w:r w:rsidRPr="00E95958">
        <w:t xml:space="preserve"> 31-32 (Mar.2011), </w:t>
      </w:r>
      <w:hyperlink r:id="rId123">
        <w:r w:rsidRPr="00E95958">
          <w:rPr>
            <w:rStyle w:val="Hyperlink"/>
          </w:rPr>
          <w:t>http://www.un.org/womenwatch/daw/vaw/handbook/Supplement-to-Handbook-English.pdf</w:t>
        </w:r>
      </w:hyperlink>
      <w:r w:rsidRPr="00E95958">
        <w:t xml:space="preserve"> [hereinafter </w:t>
      </w:r>
      <w:r w:rsidRPr="00E95958">
        <w:rPr>
          <w:smallCaps/>
        </w:rPr>
        <w:t>UN Women, “Harmful practices” Against Women]; UNICEF, Every Child’s Birth Right: Inequities and Trends in Birth Registration</w:t>
      </w:r>
      <w:r w:rsidRPr="00E95958">
        <w:t xml:space="preserve"> (Dec. 2013), </w:t>
      </w:r>
      <w:hyperlink r:id="rId124">
        <w:r w:rsidRPr="00E95958">
          <w:rPr>
            <w:rStyle w:val="Hyperlink"/>
          </w:rPr>
          <w:t>https://www.unicef.org/publications/index_71514.html</w:t>
        </w:r>
      </w:hyperlink>
      <w:r w:rsidRPr="00E95958">
        <w:t xml:space="preserve">. </w:t>
      </w:r>
    </w:p>
  </w:endnote>
  <w:endnote w:id="407">
    <w:p w14:paraId="7DF24645" w14:textId="77777777" w:rsidR="002772C9" w:rsidRPr="00E95958" w:rsidRDefault="002772C9" w:rsidP="00E95958">
      <w:pPr>
        <w:pStyle w:val="EndnoteText"/>
        <w:ind w:left="-36" w:hanging="324"/>
      </w:pPr>
      <w:r w:rsidRPr="00E95958">
        <w:rPr>
          <w:vertAlign w:val="superscript"/>
        </w:rPr>
        <w:endnoteRef/>
      </w:r>
      <w:r w:rsidRPr="00E95958">
        <w:rPr>
          <w:smallCaps/>
        </w:rPr>
        <w:t xml:space="preserve">UN Women, “Harmful practices” Against Women, </w:t>
      </w:r>
      <w:r w:rsidRPr="00E95958">
        <w:rPr>
          <w:i/>
        </w:rPr>
        <w:t xml:space="preserve">supra </w:t>
      </w:r>
      <w:r w:rsidRPr="00E95958">
        <w:t xml:space="preserve">note 405, at 14-15. </w:t>
      </w:r>
    </w:p>
  </w:endnote>
  <w:endnote w:id="408">
    <w:p w14:paraId="527EAF3D"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 xml:space="preserve">See </w:t>
      </w:r>
      <w:r w:rsidRPr="00E95958">
        <w:rPr>
          <w:smallCaps/>
        </w:rPr>
        <w:t xml:space="preserve">UNICEF, Summary Report Violence against Disabled Children, </w:t>
      </w:r>
      <w:r w:rsidRPr="00E95958">
        <w:rPr>
          <w:i/>
        </w:rPr>
        <w:t xml:space="preserve">supra </w:t>
      </w:r>
      <w:r w:rsidRPr="00E95958">
        <w:t xml:space="preserve">note 394, at 29; </w:t>
      </w:r>
      <w:r w:rsidRPr="00E95958">
        <w:rPr>
          <w:smallCaps/>
        </w:rPr>
        <w:t xml:space="preserve">Plan International et als. Protect Us!, </w:t>
      </w:r>
      <w:r w:rsidRPr="00E95958">
        <w:rPr>
          <w:i/>
        </w:rPr>
        <w:t xml:space="preserve">supra </w:t>
      </w:r>
      <w:r w:rsidRPr="00E95958">
        <w:t xml:space="preserve">note 394, at 55-56; </w:t>
      </w:r>
      <w:r w:rsidRPr="00E95958">
        <w:rPr>
          <w:smallCaps/>
        </w:rPr>
        <w:t xml:space="preserve">Save the Children &amp; Handicap International, Out of the Shadows, </w:t>
      </w:r>
      <w:r w:rsidRPr="00E95958">
        <w:rPr>
          <w:i/>
        </w:rPr>
        <w:t xml:space="preserve">supra </w:t>
      </w:r>
      <w:r w:rsidRPr="00E95958">
        <w:t xml:space="preserve">note 394, at 21-22. </w:t>
      </w:r>
    </w:p>
  </w:endnote>
  <w:endnote w:id="409">
    <w:p w14:paraId="61159FD5"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 xml:space="preserve">The Aspen Institute, Preliminary List of Recommended Indicators for the Girls Not Brides Partnership 4 (2014), </w:t>
      </w:r>
      <w:r w:rsidRPr="00E95958">
        <w:rPr>
          <w:i/>
        </w:rPr>
        <w:t xml:space="preserve">available at </w:t>
      </w:r>
      <w:hyperlink r:id="rId125">
        <w:r w:rsidRPr="00E95958">
          <w:rPr>
            <w:rStyle w:val="Hyperlink"/>
          </w:rPr>
          <w:t>http://www.girlsnotbrides.org/wp-content/uploads/2014/09/APEP-Preliminary-List-of-Recommended-Indicators-8-29-14.pdf</w:t>
        </w:r>
      </w:hyperlink>
      <w:r w:rsidRPr="00E95958">
        <w:t>.</w:t>
      </w:r>
      <w:r w:rsidRPr="00E95958">
        <w:rPr>
          <w:i/>
        </w:rPr>
        <w:t xml:space="preserve"> </w:t>
      </w:r>
    </w:p>
  </w:endnote>
  <w:endnote w:id="410">
    <w:p w14:paraId="15A1A511"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 xml:space="preserve">See </w:t>
      </w:r>
      <w:r w:rsidRPr="00E95958">
        <w:rPr>
          <w:smallCaps/>
        </w:rPr>
        <w:t xml:space="preserve">The Aspen Institute, Preliminary List of Recommended Indicators for the Girls Not Brides (GNB) Partnership, </w:t>
      </w:r>
      <w:r w:rsidRPr="00E95958">
        <w:rPr>
          <w:i/>
        </w:rPr>
        <w:t>supra</w:t>
      </w:r>
      <w:r w:rsidRPr="00E95958">
        <w:t xml:space="preserve"> note 408, at 19. </w:t>
      </w:r>
    </w:p>
  </w:endnote>
  <w:endnote w:id="411">
    <w:p w14:paraId="75464C39"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 xml:space="preserve">See </w:t>
      </w:r>
      <w:r w:rsidRPr="00E95958">
        <w:rPr>
          <w:smallCaps/>
        </w:rPr>
        <w:t xml:space="preserve">The Aspen Institute, Preliminary List of Recommended Indicators for the Girls Not Brides (GNB) Partnership, </w:t>
      </w:r>
      <w:r w:rsidRPr="00E95958">
        <w:rPr>
          <w:i/>
        </w:rPr>
        <w:t>supra</w:t>
      </w:r>
      <w:r w:rsidRPr="00E95958">
        <w:t xml:space="preserve"> note 408, at 19.</w:t>
      </w:r>
      <w:r w:rsidRPr="00E95958">
        <w:rPr>
          <w:i/>
        </w:rPr>
        <w:t xml:space="preserve">  </w:t>
      </w:r>
    </w:p>
  </w:endnote>
  <w:endnote w:id="412">
    <w:p w14:paraId="41D13EEC"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 xml:space="preserve">UNFPA, Danish Institute for Human Rights, &amp; OHCHR, Reproductive Rights are Human Rights: A Handbook for National Human Rights Institutions, </w:t>
      </w:r>
      <w:r w:rsidRPr="00E95958">
        <w:t>at 18,</w:t>
      </w:r>
      <w:r w:rsidRPr="00E95958">
        <w:rPr>
          <w:smallCaps/>
        </w:rPr>
        <w:t xml:space="preserve"> U.N. Doc. </w:t>
      </w:r>
      <w:r w:rsidRPr="00E95958">
        <w:t xml:space="preserve">HR/PUB/14/16 (2014), </w:t>
      </w:r>
      <w:hyperlink r:id="rId126">
        <w:r w:rsidRPr="00E95958">
          <w:rPr>
            <w:rStyle w:val="Hyperlink"/>
          </w:rPr>
          <w:t>http://www.ohchr.org/Documents/Publications/NHRIHandbook.pdf</w:t>
        </w:r>
      </w:hyperlink>
      <w:r w:rsidRPr="00E95958">
        <w:t xml:space="preserve"> [hereinafter </w:t>
      </w:r>
      <w:r w:rsidRPr="00E95958">
        <w:rPr>
          <w:smallCaps/>
        </w:rPr>
        <w:t>UNFPA et als. NHRI Handbook</w:t>
      </w:r>
      <w:r w:rsidRPr="00E95958">
        <w:t xml:space="preserve">]. </w:t>
      </w:r>
    </w:p>
  </w:endnote>
  <w:endnote w:id="413">
    <w:p w14:paraId="1367C8F7"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 xml:space="preserve">UNFPA et als. NHRI Handbook, </w:t>
      </w:r>
      <w:r w:rsidRPr="00E95958">
        <w:rPr>
          <w:i/>
        </w:rPr>
        <w:t>supra</w:t>
      </w:r>
      <w:r w:rsidRPr="00E95958">
        <w:t xml:space="preserve"> note 411, at 19. </w:t>
      </w:r>
    </w:p>
  </w:endnote>
  <w:endnote w:id="414">
    <w:p w14:paraId="72B9CBAB" w14:textId="5173C76A" w:rsidR="002772C9" w:rsidRPr="00E95958" w:rsidRDefault="002772C9" w:rsidP="00F3261F">
      <w:pPr>
        <w:pStyle w:val="EndnoteText"/>
        <w:ind w:left="-36" w:hanging="324"/>
        <w:rPr>
          <w:rFonts w:eastAsia="Helvetica,Times New Roman"/>
        </w:rPr>
      </w:pPr>
      <w:r w:rsidRPr="00E95958">
        <w:rPr>
          <w:rStyle w:val="EndnoteReference"/>
        </w:rPr>
        <w:endnoteRef/>
      </w:r>
      <w:r w:rsidRPr="00E95958">
        <w:t xml:space="preserve"> </w:t>
      </w:r>
      <w:r w:rsidRPr="00E95958">
        <w:rPr>
          <w:rStyle w:val="Hyperlink"/>
          <w:rFonts w:eastAsia="Helvetica,Times New Roman"/>
        </w:rPr>
        <w:t xml:space="preserve">Ann M. Starrs, Alex C. Ezeh, Gary Barker, Alaka Basu, Jane T. Bertrand, Robert Blum, Awa M. Coll-Seck, Anand Grover, Laura Laski, Monica Roa, Zeba A. Sathar, Lale Say, Gamal I. Serour, Susheela Singh, Karin Stenberg, Marleen Temmerman, Ann Biddlecom, Anna Popinchalk, Cynthia Summers &amp; Lori S. Ashford, </w:t>
      </w:r>
      <w:r w:rsidRPr="00E95958">
        <w:rPr>
          <w:i/>
          <w:iCs/>
          <w:lang w:val="en-GB"/>
        </w:rPr>
        <w:t>Accelerate Progress - Sexual and Reproductive Health and Rights for All: Report of the Guttmacher–Lancet Commission</w:t>
      </w:r>
      <w:r w:rsidRPr="00E95958">
        <w:t xml:space="preserve">, </w:t>
      </w:r>
      <w:r w:rsidRPr="00E95958">
        <w:rPr>
          <w:smallCaps/>
        </w:rPr>
        <w:t>The Lancet</w:t>
      </w:r>
      <w:r w:rsidRPr="00E95958">
        <w:rPr>
          <w:i/>
          <w:iCs/>
          <w:lang w:val="en-GB"/>
        </w:rPr>
        <w:t xml:space="preserve"> </w:t>
      </w:r>
      <w:r w:rsidRPr="00E95958">
        <w:rPr>
          <w:iCs/>
          <w:lang w:val="en-GB"/>
        </w:rPr>
        <w:t xml:space="preserve">7-57 (May. 9, 2018), </w:t>
      </w:r>
      <w:hyperlink r:id="rId127" w:history="1">
        <w:r w:rsidRPr="00E95958">
          <w:rPr>
            <w:rStyle w:val="Hyperlink"/>
          </w:rPr>
          <w:t>https://www.thelancet.com/journals/lancet/article/PIIS0140-6736(18)30293-9/fulltext?code=lancet-site</w:t>
        </w:r>
      </w:hyperlink>
      <w:r w:rsidRPr="00E95958">
        <w:rPr>
          <w:iCs/>
          <w:lang w:val="en-GB"/>
        </w:rPr>
        <w:t xml:space="preserve"> [hereinafter </w:t>
      </w:r>
      <w:r w:rsidRPr="00E95958">
        <w:rPr>
          <w:i/>
          <w:iCs/>
          <w:lang w:val="en-GB"/>
        </w:rPr>
        <w:t>Report of the Guttmacher–Lancet Commission</w:t>
      </w:r>
      <w:r w:rsidRPr="00E95958">
        <w:t>].</w:t>
      </w:r>
    </w:p>
  </w:endnote>
  <w:endnote w:id="415">
    <w:p w14:paraId="5CC7664A" w14:textId="77777777" w:rsidR="002772C9" w:rsidRPr="00E95958" w:rsidRDefault="002772C9" w:rsidP="00E95958">
      <w:pPr>
        <w:pStyle w:val="EndnoteText"/>
        <w:ind w:left="-36" w:hanging="324"/>
      </w:pPr>
      <w:r w:rsidRPr="00E95958">
        <w:rPr>
          <w:rStyle w:val="EndnoteReference"/>
        </w:rPr>
        <w:endnoteRef/>
      </w:r>
      <w:r w:rsidRPr="00E95958">
        <w:t xml:space="preserve"> </w:t>
      </w:r>
      <w:r w:rsidRPr="00E95958">
        <w:rPr>
          <w:i/>
          <w:iCs/>
          <w:lang w:val="en-GB"/>
        </w:rPr>
        <w:t>Report of the Guttmacher–Lancet Commission, supra</w:t>
      </w:r>
      <w:r w:rsidRPr="00E95958">
        <w:rPr>
          <w:i/>
        </w:rPr>
        <w:t xml:space="preserve"> </w:t>
      </w:r>
      <w:r w:rsidRPr="00E95958">
        <w:t xml:space="preserve">note 413, at 11, 17, 30, 36, 47, 48. </w:t>
      </w:r>
    </w:p>
  </w:endnote>
  <w:endnote w:id="416">
    <w:p w14:paraId="68AC18CB" w14:textId="77777777" w:rsidR="002772C9" w:rsidRPr="00E95958" w:rsidRDefault="002772C9" w:rsidP="00E95958">
      <w:pPr>
        <w:pStyle w:val="EndnoteText"/>
        <w:ind w:left="-36" w:hanging="324"/>
      </w:pPr>
      <w:r w:rsidRPr="00E95958">
        <w:rPr>
          <w:rStyle w:val="EndnoteReference"/>
        </w:rPr>
        <w:endnoteRef/>
      </w:r>
      <w:r w:rsidRPr="00E95958">
        <w:t xml:space="preserve"> </w:t>
      </w:r>
      <w:r w:rsidRPr="00E95958">
        <w:rPr>
          <w:i/>
          <w:iCs/>
          <w:lang w:val="en-GB"/>
        </w:rPr>
        <w:t>Report of the Guttmacher–Lancet Commission, supra</w:t>
      </w:r>
      <w:r w:rsidRPr="00E95958">
        <w:rPr>
          <w:i/>
        </w:rPr>
        <w:t xml:space="preserve"> </w:t>
      </w:r>
      <w:r w:rsidRPr="00E95958">
        <w:t xml:space="preserve">note 413, at 36. </w:t>
      </w:r>
    </w:p>
  </w:endnote>
  <w:endnote w:id="417">
    <w:p w14:paraId="2D4023E0" w14:textId="4DF5ECC5"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Jane Maxwell, Julia Watts Belser, &amp; Darlena David, Hesperian Health Guides, A Health Handbook for Women with Disabilities 2</w:t>
      </w:r>
      <w:r w:rsidRPr="00E95958">
        <w:rPr>
          <w:highlight w:val="white"/>
        </w:rPr>
        <w:t xml:space="preserve"> (2007), </w:t>
      </w:r>
      <w:hyperlink r:id="rId128">
        <w:r w:rsidRPr="00E95958">
          <w:rPr>
            <w:rStyle w:val="Hyperlink"/>
            <w:highlight w:val="white"/>
          </w:rPr>
          <w:t>http://hesperian.org/books-and-resources/</w:t>
        </w:r>
      </w:hyperlink>
      <w:r w:rsidRPr="00E95958">
        <w:rPr>
          <w:highlight w:val="white"/>
        </w:rPr>
        <w:t xml:space="preserve"> [hereinafter </w:t>
      </w:r>
      <w:r w:rsidRPr="00E95958">
        <w:rPr>
          <w:smallCaps/>
        </w:rPr>
        <w:t>Maxwell et al., Health Handbook</w:t>
      </w:r>
      <w:r w:rsidRPr="00E95958">
        <w:t>].</w:t>
      </w:r>
    </w:p>
  </w:endnote>
  <w:endnote w:id="418">
    <w:p w14:paraId="10AD1315" w14:textId="77777777" w:rsidR="002772C9" w:rsidRPr="00E95958" w:rsidRDefault="002772C9" w:rsidP="00E95958">
      <w:pPr>
        <w:pStyle w:val="EndnoteText"/>
        <w:ind w:left="-36" w:hanging="324"/>
      </w:pPr>
      <w:r w:rsidRPr="00E95958">
        <w:rPr>
          <w:vertAlign w:val="superscript"/>
        </w:rPr>
        <w:endnoteRef/>
      </w:r>
      <w:r w:rsidRPr="00E95958">
        <w:t xml:space="preserve"> Payal Shah, et. al, </w:t>
      </w:r>
      <w:r w:rsidRPr="00E95958">
        <w:rPr>
          <w:i/>
        </w:rPr>
        <w:t>Gynecological Care for Adolescents with Disability: Physician Comfort, Perceived Barriers, and Potential Solutions</w:t>
      </w:r>
      <w:r w:rsidRPr="00E95958">
        <w:t xml:space="preserve">, in 18 </w:t>
      </w:r>
      <w:r w:rsidRPr="00E95958">
        <w:rPr>
          <w:smallCaps/>
        </w:rPr>
        <w:t>J. of Pediatric and Adolescent Gynecology</w:t>
      </w:r>
      <w:r w:rsidRPr="00E95958">
        <w:t xml:space="preserve"> 101, 102 (2005).</w:t>
      </w:r>
    </w:p>
  </w:endnote>
  <w:endnote w:id="419">
    <w:p w14:paraId="5AC1C3C6" w14:textId="77777777" w:rsidR="002772C9" w:rsidRPr="00E95958" w:rsidRDefault="002772C9" w:rsidP="00E95958">
      <w:pPr>
        <w:pStyle w:val="EndnoteText"/>
        <w:ind w:left="-36" w:hanging="324"/>
      </w:pPr>
      <w:r w:rsidRPr="00E95958">
        <w:rPr>
          <w:vertAlign w:val="superscript"/>
        </w:rPr>
        <w:endnoteRef/>
      </w:r>
      <w:r w:rsidRPr="00E95958">
        <w:t xml:space="preserve"> Shah, et. al., </w:t>
      </w:r>
      <w:r w:rsidRPr="00E95958">
        <w:rPr>
          <w:i/>
        </w:rPr>
        <w:t>supra</w:t>
      </w:r>
      <w:r w:rsidRPr="00E95958">
        <w:t xml:space="preserve"> note 417, at 102. </w:t>
      </w:r>
    </w:p>
  </w:endnote>
  <w:endnote w:id="420">
    <w:p w14:paraId="56807724" w14:textId="77777777" w:rsidR="002772C9" w:rsidRPr="00E95958" w:rsidRDefault="002772C9" w:rsidP="00E95958">
      <w:pPr>
        <w:pStyle w:val="EndnoteText"/>
        <w:ind w:left="-36" w:hanging="324"/>
      </w:pPr>
      <w:r w:rsidRPr="00E95958">
        <w:rPr>
          <w:vertAlign w:val="superscript"/>
        </w:rPr>
        <w:endnoteRef/>
      </w:r>
      <w:r w:rsidRPr="00E95958">
        <w:t xml:space="preserve"> CRPD Committee, </w:t>
      </w:r>
      <w:r w:rsidRPr="00E95958">
        <w:rPr>
          <w:i/>
        </w:rPr>
        <w:t xml:space="preserve">General Comment on Article 19; Living Independently and being included in the Community, </w:t>
      </w:r>
      <w:r w:rsidRPr="00E95958">
        <w:t xml:space="preserve">para 1, U.N. Doc. CRPD/C/18/1 (Aug. 29, 2017). </w:t>
      </w:r>
    </w:p>
  </w:endnote>
  <w:endnote w:id="421">
    <w:p w14:paraId="196795B8" w14:textId="77777777" w:rsidR="002772C9" w:rsidRPr="00E95958" w:rsidRDefault="002772C9" w:rsidP="00E95958">
      <w:pPr>
        <w:pStyle w:val="EndnoteText"/>
        <w:ind w:left="-36" w:hanging="324"/>
      </w:pPr>
      <w:r w:rsidRPr="00E95958">
        <w:rPr>
          <w:vertAlign w:val="superscript"/>
        </w:rPr>
        <w:endnoteRef/>
      </w:r>
      <w:r w:rsidRPr="00E95958">
        <w:rPr>
          <w:i/>
        </w:rPr>
        <w:t xml:space="preserve">See </w:t>
      </w:r>
      <w:r w:rsidRPr="00E95958">
        <w:rPr>
          <w:smallCaps/>
        </w:rPr>
        <w:t>Carolyn Frohmader and Stephanie Ortoleva, Issues Paper: The Sexual and Reproductive Rights of Women and Girls with Disabilities</w:t>
      </w:r>
      <w:r w:rsidRPr="00E95958">
        <w:t xml:space="preserve"> 4-5 (July 1, 2013), </w:t>
      </w:r>
      <w:hyperlink r:id="rId129">
        <w:r w:rsidRPr="00E95958">
          <w:rPr>
            <w:rStyle w:val="Hyperlink"/>
          </w:rPr>
          <w:t>http://womenenabled.org/pdfs/issues_paper_srr_women_and_girls_with_disabilities_final.pdf</w:t>
        </w:r>
      </w:hyperlink>
      <w:r w:rsidRPr="00E95958">
        <w:t xml:space="preserve">. </w:t>
      </w:r>
    </w:p>
  </w:endnote>
  <w:endnote w:id="422">
    <w:p w14:paraId="35E76E10"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See</w:t>
      </w:r>
      <w:r w:rsidRPr="00E95958">
        <w:t xml:space="preserve"> </w:t>
      </w:r>
      <w:r w:rsidRPr="00E95958">
        <w:rPr>
          <w:smallCaps/>
        </w:rPr>
        <w:t xml:space="preserve">Frohmader &amp; Ortoleva, Issues Paper: The Sexual and Reproductive Rights of Women and Girls with Disabilities, </w:t>
      </w:r>
      <w:r w:rsidRPr="00E95958">
        <w:rPr>
          <w:i/>
        </w:rPr>
        <w:t>supra</w:t>
      </w:r>
      <w:r w:rsidRPr="00E95958">
        <w:t xml:space="preserve"> note 420, at 3-4. </w:t>
      </w:r>
    </w:p>
  </w:endnote>
  <w:endnote w:id="423">
    <w:p w14:paraId="0A763AD3"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See</w:t>
      </w:r>
      <w:r w:rsidRPr="00E95958">
        <w:t xml:space="preserve"> Committee on the Elimination of Discrimination against Women, </w:t>
      </w:r>
      <w:r w:rsidRPr="00E95958">
        <w:rPr>
          <w:i/>
        </w:rPr>
        <w:t>General Recommendation No. 19: Violence against Women (Eleventh Session, 1992)</w:t>
      </w:r>
      <w:r w:rsidRPr="00E95958">
        <w:t xml:space="preserve">, para. 42, U.N. Doc. A/47/38 (1992) [hereinafter CEDAW Committee, </w:t>
      </w:r>
      <w:r w:rsidRPr="00E95958">
        <w:rPr>
          <w:i/>
        </w:rPr>
        <w:t>General Recommendation No. 19</w:t>
      </w:r>
      <w:r w:rsidRPr="00E95958">
        <w:t xml:space="preserve">].  </w:t>
      </w:r>
    </w:p>
  </w:endnote>
  <w:endnote w:id="424">
    <w:p w14:paraId="74BB706A"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United Nations Children’s Fund (UNICEF), The State of the World’s Children 2013: Children with Disabilities</w:t>
      </w:r>
      <w:r w:rsidRPr="00E95958">
        <w:t xml:space="preserve"> 41 (May 2013), </w:t>
      </w:r>
      <w:r w:rsidRPr="00E95958">
        <w:rPr>
          <w:rStyle w:val="Hyperlink"/>
        </w:rPr>
        <w:t>https://www.unicef.org/publications/files/SWCR2013_ENG_Lo_res_24_Apr_2013.pdf</w:t>
      </w:r>
      <w:r w:rsidRPr="00E95958">
        <w:t>.</w:t>
      </w:r>
    </w:p>
  </w:endnote>
  <w:endnote w:id="425">
    <w:p w14:paraId="55D48273" w14:textId="77777777" w:rsidR="002772C9" w:rsidRPr="00E95958" w:rsidRDefault="002772C9" w:rsidP="00E95958">
      <w:pPr>
        <w:pStyle w:val="EndnoteText"/>
        <w:ind w:left="-36" w:hanging="324"/>
      </w:pPr>
      <w:r w:rsidRPr="00E95958">
        <w:rPr>
          <w:vertAlign w:val="superscript"/>
        </w:rPr>
        <w:endnoteRef/>
      </w:r>
      <w:r w:rsidRPr="00E95958">
        <w:t xml:space="preserve"> Julia A. Rivera Drew, </w:t>
      </w:r>
      <w:r w:rsidRPr="00E95958">
        <w:rPr>
          <w:i/>
        </w:rPr>
        <w:t>Hysterectomy and Disability Among U.S. Women</w:t>
      </w:r>
      <w:r w:rsidRPr="00E95958">
        <w:t xml:space="preserve">, 45 </w:t>
      </w:r>
      <w:r w:rsidRPr="00E95958">
        <w:rPr>
          <w:smallCaps/>
        </w:rPr>
        <w:t>Persp. on Sexual and Reprod. Health</w:t>
      </w:r>
      <w:r w:rsidRPr="00E95958">
        <w:t xml:space="preserve"> 157, 161 (2013); Elizabeth Pendo, </w:t>
      </w:r>
      <w:r w:rsidRPr="00E95958">
        <w:rPr>
          <w:i/>
        </w:rPr>
        <w:t>Disability, Equipment Barriers, and Women’s Health: Using the ADA to Provide Meaningful Access</w:t>
      </w:r>
      <w:r w:rsidRPr="00E95958">
        <w:t xml:space="preserve">, 2 </w:t>
      </w:r>
      <w:r w:rsidRPr="00E95958">
        <w:rPr>
          <w:smallCaps/>
        </w:rPr>
        <w:t>SLU Journal of Health Law &amp; Policy</w:t>
      </w:r>
      <w:r w:rsidRPr="00E95958">
        <w:t xml:space="preserve"> 16, 44-45 (2008). </w:t>
      </w:r>
    </w:p>
  </w:endnote>
  <w:endnote w:id="426">
    <w:p w14:paraId="549D5E00" w14:textId="77777777" w:rsidR="002772C9" w:rsidRPr="00E95958" w:rsidRDefault="002772C9" w:rsidP="00E95958">
      <w:pPr>
        <w:pStyle w:val="EndnoteText"/>
        <w:ind w:left="-36" w:hanging="324"/>
      </w:pPr>
      <w:r w:rsidRPr="00E95958">
        <w:rPr>
          <w:rStyle w:val="EndnoteReference"/>
        </w:rPr>
        <w:endnoteRef/>
      </w:r>
      <w:r w:rsidRPr="00E95958">
        <w:t xml:space="preserve"> </w:t>
      </w:r>
      <w:r w:rsidRPr="00E95958">
        <w:rPr>
          <w:i/>
        </w:rPr>
        <w:t>Minimum Initial Service Package,</w:t>
      </w:r>
      <w:r w:rsidRPr="00E95958">
        <w:t xml:space="preserve"> </w:t>
      </w:r>
      <w:r w:rsidRPr="00E95958">
        <w:rPr>
          <w:smallCaps/>
        </w:rPr>
        <w:t>Inter-Agency Working Group on Reproductive Health in Crises</w:t>
      </w:r>
      <w:r w:rsidRPr="00E95958">
        <w:t xml:space="preserve"> (2011), </w:t>
      </w:r>
      <w:hyperlink r:id="rId130" w:history="1">
        <w:r w:rsidRPr="00E95958">
          <w:rPr>
            <w:rStyle w:val="Hyperlink"/>
          </w:rPr>
          <w:t>http://iawg.net/minimum-initial-service-package</w:t>
        </w:r>
      </w:hyperlink>
      <w:r w:rsidRPr="00E95958">
        <w:t xml:space="preserve"> (D</w:t>
      </w:r>
      <w:r w:rsidRPr="00E95958">
        <w:rPr>
          <w:shd w:val="clear" w:color="auto" w:fill="FFFFFF"/>
        </w:rPr>
        <w:t xml:space="preserve">istance learning module for the Minimum Initial Service Package). </w:t>
      </w:r>
      <w:r w:rsidRPr="00E95958">
        <w:rPr>
          <w:i/>
          <w:shd w:val="clear" w:color="auto" w:fill="FFFFFF"/>
        </w:rPr>
        <w:t>See also</w:t>
      </w:r>
      <w:r w:rsidRPr="00E95958">
        <w:rPr>
          <w:shd w:val="clear" w:color="auto" w:fill="FFFFFF"/>
        </w:rPr>
        <w:t xml:space="preserve"> </w:t>
      </w:r>
      <w:r w:rsidRPr="00E95958">
        <w:rPr>
          <w:i/>
        </w:rPr>
        <w:t>MISP Calculators,</w:t>
      </w:r>
      <w:r w:rsidRPr="00E95958">
        <w:t xml:space="preserve"> </w:t>
      </w:r>
      <w:r w:rsidRPr="00E95958">
        <w:rPr>
          <w:smallCaps/>
        </w:rPr>
        <w:t xml:space="preserve">Inter-Agency Working Group on Reproductive Health in Crises (2018), </w:t>
      </w:r>
      <w:hyperlink r:id="rId131" w:history="1">
        <w:r w:rsidRPr="00E95958">
          <w:rPr>
            <w:rStyle w:val="Hyperlink"/>
          </w:rPr>
          <w:t>http://iawg.net/resource/misp-rh-kit-calculators/</w:t>
        </w:r>
      </w:hyperlink>
      <w:r w:rsidRPr="00E95958">
        <w:rPr>
          <w:smallCaps/>
        </w:rPr>
        <w:t xml:space="preserve"> (“</w:t>
      </w:r>
      <w:r w:rsidRPr="00E95958">
        <w:rPr>
          <w:shd w:val="clear" w:color="auto" w:fill="FFFFFF"/>
        </w:rPr>
        <w:t>This spreadsheet calculates the reproductive health statistics necessary for the implementation of the MISP (Minimum Initial Service Package). Input site specific data into the grey shaded boxes; the rest of the spreadsheet is protected to guarantee accurate calculations</w:t>
      </w:r>
      <w:r w:rsidRPr="00E95958">
        <w:t>”.)</w:t>
      </w:r>
    </w:p>
  </w:endnote>
  <w:endnote w:id="427">
    <w:p w14:paraId="342C193E"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UNFPA</w:t>
      </w:r>
      <w:r w:rsidRPr="00E95958">
        <w:rPr>
          <w:smallCaps/>
          <w:lang w:eastAsia="zh-CN"/>
        </w:rPr>
        <w:t>,</w:t>
      </w:r>
      <w:r w:rsidRPr="00E95958">
        <w:rPr>
          <w:smallCaps/>
        </w:rPr>
        <w:t xml:space="preserve"> Minimum Initial Service Package (MISP) </w:t>
      </w:r>
      <w:r w:rsidRPr="00E95958">
        <w:t xml:space="preserve">(Apr. 2015), </w:t>
      </w:r>
      <w:r w:rsidRPr="00E95958">
        <w:rPr>
          <w:rStyle w:val="Hyperlink"/>
        </w:rPr>
        <w:t>https://www.unfpa.org/sites/default/files/resource-pdf/MISP_Objectives.pdf</w:t>
      </w:r>
      <w:r w:rsidRPr="00E95958">
        <w:t>.</w:t>
      </w:r>
    </w:p>
  </w:endnote>
  <w:endnote w:id="428">
    <w:p w14:paraId="1AD120F0" w14:textId="77777777" w:rsidR="002772C9" w:rsidRPr="00E95958" w:rsidRDefault="002772C9" w:rsidP="00E95958">
      <w:pPr>
        <w:pStyle w:val="EndnoteText"/>
        <w:ind w:left="-36" w:hanging="324"/>
      </w:pPr>
      <w:r w:rsidRPr="00E95958">
        <w:rPr>
          <w:vertAlign w:val="superscript"/>
        </w:rPr>
        <w:endnoteRef/>
      </w:r>
      <w:r w:rsidRPr="00E95958">
        <w:t xml:space="preserve"> International Covenant on Civil and Political Rights, </w:t>
      </w:r>
      <w:r w:rsidRPr="00E95958">
        <w:rPr>
          <w:i/>
        </w:rPr>
        <w:t xml:space="preserve">adopted </w:t>
      </w:r>
      <w:r w:rsidRPr="00E95958">
        <w:t>Dec. 16, 1966, art. 6(1), G.A. Res. 2200A (XXI), U.N. GAOR, 21</w:t>
      </w:r>
      <w:r w:rsidRPr="00E95958">
        <w:rPr>
          <w:vertAlign w:val="superscript"/>
        </w:rPr>
        <w:t xml:space="preserve">st </w:t>
      </w:r>
      <w:r w:rsidRPr="00E95958">
        <w:t>Sess., Supp. No. 16, U.N. Doc. A/6316 (1966), 999 U.N.T.S. 171 (</w:t>
      </w:r>
      <w:r w:rsidRPr="00E95958">
        <w:rPr>
          <w:i/>
        </w:rPr>
        <w:t xml:space="preserve">entered into force </w:t>
      </w:r>
      <w:r w:rsidRPr="00E95958">
        <w:t>Mar. 23, 1976) [hereinafter ICCPR].</w:t>
      </w:r>
    </w:p>
  </w:endnote>
  <w:endnote w:id="429">
    <w:p w14:paraId="63E9609E" w14:textId="77777777" w:rsidR="002772C9" w:rsidRPr="00E95958" w:rsidRDefault="002772C9" w:rsidP="00E95958">
      <w:pPr>
        <w:pStyle w:val="EndnoteText"/>
        <w:ind w:left="-36" w:hanging="324"/>
      </w:pPr>
      <w:r w:rsidRPr="00E95958">
        <w:rPr>
          <w:vertAlign w:val="superscript"/>
        </w:rPr>
        <w:endnoteRef/>
      </w:r>
      <w:r w:rsidRPr="00E95958">
        <w:t xml:space="preserve"> International Covenant on Economic, Social and Cultural Rights, art. 12, G.A. Res. 2200A (XXI), U.N. GAOR, Supp. No. 16, U.N. Doc. A/6316 (1966) [hereinafter IESCR]. </w:t>
      </w:r>
    </w:p>
  </w:endnote>
  <w:endnote w:id="430">
    <w:p w14:paraId="0B2C678A" w14:textId="77777777" w:rsidR="002772C9" w:rsidRPr="00E95958" w:rsidRDefault="002772C9" w:rsidP="00E95958">
      <w:pPr>
        <w:pStyle w:val="EndnoteText"/>
        <w:ind w:left="-36" w:hanging="324"/>
      </w:pPr>
      <w:r w:rsidRPr="00E95958">
        <w:rPr>
          <w:vertAlign w:val="superscript"/>
        </w:rPr>
        <w:endnoteRef/>
      </w:r>
      <w:r w:rsidRPr="00E95958">
        <w:t xml:space="preserve"> Convention on the Rights of Persons with Disabilities, arts. 10,25, G.A. Res. 61/106, U.N. Doc. A/RES/61/106 (Dec. 13, 2006) [hereinafter CRPD].</w:t>
      </w:r>
    </w:p>
  </w:endnote>
  <w:endnote w:id="431">
    <w:p w14:paraId="418CE051" w14:textId="77777777" w:rsidR="002772C9" w:rsidRPr="00E95958" w:rsidRDefault="002772C9" w:rsidP="00E95958">
      <w:pPr>
        <w:pStyle w:val="EndnoteText"/>
        <w:ind w:left="-36" w:hanging="324"/>
      </w:pPr>
      <w:r w:rsidRPr="00E95958">
        <w:rPr>
          <w:vertAlign w:val="superscript"/>
        </w:rPr>
        <w:endnoteRef/>
      </w:r>
      <w:r w:rsidRPr="00E95958">
        <w:t xml:space="preserve">Convention on the Elimination of All Forms of Discrimination against Women, </w:t>
      </w:r>
      <w:r w:rsidRPr="00E95958">
        <w:rPr>
          <w:i/>
        </w:rPr>
        <w:t xml:space="preserve">adopted </w:t>
      </w:r>
      <w:r w:rsidRPr="00E95958">
        <w:t>Dec.</w:t>
      </w:r>
      <w:r w:rsidRPr="00E95958">
        <w:rPr>
          <w:rFonts w:ascii="MS Gothic" w:eastAsia="MS Gothic" w:hAnsi="MS Gothic" w:cs="MS Gothic" w:hint="eastAsia"/>
        </w:rPr>
        <w:t> </w:t>
      </w:r>
      <w:r w:rsidRPr="00E95958">
        <w:t>18, 1979, art. 12, G.A. Res. 34/180, U.N. GAOR, 34</w:t>
      </w:r>
      <w:r w:rsidRPr="00E95958">
        <w:rPr>
          <w:vertAlign w:val="superscript"/>
        </w:rPr>
        <w:t xml:space="preserve">th </w:t>
      </w:r>
      <w:r w:rsidRPr="00E95958">
        <w:t>Sess., Supp. No. 46, at 193, U.N. Doc. A/34/46, U.N.T.S. 13 (</w:t>
      </w:r>
      <w:r w:rsidRPr="00E95958">
        <w:rPr>
          <w:i/>
        </w:rPr>
        <w:t xml:space="preserve">entered into force </w:t>
      </w:r>
      <w:r w:rsidRPr="00E95958">
        <w:t xml:space="preserve">Sept. 3, 1981) [hereinafter CEDAW]. </w:t>
      </w:r>
    </w:p>
  </w:endnote>
  <w:endnote w:id="432">
    <w:p w14:paraId="54864C55" w14:textId="77777777" w:rsidR="002772C9" w:rsidRPr="00E95958" w:rsidRDefault="002772C9" w:rsidP="00E95958">
      <w:pPr>
        <w:pStyle w:val="EndnoteText"/>
        <w:ind w:left="-36" w:hanging="324"/>
      </w:pPr>
      <w:r w:rsidRPr="00E95958">
        <w:rPr>
          <w:vertAlign w:val="superscript"/>
        </w:rPr>
        <w:endnoteRef/>
      </w:r>
      <w:r w:rsidRPr="00E95958">
        <w:t xml:space="preserve"> Convention on the Rights of the Child, </w:t>
      </w:r>
      <w:r w:rsidRPr="00E95958">
        <w:rPr>
          <w:i/>
        </w:rPr>
        <w:t xml:space="preserve">adopted </w:t>
      </w:r>
      <w:r w:rsidRPr="00E95958">
        <w:t>Nov. 20, 1989, arts. 6(1), 24(1), G.A. Res. 44/25, annex, U.N. GAOR, 44</w:t>
      </w:r>
      <w:r w:rsidRPr="00E95958">
        <w:rPr>
          <w:vertAlign w:val="superscript"/>
        </w:rPr>
        <w:t xml:space="preserve">th </w:t>
      </w:r>
      <w:r w:rsidRPr="00E95958">
        <w:t>Sess., Supp. No. 49, U.N. Doc. A/44/49 (1989) (</w:t>
      </w:r>
      <w:r w:rsidRPr="00E95958">
        <w:rPr>
          <w:i/>
        </w:rPr>
        <w:t xml:space="preserve">entered into force </w:t>
      </w:r>
      <w:r w:rsidRPr="00E95958">
        <w:t xml:space="preserve">Sept. 2, 1990) [hereinafter CRC]. </w:t>
      </w:r>
    </w:p>
  </w:endnote>
  <w:endnote w:id="433">
    <w:p w14:paraId="3F2B289A" w14:textId="77777777" w:rsidR="002772C9" w:rsidRPr="00E95958" w:rsidRDefault="002772C9" w:rsidP="00E95958">
      <w:pPr>
        <w:pStyle w:val="EndnoteText"/>
        <w:ind w:left="-36" w:hanging="324"/>
      </w:pPr>
      <w:r w:rsidRPr="00E95958">
        <w:rPr>
          <w:vertAlign w:val="superscript"/>
        </w:rPr>
        <w:endnoteRef/>
      </w:r>
      <w:r w:rsidRPr="00E95958">
        <w:t xml:space="preserve"> ICCPR, </w:t>
      </w:r>
      <w:r w:rsidRPr="00E95958">
        <w:rPr>
          <w:i/>
        </w:rPr>
        <w:t xml:space="preserve">supra </w:t>
      </w:r>
      <w:r w:rsidRPr="00E95958">
        <w:t>note 427, at art. 9(1), 17(1).</w:t>
      </w:r>
    </w:p>
  </w:endnote>
  <w:endnote w:id="434">
    <w:p w14:paraId="75C17FF9" w14:textId="77777777" w:rsidR="002772C9" w:rsidRPr="00E95958" w:rsidRDefault="002772C9" w:rsidP="00E95958">
      <w:pPr>
        <w:pStyle w:val="EndnoteText"/>
        <w:ind w:left="-36" w:hanging="324"/>
      </w:pPr>
      <w:r w:rsidRPr="00E95958">
        <w:rPr>
          <w:vertAlign w:val="superscript"/>
        </w:rPr>
        <w:endnoteRef/>
      </w:r>
      <w:r w:rsidRPr="00E95958">
        <w:t xml:space="preserve"> CRPD, </w:t>
      </w:r>
      <w:r w:rsidRPr="00E95958">
        <w:rPr>
          <w:i/>
        </w:rPr>
        <w:t xml:space="preserve">supra </w:t>
      </w:r>
      <w:r w:rsidRPr="00E95958">
        <w:t>note 429, at arts. 14, 22(1), 23(1)(c).</w:t>
      </w:r>
    </w:p>
  </w:endnote>
  <w:endnote w:id="435">
    <w:p w14:paraId="1B57601B" w14:textId="77777777" w:rsidR="002772C9" w:rsidRPr="00E95958" w:rsidRDefault="002772C9" w:rsidP="00E95958">
      <w:pPr>
        <w:pStyle w:val="EndnoteText"/>
        <w:ind w:left="-36" w:hanging="324"/>
      </w:pPr>
      <w:r w:rsidRPr="00E95958">
        <w:rPr>
          <w:vertAlign w:val="superscript"/>
        </w:rPr>
        <w:endnoteRef/>
      </w:r>
      <w:r w:rsidRPr="00E95958">
        <w:t xml:space="preserve"> CEDAW, </w:t>
      </w:r>
      <w:r w:rsidRPr="00E95958">
        <w:rPr>
          <w:i/>
        </w:rPr>
        <w:t xml:space="preserve">supra </w:t>
      </w:r>
      <w:r w:rsidRPr="00E95958">
        <w:t>note 430, at art.16(1)(e).</w:t>
      </w:r>
    </w:p>
  </w:endnote>
  <w:endnote w:id="436">
    <w:p w14:paraId="020EADF9" w14:textId="77777777" w:rsidR="002772C9" w:rsidRPr="00E95958" w:rsidRDefault="002772C9" w:rsidP="00E95958">
      <w:pPr>
        <w:pStyle w:val="EndnoteText"/>
        <w:ind w:left="-36" w:hanging="324"/>
      </w:pPr>
      <w:r w:rsidRPr="00E95958">
        <w:rPr>
          <w:vertAlign w:val="superscript"/>
        </w:rPr>
        <w:endnoteRef/>
      </w:r>
      <w:r w:rsidRPr="00E95958">
        <w:t xml:space="preserve"> CRC, </w:t>
      </w:r>
      <w:r w:rsidRPr="00E95958">
        <w:rPr>
          <w:i/>
        </w:rPr>
        <w:t xml:space="preserve">supra </w:t>
      </w:r>
      <w:r w:rsidRPr="00E95958">
        <w:t>note 431, at art. 16(1).</w:t>
      </w:r>
    </w:p>
  </w:endnote>
  <w:endnote w:id="437">
    <w:p w14:paraId="0834EBD9" w14:textId="77777777" w:rsidR="002772C9" w:rsidRPr="00E95958" w:rsidRDefault="002772C9" w:rsidP="00E95958">
      <w:pPr>
        <w:pStyle w:val="EndnoteText"/>
        <w:ind w:left="-36" w:hanging="324"/>
      </w:pPr>
      <w:r w:rsidRPr="00E95958">
        <w:rPr>
          <w:vertAlign w:val="superscript"/>
        </w:rPr>
        <w:endnoteRef/>
      </w:r>
      <w:r w:rsidRPr="00E95958">
        <w:t xml:space="preserve"> ICESCR, </w:t>
      </w:r>
      <w:r w:rsidRPr="00E95958">
        <w:rPr>
          <w:i/>
        </w:rPr>
        <w:t xml:space="preserve">supra </w:t>
      </w:r>
      <w:r w:rsidRPr="00E95958">
        <w:t xml:space="preserve">note 428, at art. 13. </w:t>
      </w:r>
      <w:r w:rsidRPr="00E95958">
        <w:rPr>
          <w:i/>
        </w:rPr>
        <w:t>See also</w:t>
      </w:r>
      <w:r w:rsidRPr="00E95958">
        <w:t xml:space="preserve"> Committee on the Economic, Social, and Cultural Rights (ESCR Committee), </w:t>
      </w:r>
      <w:r w:rsidRPr="00E95958">
        <w:rPr>
          <w:i/>
        </w:rPr>
        <w:t xml:space="preserve">General Comment No. 14: The Right to the Highest Attainable Standards of Health </w:t>
      </w:r>
      <w:r w:rsidRPr="00E95958">
        <w:t xml:space="preserve">(Art. 12), para. 29, U.N. Doc. E/C.12/2000/4 (Aug. 11, 2000) [hereinafter ESCR Committee, </w:t>
      </w:r>
      <w:r w:rsidRPr="00E95958">
        <w:rPr>
          <w:i/>
        </w:rPr>
        <w:t>General Comment No. 14</w:t>
      </w:r>
      <w:r w:rsidRPr="00E95958">
        <w:t xml:space="preserve">]; ESCR Committee, </w:t>
      </w:r>
      <w:r w:rsidRPr="00E95958">
        <w:rPr>
          <w:i/>
        </w:rPr>
        <w:t>General Comment No. 22 (2016) on the Right to Sexual and Reproductive Health (Article 12 of the International Covenant on the Economic, Social and Cultural Rights</w:t>
      </w:r>
      <w:r w:rsidRPr="00E95958">
        <w:t xml:space="preserve">, paras. 12-21, U.N. Doc. E/C.12/GC/22 (May 2016) [hereinafter ESCR Committee, </w:t>
      </w:r>
      <w:r w:rsidRPr="00E95958">
        <w:rPr>
          <w:i/>
        </w:rPr>
        <w:t>General Comment No. 22</w:t>
      </w:r>
      <w:r w:rsidRPr="00E95958">
        <w:t xml:space="preserve">]. </w:t>
      </w:r>
    </w:p>
  </w:endnote>
  <w:endnote w:id="438">
    <w:p w14:paraId="714894C3" w14:textId="77777777" w:rsidR="002772C9" w:rsidRPr="00E95958" w:rsidRDefault="002772C9" w:rsidP="00E95958">
      <w:pPr>
        <w:pStyle w:val="EndnoteText"/>
        <w:ind w:left="-36" w:hanging="324"/>
      </w:pPr>
      <w:r w:rsidRPr="00E95958">
        <w:rPr>
          <w:vertAlign w:val="superscript"/>
        </w:rPr>
        <w:endnoteRef/>
      </w:r>
      <w:r w:rsidRPr="00E95958">
        <w:t xml:space="preserve"> CRPD, </w:t>
      </w:r>
      <w:r w:rsidRPr="00E95958">
        <w:rPr>
          <w:i/>
        </w:rPr>
        <w:t xml:space="preserve">supra </w:t>
      </w:r>
      <w:r w:rsidRPr="00E95958">
        <w:t>note 429, at art. 23(1)(b).</w:t>
      </w:r>
    </w:p>
  </w:endnote>
  <w:endnote w:id="439">
    <w:p w14:paraId="087FDEC4" w14:textId="77777777" w:rsidR="002772C9" w:rsidRPr="00E95958" w:rsidRDefault="002772C9" w:rsidP="00E95958">
      <w:pPr>
        <w:pStyle w:val="EndnoteText"/>
        <w:ind w:left="-36" w:hanging="324"/>
      </w:pPr>
      <w:r w:rsidRPr="00E95958">
        <w:rPr>
          <w:vertAlign w:val="superscript"/>
        </w:rPr>
        <w:endnoteRef/>
      </w:r>
      <w:r w:rsidRPr="00E95958">
        <w:t xml:space="preserve"> CEDAW, </w:t>
      </w:r>
      <w:r w:rsidRPr="00E95958">
        <w:rPr>
          <w:i/>
        </w:rPr>
        <w:t xml:space="preserve">supra </w:t>
      </w:r>
      <w:r w:rsidRPr="00E95958">
        <w:t xml:space="preserve">note 430, at art.10(h). </w:t>
      </w:r>
      <w:r w:rsidRPr="00E95958">
        <w:rPr>
          <w:i/>
        </w:rPr>
        <w:t>See also</w:t>
      </w:r>
      <w:r w:rsidRPr="00E95958">
        <w:t xml:space="preserve"> Committee on the Elimination of Discrimination against Women, </w:t>
      </w:r>
      <w:r w:rsidRPr="00E95958">
        <w:rPr>
          <w:i/>
        </w:rPr>
        <w:t>General Recommendation No. 24: Article 12: Women and Health,</w:t>
      </w:r>
      <w:r w:rsidRPr="00E95958">
        <w:t xml:space="preserve"> U.N. Doc. A/47/38 (1999) [hereinafter CEDAW Committee, </w:t>
      </w:r>
      <w:r w:rsidRPr="00E95958">
        <w:rPr>
          <w:i/>
        </w:rPr>
        <w:t>General Recommendation No. 24</w:t>
      </w:r>
      <w:r w:rsidRPr="00E95958">
        <w:t xml:space="preserve">]. </w:t>
      </w:r>
    </w:p>
  </w:endnote>
  <w:endnote w:id="440">
    <w:p w14:paraId="2C91B8FB" w14:textId="77777777" w:rsidR="002772C9" w:rsidRPr="00E95958" w:rsidRDefault="002772C9" w:rsidP="00E95958">
      <w:pPr>
        <w:pStyle w:val="EndnoteText"/>
        <w:ind w:left="-36" w:hanging="324"/>
      </w:pPr>
      <w:r w:rsidRPr="00E95958">
        <w:rPr>
          <w:vertAlign w:val="superscript"/>
        </w:rPr>
        <w:endnoteRef/>
      </w:r>
      <w:r w:rsidRPr="00E95958">
        <w:t xml:space="preserve"> CRC, </w:t>
      </w:r>
      <w:r w:rsidRPr="00E95958">
        <w:rPr>
          <w:i/>
        </w:rPr>
        <w:t xml:space="preserve">supra </w:t>
      </w:r>
      <w:r w:rsidRPr="00E95958">
        <w:t>note 431, at arts. 13, 17.</w:t>
      </w:r>
    </w:p>
  </w:endnote>
  <w:endnote w:id="441">
    <w:p w14:paraId="6D723C5D" w14:textId="77777777" w:rsidR="002772C9" w:rsidRPr="00E95958" w:rsidRDefault="002772C9" w:rsidP="00E95958">
      <w:pPr>
        <w:pStyle w:val="EndnoteText"/>
        <w:ind w:left="-36" w:hanging="324"/>
      </w:pPr>
      <w:r w:rsidRPr="00E95958">
        <w:rPr>
          <w:vertAlign w:val="superscript"/>
        </w:rPr>
        <w:endnoteRef/>
      </w:r>
      <w:r w:rsidRPr="00E95958">
        <w:t xml:space="preserve"> ICCPR, </w:t>
      </w:r>
      <w:r w:rsidRPr="00E95958">
        <w:rPr>
          <w:i/>
        </w:rPr>
        <w:t xml:space="preserve">supra </w:t>
      </w:r>
      <w:r w:rsidRPr="00E95958">
        <w:t>note 427, at art. 2(1).</w:t>
      </w:r>
    </w:p>
  </w:endnote>
  <w:endnote w:id="442">
    <w:p w14:paraId="5282AB0E" w14:textId="77777777" w:rsidR="002772C9" w:rsidRPr="00E95958" w:rsidRDefault="002772C9" w:rsidP="00E95958">
      <w:pPr>
        <w:pStyle w:val="EndnoteText"/>
        <w:ind w:left="-36" w:hanging="324"/>
      </w:pPr>
      <w:r w:rsidRPr="00E95958">
        <w:rPr>
          <w:vertAlign w:val="superscript"/>
        </w:rPr>
        <w:endnoteRef/>
      </w:r>
      <w:r w:rsidRPr="00E95958">
        <w:t xml:space="preserve"> ICESCR, </w:t>
      </w:r>
      <w:r w:rsidRPr="00E95958">
        <w:rPr>
          <w:i/>
        </w:rPr>
        <w:t xml:space="preserve">supra </w:t>
      </w:r>
      <w:r w:rsidRPr="00E95958">
        <w:t>note 428, at art. 2(2).</w:t>
      </w:r>
    </w:p>
  </w:endnote>
  <w:endnote w:id="443">
    <w:p w14:paraId="79E907E2" w14:textId="77777777" w:rsidR="002772C9" w:rsidRPr="00E95958" w:rsidRDefault="002772C9" w:rsidP="00E95958">
      <w:pPr>
        <w:pStyle w:val="EndnoteText"/>
        <w:ind w:left="-36" w:hanging="324"/>
      </w:pPr>
      <w:r w:rsidRPr="00E95958">
        <w:rPr>
          <w:vertAlign w:val="superscript"/>
        </w:rPr>
        <w:endnoteRef/>
      </w:r>
      <w:r w:rsidRPr="00E95958">
        <w:t xml:space="preserve"> CRPD, </w:t>
      </w:r>
      <w:r w:rsidRPr="00E95958">
        <w:rPr>
          <w:i/>
        </w:rPr>
        <w:t xml:space="preserve">supra </w:t>
      </w:r>
      <w:r w:rsidRPr="00E95958">
        <w:t>note 429, at arts. 5, 6(1), 7.</w:t>
      </w:r>
    </w:p>
  </w:endnote>
  <w:endnote w:id="444">
    <w:p w14:paraId="7BE05419" w14:textId="77777777" w:rsidR="002772C9" w:rsidRPr="00E95958" w:rsidRDefault="002772C9" w:rsidP="00E95958">
      <w:pPr>
        <w:pStyle w:val="EndnoteText"/>
        <w:ind w:left="-36" w:hanging="324"/>
      </w:pPr>
      <w:r w:rsidRPr="00E95958">
        <w:rPr>
          <w:vertAlign w:val="superscript"/>
        </w:rPr>
        <w:endnoteRef/>
      </w:r>
      <w:r w:rsidRPr="00E95958">
        <w:t xml:space="preserve"> CEDAW, </w:t>
      </w:r>
      <w:r w:rsidRPr="00E95958">
        <w:rPr>
          <w:i/>
        </w:rPr>
        <w:t xml:space="preserve">supra </w:t>
      </w:r>
      <w:r w:rsidRPr="00E95958">
        <w:t>note 430, at arts. 1, 3.</w:t>
      </w:r>
    </w:p>
  </w:endnote>
  <w:endnote w:id="445">
    <w:p w14:paraId="68072B9B" w14:textId="77777777" w:rsidR="002772C9" w:rsidRPr="00E95958" w:rsidRDefault="002772C9" w:rsidP="00E95958">
      <w:pPr>
        <w:pStyle w:val="EndnoteText"/>
        <w:ind w:left="-36" w:hanging="324"/>
      </w:pPr>
      <w:r w:rsidRPr="00E95958">
        <w:rPr>
          <w:vertAlign w:val="superscript"/>
        </w:rPr>
        <w:endnoteRef/>
      </w:r>
      <w:r w:rsidRPr="00E95958">
        <w:t xml:space="preserve"> CRC, </w:t>
      </w:r>
      <w:r w:rsidRPr="00E95958">
        <w:rPr>
          <w:i/>
        </w:rPr>
        <w:t xml:space="preserve">supra </w:t>
      </w:r>
      <w:r w:rsidRPr="00E95958">
        <w:t>note 431, at arts. 2, 5.</w:t>
      </w:r>
    </w:p>
  </w:endnote>
  <w:endnote w:id="446">
    <w:p w14:paraId="7620C221" w14:textId="77777777" w:rsidR="002772C9" w:rsidRPr="00E95958" w:rsidRDefault="002772C9" w:rsidP="00E95958">
      <w:pPr>
        <w:pStyle w:val="EndnoteText"/>
        <w:ind w:left="-36" w:hanging="324"/>
      </w:pPr>
      <w:r w:rsidRPr="00E95958">
        <w:rPr>
          <w:vertAlign w:val="superscript"/>
        </w:rPr>
        <w:endnoteRef/>
      </w:r>
      <w:r w:rsidRPr="00E95958">
        <w:t xml:space="preserve"> ICESCR, </w:t>
      </w:r>
      <w:r w:rsidRPr="00E95958">
        <w:rPr>
          <w:i/>
        </w:rPr>
        <w:t xml:space="preserve">supra </w:t>
      </w:r>
      <w:r w:rsidRPr="00E95958">
        <w:t>note 428, at art.15(1).</w:t>
      </w:r>
    </w:p>
  </w:endnote>
  <w:endnote w:id="447">
    <w:p w14:paraId="61C4709C" w14:textId="77777777" w:rsidR="002772C9" w:rsidRPr="00E95958" w:rsidRDefault="002772C9" w:rsidP="00E95958">
      <w:pPr>
        <w:pStyle w:val="EndnoteText"/>
        <w:ind w:left="-36" w:hanging="324"/>
      </w:pPr>
      <w:r w:rsidRPr="00E95958">
        <w:rPr>
          <w:vertAlign w:val="superscript"/>
        </w:rPr>
        <w:endnoteRef/>
      </w:r>
      <w:r w:rsidRPr="00E95958">
        <w:t xml:space="preserve"> ICCPR, </w:t>
      </w:r>
      <w:r w:rsidRPr="00E95958">
        <w:rPr>
          <w:i/>
        </w:rPr>
        <w:t xml:space="preserve">supra </w:t>
      </w:r>
      <w:r w:rsidRPr="00E95958">
        <w:t>note 427, at art. 7.</w:t>
      </w:r>
    </w:p>
  </w:endnote>
  <w:endnote w:id="448">
    <w:p w14:paraId="4820FDFE" w14:textId="77777777" w:rsidR="002772C9" w:rsidRPr="00E95958" w:rsidRDefault="002772C9" w:rsidP="00E95958">
      <w:pPr>
        <w:pStyle w:val="EndnoteText"/>
        <w:ind w:left="-36" w:hanging="324"/>
      </w:pPr>
      <w:r w:rsidRPr="00E95958">
        <w:rPr>
          <w:vertAlign w:val="superscript"/>
        </w:rPr>
        <w:endnoteRef/>
      </w:r>
      <w:r w:rsidRPr="00E95958">
        <w:t xml:space="preserve"> Convention against Torture and Other Cruel, Inhuman or Degrading Treatment or Punishment, arts. 2(1), 16(1), G.A. Res. 39/46 (Dec. 10, 1984) [hereinafter CAT]. </w:t>
      </w:r>
    </w:p>
  </w:endnote>
  <w:endnote w:id="449">
    <w:p w14:paraId="34BCD3A3" w14:textId="77777777" w:rsidR="002772C9" w:rsidRPr="00E95958" w:rsidRDefault="002772C9" w:rsidP="00E95958">
      <w:pPr>
        <w:pStyle w:val="EndnoteText"/>
        <w:ind w:left="-36" w:hanging="324"/>
      </w:pPr>
      <w:r w:rsidRPr="00E95958">
        <w:rPr>
          <w:vertAlign w:val="superscript"/>
        </w:rPr>
        <w:endnoteRef/>
      </w:r>
      <w:r w:rsidRPr="00E95958">
        <w:t xml:space="preserve"> CRPD, </w:t>
      </w:r>
      <w:r w:rsidRPr="00E95958">
        <w:rPr>
          <w:i/>
        </w:rPr>
        <w:t xml:space="preserve">supra </w:t>
      </w:r>
      <w:r w:rsidRPr="00E95958">
        <w:t xml:space="preserve">note 429, at art. 15. </w:t>
      </w:r>
    </w:p>
  </w:endnote>
  <w:endnote w:id="450">
    <w:p w14:paraId="4B0FF04D" w14:textId="77777777" w:rsidR="002772C9" w:rsidRPr="00E95958" w:rsidRDefault="002772C9" w:rsidP="00E95958">
      <w:pPr>
        <w:pStyle w:val="EndnoteText"/>
        <w:ind w:left="-36" w:hanging="324"/>
      </w:pPr>
      <w:r w:rsidRPr="00E95958">
        <w:rPr>
          <w:vertAlign w:val="superscript"/>
        </w:rPr>
        <w:endnoteRef/>
      </w:r>
      <w:r w:rsidRPr="00E95958">
        <w:t xml:space="preserve"> CRC, </w:t>
      </w:r>
      <w:r w:rsidRPr="00E95958">
        <w:rPr>
          <w:i/>
        </w:rPr>
        <w:t xml:space="preserve">supra </w:t>
      </w:r>
      <w:r w:rsidRPr="00E95958">
        <w:t>note 431, at art. 37(a)</w:t>
      </w:r>
    </w:p>
  </w:endnote>
  <w:endnote w:id="451">
    <w:p w14:paraId="3D829CE1" w14:textId="77777777" w:rsidR="002772C9" w:rsidRPr="00E95958" w:rsidRDefault="002772C9" w:rsidP="00E95958">
      <w:pPr>
        <w:pStyle w:val="EndnoteText"/>
        <w:ind w:left="-36" w:hanging="324"/>
      </w:pPr>
      <w:r w:rsidRPr="00E95958">
        <w:rPr>
          <w:vertAlign w:val="superscript"/>
        </w:rPr>
        <w:endnoteRef/>
      </w:r>
      <w:r w:rsidRPr="00E95958">
        <w:t xml:space="preserve"> ICCPR, </w:t>
      </w:r>
      <w:r w:rsidRPr="00E95958">
        <w:rPr>
          <w:i/>
        </w:rPr>
        <w:t xml:space="preserve">supra </w:t>
      </w:r>
      <w:r w:rsidRPr="00E95958">
        <w:t>note 427, at art. 23.</w:t>
      </w:r>
    </w:p>
  </w:endnote>
  <w:endnote w:id="452">
    <w:p w14:paraId="56C93496" w14:textId="77777777" w:rsidR="002772C9" w:rsidRPr="00E95958" w:rsidRDefault="002772C9" w:rsidP="00E95958">
      <w:pPr>
        <w:pStyle w:val="EndnoteText"/>
        <w:ind w:left="-36" w:hanging="324"/>
      </w:pPr>
      <w:r w:rsidRPr="00E95958">
        <w:rPr>
          <w:vertAlign w:val="superscript"/>
        </w:rPr>
        <w:endnoteRef/>
      </w:r>
      <w:r w:rsidRPr="00E95958">
        <w:t xml:space="preserve"> ICESCR, </w:t>
      </w:r>
      <w:r w:rsidRPr="00E95958">
        <w:rPr>
          <w:i/>
        </w:rPr>
        <w:t xml:space="preserve">supra </w:t>
      </w:r>
      <w:r w:rsidRPr="00E95958">
        <w:t>note 428, at art. 10(1).</w:t>
      </w:r>
    </w:p>
  </w:endnote>
  <w:endnote w:id="453">
    <w:p w14:paraId="7FF337F4" w14:textId="77777777" w:rsidR="002772C9" w:rsidRPr="00E95958" w:rsidRDefault="002772C9" w:rsidP="00E95958">
      <w:pPr>
        <w:pStyle w:val="EndnoteText"/>
        <w:ind w:left="-36" w:hanging="324"/>
      </w:pPr>
      <w:r w:rsidRPr="00E95958">
        <w:rPr>
          <w:vertAlign w:val="superscript"/>
        </w:rPr>
        <w:endnoteRef/>
      </w:r>
      <w:r w:rsidRPr="00E95958">
        <w:t xml:space="preserve"> CEDAW, </w:t>
      </w:r>
      <w:r w:rsidRPr="00E95958">
        <w:rPr>
          <w:i/>
        </w:rPr>
        <w:t xml:space="preserve">supra </w:t>
      </w:r>
      <w:r w:rsidRPr="00E95958">
        <w:t>note 430, at art. 16.</w:t>
      </w:r>
    </w:p>
  </w:endnote>
  <w:endnote w:id="454">
    <w:p w14:paraId="30B68733" w14:textId="77777777" w:rsidR="002772C9" w:rsidRPr="00E95958" w:rsidRDefault="002772C9" w:rsidP="00E95958">
      <w:pPr>
        <w:pStyle w:val="EndnoteText"/>
        <w:ind w:left="-36" w:hanging="324"/>
      </w:pPr>
      <w:r w:rsidRPr="00E95958">
        <w:rPr>
          <w:vertAlign w:val="superscript"/>
        </w:rPr>
        <w:endnoteRef/>
      </w:r>
      <w:r w:rsidRPr="00E95958">
        <w:t xml:space="preserve"> CRPD, </w:t>
      </w:r>
      <w:r w:rsidRPr="00E95958">
        <w:rPr>
          <w:i/>
        </w:rPr>
        <w:t xml:space="preserve">supra </w:t>
      </w:r>
      <w:r w:rsidRPr="00E95958">
        <w:t>note 429, at art. 23(1).</w:t>
      </w:r>
    </w:p>
  </w:endnote>
  <w:endnote w:id="455">
    <w:p w14:paraId="656D773B" w14:textId="77777777" w:rsidR="002772C9" w:rsidRPr="00E95958" w:rsidRDefault="002772C9" w:rsidP="00E95958">
      <w:pPr>
        <w:pStyle w:val="EndnoteText"/>
        <w:ind w:left="-36" w:hanging="324"/>
      </w:pPr>
      <w:r w:rsidRPr="00E95958">
        <w:rPr>
          <w:vertAlign w:val="superscript"/>
        </w:rPr>
        <w:endnoteRef/>
      </w:r>
      <w:r w:rsidRPr="00E95958">
        <w:t xml:space="preserve"> CRPD, </w:t>
      </w:r>
      <w:r w:rsidRPr="00E95958">
        <w:rPr>
          <w:i/>
        </w:rPr>
        <w:t xml:space="preserve">supra </w:t>
      </w:r>
      <w:r w:rsidRPr="00E95958">
        <w:t xml:space="preserve">note 429, at art. 9. </w:t>
      </w:r>
    </w:p>
  </w:endnote>
  <w:endnote w:id="456">
    <w:p w14:paraId="33840C1E" w14:textId="77777777" w:rsidR="002772C9" w:rsidRPr="00E95958" w:rsidRDefault="002772C9" w:rsidP="00E95958">
      <w:pPr>
        <w:pStyle w:val="EndnoteText"/>
        <w:ind w:left="-36" w:hanging="324"/>
      </w:pPr>
      <w:r w:rsidRPr="00E95958">
        <w:rPr>
          <w:vertAlign w:val="superscript"/>
        </w:rPr>
        <w:endnoteRef/>
      </w:r>
      <w:r w:rsidRPr="00E95958">
        <w:t xml:space="preserve"> CRPD, </w:t>
      </w:r>
      <w:r w:rsidRPr="00E95958">
        <w:rPr>
          <w:i/>
        </w:rPr>
        <w:t xml:space="preserve">supra </w:t>
      </w:r>
      <w:r w:rsidRPr="00E95958">
        <w:t>note 429, at art. 11.</w:t>
      </w:r>
    </w:p>
  </w:endnote>
  <w:endnote w:id="457">
    <w:p w14:paraId="6BD1B423" w14:textId="77777777" w:rsidR="002772C9" w:rsidRPr="00E95958" w:rsidRDefault="002772C9" w:rsidP="00E95958">
      <w:pPr>
        <w:pStyle w:val="EndnoteText"/>
        <w:ind w:left="-36" w:hanging="324"/>
      </w:pPr>
      <w:r w:rsidRPr="00E95958">
        <w:rPr>
          <w:vertAlign w:val="superscript"/>
        </w:rPr>
        <w:endnoteRef/>
      </w:r>
      <w:r w:rsidRPr="00E95958">
        <w:t xml:space="preserve"> CRPD, </w:t>
      </w:r>
      <w:r w:rsidRPr="00E95958">
        <w:rPr>
          <w:i/>
        </w:rPr>
        <w:t xml:space="preserve">supra </w:t>
      </w:r>
      <w:r w:rsidRPr="00E95958">
        <w:t xml:space="preserve">note 429, at art. 5(3). </w:t>
      </w:r>
      <w:r w:rsidRPr="00E95958">
        <w:rPr>
          <w:i/>
        </w:rPr>
        <w:t>See also</w:t>
      </w:r>
      <w:r w:rsidRPr="00E95958">
        <w:t xml:space="preserve"> CRPD, </w:t>
      </w:r>
      <w:r w:rsidRPr="00E95958">
        <w:rPr>
          <w:i/>
        </w:rPr>
        <w:t xml:space="preserve">supra </w:t>
      </w:r>
      <w:r w:rsidRPr="00E95958">
        <w:t xml:space="preserve">note 429, at arts. 14(2); 24(2)(c); 27(1)(i). </w:t>
      </w:r>
    </w:p>
  </w:endnote>
  <w:endnote w:id="458">
    <w:p w14:paraId="66F8895D" w14:textId="77777777" w:rsidR="002772C9" w:rsidRPr="00E95958" w:rsidRDefault="002772C9" w:rsidP="00E95958">
      <w:pPr>
        <w:pStyle w:val="EndnoteText"/>
        <w:ind w:left="-36" w:hanging="324"/>
      </w:pPr>
      <w:r w:rsidRPr="00E95958">
        <w:rPr>
          <w:vertAlign w:val="superscript"/>
        </w:rPr>
        <w:endnoteRef/>
      </w:r>
      <w:r w:rsidRPr="00E95958">
        <w:t xml:space="preserve"> ESCR Committee, </w:t>
      </w:r>
      <w:r w:rsidRPr="00E95958">
        <w:rPr>
          <w:i/>
        </w:rPr>
        <w:t>General Comment No. 14, supra</w:t>
      </w:r>
      <w:r w:rsidRPr="00E95958">
        <w:t xml:space="preserve"> note 436, at para. 29. </w:t>
      </w:r>
      <w:r w:rsidRPr="00E95958">
        <w:rPr>
          <w:i/>
        </w:rPr>
        <w:t>See also</w:t>
      </w:r>
      <w:r w:rsidRPr="00E95958">
        <w:t xml:space="preserve"> Programme of Action of the International Conference on Population and Development, para. 8.3, U.N. Doc. A/ CONF.171/13/Rev.1 (Sept. 5-13, 1994) [hereinafter ICPD Programme of Action].</w:t>
      </w:r>
    </w:p>
  </w:endnote>
  <w:endnote w:id="459">
    <w:p w14:paraId="67BAAF4A" w14:textId="77777777" w:rsidR="002772C9" w:rsidRPr="00E95958" w:rsidRDefault="002772C9" w:rsidP="00E95958">
      <w:pPr>
        <w:pStyle w:val="EndnoteText"/>
        <w:ind w:left="-36" w:hanging="324"/>
      </w:pPr>
      <w:r w:rsidRPr="00E95958">
        <w:rPr>
          <w:vertAlign w:val="superscript"/>
        </w:rPr>
        <w:endnoteRef/>
      </w:r>
      <w:r w:rsidRPr="00E95958">
        <w:t xml:space="preserve"> ESCR Committee, </w:t>
      </w:r>
      <w:r w:rsidRPr="00E95958">
        <w:rPr>
          <w:i/>
        </w:rPr>
        <w:t>General Comment No. 14, supra</w:t>
      </w:r>
      <w:r w:rsidRPr="00E95958">
        <w:t xml:space="preserve"> note 436, at para.12.</w:t>
      </w:r>
    </w:p>
  </w:endnote>
  <w:endnote w:id="460">
    <w:p w14:paraId="7FE3A968" w14:textId="77777777" w:rsidR="002772C9" w:rsidRPr="00E95958" w:rsidRDefault="002772C9" w:rsidP="00E95958">
      <w:pPr>
        <w:pStyle w:val="EndnoteText"/>
        <w:ind w:left="-36" w:hanging="324"/>
      </w:pPr>
      <w:r w:rsidRPr="00E95958">
        <w:rPr>
          <w:vertAlign w:val="superscript"/>
        </w:rPr>
        <w:endnoteRef/>
      </w:r>
      <w:r w:rsidRPr="00E95958">
        <w:t xml:space="preserve"> ESCR Committee, </w:t>
      </w:r>
      <w:r w:rsidRPr="00E95958">
        <w:rPr>
          <w:i/>
        </w:rPr>
        <w:t>General Comment No. 14, supra</w:t>
      </w:r>
      <w:r w:rsidRPr="00E95958">
        <w:t xml:space="preserve"> note 436, at para.12. </w:t>
      </w:r>
      <w:r w:rsidRPr="00E95958">
        <w:rPr>
          <w:i/>
        </w:rPr>
        <w:t>See also</w:t>
      </w:r>
      <w:r w:rsidRPr="00E95958">
        <w:t xml:space="preserve"> ICPD Programme of Action, </w:t>
      </w:r>
      <w:r w:rsidRPr="00E95958">
        <w:rPr>
          <w:i/>
        </w:rPr>
        <w:t>supra</w:t>
      </w:r>
      <w:r w:rsidRPr="00E95958">
        <w:t xml:space="preserve"> note 457, para. 8.3.</w:t>
      </w:r>
    </w:p>
  </w:endnote>
  <w:endnote w:id="461">
    <w:p w14:paraId="5BE700D4"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See</w:t>
      </w:r>
      <w:r w:rsidRPr="00E95958">
        <w:t xml:space="preserve"> </w:t>
      </w:r>
      <w:r w:rsidRPr="00E95958">
        <w:rPr>
          <w:smallCaps/>
        </w:rPr>
        <w:t>WHO, WHO Essential Medicines and Health Products: Annual Report 2016</w:t>
      </w:r>
      <w:r w:rsidRPr="00E95958">
        <w:t xml:space="preserve"> (Aug. 2017), </w:t>
      </w:r>
      <w:hyperlink r:id="rId132">
        <w:r w:rsidRPr="00E95958">
          <w:rPr>
            <w:rStyle w:val="Hyperlink"/>
          </w:rPr>
          <w:t>http://www.who.int/medicines/publications/annual-reports/emp_annual-report2016/en/</w:t>
        </w:r>
      </w:hyperlink>
    </w:p>
  </w:endnote>
  <w:endnote w:id="462">
    <w:p w14:paraId="48179D35" w14:textId="77777777" w:rsidR="002772C9" w:rsidRPr="00E95958" w:rsidRDefault="002772C9" w:rsidP="00E95958">
      <w:pPr>
        <w:pStyle w:val="EndnoteText"/>
        <w:ind w:left="-36" w:hanging="324"/>
      </w:pPr>
      <w:r w:rsidRPr="00E95958">
        <w:rPr>
          <w:vertAlign w:val="superscript"/>
        </w:rPr>
        <w:endnoteRef/>
      </w:r>
      <w:r w:rsidRPr="00E95958">
        <w:t xml:space="preserve"> ESCR Committee, </w:t>
      </w:r>
      <w:r w:rsidRPr="00E95958">
        <w:rPr>
          <w:i/>
        </w:rPr>
        <w:t>General Comment No. 22, supra</w:t>
      </w:r>
      <w:r w:rsidRPr="00E95958">
        <w:t xml:space="preserve"> note 436, at para. 49.  </w:t>
      </w:r>
    </w:p>
  </w:endnote>
  <w:endnote w:id="463">
    <w:p w14:paraId="4CF6CC13" w14:textId="77777777" w:rsidR="002772C9" w:rsidRPr="00E95958" w:rsidRDefault="002772C9" w:rsidP="00E95958">
      <w:pPr>
        <w:pStyle w:val="EndnoteText"/>
        <w:ind w:left="-36" w:hanging="324"/>
      </w:pPr>
      <w:r w:rsidRPr="00E95958">
        <w:rPr>
          <w:vertAlign w:val="superscript"/>
        </w:rPr>
        <w:endnoteRef/>
      </w:r>
      <w:r w:rsidRPr="00E95958">
        <w:t xml:space="preserve"> Committee on the Rights of Persons with Disabilities (CRPD Committee), </w:t>
      </w:r>
      <w:r w:rsidRPr="00E95958">
        <w:rPr>
          <w:i/>
        </w:rPr>
        <w:t xml:space="preserve">General Comment No. 3 (2016) Article 6: Women and Girls with Disabilities, </w:t>
      </w:r>
      <w:r w:rsidRPr="00E95958">
        <w:t xml:space="preserve">para. 44, U.N. Doc. CRPD/C/GC/3 (Nov. 25, 2016) [hereinafter CRPD Committee, </w:t>
      </w:r>
      <w:r w:rsidRPr="00E95958">
        <w:rPr>
          <w:i/>
        </w:rPr>
        <w:t>General Comment No. 3</w:t>
      </w:r>
      <w:r w:rsidRPr="00E95958">
        <w:t xml:space="preserve">]. </w:t>
      </w:r>
    </w:p>
  </w:endnote>
  <w:endnote w:id="464">
    <w:p w14:paraId="32FFDC3B" w14:textId="77777777" w:rsidR="002772C9" w:rsidRPr="00E95958" w:rsidRDefault="002772C9" w:rsidP="00E95958">
      <w:pPr>
        <w:pStyle w:val="EndnoteText"/>
        <w:ind w:left="-36" w:hanging="324"/>
      </w:pPr>
      <w:r w:rsidRPr="00E95958">
        <w:rPr>
          <w:vertAlign w:val="superscript"/>
        </w:rPr>
        <w:endnoteRef/>
      </w:r>
      <w:r w:rsidRPr="00E95958">
        <w:t xml:space="preserve"> CRPD Committee, </w:t>
      </w:r>
      <w:r w:rsidRPr="00E95958">
        <w:rPr>
          <w:i/>
        </w:rPr>
        <w:t>General Comment No. 3, supra</w:t>
      </w:r>
      <w:r w:rsidRPr="00E95958">
        <w:t xml:space="preserve"> note </w:t>
      </w:r>
      <w:r w:rsidRPr="00E95958">
        <w:rPr>
          <w:i/>
        </w:rPr>
        <w:t>462</w:t>
      </w:r>
      <w:r w:rsidRPr="00E95958">
        <w:t xml:space="preserve">, at para. 45. </w:t>
      </w:r>
    </w:p>
  </w:endnote>
  <w:endnote w:id="465">
    <w:p w14:paraId="1CB0896B" w14:textId="77777777" w:rsidR="002772C9" w:rsidRPr="00E95958" w:rsidRDefault="002772C9" w:rsidP="00E95958">
      <w:pPr>
        <w:pStyle w:val="EndnoteText"/>
        <w:ind w:left="-36" w:hanging="324"/>
      </w:pPr>
      <w:r w:rsidRPr="00E95958">
        <w:rPr>
          <w:vertAlign w:val="superscript"/>
        </w:rPr>
        <w:endnoteRef/>
      </w:r>
      <w:r w:rsidRPr="00E95958">
        <w:t xml:space="preserve"> CRC Committee, </w:t>
      </w:r>
      <w:r w:rsidRPr="00E95958">
        <w:rPr>
          <w:i/>
        </w:rPr>
        <w:t>General Comment No. 20 (2016) on the implementation of the rights of the child during adolescence</w:t>
      </w:r>
      <w:r w:rsidRPr="00E95958">
        <w:t xml:space="preserve">, para. 59, U.N. Doc. CRC/C/GC/20 (April 20, 2017) [hereinafter CRC Committee, </w:t>
      </w:r>
      <w:r w:rsidRPr="00E95958">
        <w:rPr>
          <w:i/>
        </w:rPr>
        <w:t>General Comment No. 20</w:t>
      </w:r>
      <w:r w:rsidRPr="00E95958">
        <w:t xml:space="preserve">]. </w:t>
      </w:r>
    </w:p>
  </w:endnote>
  <w:endnote w:id="466">
    <w:p w14:paraId="3B949A60" w14:textId="77777777" w:rsidR="002772C9" w:rsidRPr="00E95958" w:rsidRDefault="002772C9" w:rsidP="00E95958">
      <w:pPr>
        <w:pStyle w:val="EndnoteText"/>
        <w:ind w:left="-36" w:hanging="324"/>
      </w:pPr>
      <w:r w:rsidRPr="00E95958">
        <w:rPr>
          <w:vertAlign w:val="superscript"/>
        </w:rPr>
        <w:endnoteRef/>
      </w:r>
      <w:r w:rsidRPr="00E95958">
        <w:t xml:space="preserve"> CRC Committee, </w:t>
      </w:r>
      <w:r w:rsidRPr="00E95958">
        <w:rPr>
          <w:i/>
        </w:rPr>
        <w:t>General Comment No. 20, supra</w:t>
      </w:r>
      <w:r w:rsidRPr="00E95958">
        <w:t xml:space="preserve"> note 464, at 59. </w:t>
      </w:r>
      <w:r w:rsidRPr="00E95958">
        <w:tab/>
      </w:r>
    </w:p>
  </w:endnote>
  <w:endnote w:id="467">
    <w:p w14:paraId="4EF319CF" w14:textId="77777777" w:rsidR="002772C9" w:rsidRPr="00E95958" w:rsidRDefault="002772C9" w:rsidP="00E95958">
      <w:pPr>
        <w:pStyle w:val="EndnoteText"/>
        <w:ind w:left="-36" w:hanging="324"/>
      </w:pPr>
      <w:r w:rsidRPr="00E95958">
        <w:rPr>
          <w:vertAlign w:val="superscript"/>
        </w:rPr>
        <w:endnoteRef/>
      </w:r>
      <w:r w:rsidRPr="00E95958">
        <w:t xml:space="preserve"> CRC Committee, </w:t>
      </w:r>
      <w:r w:rsidRPr="00E95958">
        <w:rPr>
          <w:i/>
        </w:rPr>
        <w:t>General Comment No. 20, supra</w:t>
      </w:r>
      <w:r w:rsidRPr="00E95958">
        <w:t xml:space="preserve"> note 464, at 60. </w:t>
      </w:r>
      <w:r w:rsidRPr="00E95958">
        <w:tab/>
      </w:r>
    </w:p>
  </w:endnote>
  <w:endnote w:id="468">
    <w:p w14:paraId="5F31F83C" w14:textId="77777777" w:rsidR="002772C9" w:rsidRPr="00E95958" w:rsidRDefault="002772C9" w:rsidP="00E95958">
      <w:pPr>
        <w:pStyle w:val="EndnoteText"/>
        <w:ind w:left="-36" w:hanging="324"/>
      </w:pPr>
      <w:r w:rsidRPr="00E95958">
        <w:rPr>
          <w:vertAlign w:val="superscript"/>
        </w:rPr>
        <w:endnoteRef/>
      </w:r>
      <w:r w:rsidRPr="00E95958">
        <w:t xml:space="preserve"> CRC Committee, </w:t>
      </w:r>
      <w:r w:rsidRPr="00E95958">
        <w:rPr>
          <w:i/>
        </w:rPr>
        <w:t>General Comment No. 20, supra</w:t>
      </w:r>
      <w:r w:rsidRPr="00E95958">
        <w:t xml:space="preserve"> note 464, at 60. </w:t>
      </w:r>
    </w:p>
  </w:endnote>
  <w:endnote w:id="469">
    <w:p w14:paraId="1B0CEE11" w14:textId="77777777" w:rsidR="002772C9" w:rsidRPr="00E95958" w:rsidRDefault="002772C9" w:rsidP="00E95958">
      <w:pPr>
        <w:pStyle w:val="EndnoteText"/>
        <w:ind w:left="-36" w:hanging="324"/>
      </w:pPr>
      <w:r w:rsidRPr="00E95958">
        <w:rPr>
          <w:vertAlign w:val="superscript"/>
        </w:rPr>
        <w:endnoteRef/>
      </w:r>
      <w:r w:rsidRPr="00E95958">
        <w:t xml:space="preserve"> CRC Committee, </w:t>
      </w:r>
      <w:r w:rsidRPr="00E95958">
        <w:rPr>
          <w:i/>
        </w:rPr>
        <w:t>General Comment No. 20, supra</w:t>
      </w:r>
      <w:r w:rsidRPr="00E95958">
        <w:t xml:space="preserve"> note 464, at 61. </w:t>
      </w:r>
    </w:p>
  </w:endnote>
  <w:endnote w:id="470">
    <w:p w14:paraId="5A15B49A"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WHO, Guidance Note on Disability and Emergency Risk Management for Health</w:t>
      </w:r>
      <w:r w:rsidRPr="00E95958">
        <w:t xml:space="preserve"> 16-17 (Jonathan Abrahams, Natalie Jessup, Alana Officer, Peta Sandison &amp; Valérie Scherrer eds. 2013), </w:t>
      </w:r>
      <w:r w:rsidRPr="00E95958">
        <w:rPr>
          <w:rStyle w:val="Hyperlink"/>
        </w:rPr>
        <w:t>http://apps.who.int/iris/bitstream/10665/90369/1/9789241506243_eng.pdf</w:t>
      </w:r>
    </w:p>
  </w:endnote>
  <w:endnote w:id="471">
    <w:p w14:paraId="0DBE5B27" w14:textId="77777777" w:rsidR="002772C9" w:rsidRPr="00E95958" w:rsidRDefault="002772C9" w:rsidP="00E95958">
      <w:pPr>
        <w:pStyle w:val="EndnoteText"/>
        <w:ind w:left="-36" w:hanging="324"/>
        <w:rPr>
          <w:smallCaps/>
        </w:rPr>
      </w:pPr>
      <w:r w:rsidRPr="00E95958">
        <w:rPr>
          <w:vertAlign w:val="superscript"/>
        </w:rPr>
        <w:endnoteRef/>
      </w:r>
      <w:r w:rsidRPr="00E95958">
        <w:t xml:space="preserve"> </w:t>
      </w:r>
      <w:r w:rsidRPr="00E95958">
        <w:rPr>
          <w:smallCaps/>
        </w:rPr>
        <w:t xml:space="preserve">WHO, Guidance note on disability, </w:t>
      </w:r>
      <w:r w:rsidRPr="00E95958">
        <w:rPr>
          <w:i/>
        </w:rPr>
        <w:t>supra</w:t>
      </w:r>
      <w:r w:rsidRPr="00E95958">
        <w:t xml:space="preserve"> note 469, at 17. </w:t>
      </w:r>
    </w:p>
  </w:endnote>
  <w:endnote w:id="472">
    <w:p w14:paraId="5ABBAD86"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 xml:space="preserve">WHO, Guidance note on disability, </w:t>
      </w:r>
      <w:r w:rsidRPr="00E95958">
        <w:rPr>
          <w:i/>
        </w:rPr>
        <w:t>supra</w:t>
      </w:r>
      <w:r w:rsidRPr="00E95958">
        <w:t xml:space="preserve"> note 469, at 49. </w:t>
      </w:r>
    </w:p>
  </w:endnote>
  <w:endnote w:id="473">
    <w:p w14:paraId="6CFCDD05" w14:textId="77777777" w:rsidR="002772C9" w:rsidRPr="00E95958" w:rsidRDefault="002772C9" w:rsidP="00E95958">
      <w:pPr>
        <w:pStyle w:val="EndnoteText"/>
        <w:ind w:left="-36" w:hanging="324"/>
      </w:pPr>
      <w:r w:rsidRPr="00E95958">
        <w:rPr>
          <w:vertAlign w:val="superscript"/>
        </w:rPr>
        <w:endnoteRef/>
      </w:r>
      <w:r w:rsidRPr="00E95958">
        <w:rPr>
          <w:smallCaps/>
        </w:rPr>
        <w:t xml:space="preserve"> WHO, Guidance note on disability, </w:t>
      </w:r>
      <w:r w:rsidRPr="00E95958">
        <w:rPr>
          <w:i/>
        </w:rPr>
        <w:t>supra</w:t>
      </w:r>
      <w:r w:rsidRPr="00E95958">
        <w:t xml:space="preserve"> note 469, at 51. </w:t>
      </w:r>
    </w:p>
  </w:endnote>
  <w:endnote w:id="474">
    <w:p w14:paraId="3BB805DF"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See, e.g.</w:t>
      </w:r>
      <w:r w:rsidRPr="00E95958">
        <w:t xml:space="preserve">, </w:t>
      </w:r>
      <w:r w:rsidRPr="00E95958">
        <w:rPr>
          <w:smallCaps/>
          <w:highlight w:val="white"/>
        </w:rPr>
        <w:t xml:space="preserve">World Health Organization Department of Reproductive Health and Research (WHO/RHR), Johns Hopkins Bloomberg School of Public Health/Center for Communication Programs (CCP), Knowledge for Health Project, </w:t>
      </w:r>
      <w:r w:rsidRPr="00E95958">
        <w:rPr>
          <w:smallCaps/>
        </w:rPr>
        <w:t xml:space="preserve">Family Planning: A Global Handbook for Providers 2018 Update </w:t>
      </w:r>
      <w:r w:rsidRPr="00E95958">
        <w:t xml:space="preserve">(2018), </w:t>
      </w:r>
      <w:r w:rsidRPr="00E95958">
        <w:rPr>
          <w:rStyle w:val="Hyperlink"/>
        </w:rPr>
        <w:t>http://apps.who.int/iris/bitstream/handle/10665/260156/9780999203705-eng.pdf?sequence=1&amp;isAllowed=y</w:t>
      </w:r>
      <w:r w:rsidRPr="00E95958">
        <w:t xml:space="preserve">; </w:t>
      </w:r>
      <w:r w:rsidRPr="00E95958">
        <w:rPr>
          <w:smallCaps/>
        </w:rPr>
        <w:t xml:space="preserve">WHO, WHO Essential Medicines and Health Products, </w:t>
      </w:r>
      <w:r w:rsidRPr="00E95958">
        <w:rPr>
          <w:i/>
        </w:rPr>
        <w:t>supra</w:t>
      </w:r>
      <w:r w:rsidRPr="00E95958">
        <w:t xml:space="preserve"> note 460; </w:t>
      </w:r>
      <w:r w:rsidRPr="00E95958">
        <w:rPr>
          <w:smallCaps/>
        </w:rPr>
        <w:t xml:space="preserve">WHO, Quality of Care in Contraceptive Information and Services, Based on Human Rights Standards: A Checklist for Health Care Providers 14 (2017), </w:t>
      </w:r>
      <w:hyperlink r:id="rId133" w:history="1">
        <w:r w:rsidRPr="00E95958">
          <w:rPr>
            <w:rStyle w:val="Hyperlink"/>
          </w:rPr>
          <w:t>http://apps.who.int/iris/bitstream/handle/10665/254826/9789241512091-eng.pdf?sequence=1</w:t>
        </w:r>
      </w:hyperlink>
      <w:r w:rsidRPr="00E95958">
        <w:rPr>
          <w:smallCaps/>
        </w:rPr>
        <w:t xml:space="preserve"> </w:t>
      </w:r>
      <w:r w:rsidRPr="00E95958">
        <w:t xml:space="preserve">[hereinafter WHO, </w:t>
      </w:r>
      <w:r w:rsidRPr="00E95958">
        <w:rPr>
          <w:smallCaps/>
        </w:rPr>
        <w:t>Contraceptive Checklist for Health Care Providers].</w:t>
      </w:r>
    </w:p>
  </w:endnote>
  <w:endnote w:id="475">
    <w:p w14:paraId="1DC61BFF" w14:textId="77777777" w:rsidR="002772C9" w:rsidRPr="00E95958" w:rsidRDefault="002772C9" w:rsidP="00E95958">
      <w:pPr>
        <w:pStyle w:val="EndnoteText"/>
        <w:ind w:left="-36" w:hanging="324"/>
      </w:pPr>
      <w:r w:rsidRPr="00E95958">
        <w:rPr>
          <w:rStyle w:val="EndnoteReference"/>
        </w:rPr>
        <w:endnoteRef/>
      </w:r>
      <w:r w:rsidRPr="00E95958">
        <w:rPr>
          <w:highlight w:val="white"/>
        </w:rPr>
        <w:t xml:space="preserve"> World Health Organization Department of Reproductive Health and Research (WHO/RHR), Johns Hopkins Bloomberg School of Public Health/Center for Communication Programs (CCP), Knowledge for Health Project, </w:t>
      </w:r>
      <w:r w:rsidRPr="00E95958">
        <w:t xml:space="preserve">Family Planning: A Global Handbook for Providers 2018 Update 291- 306 (2018), </w:t>
      </w:r>
      <w:hyperlink r:id="rId134" w:history="1">
        <w:r w:rsidRPr="00E95958">
          <w:rPr>
            <w:rStyle w:val="Hyperlink"/>
            <w:rFonts w:cs="Times New Roman"/>
          </w:rPr>
          <w:t>http://apps.who.int/iris/bitstream/handle/10665/260156/9780999203705-eng.pdf?sequence=1&amp;isAllowed=y</w:t>
        </w:r>
      </w:hyperlink>
      <w:r w:rsidRPr="00E95958">
        <w:rPr>
          <w:rStyle w:val="Hyperlink"/>
          <w:rFonts w:cs="Times New Roman"/>
        </w:rPr>
        <w:t>.</w:t>
      </w:r>
      <w:r w:rsidRPr="00E95958">
        <w:t xml:space="preserve"> </w:t>
      </w:r>
    </w:p>
  </w:endnote>
  <w:endnote w:id="476">
    <w:p w14:paraId="542CD343" w14:textId="77777777" w:rsidR="002772C9" w:rsidRPr="00E95958" w:rsidRDefault="002772C9" w:rsidP="00E95958">
      <w:pPr>
        <w:pStyle w:val="EndnoteText"/>
        <w:ind w:left="-36" w:hanging="324"/>
      </w:pPr>
      <w:r w:rsidRPr="00E95958">
        <w:rPr>
          <w:vertAlign w:val="superscript"/>
        </w:rPr>
        <w:endnoteRef/>
      </w:r>
      <w:r w:rsidRPr="00E95958">
        <w:rPr>
          <w:smallCaps/>
        </w:rPr>
        <w:t xml:space="preserve"> UNFPA &amp; Engender Health,</w:t>
      </w:r>
      <w:r w:rsidRPr="00E95958">
        <w:t xml:space="preserve"> </w:t>
      </w:r>
      <w:r w:rsidRPr="00E95958">
        <w:rPr>
          <w:smallCaps/>
        </w:rPr>
        <w:t xml:space="preserve">Engaging Men in Sexual and Reproductive Health and Rights, Including Family Planning </w:t>
      </w:r>
      <w:r w:rsidRPr="00E95958">
        <w:t xml:space="preserve">(2017), </w:t>
      </w:r>
      <w:hyperlink r:id="rId135">
        <w:r w:rsidRPr="00E95958">
          <w:rPr>
            <w:rStyle w:val="Hyperlink"/>
          </w:rPr>
          <w:t>http://www.unfpa.org/resources/engaging-men-sexual-and-reproductive-health-and-rights-including-family-planning</w:t>
        </w:r>
      </w:hyperlink>
      <w:r w:rsidRPr="00E95958">
        <w:t xml:space="preserve">. </w:t>
      </w:r>
    </w:p>
  </w:endnote>
  <w:endnote w:id="477">
    <w:p w14:paraId="56B19212"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WHO &amp; UNFPA, Ensuring Human Rights within Contraceptive Service Delivery: Implementation Guide</w:t>
      </w:r>
      <w:r w:rsidRPr="00E95958">
        <w:t xml:space="preserve">  (Mar. 2015), </w:t>
      </w:r>
      <w:hyperlink r:id="rId136">
        <w:r w:rsidRPr="00E95958">
          <w:rPr>
            <w:rStyle w:val="Hyperlink"/>
          </w:rPr>
          <w:t>http://www.who.int/reproductivehealth/publications/family_planning/hr-contraceptive-service-delivery/en/</w:t>
        </w:r>
      </w:hyperlink>
      <w:r w:rsidRPr="00E95958">
        <w:t>.</w:t>
      </w:r>
    </w:p>
  </w:endnote>
  <w:endnote w:id="478">
    <w:p w14:paraId="753DA97B" w14:textId="77777777" w:rsidR="002772C9" w:rsidRPr="00E95958" w:rsidRDefault="002772C9" w:rsidP="00E95958">
      <w:pPr>
        <w:pStyle w:val="EndnoteText"/>
        <w:ind w:left="-36" w:hanging="324"/>
      </w:pPr>
      <w:r w:rsidRPr="00E95958">
        <w:rPr>
          <w:rStyle w:val="EndnoteReference"/>
        </w:rPr>
        <w:endnoteRef/>
      </w:r>
      <w:r w:rsidRPr="00E95958">
        <w:t xml:space="preserve"> WHO, Contraceptive Checklist for Health Care Providers, </w:t>
      </w:r>
      <w:r w:rsidRPr="00E95958">
        <w:rPr>
          <w:i/>
        </w:rPr>
        <w:t xml:space="preserve">supra </w:t>
      </w:r>
      <w:r w:rsidRPr="00E95958">
        <w:t xml:space="preserve">note 473. </w:t>
      </w:r>
    </w:p>
  </w:endnote>
  <w:endnote w:id="479">
    <w:p w14:paraId="599BD7EE" w14:textId="77777777" w:rsidR="002772C9" w:rsidRPr="00E95958" w:rsidRDefault="002772C9" w:rsidP="00E95958">
      <w:pPr>
        <w:pStyle w:val="EndnoteText"/>
        <w:ind w:left="-36" w:hanging="324"/>
      </w:pPr>
      <w:r w:rsidRPr="00E95958">
        <w:rPr>
          <w:vertAlign w:val="superscript"/>
        </w:rPr>
        <w:endnoteRef/>
      </w:r>
      <w:r w:rsidRPr="00E95958">
        <w:rPr>
          <w:i/>
        </w:rPr>
        <w:t xml:space="preserve"> V.C. v. Slovakia</w:t>
      </w:r>
      <w:r w:rsidRPr="00E95958">
        <w:t xml:space="preserve">, No. 18968/07, Eur. Ct. H.R. (Feb. 8, 2012); </w:t>
      </w:r>
      <w:r w:rsidRPr="00E95958">
        <w:rPr>
          <w:i/>
        </w:rPr>
        <w:t>I.G. and Others v. Slovakia</w:t>
      </w:r>
      <w:r w:rsidRPr="00E95958">
        <w:t xml:space="preserve">, No. 15966/04, Eur. Ct. H.R. (Nov. 13, 2012); </w:t>
      </w:r>
      <w:r w:rsidRPr="00E95958">
        <w:rPr>
          <w:highlight w:val="white"/>
        </w:rPr>
        <w:t>CRC Committee, </w:t>
      </w:r>
      <w:r w:rsidRPr="00E95958">
        <w:rPr>
          <w:i/>
          <w:highlight w:val="white"/>
        </w:rPr>
        <w:t>General Comment No. 20</w:t>
      </w:r>
      <w:r w:rsidRPr="00E95958">
        <w:rPr>
          <w:highlight w:val="white"/>
        </w:rPr>
        <w:t>, para. 31, U.N. Doc. CRC/C/GC/20 (2016);</w:t>
      </w:r>
      <w:r w:rsidRPr="00E95958">
        <w:t xml:space="preserve"> Juan E. Méndez, Special Rapporteur on Torture and Other Cruel, Inhuman, or Degrading Treatment or Punishment, </w:t>
      </w:r>
      <w:r w:rsidRPr="00E95958">
        <w:rPr>
          <w:i/>
        </w:rPr>
        <w:t>Special Rapporteur on Torture and Other Cruel, Inhuman, or Degrading Treatment or Punishment, Report to the Human Rights Council</w:t>
      </w:r>
      <w:r w:rsidRPr="00E95958">
        <w:t xml:space="preserve">, ¶ 50, U.N. Doc. A/HRC/22/53 (Feb. 1, 2013); Juan Mendez, Special Rapporteur on torture and other cruel, inhuman or degrading treatment or punishment, </w:t>
      </w:r>
      <w:r w:rsidRPr="00E95958">
        <w:rPr>
          <w:i/>
        </w:rPr>
        <w:t>Report of the Special Rapporteur on torture and other cruel, inhuman or degrading treatment or punishment: gender perspectives on torture and other cruel, inhuman and degrading treatment or punishment</w:t>
      </w:r>
      <w:r w:rsidRPr="00E95958">
        <w:t>, para. 45, U.N. Doc. A/HRC/31/57 (Jan. 5, 2016).</w:t>
      </w:r>
    </w:p>
  </w:endnote>
  <w:endnote w:id="480">
    <w:p w14:paraId="4AB7B63A"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 xml:space="preserve">WHO &amp; UNFPA, Ensuring Human Rights within Contraceptive Service Delivery, </w:t>
      </w:r>
      <w:r w:rsidRPr="00E95958">
        <w:rPr>
          <w:i/>
        </w:rPr>
        <w:t>supra</w:t>
      </w:r>
      <w:r w:rsidRPr="00E95958">
        <w:t xml:space="preserve"> note 476, at 47. </w:t>
      </w:r>
    </w:p>
  </w:endnote>
  <w:endnote w:id="481">
    <w:p w14:paraId="04D6B713" w14:textId="77777777" w:rsidR="002772C9" w:rsidRPr="00E95958" w:rsidRDefault="002772C9" w:rsidP="00E95958">
      <w:pPr>
        <w:pStyle w:val="EndnoteText"/>
        <w:ind w:left="-36" w:hanging="324"/>
      </w:pPr>
      <w:r w:rsidRPr="00E95958">
        <w:rPr>
          <w:vertAlign w:val="superscript"/>
        </w:rPr>
        <w:endnoteRef/>
      </w:r>
      <w:r w:rsidRPr="00E95958">
        <w:rPr>
          <w:i/>
        </w:rPr>
        <w:t xml:space="preserve"> See </w:t>
      </w:r>
      <w:r w:rsidRPr="00E95958">
        <w:rPr>
          <w:smallCaps/>
        </w:rPr>
        <w:t>Carolyn Frohmader, The Sterilisation of Women and Girls with Disabilities in Australia: Violating the Human Right to Health (May 8, 2013</w:t>
      </w:r>
      <w:r w:rsidRPr="00E95958">
        <w:t xml:space="preserve">), </w:t>
      </w:r>
      <w:hyperlink r:id="rId137">
        <w:r w:rsidRPr="00E95958">
          <w:rPr>
            <w:rStyle w:val="Hyperlink"/>
          </w:rPr>
          <w:t>http://wwda.org.au/wp-content/uploads/2013/12/Sterilisation_AWHNConf_May2013.pdf</w:t>
        </w:r>
      </w:hyperlink>
      <w:r w:rsidRPr="00E95958">
        <w:t xml:space="preserve">; </w:t>
      </w:r>
      <w:r w:rsidRPr="00E95958">
        <w:rPr>
          <w:smallCaps/>
        </w:rPr>
        <w:t>Disability Rights International and Coletivo Chuhcan, Twice Violated: Abuse and Denial of Sexual and Reproductive Rights of Women and Psychosocial Disabilities in Mexico 17-18 (2015),</w:t>
      </w:r>
      <w:r w:rsidRPr="00E95958">
        <w:rPr>
          <w:rStyle w:val="Hyperlink"/>
        </w:rPr>
        <w:t xml:space="preserve"> </w:t>
      </w:r>
      <w:hyperlink r:id="rId138">
        <w:r w:rsidRPr="00E95958">
          <w:rPr>
            <w:rStyle w:val="Hyperlink"/>
          </w:rPr>
          <w:t>https://www.driadvocacy.org/wp-content/uploads/Mexico-report-English-web.pdf</w:t>
        </w:r>
      </w:hyperlink>
      <w:r w:rsidRPr="00E95958">
        <w:t xml:space="preserve"> [hereinafter </w:t>
      </w:r>
      <w:r w:rsidRPr="00E95958">
        <w:rPr>
          <w:smallCaps/>
        </w:rPr>
        <w:t>DRI, Twice Violated</w:t>
      </w:r>
      <w:r w:rsidRPr="00E95958">
        <w:t>];</w:t>
      </w:r>
      <w:r w:rsidRPr="00E95958">
        <w:rPr>
          <w:smallCaps/>
        </w:rPr>
        <w:t xml:space="preserve"> Human Rights Watch, Sterilization of Women and Girls with Disabilities: A Briefing Paper (Nov. 10, 2011, 5:47PM EST), </w:t>
      </w:r>
      <w:hyperlink r:id="rId139">
        <w:r w:rsidRPr="00E95958">
          <w:rPr>
            <w:rStyle w:val="Hyperlink"/>
          </w:rPr>
          <w:t>https://www.hrw.org/news/2011/11/10/sterilization-women-and-girls-disabilities</w:t>
        </w:r>
      </w:hyperlink>
      <w:r w:rsidRPr="00E95958">
        <w:t xml:space="preserve"> [hereinafter </w:t>
      </w:r>
      <w:r w:rsidRPr="00E95958">
        <w:rPr>
          <w:smallCaps/>
        </w:rPr>
        <w:t xml:space="preserve">HRW, Sterilization Briefing Paper]; </w:t>
      </w:r>
      <w:r w:rsidRPr="00E95958">
        <w:rPr>
          <w:smallCaps/>
          <w:highlight w:val="white"/>
        </w:rPr>
        <w:t xml:space="preserve">OHCHR, UN Women, UNAIDS, UNDP, UNFPA, UNICEF and WHO, </w:t>
      </w:r>
      <w:r w:rsidRPr="00E95958">
        <w:rPr>
          <w:smallCaps/>
        </w:rPr>
        <w:t xml:space="preserve">Eliminating forced, coercive and otherwise involuntary sterilization (May 2014), </w:t>
      </w:r>
      <w:hyperlink r:id="rId140">
        <w:r w:rsidRPr="00E95958">
          <w:rPr>
            <w:rStyle w:val="Hyperlink"/>
          </w:rPr>
          <w:t>http://www.who.int/reproductivehealth/publications/gender_rights/eliminating-forced-sterilization/en/</w:t>
        </w:r>
      </w:hyperlink>
      <w:r w:rsidRPr="00E95958">
        <w:t xml:space="preserve">. </w:t>
      </w:r>
    </w:p>
  </w:endnote>
  <w:endnote w:id="482">
    <w:p w14:paraId="3C3A0BE0" w14:textId="77777777" w:rsidR="002772C9" w:rsidRPr="00E95958" w:rsidRDefault="002772C9" w:rsidP="00E95958">
      <w:pPr>
        <w:pStyle w:val="EndnoteText"/>
        <w:ind w:left="-36" w:hanging="324"/>
        <w:rPr>
          <w:highlight w:val="white"/>
        </w:rPr>
      </w:pPr>
      <w:r w:rsidRPr="00E95958">
        <w:rPr>
          <w:vertAlign w:val="superscript"/>
        </w:rPr>
        <w:endnoteRef/>
      </w:r>
      <w:r w:rsidRPr="00E95958">
        <w:rPr>
          <w:i/>
        </w:rPr>
        <w:t xml:space="preserve"> Sterilization</w:t>
      </w:r>
      <w:r w:rsidRPr="00E95958">
        <w:rPr>
          <w:smallCaps/>
          <w:highlight w:val="white"/>
        </w:rPr>
        <w:t>, Mosby’s Medical Dictionary</w:t>
      </w:r>
      <w:r w:rsidRPr="00E95958">
        <w:rPr>
          <w:highlight w:val="white"/>
        </w:rPr>
        <w:t xml:space="preserve"> (8th ed. 2009). </w:t>
      </w:r>
    </w:p>
  </w:endnote>
  <w:endnote w:id="483">
    <w:p w14:paraId="19E65E27" w14:textId="77777777" w:rsidR="002772C9" w:rsidRPr="00E95958" w:rsidRDefault="002772C9" w:rsidP="00E95958">
      <w:pPr>
        <w:pStyle w:val="EndnoteText"/>
        <w:ind w:left="-36" w:hanging="324"/>
      </w:pPr>
      <w:r w:rsidRPr="00E95958">
        <w:rPr>
          <w:vertAlign w:val="superscript"/>
        </w:rPr>
        <w:endnoteRef/>
      </w:r>
      <w:r w:rsidRPr="00E95958">
        <w:rPr>
          <w:i/>
        </w:rPr>
        <w:t xml:space="preserve"> See V.C. v. Slovakia</w:t>
      </w:r>
      <w:r w:rsidRPr="00E95958">
        <w:t xml:space="preserve">, No. 18968/07, Eur. Ct. H.R. (Feb. 8, 2012); </w:t>
      </w:r>
      <w:r w:rsidRPr="00E95958">
        <w:rPr>
          <w:i/>
        </w:rPr>
        <w:t>I.G. and Others v. Slovakia</w:t>
      </w:r>
      <w:r w:rsidRPr="00E95958">
        <w:t xml:space="preserve">, No. 15966/04, Eur. Ct. H.R. (Nov. 13, 2012); </w:t>
      </w:r>
      <w:r w:rsidRPr="00E95958">
        <w:rPr>
          <w:highlight w:val="white"/>
        </w:rPr>
        <w:t>CRC Committee, </w:t>
      </w:r>
      <w:r w:rsidRPr="00E95958">
        <w:rPr>
          <w:i/>
          <w:highlight w:val="white"/>
        </w:rPr>
        <w:t>General Comment No. 20</w:t>
      </w:r>
      <w:r w:rsidRPr="00E95958">
        <w:rPr>
          <w:highlight w:val="white"/>
        </w:rPr>
        <w:t>, para. 31, U.N. Doc. CRC/C/GC/20 (2016);</w:t>
      </w:r>
      <w:r w:rsidRPr="00E95958">
        <w:t xml:space="preserve"> Juan E. Méndez, Special Rapporteur on Torture and Other Cruel, Inhuman, or Degrading Treatment or Punishment, </w:t>
      </w:r>
      <w:r w:rsidRPr="00E95958">
        <w:rPr>
          <w:i/>
        </w:rPr>
        <w:t>Special Rapporteur on Torture and Other Cruel, Inhuman, or Degrading Treatment or Punishment, Report to the Human Rights Council</w:t>
      </w:r>
      <w:r w:rsidRPr="00E95958">
        <w:t xml:space="preserve">, para. 50, U.N. Doc. A/HRC/22/53 (Feb. 1, 2013); Juan Mendez, Special Rapporteur on torture and other cruel, inhuman or degrading treatment or punishment, </w:t>
      </w:r>
      <w:r w:rsidRPr="00E95958">
        <w:rPr>
          <w:i/>
        </w:rPr>
        <w:t>Report of the Special Rapporteur on torture and other cruel, inhuman or degrading treatment or punishment: gender perspectives on torture and other cruel, inhuman and degrading treatment or punishment</w:t>
      </w:r>
      <w:r w:rsidRPr="00E95958">
        <w:t xml:space="preserve">, para. 45, U.N. Doc. A/HRC/31/57 (Jan. 5, 2016). </w:t>
      </w:r>
    </w:p>
  </w:endnote>
  <w:endnote w:id="484">
    <w:p w14:paraId="35B6C67A" w14:textId="77777777" w:rsidR="002772C9" w:rsidRPr="00E95958" w:rsidRDefault="002772C9" w:rsidP="00E95958">
      <w:pPr>
        <w:pStyle w:val="EndnoteText"/>
        <w:ind w:left="-36" w:hanging="324"/>
      </w:pPr>
      <w:r w:rsidRPr="00E95958">
        <w:rPr>
          <w:vertAlign w:val="superscript"/>
        </w:rPr>
        <w:endnoteRef/>
      </w:r>
      <w:r w:rsidRPr="00E95958">
        <w:rPr>
          <w:i/>
        </w:rPr>
        <w:t xml:space="preserve">See </w:t>
      </w:r>
      <w:r w:rsidRPr="00E95958">
        <w:rPr>
          <w:smallCaps/>
          <w:highlight w:val="white"/>
        </w:rPr>
        <w:t xml:space="preserve">OHCHR, UN Women, UNAIDS, UNDP, UNFPA, UNICEF and WHO, </w:t>
      </w:r>
      <w:r w:rsidRPr="00E95958">
        <w:rPr>
          <w:smallCaps/>
        </w:rPr>
        <w:t xml:space="preserve">Eliminating Forced, Coercive and Otherwise Involuntary Sterilization 5-7 (May 2014), </w:t>
      </w:r>
      <w:hyperlink r:id="rId141">
        <w:r w:rsidRPr="00E95958">
          <w:rPr>
            <w:rStyle w:val="Hyperlink"/>
          </w:rPr>
          <w:t>http://www.who.int/reproductivehealth/publications/gender_rights/eliminating-forced-sterilization/en/</w:t>
        </w:r>
      </w:hyperlink>
      <w:r w:rsidRPr="00E95958">
        <w:t xml:space="preserve"> [hereinafter </w:t>
      </w:r>
      <w:r w:rsidRPr="00E95958">
        <w:rPr>
          <w:smallCaps/>
        </w:rPr>
        <w:t xml:space="preserve">OHCHR et al., Eliminating Forced Sterilization] </w:t>
      </w:r>
      <w:r w:rsidRPr="00E95958">
        <w:t xml:space="preserve">. </w:t>
      </w:r>
    </w:p>
  </w:endnote>
  <w:endnote w:id="485">
    <w:p w14:paraId="3FE8F4A9" w14:textId="77777777" w:rsidR="002772C9" w:rsidRPr="00E95958" w:rsidRDefault="002772C9" w:rsidP="00E95958">
      <w:pPr>
        <w:pStyle w:val="EndnoteText"/>
        <w:ind w:left="-36" w:hanging="324"/>
      </w:pPr>
      <w:r w:rsidRPr="00E95958">
        <w:rPr>
          <w:vertAlign w:val="superscript"/>
        </w:rPr>
        <w:endnoteRef/>
      </w:r>
      <w:r w:rsidRPr="00E95958">
        <w:rPr>
          <w:i/>
        </w:rPr>
        <w:t xml:space="preserve"> See</w:t>
      </w:r>
      <w:r w:rsidRPr="00E95958">
        <w:t xml:space="preserve"> </w:t>
      </w:r>
      <w:r w:rsidRPr="00E95958">
        <w:rPr>
          <w:smallCaps/>
        </w:rPr>
        <w:t xml:space="preserve">OHCHR et. al., Eliminating Forced Sterilization, </w:t>
      </w:r>
      <w:r w:rsidRPr="00E95958">
        <w:rPr>
          <w:i/>
        </w:rPr>
        <w:t>supra</w:t>
      </w:r>
      <w:r w:rsidRPr="00E95958">
        <w:t xml:space="preserve"> note 483, at 5-7; </w:t>
      </w:r>
      <w:r w:rsidRPr="00E95958">
        <w:rPr>
          <w:smallCaps/>
        </w:rPr>
        <w:t xml:space="preserve">Frohmader, The Sterilisation of Women and Girls with Disabilities in Australia, </w:t>
      </w:r>
      <w:r w:rsidRPr="00E95958">
        <w:rPr>
          <w:i/>
        </w:rPr>
        <w:t>supra</w:t>
      </w:r>
      <w:r w:rsidRPr="00E95958">
        <w:t xml:space="preserve"> note 480, at 8-13. </w:t>
      </w:r>
    </w:p>
  </w:endnote>
  <w:endnote w:id="486">
    <w:p w14:paraId="66FED607" w14:textId="14242ABD" w:rsidR="002772C9" w:rsidRPr="00E95958" w:rsidRDefault="002772C9" w:rsidP="00E95958">
      <w:pPr>
        <w:pStyle w:val="EndnoteText"/>
        <w:ind w:left="-36" w:hanging="324"/>
      </w:pPr>
      <w:r w:rsidRPr="00E95958">
        <w:rPr>
          <w:vertAlign w:val="superscript"/>
        </w:rPr>
        <w:endnoteRef/>
      </w:r>
      <w:r w:rsidRPr="00E95958">
        <w:rPr>
          <w:i/>
        </w:rPr>
        <w:t xml:space="preserve"> See </w:t>
      </w:r>
      <w:r w:rsidRPr="00E95958">
        <w:rPr>
          <w:smallCaps/>
        </w:rPr>
        <w:t xml:space="preserve">Frohmader, The Sterilisation of Women and Girls with Disabilities in Australia, </w:t>
      </w:r>
      <w:r w:rsidRPr="00E95958">
        <w:rPr>
          <w:i/>
        </w:rPr>
        <w:t>supra</w:t>
      </w:r>
      <w:r w:rsidRPr="00E95958">
        <w:t xml:space="preserve"> note 48 0, at 11; </w:t>
      </w:r>
      <w:r w:rsidRPr="00E95958">
        <w:rPr>
          <w:smallCaps/>
        </w:rPr>
        <w:t xml:space="preserve">DRI, Twice Violated, </w:t>
      </w:r>
      <w:r w:rsidRPr="00E95958">
        <w:rPr>
          <w:i/>
        </w:rPr>
        <w:t>supra</w:t>
      </w:r>
      <w:r w:rsidRPr="00E95958">
        <w:t xml:space="preserve"> note 480, at </w:t>
      </w:r>
      <w:r w:rsidRPr="00E95958">
        <w:rPr>
          <w:smallCaps/>
        </w:rPr>
        <w:t>17-20</w:t>
      </w:r>
      <w:r w:rsidRPr="00E95958">
        <w:t xml:space="preserve">; </w:t>
      </w:r>
      <w:r w:rsidRPr="00E95958">
        <w:rPr>
          <w:smallCaps/>
        </w:rPr>
        <w:t xml:space="preserve">HRW, Sterilization Briefing Paper, </w:t>
      </w:r>
      <w:r w:rsidRPr="00E95958">
        <w:rPr>
          <w:i/>
        </w:rPr>
        <w:t>supra</w:t>
      </w:r>
      <w:r w:rsidRPr="00E95958">
        <w:t xml:space="preserve"> note 480. </w:t>
      </w:r>
      <w:r w:rsidRPr="00E95958">
        <w:rPr>
          <w:i/>
        </w:rPr>
        <w:t>See e.g.</w:t>
      </w:r>
      <w:r w:rsidRPr="00E95958">
        <w:t xml:space="preserve"> </w:t>
      </w:r>
      <w:r w:rsidRPr="00E95958">
        <w:rPr>
          <w:smallCaps/>
        </w:rPr>
        <w:t>OHCHR et. al., Eliminating Forced Sterilization</w:t>
      </w:r>
      <w:bookmarkStart w:id="24" w:name="30j0zll" w:colFirst="0" w:colLast="0"/>
      <w:bookmarkEnd w:id="24"/>
      <w:r w:rsidRPr="00E95958">
        <w:rPr>
          <w:smallCaps/>
        </w:rPr>
        <w:t xml:space="preserve">, </w:t>
      </w:r>
      <w:r w:rsidRPr="00E95958">
        <w:rPr>
          <w:i/>
        </w:rPr>
        <w:t>supra</w:t>
      </w:r>
      <w:r w:rsidRPr="00E95958">
        <w:t xml:space="preserve"> note 483, at 6; </w:t>
      </w:r>
      <w:r w:rsidRPr="00E95958">
        <w:rPr>
          <w:smallCaps/>
        </w:rPr>
        <w:t>Priscila Rodriguez, et als., Disability Rights International, No Justice: Torture, Trafficking and Segregation in Mexico</w:t>
      </w:r>
      <w:r w:rsidRPr="00E95958">
        <w:t xml:space="preserve"> 16 (July 22, 2015), </w:t>
      </w:r>
      <w:hyperlink r:id="rId142">
        <w:r w:rsidRPr="00E95958">
          <w:rPr>
            <w:rStyle w:val="Hyperlink"/>
          </w:rPr>
          <w:t>https://www.driadvocacy.org/wp-content/uploads/Sin-Justicia-MexRep_21_Abr_english-1.pdf</w:t>
        </w:r>
      </w:hyperlink>
      <w:r w:rsidRPr="00E95958">
        <w:rPr>
          <w:rStyle w:val="Hyperlink"/>
        </w:rPr>
        <w:t xml:space="preserve"> </w:t>
      </w:r>
      <w:r w:rsidRPr="00E95958">
        <w:t xml:space="preserve">[hereinafter </w:t>
      </w:r>
      <w:r w:rsidRPr="00E95958">
        <w:rPr>
          <w:smallCaps/>
        </w:rPr>
        <w:t>DRI, No Justice</w:t>
      </w:r>
      <w:r w:rsidRPr="00E95958">
        <w:t xml:space="preserve">]. </w:t>
      </w:r>
    </w:p>
  </w:endnote>
  <w:endnote w:id="487">
    <w:p w14:paraId="5965B431" w14:textId="77777777" w:rsidR="002772C9" w:rsidRPr="00E95958" w:rsidRDefault="002772C9" w:rsidP="00E95958">
      <w:pPr>
        <w:pStyle w:val="EndnoteText"/>
        <w:ind w:left="-36" w:hanging="324"/>
      </w:pPr>
      <w:r w:rsidRPr="00E95958">
        <w:rPr>
          <w:vertAlign w:val="superscript"/>
        </w:rPr>
        <w:endnoteRef/>
      </w:r>
      <w:r w:rsidRPr="00E95958">
        <w:rPr>
          <w:smallCaps/>
        </w:rPr>
        <w:t xml:space="preserve"> USAID &amp; Handicap International, Disability Inclusive Sexual and Reproductive Health Component: Training of Trainers Manual on Disability – Inclusive HIV and Sexual Reproductive Health for Health Workers (Parts 4-5) 38</w:t>
      </w:r>
      <w:r w:rsidRPr="00E95958">
        <w:t xml:space="preserve"> (Sept. 2011) [hereinafter </w:t>
      </w:r>
      <w:r w:rsidRPr="00E95958">
        <w:rPr>
          <w:smallCaps/>
        </w:rPr>
        <w:t>USAID &amp; HI, Reproductive Health Training Manual (Parts 4-5)</w:t>
      </w:r>
      <w:r w:rsidRPr="00E95958">
        <w:t>].</w:t>
      </w:r>
    </w:p>
  </w:endnote>
  <w:endnote w:id="488">
    <w:p w14:paraId="2DBE99FD" w14:textId="77777777" w:rsidR="002772C9" w:rsidRPr="00E95958" w:rsidRDefault="002772C9" w:rsidP="00E95958">
      <w:pPr>
        <w:pStyle w:val="EndnoteText"/>
        <w:ind w:left="-36" w:hanging="324"/>
      </w:pPr>
      <w:r w:rsidRPr="00E95958">
        <w:rPr>
          <w:vertAlign w:val="superscript"/>
        </w:rPr>
        <w:endnoteRef/>
      </w:r>
      <w:r w:rsidRPr="00E95958">
        <w:rPr>
          <w:smallCaps/>
        </w:rPr>
        <w:t xml:space="preserve"> USAID &amp; HI, Reproductive Health Training Manual (Parts 4-5), </w:t>
      </w:r>
      <w:r w:rsidRPr="00E95958">
        <w:rPr>
          <w:i/>
        </w:rPr>
        <w:t>supra</w:t>
      </w:r>
      <w:r w:rsidRPr="00E95958">
        <w:t xml:space="preserve"> note 486, at 30. </w:t>
      </w:r>
    </w:p>
  </w:endnote>
  <w:endnote w:id="489">
    <w:p w14:paraId="04263EC1" w14:textId="77777777" w:rsidR="002772C9" w:rsidRPr="00E95958" w:rsidRDefault="002772C9" w:rsidP="00E95958">
      <w:pPr>
        <w:pStyle w:val="EndnoteText"/>
        <w:ind w:left="-36" w:hanging="324"/>
      </w:pPr>
      <w:r w:rsidRPr="00E95958">
        <w:rPr>
          <w:rStyle w:val="EndnoteReference"/>
        </w:rPr>
        <w:endnoteRef/>
      </w:r>
      <w:r w:rsidRPr="00E95958">
        <w:t xml:space="preserve"> IPAS, Access for Everybody: Disability Inclusion in Abortion and Contraceptive Care – GUIDE (2018), </w:t>
      </w:r>
      <w:hyperlink r:id="rId143" w:history="1">
        <w:r w:rsidRPr="00E95958">
          <w:rPr>
            <w:rStyle w:val="Hyperlink"/>
          </w:rPr>
          <w:t>file:///Users/alr/Downloads/AEDIG-E18_lr.pdf</w:t>
        </w:r>
      </w:hyperlink>
      <w:r w:rsidRPr="00E95958">
        <w:t xml:space="preserve">. </w:t>
      </w:r>
      <w:r w:rsidRPr="00E95958">
        <w:rPr>
          <w:i/>
        </w:rPr>
        <w:t>See also</w:t>
      </w:r>
      <w:r w:rsidRPr="00E95958">
        <w:t xml:space="preserve"> IPAS, Access for Everybody: Disability Inclusion in Abortion and Contraceptive Care – OVERVIEW (2018), file:///Users/alr/Downloads/AEDIO-E18_lr.pdf.</w:t>
      </w:r>
    </w:p>
  </w:endnote>
  <w:endnote w:id="490">
    <w:p w14:paraId="4A421C4C" w14:textId="77777777" w:rsidR="002772C9" w:rsidRPr="00E95958" w:rsidRDefault="002772C9" w:rsidP="00E95958">
      <w:pPr>
        <w:pStyle w:val="EndnoteText"/>
        <w:ind w:left="-36" w:hanging="324"/>
      </w:pPr>
      <w:r w:rsidRPr="00E95958">
        <w:rPr>
          <w:vertAlign w:val="superscript"/>
        </w:rPr>
        <w:endnoteRef/>
      </w:r>
      <w:r w:rsidRPr="00E95958">
        <w:rPr>
          <w:i/>
        </w:rPr>
        <w:t xml:space="preserve"> See </w:t>
      </w:r>
      <w:r w:rsidRPr="00E95958">
        <w:rPr>
          <w:smallCaps/>
        </w:rPr>
        <w:t xml:space="preserve">WHO &amp; UNFPA, Ensuring Human Rights within Contraceptive Service Delivery, </w:t>
      </w:r>
      <w:r w:rsidRPr="00E95958">
        <w:rPr>
          <w:i/>
        </w:rPr>
        <w:t>supra</w:t>
      </w:r>
      <w:r w:rsidRPr="00E95958">
        <w:t xml:space="preserve"> note 476, at 16. </w:t>
      </w:r>
    </w:p>
  </w:endnote>
  <w:endnote w:id="491">
    <w:p w14:paraId="65447390" w14:textId="77777777" w:rsidR="002772C9" w:rsidRPr="00E95958" w:rsidRDefault="002772C9" w:rsidP="00E95958">
      <w:pPr>
        <w:pStyle w:val="EndnoteText"/>
        <w:ind w:left="-36" w:hanging="324"/>
        <w:rPr>
          <w:i/>
        </w:rPr>
      </w:pPr>
      <w:r w:rsidRPr="00E95958">
        <w:rPr>
          <w:vertAlign w:val="superscript"/>
        </w:rPr>
        <w:endnoteRef/>
      </w:r>
      <w:r w:rsidRPr="00E95958">
        <w:rPr>
          <w:i/>
        </w:rPr>
        <w:t xml:space="preserve"> See</w:t>
      </w:r>
      <w:r w:rsidRPr="00E95958">
        <w:t xml:space="preserve"> </w:t>
      </w:r>
      <w:r w:rsidRPr="00E95958">
        <w:rPr>
          <w:smallCaps/>
        </w:rPr>
        <w:t xml:space="preserve">WHO &amp; UNFPA, Ensuring Human Rights within Contraceptive Service Delivery, </w:t>
      </w:r>
      <w:r w:rsidRPr="00E95958">
        <w:rPr>
          <w:i/>
        </w:rPr>
        <w:t>supra</w:t>
      </w:r>
      <w:r w:rsidRPr="00E95958">
        <w:t xml:space="preserve"> note 476, at 22. </w:t>
      </w:r>
    </w:p>
  </w:endnote>
  <w:endnote w:id="492">
    <w:p w14:paraId="0E1240FE" w14:textId="77777777" w:rsidR="002772C9" w:rsidRPr="00E95958" w:rsidRDefault="002772C9" w:rsidP="00E95958">
      <w:pPr>
        <w:pStyle w:val="EndnoteText"/>
        <w:ind w:left="-36" w:hanging="324"/>
      </w:pPr>
      <w:r w:rsidRPr="00E95958">
        <w:rPr>
          <w:vertAlign w:val="superscript"/>
        </w:rPr>
        <w:endnoteRef/>
      </w:r>
      <w:r w:rsidRPr="00E95958">
        <w:rPr>
          <w:i/>
        </w:rPr>
        <w:t xml:space="preserve"> See</w:t>
      </w:r>
      <w:r w:rsidRPr="00E95958">
        <w:t xml:space="preserve"> </w:t>
      </w:r>
      <w:r w:rsidRPr="00E95958">
        <w:rPr>
          <w:smallCaps/>
        </w:rPr>
        <w:t>WHO, Medical Eligibility Criteria for Contraceptive Use</w:t>
      </w:r>
      <w:r w:rsidRPr="00E95958">
        <w:t xml:space="preserve"> (5</w:t>
      </w:r>
      <w:r w:rsidRPr="00E95958">
        <w:rPr>
          <w:vertAlign w:val="superscript"/>
        </w:rPr>
        <w:t>th</w:t>
      </w:r>
      <w:r w:rsidRPr="00E95958">
        <w:t xml:space="preserve"> ed., Aug. 2015), </w:t>
      </w:r>
      <w:hyperlink r:id="rId144">
        <w:r w:rsidRPr="00E95958">
          <w:rPr>
            <w:rStyle w:val="Hyperlink"/>
          </w:rPr>
          <w:t>http://www.who.int/reproductivehealth/publications/family_planning/MEC-5/en/</w:t>
        </w:r>
      </w:hyperlink>
      <w:r w:rsidRPr="00E95958">
        <w:t>.</w:t>
      </w:r>
    </w:p>
  </w:endnote>
  <w:endnote w:id="493">
    <w:p w14:paraId="6D541667" w14:textId="77777777" w:rsidR="002772C9" w:rsidRPr="00E95958" w:rsidRDefault="002772C9" w:rsidP="00E95958">
      <w:pPr>
        <w:pStyle w:val="EndnoteText"/>
        <w:ind w:left="-36" w:hanging="324"/>
        <w:rPr>
          <w:rFonts w:eastAsia="Times New Roman"/>
        </w:rPr>
      </w:pPr>
      <w:r w:rsidRPr="00E95958">
        <w:rPr>
          <w:rStyle w:val="EndnoteReference"/>
        </w:rPr>
        <w:endnoteRef/>
      </w:r>
      <w:r w:rsidRPr="00E95958">
        <w:t xml:space="preserve"> WHO, Contraceptive Checklist for Health Care Providers, </w:t>
      </w:r>
      <w:r w:rsidRPr="00E95958">
        <w:rPr>
          <w:i/>
        </w:rPr>
        <w:t xml:space="preserve">supra </w:t>
      </w:r>
      <w:r w:rsidRPr="00E95958">
        <w:t xml:space="preserve">note 473. </w:t>
      </w:r>
    </w:p>
  </w:endnote>
  <w:endnote w:id="494">
    <w:p w14:paraId="4DEC6E38" w14:textId="77777777" w:rsidR="002772C9" w:rsidRPr="00E95958" w:rsidRDefault="002772C9" w:rsidP="00E95958">
      <w:pPr>
        <w:pStyle w:val="EndnoteText"/>
        <w:ind w:left="-36" w:hanging="324"/>
        <w:rPr>
          <w:smallCaps/>
        </w:rPr>
      </w:pPr>
      <w:r w:rsidRPr="00E95958">
        <w:rPr>
          <w:vertAlign w:val="superscript"/>
        </w:rPr>
        <w:endnoteRef/>
      </w:r>
      <w:r w:rsidRPr="00E95958">
        <w:t xml:space="preserve"> </w:t>
      </w:r>
      <w:r w:rsidRPr="00E95958">
        <w:rPr>
          <w:smallCaps/>
        </w:rPr>
        <w:t>International Federation of Gynecology and Obstetrics (FIGO), Ethical Issues in Obstetrics and Gynecology by the FIGO Committee for the Study of Ethical Aspects of Human Reproduction and Women’s Health</w:t>
      </w:r>
      <w:r w:rsidRPr="00E95958">
        <w:t xml:space="preserve"> 13-14 (Oct. 2012), </w:t>
      </w:r>
      <w:hyperlink r:id="rId145">
        <w:r w:rsidRPr="00E95958">
          <w:rPr>
            <w:rStyle w:val="Hyperlink"/>
          </w:rPr>
          <w:t>http://www.figo.org/sites/default/files/uploads/wg-publications/ethics/English%20Ethical%20Issues%20in%20Obstetrics%20and%20Gynecology.pdf</w:t>
        </w:r>
      </w:hyperlink>
      <w:r w:rsidRPr="00E95958">
        <w:t xml:space="preserve">  [hereinafter FIGO, </w:t>
      </w:r>
      <w:r w:rsidRPr="00E95958">
        <w:rPr>
          <w:smallCaps/>
        </w:rPr>
        <w:t>Ethical Issues in Obstetrics and Gynecology].</w:t>
      </w:r>
    </w:p>
  </w:endnote>
  <w:endnote w:id="495">
    <w:p w14:paraId="024D3D7A" w14:textId="77777777" w:rsidR="002772C9" w:rsidRPr="00E95958" w:rsidRDefault="002772C9" w:rsidP="00E95958">
      <w:pPr>
        <w:pStyle w:val="EndnoteText"/>
        <w:ind w:left="-36" w:hanging="324"/>
        <w:rPr>
          <w:rFonts w:eastAsia="Times New Roman"/>
        </w:rPr>
      </w:pPr>
      <w:r w:rsidRPr="00E95958">
        <w:rPr>
          <w:rStyle w:val="EndnoteReference"/>
        </w:rPr>
        <w:endnoteRef/>
      </w:r>
      <w:r w:rsidRPr="00E95958">
        <w:t xml:space="preserve"> WHO, Contraceptive Checklist for Health Care Providers, </w:t>
      </w:r>
      <w:r w:rsidRPr="00E95958">
        <w:rPr>
          <w:i/>
        </w:rPr>
        <w:t xml:space="preserve">supra </w:t>
      </w:r>
      <w:r w:rsidRPr="00E95958">
        <w:t xml:space="preserve">note 473, at 11. </w:t>
      </w:r>
    </w:p>
  </w:endnote>
  <w:endnote w:id="496">
    <w:p w14:paraId="683C30B5" w14:textId="77777777" w:rsidR="002772C9" w:rsidRPr="00E95958" w:rsidRDefault="002772C9" w:rsidP="00E95958">
      <w:pPr>
        <w:pStyle w:val="EndnoteText"/>
        <w:ind w:left="-36" w:hanging="324"/>
        <w:rPr>
          <w:rFonts w:eastAsia="Times New Roman"/>
        </w:rPr>
      </w:pPr>
      <w:r w:rsidRPr="00E95958">
        <w:rPr>
          <w:rStyle w:val="EndnoteReference"/>
        </w:rPr>
        <w:endnoteRef/>
      </w:r>
      <w:r w:rsidRPr="00E95958">
        <w:t xml:space="preserve"> WHO, Contraceptive Checklist for Health Care Providers, </w:t>
      </w:r>
      <w:r w:rsidRPr="00E95958">
        <w:rPr>
          <w:i/>
        </w:rPr>
        <w:t xml:space="preserve">supra </w:t>
      </w:r>
      <w:r w:rsidRPr="00E95958">
        <w:t xml:space="preserve">note 473, at 14. </w:t>
      </w:r>
    </w:p>
  </w:endnote>
  <w:endnote w:id="497">
    <w:p w14:paraId="68258338" w14:textId="77777777" w:rsidR="002772C9" w:rsidRPr="00E95958" w:rsidRDefault="002772C9" w:rsidP="00E95958">
      <w:pPr>
        <w:pStyle w:val="EndnoteText"/>
        <w:ind w:left="-36" w:hanging="324"/>
        <w:rPr>
          <w:rFonts w:eastAsia="Times New Roman"/>
        </w:rPr>
      </w:pPr>
      <w:r w:rsidRPr="00E95958">
        <w:rPr>
          <w:rStyle w:val="EndnoteReference"/>
        </w:rPr>
        <w:endnoteRef/>
      </w:r>
      <w:r w:rsidRPr="00E95958">
        <w:t xml:space="preserve"> WHO, Contraceptive Checklist for Health Care Providers, </w:t>
      </w:r>
      <w:r w:rsidRPr="00E95958">
        <w:rPr>
          <w:i/>
        </w:rPr>
        <w:t xml:space="preserve">supra </w:t>
      </w:r>
      <w:r w:rsidRPr="00E95958">
        <w:t xml:space="preserve">note 473, at 11. </w:t>
      </w:r>
    </w:p>
  </w:endnote>
  <w:endnote w:id="498">
    <w:p w14:paraId="0227E8AB" w14:textId="77777777" w:rsidR="002772C9" w:rsidRPr="00E95958" w:rsidRDefault="002772C9" w:rsidP="00E95958">
      <w:pPr>
        <w:pStyle w:val="EndnoteText"/>
        <w:ind w:left="-36" w:hanging="324"/>
        <w:rPr>
          <w:rFonts w:eastAsia="Times New Roman"/>
        </w:rPr>
      </w:pPr>
      <w:r w:rsidRPr="00E95958">
        <w:rPr>
          <w:rStyle w:val="EndnoteReference"/>
        </w:rPr>
        <w:endnoteRef/>
      </w:r>
      <w:r w:rsidRPr="00E95958">
        <w:t xml:space="preserve"> WHO, Contraceptive Checklist for Health Care Providers, </w:t>
      </w:r>
      <w:r w:rsidRPr="00E95958">
        <w:rPr>
          <w:i/>
        </w:rPr>
        <w:t xml:space="preserve">supra </w:t>
      </w:r>
      <w:r w:rsidRPr="00E95958">
        <w:t xml:space="preserve">note 473, at 21. </w:t>
      </w:r>
    </w:p>
  </w:endnote>
  <w:endnote w:id="499">
    <w:p w14:paraId="50159C1F" w14:textId="77777777" w:rsidR="002772C9" w:rsidRPr="00E95958" w:rsidRDefault="002772C9" w:rsidP="00E95958">
      <w:pPr>
        <w:pStyle w:val="EndnoteText"/>
        <w:ind w:left="-36" w:hanging="324"/>
      </w:pPr>
      <w:r w:rsidRPr="00E95958">
        <w:rPr>
          <w:vertAlign w:val="superscript"/>
        </w:rPr>
        <w:endnoteRef/>
      </w:r>
      <w:r w:rsidRPr="00E95958">
        <w:rPr>
          <w:i/>
        </w:rPr>
        <w:t xml:space="preserve"> See</w:t>
      </w:r>
      <w:r w:rsidRPr="00E95958">
        <w:t xml:space="preserve"> </w:t>
      </w:r>
      <w:r w:rsidRPr="00E95958">
        <w:rPr>
          <w:smallCaps/>
        </w:rPr>
        <w:t xml:space="preserve">WHO &amp; UNFPA, Ensuring Human Rights within Contraceptive Service Delivery, </w:t>
      </w:r>
      <w:r w:rsidRPr="00E95958">
        <w:rPr>
          <w:i/>
        </w:rPr>
        <w:t>supra</w:t>
      </w:r>
      <w:r w:rsidRPr="00E95958">
        <w:t xml:space="preserve"> note 476, at 16. </w:t>
      </w:r>
    </w:p>
  </w:endnote>
  <w:endnote w:id="500">
    <w:p w14:paraId="68132D59" w14:textId="77777777" w:rsidR="002772C9" w:rsidRPr="00E95958" w:rsidRDefault="002772C9" w:rsidP="00E95958">
      <w:pPr>
        <w:pStyle w:val="EndnoteText"/>
        <w:ind w:left="-36" w:hanging="324"/>
        <w:rPr>
          <w:highlight w:val="white"/>
        </w:rPr>
      </w:pPr>
      <w:r w:rsidRPr="00E95958">
        <w:rPr>
          <w:vertAlign w:val="superscript"/>
        </w:rPr>
        <w:endnoteRef/>
      </w:r>
      <w:r w:rsidRPr="00E95958">
        <w:t xml:space="preserve"> </w:t>
      </w:r>
      <w:r w:rsidRPr="00E95958">
        <w:rPr>
          <w:highlight w:val="white"/>
        </w:rPr>
        <w:t>Ӧ Tunçalp, et al., </w:t>
      </w:r>
      <w:r w:rsidRPr="00E95958">
        <w:rPr>
          <w:i/>
          <w:highlight w:val="white"/>
        </w:rPr>
        <w:t>Quality of Care for Pregnant Women and Newborns—The WHO Vision</w:t>
      </w:r>
      <w:r w:rsidRPr="00E95958">
        <w:rPr>
          <w:highlight w:val="white"/>
        </w:rPr>
        <w:t xml:space="preserve">, </w:t>
      </w:r>
      <w:r w:rsidRPr="00E95958">
        <w:rPr>
          <w:smallCaps/>
          <w:highlight w:val="white"/>
        </w:rPr>
        <w:t>122 BJOG 1045</w:t>
      </w:r>
      <w:r w:rsidRPr="00E95958">
        <w:rPr>
          <w:highlight w:val="white"/>
        </w:rPr>
        <w:t xml:space="preserve">, 1046 (May 2015). </w:t>
      </w:r>
    </w:p>
  </w:endnote>
  <w:endnote w:id="501">
    <w:p w14:paraId="3809C5A0" w14:textId="20EB3FFF" w:rsidR="002772C9" w:rsidRPr="00E95958" w:rsidRDefault="002772C9" w:rsidP="00F3261F">
      <w:pPr>
        <w:pStyle w:val="EndnoteText"/>
        <w:ind w:left="-36" w:hanging="324"/>
        <w:rPr>
          <w:iCs/>
        </w:rPr>
      </w:pPr>
      <w:r w:rsidRPr="00E95958">
        <w:rPr>
          <w:vertAlign w:val="superscript"/>
        </w:rPr>
        <w:endnoteRef/>
      </w:r>
      <w:r w:rsidRPr="00E95958">
        <w:t xml:space="preserve"> Rajat Khosla, et al., </w:t>
      </w:r>
      <w:r w:rsidRPr="00E95958">
        <w:rPr>
          <w:i/>
        </w:rPr>
        <w:t xml:space="preserve">International Human Rights and the Mistreatment of Women during Childbirth, </w:t>
      </w:r>
      <w:r w:rsidRPr="00E95958">
        <w:rPr>
          <w:smallCaps/>
        </w:rPr>
        <w:t>Health and Human Rights Journal (</w:t>
      </w:r>
      <w:r w:rsidRPr="00E95958">
        <w:t xml:space="preserve">Nov. 14, 2016), </w:t>
      </w:r>
      <w:hyperlink r:id="rId146" w:history="1">
        <w:r w:rsidRPr="00E95958">
          <w:rPr>
            <w:rStyle w:val="Hyperlink"/>
          </w:rPr>
          <w:t>https://www.hhrjournal.org/2016/11/international-human-rights-and-the-mistreatment-of-women-during-childbirth/</w:t>
        </w:r>
      </w:hyperlink>
      <w:r w:rsidRPr="00E95958">
        <w:t xml:space="preserve">; </w:t>
      </w:r>
      <w:r w:rsidRPr="00E95958">
        <w:rPr>
          <w:iCs/>
          <w:smallCaps/>
        </w:rPr>
        <w:t xml:space="preserve">White Ribbon Alliance, Respectful Maternity Care: The Universal Rights of Childbearing Women (Oct. 2011), </w:t>
      </w:r>
      <w:hyperlink r:id="rId147" w:history="1">
        <w:r w:rsidRPr="00E95958">
          <w:rPr>
            <w:rStyle w:val="Hyperlink"/>
            <w:iCs/>
          </w:rPr>
          <w:t>https://www.whiteribbonalliance.org/respectfulcare</w:t>
        </w:r>
      </w:hyperlink>
      <w:r w:rsidRPr="00E95958">
        <w:rPr>
          <w:iCs/>
        </w:rPr>
        <w:t>.</w:t>
      </w:r>
    </w:p>
  </w:endnote>
  <w:endnote w:id="502">
    <w:p w14:paraId="69EF603E" w14:textId="77777777" w:rsidR="002772C9" w:rsidRPr="00E95958" w:rsidRDefault="002772C9" w:rsidP="00E95958">
      <w:pPr>
        <w:pStyle w:val="EndnoteText"/>
        <w:ind w:left="-36" w:hanging="324"/>
      </w:pPr>
      <w:r w:rsidRPr="00E95958">
        <w:rPr>
          <w:vertAlign w:val="superscript"/>
        </w:rPr>
        <w:endnoteRef/>
      </w:r>
      <w:r w:rsidRPr="00E95958">
        <w:rPr>
          <w:smallCaps/>
        </w:rPr>
        <w:t xml:space="preserve"> Maxwell et al., Health Handbook</w:t>
      </w:r>
      <w:r w:rsidRPr="00E95958">
        <w:t xml:space="preserve">, </w:t>
      </w:r>
      <w:r w:rsidRPr="00E95958">
        <w:rPr>
          <w:i/>
        </w:rPr>
        <w:t>supra</w:t>
      </w:r>
      <w:r w:rsidRPr="00E95958">
        <w:t xml:space="preserve"> note 416, at 244.  </w:t>
      </w:r>
    </w:p>
  </w:endnote>
  <w:endnote w:id="503">
    <w:p w14:paraId="1F4C118D" w14:textId="77777777" w:rsidR="002772C9" w:rsidRPr="00E95958" w:rsidRDefault="002772C9" w:rsidP="00E95958">
      <w:pPr>
        <w:pStyle w:val="EndnoteText"/>
        <w:ind w:left="-36" w:hanging="324"/>
      </w:pPr>
      <w:r w:rsidRPr="00E95958">
        <w:rPr>
          <w:vertAlign w:val="superscript"/>
        </w:rPr>
        <w:endnoteRef/>
      </w:r>
      <w:r w:rsidRPr="00E95958">
        <w:rPr>
          <w:smallCaps/>
        </w:rPr>
        <w:t xml:space="preserve"> USAID &amp; HI, Reproductive Health Training Manual (Parts 4-5), </w:t>
      </w:r>
      <w:r w:rsidRPr="00E95958">
        <w:rPr>
          <w:i/>
        </w:rPr>
        <w:t>supra</w:t>
      </w:r>
      <w:r w:rsidRPr="00E95958">
        <w:t xml:space="preserve"> note 486, at 15.  </w:t>
      </w:r>
    </w:p>
  </w:endnote>
  <w:endnote w:id="504">
    <w:p w14:paraId="444A1EB2" w14:textId="77777777" w:rsidR="002772C9" w:rsidRPr="00E95958" w:rsidRDefault="002772C9" w:rsidP="00E95958">
      <w:pPr>
        <w:pStyle w:val="EndnoteText"/>
        <w:ind w:left="-36" w:hanging="324"/>
      </w:pPr>
      <w:r w:rsidRPr="00E95958">
        <w:rPr>
          <w:vertAlign w:val="superscript"/>
        </w:rPr>
        <w:endnoteRef/>
      </w:r>
      <w:r w:rsidRPr="00E95958">
        <w:rPr>
          <w:i/>
        </w:rPr>
        <w:t xml:space="preserve"> Obstetric fistula: Overview,</w:t>
      </w:r>
      <w:r w:rsidRPr="00E95958">
        <w:rPr>
          <w:i/>
          <w:smallCaps/>
        </w:rPr>
        <w:t xml:space="preserve"> </w:t>
      </w:r>
      <w:r w:rsidRPr="00E95958">
        <w:rPr>
          <w:smallCaps/>
        </w:rPr>
        <w:t>UNFPA</w:t>
      </w:r>
      <w:r w:rsidRPr="00E95958">
        <w:t xml:space="preserve">, </w:t>
      </w:r>
      <w:hyperlink r:id="rId148">
        <w:r w:rsidRPr="00E95958">
          <w:rPr>
            <w:rStyle w:val="Hyperlink"/>
          </w:rPr>
          <w:t>http://www.unfpa.org/obstetric-fistula</w:t>
        </w:r>
      </w:hyperlink>
      <w:r w:rsidRPr="00E95958">
        <w:t>.</w:t>
      </w:r>
    </w:p>
  </w:endnote>
  <w:endnote w:id="505">
    <w:p w14:paraId="6A886FA6" w14:textId="77777777" w:rsidR="002772C9" w:rsidRPr="00E95958" w:rsidRDefault="002772C9" w:rsidP="00E95958">
      <w:pPr>
        <w:pStyle w:val="EndnoteText"/>
        <w:ind w:left="-36" w:hanging="324"/>
      </w:pPr>
      <w:r w:rsidRPr="00E95958">
        <w:rPr>
          <w:vertAlign w:val="superscript"/>
        </w:rPr>
        <w:endnoteRef/>
      </w:r>
      <w:r w:rsidRPr="00E95958">
        <w:t xml:space="preserve"> U.N. Secretary-General, </w:t>
      </w:r>
      <w:r w:rsidRPr="00E95958">
        <w:rPr>
          <w:i/>
        </w:rPr>
        <w:t xml:space="preserve">Intensifying Efforts to End Obstetric Fistula: Report of the Secretary-General, </w:t>
      </w:r>
      <w:r w:rsidRPr="00E95958">
        <w:t xml:space="preserve">U.N. Doc. A/71/306* (Aug. 5, 2016), </w:t>
      </w:r>
      <w:r w:rsidRPr="00E95958">
        <w:rPr>
          <w:i/>
        </w:rPr>
        <w:t>available at</w:t>
      </w:r>
      <w:r w:rsidRPr="00E95958">
        <w:t xml:space="preserve"> </w:t>
      </w:r>
      <w:hyperlink r:id="rId149">
        <w:r w:rsidRPr="00E95958">
          <w:rPr>
            <w:rStyle w:val="Hyperlink"/>
          </w:rPr>
          <w:t>http://www.unfpa.org/sites/default/files/resource-pdf/UNGA71_-_Intensifying_Efforts_to_End_Obstetric_Fistula_A-71-306.pdf</w:t>
        </w:r>
      </w:hyperlink>
      <w:r w:rsidRPr="00E95958">
        <w:t>.</w:t>
      </w:r>
    </w:p>
  </w:endnote>
  <w:endnote w:id="506">
    <w:p w14:paraId="0F301D1B" w14:textId="77777777" w:rsidR="002772C9" w:rsidRPr="00E95958" w:rsidRDefault="002772C9" w:rsidP="00E95958">
      <w:pPr>
        <w:pStyle w:val="EndnoteText"/>
        <w:ind w:left="-36" w:hanging="324"/>
      </w:pPr>
      <w:r w:rsidRPr="00E95958">
        <w:rPr>
          <w:rStyle w:val="EndnoteReference"/>
        </w:rPr>
        <w:endnoteRef/>
      </w:r>
      <w:r w:rsidRPr="00E95958">
        <w:t xml:space="preserve"> </w:t>
      </w:r>
      <w:r w:rsidRPr="00E95958">
        <w:rPr>
          <w:smallCaps/>
        </w:rPr>
        <w:t>WHO, Obstetric Fistula: Guiding Principles for Clinical Management and Programme Development</w:t>
      </w:r>
      <w:r w:rsidRPr="00E95958">
        <w:t xml:space="preserve"> (Gwyneth Lewis, Luc de Bernis eds. 2006), </w:t>
      </w:r>
      <w:hyperlink r:id="rId150" w:history="1">
        <w:r w:rsidRPr="00E95958">
          <w:rPr>
            <w:rStyle w:val="Hyperlink"/>
          </w:rPr>
          <w:t>http://apps.who.int/iris/bitstream/handle/10665/43343/9241593679_eng.pdf?sequence=1</w:t>
        </w:r>
      </w:hyperlink>
      <w:r w:rsidRPr="00E95958">
        <w:t xml:space="preserve">. </w:t>
      </w:r>
    </w:p>
  </w:endnote>
  <w:endnote w:id="507">
    <w:p w14:paraId="04744AA4" w14:textId="7C02D4AD" w:rsidR="002772C9" w:rsidRPr="00E95958" w:rsidRDefault="002772C9" w:rsidP="00E95958">
      <w:pPr>
        <w:pStyle w:val="EndnoteText"/>
        <w:ind w:left="-36" w:hanging="324"/>
      </w:pPr>
      <w:r w:rsidRPr="00E95958">
        <w:rPr>
          <w:vertAlign w:val="superscript"/>
        </w:rPr>
        <w:endnoteRef/>
      </w:r>
      <w:r w:rsidRPr="00E95958">
        <w:t xml:space="preserve"> International Federation of Gynecology and Obstetrics (FIGO), International Society of Obstetric Fistula Surgeons (ISOFS), United Nations Population Fund (UNFPA), EngenderHealth, &amp; Royal College of Obstetrictians and Gynaecologists (RCOG), Global Competency-Based Fistula Surgery Training Manual (June 2011), </w:t>
      </w:r>
      <w:hyperlink r:id="rId151" w:history="1">
        <w:r w:rsidRPr="00E95958">
          <w:rPr>
            <w:rStyle w:val="Hyperlink"/>
            <w:iCs/>
          </w:rPr>
          <w:t>https://www.figo.org/sites/default/files/uploads/wg-publications/fistula/FIGO_Global_Competency-Based_Fistula_Surgery_Training_Manual_0.pdf</w:t>
        </w:r>
      </w:hyperlink>
      <w:r w:rsidRPr="00E95958">
        <w:t>.</w:t>
      </w:r>
    </w:p>
  </w:endnote>
  <w:endnote w:id="508">
    <w:p w14:paraId="0ECC1E81" w14:textId="408EA787" w:rsidR="002772C9" w:rsidRPr="00E95958" w:rsidRDefault="002772C9" w:rsidP="00E95958">
      <w:pPr>
        <w:pStyle w:val="EndnoteText"/>
        <w:ind w:left="-36" w:hanging="324"/>
        <w:rPr>
          <w:highlight w:val="white"/>
        </w:rPr>
      </w:pPr>
      <w:r w:rsidRPr="00E95958">
        <w:rPr>
          <w:vertAlign w:val="superscript"/>
        </w:rPr>
        <w:endnoteRef/>
      </w:r>
      <w:r w:rsidRPr="00E95958">
        <w:t xml:space="preserve"> </w:t>
      </w:r>
      <w:r w:rsidRPr="00E95958">
        <w:rPr>
          <w:highlight w:val="white"/>
        </w:rPr>
        <w:t>Ӧ Tunçalp, et al., </w:t>
      </w:r>
      <w:r w:rsidRPr="00E95958">
        <w:rPr>
          <w:i/>
          <w:highlight w:val="white"/>
        </w:rPr>
        <w:t>Quality of Care for Pregnant Women and Newborns</w:t>
      </w:r>
      <w:r w:rsidRPr="00E95958">
        <w:rPr>
          <w:smallCaps/>
        </w:rPr>
        <w:t xml:space="preserve">, </w:t>
      </w:r>
      <w:r w:rsidRPr="00E95958">
        <w:rPr>
          <w:i/>
        </w:rPr>
        <w:t>supra</w:t>
      </w:r>
      <w:r w:rsidRPr="00E95958">
        <w:t xml:space="preserve"> note 499, at 1045. </w:t>
      </w:r>
    </w:p>
  </w:endnote>
  <w:endnote w:id="509">
    <w:p w14:paraId="47BAF755" w14:textId="77777777" w:rsidR="002772C9" w:rsidRPr="00E95958" w:rsidRDefault="002772C9" w:rsidP="00E95958">
      <w:pPr>
        <w:pStyle w:val="EndnoteText"/>
        <w:ind w:left="-36" w:hanging="324"/>
        <w:rPr>
          <w:smallCaps/>
        </w:rPr>
      </w:pPr>
      <w:r w:rsidRPr="00E95958">
        <w:rPr>
          <w:rStyle w:val="EndnoteReference"/>
        </w:rPr>
        <w:endnoteRef/>
      </w:r>
      <w:r w:rsidRPr="00E95958">
        <w:t xml:space="preserve"> </w:t>
      </w:r>
      <w:r w:rsidRPr="00E95958">
        <w:rPr>
          <w:smallCaps/>
        </w:rPr>
        <w:t>WHO, WHO Recommendations on Maternal Health  (2017),</w:t>
      </w:r>
      <w:r w:rsidRPr="00E95958">
        <w:t xml:space="preserve"> </w:t>
      </w:r>
      <w:hyperlink r:id="rId152" w:history="1">
        <w:r w:rsidRPr="00E95958">
          <w:rPr>
            <w:rStyle w:val="Hyperlink"/>
          </w:rPr>
          <w:t>http://www.who.int/maternal_child_adolescent/documents/maternal-health-recommendations/en/</w:t>
        </w:r>
      </w:hyperlink>
      <w:r w:rsidRPr="00E95958">
        <w:rPr>
          <w:rStyle w:val="Hyperlink"/>
        </w:rPr>
        <w:t>.</w:t>
      </w:r>
      <w:r w:rsidRPr="00E95958">
        <w:t xml:space="preserve"> </w:t>
      </w:r>
    </w:p>
  </w:endnote>
  <w:endnote w:id="510">
    <w:p w14:paraId="6AAF41C2" w14:textId="77777777" w:rsidR="002772C9" w:rsidRPr="00E95958" w:rsidRDefault="002772C9" w:rsidP="00E95958">
      <w:pPr>
        <w:pStyle w:val="EndnoteText"/>
        <w:ind w:left="-36" w:hanging="324"/>
      </w:pPr>
      <w:r w:rsidRPr="00E95958">
        <w:rPr>
          <w:rStyle w:val="EndnoteReference"/>
        </w:rPr>
        <w:endnoteRef/>
      </w:r>
      <w:r w:rsidRPr="00E95958">
        <w:t xml:space="preserve"> </w:t>
      </w:r>
      <w:r w:rsidRPr="00E95958">
        <w:rPr>
          <w:smallCaps/>
        </w:rPr>
        <w:t>WHO, WHO Recommendations on Newborn Health  (2017),</w:t>
      </w:r>
      <w:r w:rsidRPr="00E95958">
        <w:t xml:space="preserve"> </w:t>
      </w:r>
      <w:hyperlink r:id="rId153" w:history="1">
        <w:r w:rsidRPr="00E95958">
          <w:rPr>
            <w:rStyle w:val="Hyperlink"/>
          </w:rPr>
          <w:t>http://www.who.int/maternal_child_adolescent/documents/newborn-health-recommendations/en/</w:t>
        </w:r>
      </w:hyperlink>
      <w:r w:rsidRPr="00E95958">
        <w:rPr>
          <w:rStyle w:val="Hyperlink"/>
        </w:rPr>
        <w:t>.</w:t>
      </w:r>
    </w:p>
  </w:endnote>
  <w:endnote w:id="511">
    <w:p w14:paraId="607A8D0F" w14:textId="09A8C7D4" w:rsidR="002772C9" w:rsidRPr="00E95958" w:rsidRDefault="002772C9" w:rsidP="00E95958">
      <w:pPr>
        <w:pStyle w:val="EndnoteText"/>
        <w:ind w:left="-36" w:hanging="324"/>
      </w:pPr>
      <w:r w:rsidRPr="00E95958">
        <w:rPr>
          <w:rStyle w:val="EndnoteReference"/>
        </w:rPr>
        <w:endnoteRef/>
      </w:r>
      <w:r w:rsidRPr="00E95958">
        <w:t xml:space="preserve"> </w:t>
      </w:r>
      <w:r w:rsidRPr="00E95958">
        <w:rPr>
          <w:i/>
        </w:rPr>
        <w:t>See</w:t>
      </w:r>
      <w:r w:rsidRPr="00E95958">
        <w:t xml:space="preserve"> Promoting Sexual and Reproductive Health for Persons with Disabilities, </w:t>
      </w:r>
      <w:r w:rsidRPr="00E95958">
        <w:rPr>
          <w:i/>
        </w:rPr>
        <w:t xml:space="preserve">supra </w:t>
      </w:r>
      <w:r w:rsidRPr="00E95958">
        <w:t>note 24, at 24.</w:t>
      </w:r>
    </w:p>
  </w:endnote>
  <w:endnote w:id="512">
    <w:p w14:paraId="1283DC53" w14:textId="60E0C8AC"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See</w:t>
      </w:r>
      <w:r w:rsidRPr="00E95958">
        <w:t xml:space="preserve"> WHO, </w:t>
      </w:r>
      <w:r w:rsidRPr="00E95958">
        <w:rPr>
          <w:smallCaps/>
        </w:rPr>
        <w:t>Counselling for Maternal and Newborn Health Care: A Handbook for Building Skills</w:t>
      </w:r>
      <w:r w:rsidRPr="00E95958">
        <w:t xml:space="preserve"> (2013), </w:t>
      </w:r>
      <w:hyperlink r:id="rId154" w:history="1">
        <w:r w:rsidRPr="00E95958">
          <w:rPr>
            <w:rStyle w:val="Hyperlink"/>
          </w:rPr>
          <w:t>http://www.who.int/maternal_child_adolescent/documents/9789241547628/en/</w:t>
        </w:r>
      </w:hyperlink>
      <w:r w:rsidRPr="00E95958">
        <w:t>.</w:t>
      </w:r>
    </w:p>
  </w:endnote>
  <w:endnote w:id="513">
    <w:p w14:paraId="67A81146" w14:textId="77777777" w:rsidR="002772C9" w:rsidRPr="00E95958" w:rsidRDefault="002772C9" w:rsidP="00E95958">
      <w:pPr>
        <w:pStyle w:val="EndnoteText"/>
        <w:ind w:left="-36" w:hanging="324"/>
        <w:rPr>
          <w:i/>
        </w:rPr>
      </w:pPr>
      <w:r w:rsidRPr="00E95958">
        <w:rPr>
          <w:vertAlign w:val="superscript"/>
        </w:rPr>
        <w:endnoteRef/>
      </w:r>
      <w:r w:rsidRPr="00E95958">
        <w:t xml:space="preserve"> Cecil Begley, et. al, </w:t>
      </w:r>
      <w:r w:rsidRPr="00E95958">
        <w:rPr>
          <w:i/>
        </w:rPr>
        <w:t>Women with Disabilities: Barriers and Facilitators to Accessing Services during Pregnancy, Childbirth and Early Motherhood</w:t>
      </w:r>
      <w:r w:rsidRPr="00E95958">
        <w:t xml:space="preserve">, </w:t>
      </w:r>
      <w:r w:rsidRPr="00E95958">
        <w:rPr>
          <w:smallCaps/>
        </w:rPr>
        <w:t>School of Nursing and</w:t>
      </w:r>
      <w:r w:rsidRPr="00E95958">
        <w:rPr>
          <w:i/>
        </w:rPr>
        <w:t xml:space="preserve"> </w:t>
      </w:r>
      <w:r w:rsidRPr="00E95958">
        <w:rPr>
          <w:smallCaps/>
        </w:rPr>
        <w:t>Midwifery</w:t>
      </w:r>
      <w:r w:rsidRPr="00E95958">
        <w:rPr>
          <w:i/>
        </w:rPr>
        <w:t xml:space="preserve"> </w:t>
      </w:r>
      <w:r w:rsidRPr="00E95958">
        <w:t xml:space="preserve">xiv (Sept. 8, 2009), </w:t>
      </w:r>
      <w:r w:rsidRPr="00E95958">
        <w:rPr>
          <w:rStyle w:val="Hyperlink"/>
        </w:rPr>
        <w:t>https://nursing-midwifery.tcd.ie/assets/publications/pdf/nda-literature-review.pdf</w:t>
      </w:r>
      <w:r w:rsidRPr="00E95958">
        <w:t xml:space="preserve"> [hereinafter Begley, et. al, </w:t>
      </w:r>
      <w:r w:rsidRPr="00E95958">
        <w:rPr>
          <w:i/>
        </w:rPr>
        <w:t>Barriers and Facilitators to Accessing Services</w:t>
      </w:r>
      <w:r w:rsidRPr="00E95958">
        <w:t>]</w:t>
      </w:r>
      <w:r w:rsidRPr="00E95958">
        <w:rPr>
          <w:i/>
        </w:rPr>
        <w:t xml:space="preserve">. </w:t>
      </w:r>
    </w:p>
  </w:endnote>
  <w:endnote w:id="514">
    <w:p w14:paraId="35ABA251"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Judith Rogers, The Disabled Woman’s Guide to Pregnancy and Birth</w:t>
      </w:r>
      <w:r w:rsidRPr="00E95958">
        <w:t xml:space="preserve"> (2005). </w:t>
      </w:r>
    </w:p>
  </w:endnote>
  <w:endnote w:id="515">
    <w:p w14:paraId="147EC8E2" w14:textId="77777777" w:rsidR="002772C9" w:rsidRPr="00E95958" w:rsidRDefault="002772C9" w:rsidP="00E95958">
      <w:pPr>
        <w:pStyle w:val="EndnoteText"/>
        <w:ind w:left="-36" w:hanging="324"/>
      </w:pPr>
      <w:r w:rsidRPr="00E95958">
        <w:rPr>
          <w:vertAlign w:val="superscript"/>
        </w:rPr>
        <w:endnoteRef/>
      </w:r>
      <w:r w:rsidRPr="00E95958">
        <w:t xml:space="preserve"> WHO, </w:t>
      </w:r>
      <w:r w:rsidRPr="00E95958">
        <w:rPr>
          <w:smallCaps/>
        </w:rPr>
        <w:t xml:space="preserve">WHO Recommendations on Health Promotion Interventions for Maternal and Newborn Health 2015 30-32 </w:t>
      </w:r>
      <w:r w:rsidRPr="00E95958">
        <w:t xml:space="preserve">(2015), </w:t>
      </w:r>
      <w:hyperlink r:id="rId155">
        <w:r w:rsidRPr="00E95958">
          <w:rPr>
            <w:rStyle w:val="Hyperlink"/>
          </w:rPr>
          <w:t>http://www.who.int/maternal_child_adolescent/documents/health-promotion-interventions/en/</w:t>
        </w:r>
      </w:hyperlink>
      <w:r w:rsidRPr="00E95958">
        <w:t xml:space="preserve"> [hereinafter WHO, </w:t>
      </w:r>
      <w:r w:rsidRPr="00E95958">
        <w:rPr>
          <w:smallCaps/>
        </w:rPr>
        <w:t xml:space="preserve">Maternal and Newborn Health Recommendations 2015]. </w:t>
      </w:r>
    </w:p>
  </w:endnote>
  <w:endnote w:id="516">
    <w:p w14:paraId="5EED3634" w14:textId="77777777" w:rsidR="002772C9" w:rsidRPr="00E95958" w:rsidRDefault="002772C9" w:rsidP="00E95958">
      <w:pPr>
        <w:pStyle w:val="EndnoteText"/>
        <w:ind w:left="-36" w:hanging="324"/>
      </w:pPr>
      <w:r w:rsidRPr="00E95958">
        <w:rPr>
          <w:rStyle w:val="EndnoteReference"/>
        </w:rPr>
        <w:endnoteRef/>
      </w:r>
      <w:r w:rsidRPr="00E95958">
        <w:t xml:space="preserve"> </w:t>
      </w:r>
      <w:r w:rsidRPr="00E95958">
        <w:rPr>
          <w:smallCaps/>
        </w:rPr>
        <w:t>Maxwell et al., Health Handbook</w:t>
      </w:r>
      <w:r w:rsidRPr="00E95958">
        <w:t xml:space="preserve">, </w:t>
      </w:r>
      <w:r w:rsidRPr="00E95958">
        <w:rPr>
          <w:i/>
        </w:rPr>
        <w:t>supra</w:t>
      </w:r>
      <w:r w:rsidRPr="00E95958">
        <w:t xml:space="preserve"> note 416, at 240-241.</w:t>
      </w:r>
    </w:p>
  </w:endnote>
  <w:endnote w:id="517">
    <w:p w14:paraId="4D455A42"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Maxwell et al., Health Handbook</w:t>
      </w:r>
      <w:r w:rsidRPr="00E95958">
        <w:t xml:space="preserve">, </w:t>
      </w:r>
      <w:r w:rsidRPr="00E95958">
        <w:rPr>
          <w:i/>
        </w:rPr>
        <w:t>supra</w:t>
      </w:r>
      <w:r w:rsidRPr="00E95958">
        <w:t xml:space="preserve"> note 416, at 251. </w:t>
      </w:r>
    </w:p>
  </w:endnote>
  <w:endnote w:id="518">
    <w:p w14:paraId="78A468FE"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See</w:t>
      </w:r>
      <w:r w:rsidRPr="00E95958">
        <w:t xml:space="preserve"> </w:t>
      </w:r>
      <w:r w:rsidRPr="00E95958">
        <w:rPr>
          <w:smallCaps/>
        </w:rPr>
        <w:t>UNICEF, Every Child’s Birth Right: Inequities and Trends in Birth Registration</w:t>
      </w:r>
      <w:r w:rsidRPr="00E95958">
        <w:t xml:space="preserve"> (Dec. 2013), </w:t>
      </w:r>
      <w:hyperlink r:id="rId156">
        <w:r w:rsidRPr="00E95958">
          <w:rPr>
            <w:rStyle w:val="Hyperlink"/>
          </w:rPr>
          <w:t>https://www.unicef.org/publications/index_71514.html</w:t>
        </w:r>
      </w:hyperlink>
      <w:r w:rsidRPr="00E95958">
        <w:t>.</w:t>
      </w:r>
    </w:p>
  </w:endnote>
  <w:endnote w:id="519">
    <w:p w14:paraId="71E41019" w14:textId="14EFDA9C" w:rsidR="002772C9" w:rsidRPr="00E95958" w:rsidRDefault="002772C9" w:rsidP="00E95958">
      <w:pPr>
        <w:pStyle w:val="EndnoteText"/>
        <w:ind w:left="-36" w:hanging="324"/>
      </w:pPr>
      <w:r w:rsidRPr="00E95958">
        <w:rPr>
          <w:vertAlign w:val="superscript"/>
        </w:rPr>
        <w:endnoteRef/>
      </w:r>
      <w:r w:rsidRPr="00E95958">
        <w:t xml:space="preserve"> WHO, </w:t>
      </w:r>
      <w:r w:rsidRPr="00E95958">
        <w:rPr>
          <w:smallCaps/>
        </w:rPr>
        <w:t>Working with Individuals, Families and Communities to Improve Maternal and Newborn Health</w:t>
      </w:r>
      <w:r w:rsidRPr="00E95958">
        <w:t xml:space="preserve"> 6-10, 15-17 (2010), </w:t>
      </w:r>
      <w:hyperlink r:id="rId157" w:history="1">
        <w:r w:rsidRPr="00E95958">
          <w:rPr>
            <w:rStyle w:val="Hyperlink"/>
          </w:rPr>
          <w:t>http://www.who.int/maternal_child_adolescent/documents/who_fch_rhr_0311/en/</w:t>
        </w:r>
      </w:hyperlink>
      <w:r w:rsidRPr="00E95958">
        <w:t>.</w:t>
      </w:r>
    </w:p>
  </w:endnote>
  <w:endnote w:id="520">
    <w:p w14:paraId="554A8AA3" w14:textId="77777777" w:rsidR="002772C9" w:rsidRPr="00E95958" w:rsidRDefault="002772C9" w:rsidP="00E95958">
      <w:pPr>
        <w:pStyle w:val="EndnoteText"/>
        <w:ind w:left="-36" w:hanging="324"/>
      </w:pPr>
      <w:r w:rsidRPr="00E95958">
        <w:rPr>
          <w:vertAlign w:val="superscript"/>
        </w:rPr>
        <w:endnoteRef/>
      </w:r>
      <w:r w:rsidRPr="00E95958">
        <w:t xml:space="preserve"> WHO, </w:t>
      </w:r>
      <w:r w:rsidRPr="00E95958">
        <w:rPr>
          <w:smallCaps/>
        </w:rPr>
        <w:t xml:space="preserve">Working with Individuals, Families and Communities, </w:t>
      </w:r>
      <w:r w:rsidRPr="00E95958">
        <w:rPr>
          <w:i/>
        </w:rPr>
        <w:t>supra</w:t>
      </w:r>
      <w:r w:rsidRPr="00E95958">
        <w:t xml:space="preserve"> </w:t>
      </w:r>
      <w:r w:rsidRPr="00E95958">
        <w:rPr>
          <w:rStyle w:val="EndnoteTextChar"/>
        </w:rPr>
        <w:t>note</w:t>
      </w:r>
      <w:r w:rsidRPr="00E95958">
        <w:t xml:space="preserve"> 518, at 15-18. </w:t>
      </w:r>
    </w:p>
  </w:endnote>
  <w:endnote w:id="521">
    <w:p w14:paraId="27B57D49" w14:textId="461F8F82" w:rsidR="002772C9" w:rsidRPr="00E95958" w:rsidRDefault="002772C9" w:rsidP="00E95958">
      <w:pPr>
        <w:pStyle w:val="EndnoteText"/>
        <w:ind w:left="-36" w:hanging="324"/>
        <w:rPr>
          <w:iCs/>
          <w:smallCaps/>
        </w:rPr>
      </w:pPr>
      <w:r w:rsidRPr="00E95958">
        <w:rPr>
          <w:rStyle w:val="EndnoteReference"/>
        </w:rPr>
        <w:endnoteRef/>
      </w:r>
      <w:r w:rsidRPr="00E95958">
        <w:rPr>
          <w:i/>
        </w:rPr>
        <w:t xml:space="preserve"> See</w:t>
      </w:r>
      <w:r w:rsidRPr="00E95958">
        <w:t xml:space="preserve"> </w:t>
      </w:r>
      <w:r w:rsidRPr="00E95958">
        <w:rPr>
          <w:iCs/>
          <w:smallCaps/>
        </w:rPr>
        <w:t xml:space="preserve">Tamara Windau-Melmer, USAID, White Ribbon Alliance, A Guide for Advocating for Respectful Maternity Care </w:t>
      </w:r>
      <w:r w:rsidRPr="00E95958">
        <w:t xml:space="preserve">(2013), </w:t>
      </w:r>
      <w:hyperlink r:id="rId158" w:history="1">
        <w:r w:rsidRPr="00E95958">
          <w:rPr>
            <w:rStyle w:val="Hyperlink"/>
          </w:rPr>
          <w:t>http://www.healthpolicyproject.com/pubs/189_RMCGuideFINAL.pdf</w:t>
        </w:r>
      </w:hyperlink>
      <w:r w:rsidRPr="00E95958">
        <w:t xml:space="preserve">; </w:t>
      </w:r>
      <w:r w:rsidRPr="00E95958">
        <w:rPr>
          <w:iCs/>
          <w:smallCaps/>
        </w:rPr>
        <w:t xml:space="preserve">White Ribbon Alliance, Respectful Maternity Care: The Universal Rights of Childbearing Women (Oct. 2011), </w:t>
      </w:r>
      <w:hyperlink r:id="rId159" w:history="1">
        <w:r w:rsidRPr="00E95958">
          <w:rPr>
            <w:rStyle w:val="Hyperlink"/>
          </w:rPr>
          <w:t>https://www.whiteribbonalliance.org/respectfulcare</w:t>
        </w:r>
      </w:hyperlink>
      <w:r w:rsidRPr="00E95958">
        <w:t>.</w:t>
      </w:r>
      <w:r w:rsidRPr="00E95958">
        <w:rPr>
          <w:iCs/>
          <w:smallCaps/>
        </w:rPr>
        <w:t xml:space="preserve"> </w:t>
      </w:r>
    </w:p>
  </w:endnote>
  <w:endnote w:id="522">
    <w:p w14:paraId="78942CD6"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Maxwell et al., Health Handbook</w:t>
      </w:r>
      <w:r w:rsidRPr="00E95958">
        <w:t xml:space="preserve">, </w:t>
      </w:r>
      <w:r w:rsidRPr="00E95958">
        <w:rPr>
          <w:i/>
        </w:rPr>
        <w:t>supra</w:t>
      </w:r>
      <w:r w:rsidRPr="00E95958">
        <w:t xml:space="preserve"> note 416, at 234. </w:t>
      </w:r>
    </w:p>
  </w:endnote>
  <w:endnote w:id="523">
    <w:p w14:paraId="0FD1CFB3" w14:textId="50A2470C" w:rsidR="002772C9" w:rsidRPr="00E95958" w:rsidRDefault="002772C9" w:rsidP="00F3261F">
      <w:pPr>
        <w:pStyle w:val="EndnoteText"/>
        <w:ind w:left="-36" w:hanging="324"/>
      </w:pPr>
      <w:r w:rsidRPr="00E95958">
        <w:rPr>
          <w:vertAlign w:val="superscript"/>
        </w:rPr>
        <w:endnoteRef/>
      </w:r>
      <w:r w:rsidRPr="00E95958">
        <w:t xml:space="preserve"> </w:t>
      </w:r>
      <w:r w:rsidRPr="00E95958">
        <w:rPr>
          <w:i/>
        </w:rPr>
        <w:t xml:space="preserve">See </w:t>
      </w:r>
      <w:r w:rsidRPr="00E95958">
        <w:t xml:space="preserve">WHO, UNFPA, UNICEF, </w:t>
      </w:r>
      <w:r w:rsidRPr="00E95958">
        <w:rPr>
          <w:smallCaps/>
        </w:rPr>
        <w:t>Pregnancy, Childbirth, Postpartum and Newborn Care: A Guide for Essential Practice</w:t>
      </w:r>
      <w:r w:rsidRPr="00E95958">
        <w:t xml:space="preserve"> H2 (3</w:t>
      </w:r>
      <w:r w:rsidRPr="00E95958">
        <w:rPr>
          <w:vertAlign w:val="superscript"/>
        </w:rPr>
        <w:t>rd</w:t>
      </w:r>
      <w:r w:rsidRPr="00E95958">
        <w:t xml:space="preserve"> ed. 2015), </w:t>
      </w:r>
      <w:hyperlink r:id="rId160">
        <w:r w:rsidRPr="00E95958">
          <w:rPr>
            <w:rStyle w:val="Hyperlink"/>
          </w:rPr>
          <w:t>http://www.who.int/maternal_child_adolescent/documents/imca-essential-practice-guide/en/</w:t>
        </w:r>
      </w:hyperlink>
      <w:r w:rsidRPr="00E95958">
        <w:t xml:space="preserve">.  </w:t>
      </w:r>
    </w:p>
  </w:endnote>
  <w:endnote w:id="524">
    <w:p w14:paraId="7F19BAA0" w14:textId="77777777" w:rsidR="002772C9" w:rsidRPr="00E95958" w:rsidRDefault="002772C9" w:rsidP="00E95958">
      <w:pPr>
        <w:pStyle w:val="EndnoteText"/>
        <w:ind w:left="-36" w:hanging="324"/>
      </w:pPr>
      <w:r w:rsidRPr="00E95958">
        <w:rPr>
          <w:rStyle w:val="EndnoteReference"/>
        </w:rPr>
        <w:endnoteRef/>
      </w:r>
      <w:r w:rsidRPr="00E95958">
        <w:t xml:space="preserve"> UNFPA, Promoting Equality, Recognizing Diversity: Case Stories in Intercultural Sexual and Reproductive Health among Indigenous Peoples in Latin America (2010), </w:t>
      </w:r>
      <w:hyperlink r:id="rId161">
        <w:r w:rsidRPr="00E95958">
          <w:rPr>
            <w:rStyle w:val="Hyperlink"/>
          </w:rPr>
          <w:t>http://www.unfpa.org/sites/default/files/resource-pdf/Intercultural%20Sexual%20and%20Reproductive%20Health%20-%20Case%20Stories.pdf</w:t>
        </w:r>
      </w:hyperlink>
      <w:r w:rsidRPr="00E95958">
        <w:t>.</w:t>
      </w:r>
    </w:p>
  </w:endnote>
  <w:endnote w:id="525">
    <w:p w14:paraId="19197999" w14:textId="77777777" w:rsidR="002772C9" w:rsidRPr="00E95958" w:rsidRDefault="002772C9" w:rsidP="00E95958">
      <w:pPr>
        <w:pStyle w:val="EndnoteText"/>
        <w:ind w:left="-36" w:hanging="324"/>
      </w:pPr>
      <w:r w:rsidRPr="00E95958">
        <w:rPr>
          <w:vertAlign w:val="superscript"/>
        </w:rPr>
        <w:endnoteRef/>
      </w:r>
      <w:r w:rsidRPr="00E95958">
        <w:rPr>
          <w:smallCaps/>
        </w:rPr>
        <w:t xml:space="preserve"> UNFPA, Promoting Equality, Recognizing Diversity, </w:t>
      </w:r>
      <w:r w:rsidRPr="00E95958">
        <w:rPr>
          <w:i/>
        </w:rPr>
        <w:t>supra</w:t>
      </w:r>
      <w:r w:rsidRPr="00E95958">
        <w:t xml:space="preserve"> note 523.</w:t>
      </w:r>
    </w:p>
  </w:endnote>
  <w:endnote w:id="526">
    <w:p w14:paraId="015AA499" w14:textId="77777777" w:rsidR="002772C9" w:rsidRPr="00E95958" w:rsidRDefault="002772C9" w:rsidP="00E95958">
      <w:pPr>
        <w:pStyle w:val="EndnoteText"/>
        <w:ind w:left="-36" w:hanging="324"/>
        <w:rPr>
          <w:smallCaps/>
        </w:rPr>
      </w:pPr>
      <w:r w:rsidRPr="00E95958">
        <w:rPr>
          <w:vertAlign w:val="superscript"/>
        </w:rPr>
        <w:endnoteRef/>
      </w:r>
      <w:r w:rsidRPr="00E95958">
        <w:t xml:space="preserve"> WHO, </w:t>
      </w:r>
      <w:r w:rsidRPr="00E95958">
        <w:rPr>
          <w:smallCaps/>
        </w:rPr>
        <w:t xml:space="preserve">Maternal and Newborn Health Recommendations 2015, </w:t>
      </w:r>
      <w:r w:rsidRPr="00E95958">
        <w:rPr>
          <w:i/>
        </w:rPr>
        <w:t>supra</w:t>
      </w:r>
      <w:r w:rsidRPr="00E95958">
        <w:t xml:space="preserve"> note 514.</w:t>
      </w:r>
    </w:p>
  </w:endnote>
  <w:endnote w:id="527">
    <w:p w14:paraId="0D693609" w14:textId="77777777" w:rsidR="002772C9" w:rsidRPr="00E95958" w:rsidRDefault="002772C9" w:rsidP="00E95958">
      <w:pPr>
        <w:pStyle w:val="EndnoteText"/>
        <w:ind w:left="-36" w:hanging="324"/>
        <w:rPr>
          <w:highlight w:val="white"/>
        </w:rPr>
      </w:pPr>
      <w:r w:rsidRPr="00E95958">
        <w:rPr>
          <w:vertAlign w:val="superscript"/>
        </w:rPr>
        <w:endnoteRef/>
      </w:r>
      <w:r w:rsidRPr="00E95958">
        <w:t xml:space="preserve"> </w:t>
      </w:r>
      <w:r w:rsidRPr="00E95958">
        <w:rPr>
          <w:highlight w:val="white"/>
        </w:rPr>
        <w:t>Ӧ Tunçalp, et al., </w:t>
      </w:r>
      <w:r w:rsidRPr="00E95958">
        <w:rPr>
          <w:i/>
          <w:highlight w:val="white"/>
        </w:rPr>
        <w:t>Quality of Care for Pregnant Women and Newborns</w:t>
      </w:r>
      <w:r w:rsidRPr="00E95958">
        <w:rPr>
          <w:smallCaps/>
        </w:rPr>
        <w:t xml:space="preserve">, </w:t>
      </w:r>
      <w:r w:rsidRPr="00E95958">
        <w:rPr>
          <w:i/>
        </w:rPr>
        <w:t>supra</w:t>
      </w:r>
      <w:r w:rsidRPr="00E95958">
        <w:t xml:space="preserve"> note 499, at 1046.</w:t>
      </w:r>
    </w:p>
  </w:endnote>
  <w:endnote w:id="528">
    <w:p w14:paraId="184AB072" w14:textId="77777777" w:rsidR="002772C9" w:rsidRPr="00E95958" w:rsidRDefault="002772C9" w:rsidP="00E95958">
      <w:pPr>
        <w:pStyle w:val="EndnoteText"/>
        <w:ind w:left="-36" w:hanging="324"/>
        <w:rPr>
          <w:highlight w:val="white"/>
        </w:rPr>
      </w:pPr>
      <w:r w:rsidRPr="00E95958">
        <w:rPr>
          <w:vertAlign w:val="superscript"/>
        </w:rPr>
        <w:endnoteRef/>
      </w:r>
      <w:r w:rsidRPr="00E95958">
        <w:t xml:space="preserve"> </w:t>
      </w:r>
      <w:r w:rsidRPr="00E95958">
        <w:rPr>
          <w:highlight w:val="white"/>
        </w:rPr>
        <w:t>Ӧ Tunçalp, et al., </w:t>
      </w:r>
      <w:r w:rsidRPr="00E95958">
        <w:rPr>
          <w:i/>
          <w:highlight w:val="white"/>
        </w:rPr>
        <w:t>Quality of Care for Pregnant Women and Newborns</w:t>
      </w:r>
      <w:r w:rsidRPr="00E95958">
        <w:rPr>
          <w:smallCaps/>
        </w:rPr>
        <w:t xml:space="preserve">, </w:t>
      </w:r>
      <w:r w:rsidRPr="00E95958">
        <w:rPr>
          <w:i/>
        </w:rPr>
        <w:t>supra</w:t>
      </w:r>
      <w:r w:rsidRPr="00E95958">
        <w:t xml:space="preserve"> note 499, at 1046.</w:t>
      </w:r>
    </w:p>
  </w:endnote>
  <w:endnote w:id="529">
    <w:p w14:paraId="045FB4BC" w14:textId="77777777" w:rsidR="002772C9" w:rsidRPr="00E95958" w:rsidRDefault="002772C9" w:rsidP="00E95958">
      <w:pPr>
        <w:pStyle w:val="EndnoteText"/>
        <w:ind w:left="-36" w:hanging="324"/>
        <w:rPr>
          <w:rFonts w:eastAsia="Times New Roman"/>
        </w:rPr>
      </w:pPr>
      <w:r w:rsidRPr="00E95958">
        <w:rPr>
          <w:vertAlign w:val="superscript"/>
        </w:rPr>
        <w:endnoteRef/>
      </w:r>
      <w:r w:rsidRPr="00E95958">
        <w:t xml:space="preserve"> </w:t>
      </w:r>
      <w:r w:rsidRPr="00E95958">
        <w:rPr>
          <w:smallCaps/>
        </w:rPr>
        <w:t xml:space="preserve">WHO, WHO Recommendations on Antenatal Care for a Positive Pregnancy Experience  (2016), </w:t>
      </w:r>
      <w:hyperlink r:id="rId162" w:history="1">
        <w:r w:rsidRPr="00E95958">
          <w:rPr>
            <w:rStyle w:val="Hyperlink"/>
          </w:rPr>
          <w:t>http://apps.who.int/iris/bitstream/handle/10665/250796/9789241549912-eng.pdf?sequence=1</w:t>
        </w:r>
      </w:hyperlink>
      <w:r w:rsidRPr="00E95958">
        <w:rPr>
          <w:rStyle w:val="Hyperlink"/>
        </w:rPr>
        <w:t>.</w:t>
      </w:r>
      <w:r w:rsidRPr="00E95958">
        <w:rPr>
          <w:smallCaps/>
        </w:rPr>
        <w:t xml:space="preserve"> </w:t>
      </w:r>
    </w:p>
  </w:endnote>
  <w:endnote w:id="530">
    <w:p w14:paraId="66A54BAD" w14:textId="77777777" w:rsidR="002772C9" w:rsidRPr="00E95958" w:rsidRDefault="002772C9" w:rsidP="00E95958">
      <w:pPr>
        <w:pStyle w:val="EndnoteText"/>
        <w:ind w:left="-36" w:hanging="324"/>
        <w:rPr>
          <w:smallCaps/>
        </w:rPr>
      </w:pPr>
      <w:r w:rsidRPr="00E95958">
        <w:rPr>
          <w:rStyle w:val="EndnoteReference"/>
        </w:rPr>
        <w:endnoteRef/>
      </w:r>
      <w:r w:rsidRPr="00E95958">
        <w:t xml:space="preserve"> </w:t>
      </w:r>
      <w:r w:rsidRPr="00E95958">
        <w:rPr>
          <w:smallCaps/>
        </w:rPr>
        <w:t xml:space="preserve">WHO, WHO Recommendations Intrapartum Care for a Positive Childbirth Experience  (2018), </w:t>
      </w:r>
      <w:hyperlink r:id="rId163" w:history="1">
        <w:r w:rsidRPr="00E95958">
          <w:rPr>
            <w:rStyle w:val="Hyperlink"/>
          </w:rPr>
          <w:t>http://apps.who.int/iris/bitstream/handle/10665/260178/9789241550215-eng.pdf?sequence=1</w:t>
        </w:r>
      </w:hyperlink>
      <w:r w:rsidRPr="00E95958">
        <w:rPr>
          <w:rStyle w:val="Hyperlink"/>
        </w:rPr>
        <w:t>.</w:t>
      </w:r>
      <w:r w:rsidRPr="00E95958">
        <w:rPr>
          <w:smallCaps/>
        </w:rPr>
        <w:t xml:space="preserve"> </w:t>
      </w:r>
    </w:p>
  </w:endnote>
  <w:endnote w:id="531">
    <w:p w14:paraId="6E5516F5" w14:textId="77777777" w:rsidR="002772C9" w:rsidRPr="00E95958" w:rsidRDefault="002772C9" w:rsidP="00E95958">
      <w:pPr>
        <w:pStyle w:val="EndnoteText"/>
        <w:ind w:left="-36" w:hanging="324"/>
      </w:pPr>
      <w:r w:rsidRPr="00E95958">
        <w:rPr>
          <w:vertAlign w:val="superscript"/>
        </w:rPr>
        <w:endnoteRef/>
      </w:r>
      <w:r w:rsidRPr="00E95958">
        <w:t xml:space="preserve"> WHO, </w:t>
      </w:r>
      <w:r w:rsidRPr="00E95958">
        <w:rPr>
          <w:smallCaps/>
        </w:rPr>
        <w:t xml:space="preserve">Working with Individuals, Families and Communities, </w:t>
      </w:r>
      <w:r w:rsidRPr="00E95958">
        <w:rPr>
          <w:i/>
        </w:rPr>
        <w:t>supra</w:t>
      </w:r>
      <w:r w:rsidRPr="00E95958">
        <w:t xml:space="preserve"> note 518, at 15-18. </w:t>
      </w:r>
    </w:p>
  </w:endnote>
  <w:endnote w:id="532">
    <w:p w14:paraId="515E94C3"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Maxwell et al., Health Handbook</w:t>
      </w:r>
      <w:r w:rsidRPr="00E95958">
        <w:t xml:space="preserve">, </w:t>
      </w:r>
      <w:r w:rsidRPr="00E95958">
        <w:rPr>
          <w:i/>
        </w:rPr>
        <w:t>supra</w:t>
      </w:r>
      <w:r w:rsidRPr="00E95958">
        <w:t xml:space="preserve"> note 416, at 244. </w:t>
      </w:r>
    </w:p>
  </w:endnote>
  <w:endnote w:id="533">
    <w:p w14:paraId="347DDC13" w14:textId="77777777" w:rsidR="002772C9" w:rsidRPr="00E95958" w:rsidRDefault="002772C9" w:rsidP="00E95958">
      <w:pPr>
        <w:pStyle w:val="EndnoteText"/>
        <w:ind w:left="-36" w:hanging="324"/>
      </w:pPr>
      <w:r w:rsidRPr="00E95958">
        <w:rPr>
          <w:vertAlign w:val="superscript"/>
        </w:rPr>
        <w:endnoteRef/>
      </w:r>
      <w:r w:rsidRPr="00E95958">
        <w:t xml:space="preserve"> Begley, et. al, </w:t>
      </w:r>
      <w:r w:rsidRPr="00E95958">
        <w:rPr>
          <w:i/>
        </w:rPr>
        <w:t>Barriers and Facilitators to Accessing Services, supra</w:t>
      </w:r>
      <w:r w:rsidRPr="00E95958">
        <w:t xml:space="preserve"> note 144, at xiv. </w:t>
      </w:r>
    </w:p>
  </w:endnote>
  <w:endnote w:id="534">
    <w:p w14:paraId="5B709992"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 xml:space="preserve">See Accountability for Women’s and Children’s Health, Recommendation 2: Health Indicators, </w:t>
      </w:r>
      <w:r w:rsidRPr="00E95958">
        <w:t xml:space="preserve">WHO (2017), </w:t>
      </w:r>
      <w:hyperlink r:id="rId164">
        <w:r w:rsidRPr="00E95958">
          <w:rPr>
            <w:rStyle w:val="Hyperlink"/>
          </w:rPr>
          <w:t>http://www.who.int/woman_child_accountability/progress_information/recommendation2/en/</w:t>
        </w:r>
      </w:hyperlink>
      <w:r w:rsidRPr="00E95958">
        <w:t>.</w:t>
      </w:r>
    </w:p>
  </w:endnote>
  <w:endnote w:id="535">
    <w:p w14:paraId="09C0599F" w14:textId="77777777" w:rsidR="002772C9" w:rsidRPr="00E95958" w:rsidRDefault="002772C9" w:rsidP="00E95958">
      <w:pPr>
        <w:pStyle w:val="EndnoteText"/>
        <w:ind w:left="-36" w:hanging="324"/>
        <w:rPr>
          <w:smallCaps/>
        </w:rPr>
      </w:pPr>
      <w:r w:rsidRPr="00E95958">
        <w:rPr>
          <w:rStyle w:val="EndnoteReference"/>
        </w:rPr>
        <w:endnoteRef/>
      </w:r>
      <w:r w:rsidRPr="00E95958">
        <w:t xml:space="preserve"> </w:t>
      </w:r>
      <w:r w:rsidRPr="00E95958">
        <w:rPr>
          <w:smallCaps/>
        </w:rPr>
        <w:t xml:space="preserve">WHO, WHO Recommendations on Antenatal Care for a Positive Pregnancy Experience  (2016), </w:t>
      </w:r>
      <w:hyperlink r:id="rId165" w:history="1">
        <w:r w:rsidRPr="00E95958">
          <w:rPr>
            <w:rStyle w:val="Hyperlink"/>
          </w:rPr>
          <w:t>http://apps.who.int/iris/bitstream/handle/10665/250796/9789241549912-eng.pdf?sequence=1</w:t>
        </w:r>
      </w:hyperlink>
      <w:r w:rsidRPr="00E95958">
        <w:rPr>
          <w:rStyle w:val="Hyperlink"/>
        </w:rPr>
        <w:t>.</w:t>
      </w:r>
      <w:r w:rsidRPr="00E95958">
        <w:rPr>
          <w:smallCaps/>
        </w:rPr>
        <w:t xml:space="preserve"> </w:t>
      </w:r>
    </w:p>
  </w:endnote>
  <w:endnote w:id="536">
    <w:p w14:paraId="333AEB99" w14:textId="3A77351F"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See</w:t>
      </w:r>
      <w:r w:rsidRPr="00E95958">
        <w:t xml:space="preserve"> </w:t>
      </w:r>
      <w:r w:rsidRPr="00E95958">
        <w:rPr>
          <w:smallCaps/>
        </w:rPr>
        <w:t xml:space="preserve">National Institute for Health and Care Excellence (NICE), The NICE Menu of General Practice and Clinical Commissioning Group Indicators </w:t>
      </w:r>
      <w:r w:rsidRPr="00E95958">
        <w:t xml:space="preserve">49 (Aug. 2016), </w:t>
      </w:r>
      <w:hyperlink r:id="rId166" w:history="1">
        <w:r w:rsidRPr="00E95958">
          <w:rPr>
            <w:rStyle w:val="Hyperlink"/>
          </w:rPr>
          <w:t>https://www.nice.org.uk/Media/Default/Standards-and-indicators/indicator-menu-update-aug-16.pdf</w:t>
        </w:r>
      </w:hyperlink>
      <w:r w:rsidRPr="00E95958">
        <w:t>.</w:t>
      </w:r>
    </w:p>
  </w:endnote>
  <w:endnote w:id="537">
    <w:p w14:paraId="766D2751"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UNFPA, UNFPA Operational Guidance for Comprehensive Sexuality Education: A Focus on Human Rights and Gender</w:t>
      </w:r>
      <w:r w:rsidRPr="00E95958">
        <w:rPr>
          <w:i/>
        </w:rPr>
        <w:t xml:space="preserve"> </w:t>
      </w:r>
      <w:r w:rsidRPr="00E95958">
        <w:t xml:space="preserve">6-8 (2014), </w:t>
      </w:r>
      <w:hyperlink r:id="rId167">
        <w:r w:rsidRPr="00E95958">
          <w:rPr>
            <w:rStyle w:val="Hyperlink"/>
          </w:rPr>
          <w:t>http://www.unfpa.org/sites/default/files/pub-pdf/UNFPA_OperationalGuidance_WEB3.pdf</w:t>
        </w:r>
      </w:hyperlink>
      <w:r w:rsidRPr="00E95958">
        <w:t xml:space="preserve"> [hereinafter </w:t>
      </w:r>
      <w:r w:rsidRPr="00E95958">
        <w:rPr>
          <w:smallCaps/>
        </w:rPr>
        <w:t>UNFPA, CSE Operational Guidance</w:t>
      </w:r>
      <w:r w:rsidRPr="00E95958">
        <w:t>].</w:t>
      </w:r>
    </w:p>
  </w:endnote>
  <w:endnote w:id="538">
    <w:p w14:paraId="548A4D5A" w14:textId="77777777" w:rsidR="002772C9" w:rsidRPr="00E95958" w:rsidRDefault="002772C9" w:rsidP="00E95958">
      <w:pPr>
        <w:pStyle w:val="EndnoteText"/>
        <w:ind w:left="-36" w:hanging="324"/>
      </w:pPr>
      <w:r w:rsidRPr="00E95958">
        <w:rPr>
          <w:vertAlign w:val="superscript"/>
        </w:rPr>
        <w:endnoteRef/>
      </w:r>
      <w:r w:rsidRPr="00E95958">
        <w:t xml:space="preserve"> United Nations Educational, Scientific and Cultural Organization (UNESCO), Revised Edition International Technical Guidance on Sexuality Education: An Evidence-Informed Approach 16 (2018), </w:t>
      </w:r>
      <w:hyperlink r:id="rId168" w:history="1">
        <w:r w:rsidRPr="00E95958">
          <w:rPr>
            <w:rStyle w:val="Hyperlink"/>
          </w:rPr>
          <w:t>http://www.unaids.org/sites/default/files/media_asset/ITGSE_en.pdf</w:t>
        </w:r>
      </w:hyperlink>
      <w:r w:rsidRPr="00E95958">
        <w:t xml:space="preserve"> [hereinafter UNESCO, CSE Technical Guidance Revised]. </w:t>
      </w:r>
    </w:p>
  </w:endnote>
  <w:endnote w:id="539">
    <w:p w14:paraId="58C66A82" w14:textId="77777777" w:rsidR="002772C9" w:rsidRPr="00E95958" w:rsidRDefault="002772C9" w:rsidP="00E95958">
      <w:pPr>
        <w:pStyle w:val="EndnoteText"/>
        <w:ind w:left="-36" w:hanging="324"/>
      </w:pPr>
      <w:r w:rsidRPr="00E95958">
        <w:rPr>
          <w:rStyle w:val="EndnoteReference"/>
        </w:rPr>
        <w:endnoteRef/>
      </w:r>
      <w:r w:rsidRPr="00E95958">
        <w:t xml:space="preserve"> UNESCO, CSE Technical Guidance Revised</w:t>
      </w:r>
      <w:r w:rsidRPr="00E95958">
        <w:rPr>
          <w:i/>
        </w:rPr>
        <w:t xml:space="preserve"> supra </w:t>
      </w:r>
      <w:r w:rsidRPr="00E95958">
        <w:t xml:space="preserve">note 537, at 16-17. </w:t>
      </w:r>
    </w:p>
  </w:endnote>
  <w:endnote w:id="540">
    <w:p w14:paraId="4EF0DDE2" w14:textId="77777777" w:rsidR="002772C9" w:rsidRPr="00E95958" w:rsidRDefault="002772C9" w:rsidP="00E95958">
      <w:pPr>
        <w:pStyle w:val="EndnoteText"/>
        <w:ind w:left="-36" w:hanging="324"/>
        <w:rPr>
          <w:smallCaps/>
        </w:rPr>
      </w:pPr>
      <w:r w:rsidRPr="00E95958">
        <w:rPr>
          <w:vertAlign w:val="superscript"/>
        </w:rPr>
        <w:endnoteRef/>
      </w:r>
      <w:r w:rsidRPr="00E95958">
        <w:t xml:space="preserve"> </w:t>
      </w:r>
      <w:r w:rsidRPr="00E95958">
        <w:rPr>
          <w:smallCaps/>
        </w:rPr>
        <w:t>UNESCO, CSE Technical Guidance Revised</w:t>
      </w:r>
      <w:r w:rsidRPr="00E95958">
        <w:rPr>
          <w:i/>
        </w:rPr>
        <w:t xml:space="preserve"> supra </w:t>
      </w:r>
      <w:r w:rsidRPr="00E95958">
        <w:t>note 537, at 16.</w:t>
      </w:r>
    </w:p>
  </w:endnote>
  <w:endnote w:id="541">
    <w:p w14:paraId="097D0D15" w14:textId="77777777" w:rsidR="002772C9" w:rsidRPr="00E95958" w:rsidRDefault="002772C9" w:rsidP="00E95958">
      <w:pPr>
        <w:pStyle w:val="EndnoteText"/>
        <w:ind w:left="-36" w:hanging="324"/>
      </w:pPr>
      <w:r w:rsidRPr="00E95958">
        <w:rPr>
          <w:rStyle w:val="EndnoteReference"/>
        </w:rPr>
        <w:endnoteRef/>
      </w:r>
      <w:r w:rsidRPr="00E95958">
        <w:t xml:space="preserve"> UNESCO, CSE Technical Guidance Revised</w:t>
      </w:r>
      <w:r w:rsidRPr="00E95958">
        <w:rPr>
          <w:i/>
        </w:rPr>
        <w:t xml:space="preserve"> supra </w:t>
      </w:r>
      <w:r w:rsidRPr="00E95958">
        <w:t xml:space="preserve">note 537. </w:t>
      </w:r>
    </w:p>
  </w:endnote>
  <w:endnote w:id="542">
    <w:p w14:paraId="1D6B9A46" w14:textId="77777777" w:rsidR="002772C9" w:rsidRPr="00E95958" w:rsidRDefault="002772C9" w:rsidP="00E95958">
      <w:pPr>
        <w:pStyle w:val="EndnoteText"/>
        <w:ind w:left="-36" w:hanging="324"/>
        <w:rPr>
          <w:lang w:val="fr-FR"/>
        </w:rPr>
      </w:pPr>
      <w:r w:rsidRPr="00E95958">
        <w:rPr>
          <w:vertAlign w:val="superscript"/>
        </w:rPr>
        <w:endnoteRef/>
      </w:r>
      <w:r w:rsidRPr="00E95958">
        <w:rPr>
          <w:lang w:val="fr-FR"/>
        </w:rPr>
        <w:t xml:space="preserve"> </w:t>
      </w:r>
      <w:r w:rsidRPr="00E95958">
        <w:rPr>
          <w:rFonts w:eastAsia="Arial"/>
          <w:smallCaps/>
          <w:lang w:val="fr-FR"/>
        </w:rPr>
        <w:t>Programa de Educación Sexual (ANEP- CODICEN); Instituto Interamericano sobre Discapacidad y Desarrollo Inclusivo (iiDi); UNFPA, UNICEF, Es Parte De La Vida: Material de Apoyo Sobre Educación Sexual y Discapacidad para Compartir en Familia</w:t>
      </w:r>
      <w:r w:rsidRPr="00E95958">
        <w:rPr>
          <w:lang w:val="fr-FR"/>
        </w:rPr>
        <w:t xml:space="preserve"> (2012)</w:t>
      </w:r>
      <w:r w:rsidRPr="00E95958">
        <w:rPr>
          <w:iCs/>
          <w:lang w:val="fr-FR"/>
        </w:rPr>
        <w:t xml:space="preserve">, </w:t>
      </w:r>
      <w:hyperlink r:id="rId169" w:history="1">
        <w:r w:rsidRPr="00E95958">
          <w:rPr>
            <w:rStyle w:val="Hyperlink"/>
          </w:rPr>
          <w:t>http://www.unfpa.org.uy/userfiles/informacion/items/972_pdf.pdf</w:t>
        </w:r>
      </w:hyperlink>
      <w:r w:rsidRPr="00E95958">
        <w:rPr>
          <w:iCs/>
          <w:lang w:val="fr-FR"/>
        </w:rPr>
        <w:t xml:space="preserve">. </w:t>
      </w:r>
      <w:r w:rsidRPr="00E95958">
        <w:rPr>
          <w:i/>
          <w:lang w:val="fr-FR"/>
        </w:rPr>
        <w:t xml:space="preserve"> </w:t>
      </w:r>
    </w:p>
  </w:endnote>
  <w:endnote w:id="543">
    <w:p w14:paraId="440A3962" w14:textId="77777777" w:rsidR="002772C9" w:rsidRPr="00E95958" w:rsidRDefault="002772C9" w:rsidP="00E95958">
      <w:pPr>
        <w:pStyle w:val="EndnoteText"/>
        <w:ind w:left="-36" w:hanging="324"/>
      </w:pPr>
      <w:r w:rsidRPr="00E95958">
        <w:rPr>
          <w:vertAlign w:val="superscript"/>
        </w:rPr>
        <w:endnoteRef/>
      </w:r>
      <w:r w:rsidRPr="00E95958">
        <w:t xml:space="preserve"> UNESCO, CSE Technical Guidance Revised</w:t>
      </w:r>
      <w:r w:rsidRPr="00E95958">
        <w:rPr>
          <w:i/>
        </w:rPr>
        <w:t xml:space="preserve"> supra </w:t>
      </w:r>
      <w:r w:rsidRPr="00E95958">
        <w:t xml:space="preserve">note 537, at 96. </w:t>
      </w:r>
    </w:p>
  </w:endnote>
  <w:endnote w:id="544">
    <w:p w14:paraId="57484927"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Maxwell et al., Health Handbook</w:t>
      </w:r>
      <w:r w:rsidRPr="00E95958">
        <w:t xml:space="preserve">, </w:t>
      </w:r>
      <w:r w:rsidRPr="00E95958">
        <w:rPr>
          <w:i/>
        </w:rPr>
        <w:t>supra</w:t>
      </w:r>
      <w:r w:rsidRPr="00E95958">
        <w:t xml:space="preserve"> note 416, at 148.</w:t>
      </w:r>
    </w:p>
  </w:endnote>
  <w:endnote w:id="545">
    <w:p w14:paraId="0B2B543C"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Circle Curriculum</w:t>
      </w:r>
      <w:r w:rsidRPr="00E95958">
        <w:t xml:space="preserve">, </w:t>
      </w:r>
      <w:r w:rsidRPr="00E95958">
        <w:rPr>
          <w:smallCaps/>
        </w:rPr>
        <w:t>James Stanfield: K-12 Specialists in Special Education</w:t>
      </w:r>
      <w:r w:rsidRPr="00E95958">
        <w:t xml:space="preserve"> (2017),  </w:t>
      </w:r>
      <w:hyperlink r:id="rId170">
        <w:r w:rsidRPr="00E95958">
          <w:rPr>
            <w:rStyle w:val="Hyperlink"/>
          </w:rPr>
          <w:t>https://www.stanfield.com/product/circles-curriculum-bundle-w1037-3/</w:t>
        </w:r>
      </w:hyperlink>
      <w:r w:rsidRPr="00E95958">
        <w:t>.</w:t>
      </w:r>
    </w:p>
  </w:endnote>
  <w:endnote w:id="546">
    <w:p w14:paraId="184B26F7" w14:textId="77777777" w:rsidR="002772C9" w:rsidRPr="00E95958" w:rsidRDefault="002772C9" w:rsidP="00E95958">
      <w:pPr>
        <w:pStyle w:val="EndnoteText"/>
        <w:ind w:left="-36" w:hanging="324"/>
        <w:rPr>
          <w:highlight w:val="white"/>
        </w:rPr>
      </w:pPr>
      <w:r w:rsidRPr="00E95958">
        <w:rPr>
          <w:vertAlign w:val="superscript"/>
        </w:rPr>
        <w:endnoteRef/>
      </w:r>
      <w:r w:rsidRPr="00E95958">
        <w:t xml:space="preserve"> </w:t>
      </w:r>
      <w:r w:rsidRPr="00E95958">
        <w:rPr>
          <w:highlight w:val="white"/>
        </w:rPr>
        <w:t>Various Authors,</w:t>
      </w:r>
      <w:r w:rsidRPr="00E95958">
        <w:rPr>
          <w:smallCaps/>
          <w:highlight w:val="white"/>
        </w:rPr>
        <w:t xml:space="preserve"> Sexuality and Disability</w:t>
      </w:r>
      <w:r w:rsidRPr="00E95958">
        <w:rPr>
          <w:highlight w:val="white"/>
        </w:rPr>
        <w:t xml:space="preserve">, </w:t>
      </w:r>
      <w:hyperlink r:id="rId171">
        <w:r w:rsidRPr="00E95958">
          <w:rPr>
            <w:rStyle w:val="Hyperlink"/>
            <w:highlight w:val="white"/>
          </w:rPr>
          <w:t>http://blog.sexualityanddisability.org/</w:t>
        </w:r>
      </w:hyperlink>
      <w:r w:rsidRPr="00E95958">
        <w:rPr>
          <w:highlight w:val="white"/>
        </w:rPr>
        <w:t>.</w:t>
      </w:r>
    </w:p>
  </w:endnote>
  <w:endnote w:id="547">
    <w:p w14:paraId="162288CE" w14:textId="77777777" w:rsidR="002772C9" w:rsidRPr="00E95958" w:rsidRDefault="002772C9" w:rsidP="00E95958">
      <w:pPr>
        <w:pStyle w:val="EndnoteText"/>
        <w:ind w:left="-36" w:hanging="324"/>
        <w:rPr>
          <w:highlight w:val="white"/>
        </w:rPr>
      </w:pPr>
      <w:r w:rsidRPr="00E95958">
        <w:rPr>
          <w:vertAlign w:val="superscript"/>
        </w:rPr>
        <w:endnoteRef/>
      </w:r>
      <w:r w:rsidRPr="00E95958">
        <w:t xml:space="preserve"> </w:t>
      </w:r>
      <w:r w:rsidRPr="00E95958">
        <w:rPr>
          <w:highlight w:val="white"/>
        </w:rPr>
        <w:t>Japleen Pasricha, </w:t>
      </w:r>
      <w:r w:rsidRPr="00E95958">
        <w:rPr>
          <w:i/>
          <w:highlight w:val="white"/>
        </w:rPr>
        <w:t>Tactile Body Models, and Condom Training</w:t>
      </w:r>
      <w:r w:rsidRPr="00E95958">
        <w:rPr>
          <w:highlight w:val="white"/>
        </w:rPr>
        <w:t>,</w:t>
      </w:r>
      <w:r w:rsidRPr="00E95958">
        <w:rPr>
          <w:smallCaps/>
          <w:highlight w:val="white"/>
        </w:rPr>
        <w:t xml:space="preserve"> Sexuality and Disability</w:t>
      </w:r>
      <w:r w:rsidRPr="00E95958">
        <w:rPr>
          <w:highlight w:val="white"/>
        </w:rPr>
        <w:t xml:space="preserve"> (July 20, 2015), </w:t>
      </w:r>
      <w:hyperlink r:id="rId172">
        <w:r w:rsidRPr="00E95958">
          <w:rPr>
            <w:rStyle w:val="Hyperlink"/>
            <w:highlight w:val="white"/>
          </w:rPr>
          <w:t>http://workshop.sexualityanddisability.org/2015/07/handloom-tactile-body-models-and-condom-training/</w:t>
        </w:r>
      </w:hyperlink>
      <w:r w:rsidRPr="00E95958">
        <w:rPr>
          <w:highlight w:val="white"/>
        </w:rPr>
        <w:t>.</w:t>
      </w:r>
    </w:p>
  </w:endnote>
  <w:endnote w:id="548">
    <w:p w14:paraId="45E70DB8"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highlight w:val="white"/>
        </w:rPr>
        <w:t>"Decimelo a mi!"  </w:t>
      </w:r>
      <w:hyperlink r:id="rId173">
        <w:r w:rsidRPr="00E95958">
          <w:rPr>
            <w:rStyle w:val="Hyperlink"/>
            <w:highlight w:val="white"/>
          </w:rPr>
          <w:t>http://decimeloami.com/web/</w:t>
        </w:r>
      </w:hyperlink>
      <w:r w:rsidRPr="00E95958">
        <w:t>.</w:t>
      </w:r>
    </w:p>
  </w:endnote>
  <w:endnote w:id="549">
    <w:p w14:paraId="4C061F3D" w14:textId="77777777" w:rsidR="002772C9" w:rsidRPr="00E95958" w:rsidRDefault="002772C9" w:rsidP="00E95958">
      <w:pPr>
        <w:pStyle w:val="EndnoteText"/>
        <w:ind w:left="-36" w:hanging="324"/>
        <w:rPr>
          <w:b/>
        </w:rPr>
      </w:pPr>
      <w:r w:rsidRPr="00E95958">
        <w:rPr>
          <w:vertAlign w:val="superscript"/>
        </w:rPr>
        <w:endnoteRef/>
      </w:r>
      <w:r w:rsidRPr="00E95958">
        <w:rPr>
          <w:i/>
          <w:vertAlign w:val="superscript"/>
        </w:rPr>
        <w:t xml:space="preserve"> </w:t>
      </w:r>
      <w:r w:rsidRPr="00E95958">
        <w:rPr>
          <w:i/>
        </w:rPr>
        <w:t xml:space="preserve">See </w:t>
      </w:r>
      <w:r w:rsidRPr="00E95958">
        <w:rPr>
          <w:smallCaps/>
        </w:rPr>
        <w:t>UNFPA &amp; Promundo, Adolescent Boys and Young Men: Engaging Them as Supporters of Gender Equality and Health and Understanding their Vulnerabilities (</w:t>
      </w:r>
      <w:r w:rsidRPr="00E95958">
        <w:t>Mar. 2016</w:t>
      </w:r>
      <w:r w:rsidRPr="00E95958">
        <w:rPr>
          <w:smallCaps/>
        </w:rPr>
        <w:t xml:space="preserve">), </w:t>
      </w:r>
      <w:hyperlink r:id="rId174">
        <w:r w:rsidRPr="00E95958">
          <w:rPr>
            <w:rStyle w:val="Hyperlink"/>
          </w:rPr>
          <w:t>http://www.unfpa.org/publications/adolescent-boys-and-young-men</w:t>
        </w:r>
      </w:hyperlink>
      <w:r w:rsidRPr="00E95958">
        <w:t xml:space="preserve">; </w:t>
      </w:r>
      <w:r w:rsidRPr="00E95958">
        <w:rPr>
          <w:smallCaps/>
        </w:rPr>
        <w:t xml:space="preserve">UNFPA, Promundo &amp; MenEngage Alliance, Strengthening Civil Society Organizations and Government Partnerships to Scale Up Approaches Engaging Men and Boys for Gender Equality and Sexual and Reproductive Health and Rights: A Tool for Action </w:t>
      </w:r>
      <w:r w:rsidRPr="00E95958">
        <w:t xml:space="preserve">(Dec. 2016), </w:t>
      </w:r>
      <w:hyperlink r:id="rId175">
        <w:r w:rsidRPr="00E95958">
          <w:rPr>
            <w:rStyle w:val="Hyperlink"/>
          </w:rPr>
          <w:t>http://www.unfpa.org/publications/strengthening-civil-society-organizations-and-government-partnerships-scale-approaches</w:t>
        </w:r>
      </w:hyperlink>
      <w:r w:rsidRPr="00E95958">
        <w:t xml:space="preserve">. </w:t>
      </w:r>
    </w:p>
  </w:endnote>
  <w:endnote w:id="550">
    <w:p w14:paraId="21E9475F" w14:textId="77777777" w:rsidR="002772C9" w:rsidRPr="00E95958" w:rsidRDefault="002772C9" w:rsidP="00E95958">
      <w:pPr>
        <w:pStyle w:val="EndnoteText"/>
        <w:ind w:left="-36" w:hanging="324"/>
      </w:pPr>
      <w:r w:rsidRPr="00E95958">
        <w:rPr>
          <w:rStyle w:val="EndnoteReference"/>
        </w:rPr>
        <w:endnoteRef/>
      </w:r>
      <w:r w:rsidRPr="00E95958">
        <w:t xml:space="preserve"> Rashid Mehmood Khan, </w:t>
      </w:r>
      <w:r w:rsidRPr="00E95958">
        <w:rPr>
          <w:i/>
        </w:rPr>
        <w:t xml:space="preserve">Addressing SRHR Concerns Faced by Persons with Disabilities in Pakistan, </w:t>
      </w:r>
      <w:r w:rsidRPr="00E95958">
        <w:rPr>
          <w:smallCaps/>
        </w:rPr>
        <w:t xml:space="preserve">23 ARROW for Change 26, 27 </w:t>
      </w:r>
      <w:r w:rsidRPr="00E95958">
        <w:t xml:space="preserve">(Sivanathi Thanenthiran, Arpita Das, Mangala Namasivayam, Rupsa Mallik, Sai Jyothir Mai Racherla eds. 2017). </w:t>
      </w:r>
    </w:p>
  </w:endnote>
  <w:endnote w:id="551">
    <w:p w14:paraId="0D63C3AF" w14:textId="77777777" w:rsidR="002772C9" w:rsidRPr="00E95958" w:rsidRDefault="002772C9" w:rsidP="00E95958">
      <w:pPr>
        <w:pStyle w:val="EndnoteText"/>
        <w:ind w:left="-36" w:hanging="324"/>
      </w:pPr>
      <w:r w:rsidRPr="00E95958">
        <w:rPr>
          <w:rStyle w:val="EndnoteReference"/>
        </w:rPr>
        <w:endnoteRef/>
      </w:r>
      <w:r w:rsidRPr="00E95958">
        <w:t xml:space="preserve"> The Asian-Pacific Resource and Research Centre for Women &amp; CREA, </w:t>
      </w:r>
      <w:r w:rsidRPr="00E95958">
        <w:rPr>
          <w:i/>
        </w:rPr>
        <w:t>Women with Disabilities: Disabled, Sexual, Reproductive,</w:t>
      </w:r>
      <w:r w:rsidRPr="00E95958">
        <w:t xml:space="preserve"> </w:t>
      </w:r>
      <w:r w:rsidRPr="00E95958">
        <w:rPr>
          <w:smallCaps/>
        </w:rPr>
        <w:t xml:space="preserve">23 ARROW for Change 3 </w:t>
      </w:r>
      <w:r w:rsidRPr="00E95958">
        <w:t xml:space="preserve">(Sivanathi Thanenthiran, Arpita Das, Mangala Namasivayam, Rupsa Mallik, Sai Jyothir Mai Racherla eds. 2017), </w:t>
      </w:r>
      <w:hyperlink r:id="rId176" w:history="1">
        <w:r w:rsidRPr="00E95958">
          <w:rPr>
            <w:rStyle w:val="Hyperlink"/>
          </w:rPr>
          <w:t>http://arrow.org.my/publication/afc-disability-srhr/</w:t>
        </w:r>
      </w:hyperlink>
      <w:r w:rsidRPr="00E95958">
        <w:t xml:space="preserve">. </w:t>
      </w:r>
      <w:r w:rsidRPr="00E95958">
        <w:rPr>
          <w:i/>
        </w:rPr>
        <w:t xml:space="preserve">See also </w:t>
      </w:r>
      <w:r w:rsidRPr="00E95958">
        <w:rPr>
          <w:smallCaps/>
        </w:rPr>
        <w:t>Ketki Ranade, Anjali—Mental Health Rights Organization &amp; The Asian-Pacific Resource and Research Centre for Women, Sexual Rights of Women with Psychosocial Disabilities: Insights from India</w:t>
      </w:r>
      <w:r w:rsidRPr="00E95958">
        <w:t xml:space="preserve"> (2017), </w:t>
      </w:r>
      <w:r w:rsidRPr="00E95958">
        <w:rPr>
          <w:rStyle w:val="Hyperlink"/>
        </w:rPr>
        <w:t>http://arrow.org.my/wp-content/uploads/2017/12/TP-PsyDis-Web-Version.pdf</w:t>
      </w:r>
      <w:r w:rsidRPr="00E95958">
        <w:t>.</w:t>
      </w:r>
    </w:p>
  </w:endnote>
  <w:endnote w:id="552">
    <w:p w14:paraId="4756BE94"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The Healthy Bodies Toolkit</w:t>
      </w:r>
      <w:r w:rsidRPr="00E95958">
        <w:t xml:space="preserve">, </w:t>
      </w:r>
      <w:r w:rsidRPr="00E95958">
        <w:rPr>
          <w:smallCaps/>
        </w:rPr>
        <w:t>Vanderbilt Kennedy Center</w:t>
      </w:r>
      <w:r w:rsidRPr="00E95958">
        <w:t xml:space="preserve"> (June 2013),  </w:t>
      </w:r>
      <w:hyperlink r:id="rId177">
        <w:r w:rsidRPr="00E95958">
          <w:rPr>
            <w:rStyle w:val="Hyperlink"/>
          </w:rPr>
          <w:t>http://vkc.mc.vanderbilt.edu/healthybodies/index.html</w:t>
        </w:r>
      </w:hyperlink>
      <w:r w:rsidRPr="00E95958">
        <w:t>.</w:t>
      </w:r>
    </w:p>
  </w:endnote>
  <w:endnote w:id="553">
    <w:p w14:paraId="65DA21D5"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DiAnn L. Baxley &amp; Anna L. Zendell, Sexuality Across the Lifespan: Sexuality Education for Children and Adolescents with Developmental Disabilities. An Instructional Manual for Educators of Individuals with Developmental Disabilities</w:t>
      </w:r>
      <w:r w:rsidRPr="00E95958">
        <w:t xml:space="preserve"> (2011),  </w:t>
      </w:r>
      <w:hyperlink r:id="rId178">
        <w:r w:rsidRPr="00E95958">
          <w:rPr>
            <w:rStyle w:val="Hyperlink"/>
          </w:rPr>
          <w:t>http://www.fddc.org/sites/default/files/file/publications/Sexuality%20Guide-Educators-English.pdf</w:t>
        </w:r>
      </w:hyperlink>
      <w:r w:rsidRPr="00E95958">
        <w:t xml:space="preserve"> </w:t>
      </w:r>
    </w:p>
  </w:endnote>
  <w:endnote w:id="554">
    <w:p w14:paraId="7C50E20F"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Kirsty Liddiard, (S)exploring Disability: Intimacies, Sexualities, and Disabilities – A Research Summary</w:t>
      </w:r>
      <w:r w:rsidRPr="00E95958">
        <w:t xml:space="preserve"> 7-11, </w:t>
      </w:r>
      <w:r w:rsidRPr="00E95958">
        <w:rPr>
          <w:i/>
        </w:rPr>
        <w:t>available at</w:t>
      </w:r>
      <w:r w:rsidRPr="00E95958">
        <w:t xml:space="preserve"> </w:t>
      </w:r>
      <w:hyperlink r:id="rId179">
        <w:r w:rsidRPr="00E95958">
          <w:rPr>
            <w:rStyle w:val="Hyperlink"/>
          </w:rPr>
          <w:t>http://www2.warwick.ac.uk/fac/soc/sociology/staff/sypgbj/accessible_research_summary_second_draft_repaired.pdf</w:t>
        </w:r>
      </w:hyperlink>
      <w:r w:rsidRPr="00E95958">
        <w:t xml:space="preserve">. </w:t>
      </w:r>
    </w:p>
  </w:endnote>
  <w:endnote w:id="555">
    <w:p w14:paraId="45FD590D"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 xml:space="preserve">Liddiard, </w:t>
      </w:r>
      <w:r w:rsidRPr="00E95958">
        <w:rPr>
          <w:i/>
        </w:rPr>
        <w:t>supra</w:t>
      </w:r>
      <w:r w:rsidRPr="00E95958">
        <w:t xml:space="preserve"> note 553, at 7-11. </w:t>
      </w:r>
    </w:p>
  </w:endnote>
  <w:endnote w:id="556">
    <w:p w14:paraId="234E2E74" w14:textId="77777777" w:rsidR="002772C9" w:rsidRPr="00E95958" w:rsidRDefault="002772C9" w:rsidP="00E95958">
      <w:pPr>
        <w:pStyle w:val="EndnoteText"/>
        <w:ind w:left="-36" w:hanging="324"/>
      </w:pPr>
      <w:r w:rsidRPr="00E95958">
        <w:rPr>
          <w:rStyle w:val="EndnoteReference"/>
        </w:rPr>
        <w:endnoteRef/>
      </w:r>
      <w:r w:rsidRPr="00E95958">
        <w:t xml:space="preserve"> UNESCO, CSE Technical Guidance Revised</w:t>
      </w:r>
      <w:r w:rsidRPr="00E95958">
        <w:rPr>
          <w:i/>
        </w:rPr>
        <w:t xml:space="preserve"> supra </w:t>
      </w:r>
      <w:r w:rsidRPr="00E95958">
        <w:t xml:space="preserve">note 537, at 22-24. </w:t>
      </w:r>
    </w:p>
  </w:endnote>
  <w:endnote w:id="557">
    <w:p w14:paraId="0958CCBE" w14:textId="77777777" w:rsidR="002772C9" w:rsidRPr="00E95958" w:rsidRDefault="002772C9" w:rsidP="00E95958">
      <w:pPr>
        <w:pStyle w:val="EndnoteText"/>
        <w:ind w:left="-36" w:hanging="324"/>
      </w:pPr>
      <w:r w:rsidRPr="00E95958">
        <w:rPr>
          <w:rStyle w:val="EndnoteReference"/>
        </w:rPr>
        <w:endnoteRef/>
      </w:r>
      <w:r w:rsidRPr="00E95958">
        <w:t xml:space="preserve"> UNESCO, CSE Technical Guidance Revised</w:t>
      </w:r>
      <w:r w:rsidRPr="00E95958">
        <w:rPr>
          <w:i/>
        </w:rPr>
        <w:t xml:space="preserve"> supra </w:t>
      </w:r>
      <w:r w:rsidRPr="00E95958">
        <w:t xml:space="preserve">note 537, at 24. </w:t>
      </w:r>
    </w:p>
  </w:endnote>
  <w:endnote w:id="558">
    <w:p w14:paraId="2EB35C22"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UNESCO, CSE Technical Guidance Revised</w:t>
      </w:r>
      <w:r w:rsidRPr="00E95958">
        <w:rPr>
          <w:i/>
        </w:rPr>
        <w:t xml:space="preserve"> supra </w:t>
      </w:r>
      <w:r w:rsidRPr="00E95958">
        <w:t xml:space="preserve">note 537, at 19-20. </w:t>
      </w:r>
    </w:p>
  </w:endnote>
  <w:endnote w:id="559">
    <w:p w14:paraId="31E2464A" w14:textId="77777777" w:rsidR="002772C9" w:rsidRPr="00E95958" w:rsidRDefault="002772C9" w:rsidP="00E95958">
      <w:pPr>
        <w:pStyle w:val="EndnoteText"/>
        <w:ind w:left="-36" w:hanging="324"/>
      </w:pPr>
      <w:r w:rsidRPr="00E95958">
        <w:rPr>
          <w:vertAlign w:val="superscript"/>
        </w:rPr>
        <w:endnoteRef/>
      </w:r>
      <w:r w:rsidRPr="00E95958">
        <w:rPr>
          <w:smallCaps/>
        </w:rPr>
        <w:t>UNFPA, UNFPA Operational Guidance for Comprehensive Sexuality Education: A Focus on Human Rights and Gender</w:t>
      </w:r>
      <w:r w:rsidRPr="00E95958">
        <w:rPr>
          <w:i/>
        </w:rPr>
        <w:t xml:space="preserve"> </w:t>
      </w:r>
      <w:r w:rsidRPr="00E95958">
        <w:t xml:space="preserve">7(2014), </w:t>
      </w:r>
      <w:hyperlink r:id="rId180" w:history="1">
        <w:r w:rsidRPr="00E95958">
          <w:rPr>
            <w:rStyle w:val="Hyperlink"/>
            <w:rFonts w:cs="Times New Roman"/>
          </w:rPr>
          <w:t>http://www.unfpa.org/sites/default/files/pub-pdf/UNFPA_OperationalGuidance_WEB3.pdf</w:t>
        </w:r>
      </w:hyperlink>
      <w:r w:rsidRPr="00E95958">
        <w:rPr>
          <w:rStyle w:val="Hyperlink"/>
          <w:rFonts w:cs="Times New Roman"/>
        </w:rPr>
        <w:t xml:space="preserve"> </w:t>
      </w:r>
      <w:r w:rsidRPr="00E95958">
        <w:t xml:space="preserve">[hereinafter </w:t>
      </w:r>
      <w:r w:rsidRPr="00E95958">
        <w:rPr>
          <w:smallCaps/>
        </w:rPr>
        <w:t>UNFPA, CSE Operational Guidance</w:t>
      </w:r>
      <w:r w:rsidRPr="00E95958">
        <w:t xml:space="preserve">].  </w:t>
      </w:r>
    </w:p>
  </w:endnote>
  <w:endnote w:id="560">
    <w:p w14:paraId="50AF58BA"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 xml:space="preserve">UNFPA, CSE Operational Guidance, </w:t>
      </w:r>
      <w:r w:rsidRPr="00E95958">
        <w:rPr>
          <w:i/>
        </w:rPr>
        <w:t>supra</w:t>
      </w:r>
      <w:r w:rsidRPr="00E95958">
        <w:t xml:space="preserve"> note 558, at 11.</w:t>
      </w:r>
    </w:p>
  </w:endnote>
  <w:endnote w:id="561">
    <w:p w14:paraId="71EBBB39"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 xml:space="preserve">UNFPA, CSE Operational Guidance, </w:t>
      </w:r>
      <w:r w:rsidRPr="00E95958">
        <w:rPr>
          <w:i/>
        </w:rPr>
        <w:t>supra</w:t>
      </w:r>
      <w:r w:rsidRPr="00E95958">
        <w:t xml:space="preserve"> note 558, at 11.</w:t>
      </w:r>
    </w:p>
  </w:endnote>
  <w:endnote w:id="562">
    <w:p w14:paraId="7B7A69DF"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 xml:space="preserve">UNFPA, CSE Operational Guidance, </w:t>
      </w:r>
      <w:r w:rsidRPr="00E95958">
        <w:rPr>
          <w:i/>
        </w:rPr>
        <w:t>supra</w:t>
      </w:r>
      <w:r w:rsidRPr="00E95958">
        <w:t xml:space="preserve"> note 558, at 12.</w:t>
      </w:r>
    </w:p>
  </w:endnote>
  <w:endnote w:id="563">
    <w:p w14:paraId="223C8D12" w14:textId="77777777" w:rsidR="002772C9" w:rsidRPr="00E95958" w:rsidRDefault="002772C9" w:rsidP="00E95958">
      <w:pPr>
        <w:pStyle w:val="EndnoteText"/>
        <w:ind w:left="-36" w:hanging="324"/>
      </w:pPr>
      <w:r w:rsidRPr="00E95958">
        <w:rPr>
          <w:rStyle w:val="EndnoteReference"/>
        </w:rPr>
        <w:endnoteRef/>
      </w:r>
      <w:r w:rsidRPr="00E95958">
        <w:t xml:space="preserve"> UNESCO, CSE Technical Guidance Revised</w:t>
      </w:r>
      <w:r w:rsidRPr="00E95958">
        <w:rPr>
          <w:i/>
        </w:rPr>
        <w:t xml:space="preserve"> supra </w:t>
      </w:r>
      <w:r w:rsidRPr="00E95958">
        <w:t xml:space="preserve">note 537. </w:t>
      </w:r>
    </w:p>
  </w:endnote>
  <w:endnote w:id="564">
    <w:p w14:paraId="07FCA52A" w14:textId="77777777" w:rsidR="002772C9" w:rsidRPr="00E95958" w:rsidRDefault="002772C9" w:rsidP="00E95958">
      <w:pPr>
        <w:pStyle w:val="EndnoteText"/>
        <w:ind w:left="-36" w:hanging="324"/>
      </w:pPr>
      <w:r w:rsidRPr="00E95958">
        <w:rPr>
          <w:rStyle w:val="EndnoteReference"/>
        </w:rPr>
        <w:endnoteRef/>
      </w:r>
      <w:r w:rsidRPr="00E95958">
        <w:t xml:space="preserve"> UNESCO, CSE Technical Guidance Revised</w:t>
      </w:r>
      <w:r w:rsidRPr="00E95958">
        <w:rPr>
          <w:i/>
        </w:rPr>
        <w:t xml:space="preserve"> supra </w:t>
      </w:r>
      <w:r w:rsidRPr="00E95958">
        <w:t>note 537, at 12.</w:t>
      </w:r>
    </w:p>
  </w:endnote>
  <w:endnote w:id="565">
    <w:p w14:paraId="0258E386"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 xml:space="preserve">UNFPA, CSE Operational Guidance, </w:t>
      </w:r>
      <w:r w:rsidRPr="00E95958">
        <w:rPr>
          <w:i/>
        </w:rPr>
        <w:t>supra</w:t>
      </w:r>
      <w:r w:rsidRPr="00E95958">
        <w:t xml:space="preserve"> note 558, at 13.</w:t>
      </w:r>
    </w:p>
  </w:endnote>
  <w:endnote w:id="566">
    <w:p w14:paraId="271D460D"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WHO, Consolidated Guideline on Sexual and Reproductive Health and Rights of Women Living with HIV: Executive Summary</w:t>
      </w:r>
      <w:r w:rsidRPr="00E95958">
        <w:t xml:space="preserve"> (2017), </w:t>
      </w:r>
      <w:hyperlink r:id="rId181">
        <w:r w:rsidRPr="00E95958">
          <w:rPr>
            <w:rStyle w:val="Hyperlink"/>
          </w:rPr>
          <w:t>http://apps.who.int/iris/bitstream/10665/254634/1/WHO-RHR-17.03-eng.pdf?ua=1</w:t>
        </w:r>
      </w:hyperlink>
      <w:r w:rsidRPr="00E95958">
        <w:t xml:space="preserve"> [hereinafter WHO, </w:t>
      </w:r>
      <w:r w:rsidRPr="00E95958">
        <w:rPr>
          <w:smallCaps/>
        </w:rPr>
        <w:t xml:space="preserve">Consolidated Guideline on SRHR of Women Living with HIV]. </w:t>
      </w:r>
    </w:p>
  </w:endnote>
  <w:endnote w:id="567">
    <w:p w14:paraId="2915274F" w14:textId="77777777" w:rsidR="002772C9" w:rsidRPr="00E95958" w:rsidRDefault="002772C9" w:rsidP="00E95958">
      <w:pPr>
        <w:pStyle w:val="EndnoteText"/>
        <w:ind w:left="-36" w:hanging="324"/>
      </w:pPr>
      <w:r w:rsidRPr="00E95958">
        <w:rPr>
          <w:vertAlign w:val="superscript"/>
        </w:rPr>
        <w:endnoteRef/>
      </w:r>
      <w:r w:rsidRPr="00E95958">
        <w:t xml:space="preserve"> Kaylee Rampage, Sexual Health Education for Adolescents with Intellectual Disabilities: A Literature Review 21-24 (Sept. 2015) (unpublished report) (on file with author). </w:t>
      </w:r>
    </w:p>
  </w:endnote>
  <w:endnote w:id="568">
    <w:p w14:paraId="2B91D03A"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 xml:space="preserve">See </w:t>
      </w:r>
      <w:r w:rsidRPr="00E95958">
        <w:t>Programme of Action of the International Conference on Population and Development, paras. 7.6, 13.14(b), U.N. Doc. A/ CONF.171/13/Rev.1 (Sept. 5-13, 1994) [hereinafter ICPD Programme of Action];</w:t>
      </w:r>
      <w:r w:rsidRPr="00E95958">
        <w:rPr>
          <w:smallCaps/>
        </w:rPr>
        <w:t xml:space="preserve"> UNFPA, Sexual and Reproductive Health for All: Reducing Poverty, Advancing Development and Protecting Human Rights</w:t>
      </w:r>
      <w:r w:rsidRPr="00E95958">
        <w:rPr>
          <w:i/>
        </w:rPr>
        <w:t xml:space="preserve"> </w:t>
      </w:r>
      <w:r w:rsidRPr="00E95958">
        <w:t>(2010),</w:t>
      </w:r>
      <w:r w:rsidRPr="00E95958">
        <w:rPr>
          <w:i/>
        </w:rPr>
        <w:t xml:space="preserve"> </w:t>
      </w:r>
      <w:hyperlink r:id="rId182">
        <w:r w:rsidRPr="00E95958">
          <w:rPr>
            <w:rStyle w:val="Hyperlink"/>
          </w:rPr>
          <w:t>https://www.unfpa.org/sites/default/files/pub-pdf/uarh_report_2010.pdf</w:t>
        </w:r>
      </w:hyperlink>
      <w:r w:rsidRPr="00E95958">
        <w:t>.</w:t>
      </w:r>
    </w:p>
  </w:endnote>
  <w:endnote w:id="569">
    <w:p w14:paraId="13EE0256"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Maxwell et al., Health Handbook</w:t>
      </w:r>
      <w:r w:rsidRPr="00E95958">
        <w:t xml:space="preserve">, </w:t>
      </w:r>
      <w:r w:rsidRPr="00E95958">
        <w:rPr>
          <w:i/>
        </w:rPr>
        <w:t>supra</w:t>
      </w:r>
      <w:r w:rsidRPr="00E95958">
        <w:t xml:space="preserve"> note 416, at 157-168. </w:t>
      </w:r>
    </w:p>
  </w:endnote>
  <w:endnote w:id="570">
    <w:p w14:paraId="2CDC58BD"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UNFPA, Make It Matter: 10 Key Advocacy Messages to Prevent HIV in Girls and Young Women 34 (</w:t>
      </w:r>
      <w:r w:rsidRPr="00E95958">
        <w:t xml:space="preserve">2007), </w:t>
      </w:r>
      <w:hyperlink r:id="rId183">
        <w:r w:rsidRPr="00E95958">
          <w:rPr>
            <w:rStyle w:val="Hyperlink"/>
          </w:rPr>
          <w:t>http://www.unfpa.org/publications/make-it-matter</w:t>
        </w:r>
      </w:hyperlink>
      <w:r w:rsidRPr="00E95958">
        <w:t xml:space="preserve"> [hereinafter </w:t>
      </w:r>
      <w:r w:rsidRPr="00E95958">
        <w:rPr>
          <w:smallCaps/>
        </w:rPr>
        <w:t xml:space="preserve">UNFPA, Make It Matter]. </w:t>
      </w:r>
    </w:p>
  </w:endnote>
  <w:endnote w:id="571">
    <w:p w14:paraId="1C4506AE"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UNAIDS, Agenda for Zero-Discrimination in Health Care</w:t>
      </w:r>
      <w:r w:rsidRPr="00E95958">
        <w:t xml:space="preserve"> 7 (2016), </w:t>
      </w:r>
      <w:hyperlink r:id="rId184">
        <w:r w:rsidRPr="00E95958">
          <w:rPr>
            <w:rStyle w:val="Hyperlink"/>
          </w:rPr>
          <w:t>http://www.unaids.org/sites/default/files/media_asset/Agenda-zero-discrimination-healthcare_en.pdf</w:t>
        </w:r>
      </w:hyperlink>
      <w:r w:rsidRPr="00E95958">
        <w:t>.</w:t>
      </w:r>
    </w:p>
  </w:endnote>
  <w:endnote w:id="572">
    <w:p w14:paraId="1F1E07A5"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WHO, Global Health Sector Strategy on Sexually Transmitted Infections, 2016-2021: Towards Ending STIs</w:t>
      </w:r>
      <w:r w:rsidRPr="00E95958">
        <w:t xml:space="preserve"> 21 (June 2016), </w:t>
      </w:r>
      <w:hyperlink r:id="rId185">
        <w:r w:rsidRPr="00E95958">
          <w:rPr>
            <w:rStyle w:val="Hyperlink"/>
          </w:rPr>
          <w:t>http://apps.who.int/iris/bitstream/10665/246296/1/WHO-RHR-16.09-eng.pdf?ua=1</w:t>
        </w:r>
      </w:hyperlink>
      <w:r w:rsidRPr="00E95958">
        <w:t xml:space="preserve">. </w:t>
      </w:r>
    </w:p>
  </w:endnote>
  <w:endnote w:id="573">
    <w:p w14:paraId="5E1814E3" w14:textId="77777777" w:rsidR="002772C9" w:rsidRPr="00E95958" w:rsidRDefault="002772C9" w:rsidP="00E95958">
      <w:pPr>
        <w:pStyle w:val="EndnoteText"/>
        <w:ind w:left="-36" w:hanging="324"/>
      </w:pPr>
      <w:r w:rsidRPr="00E95958">
        <w:rPr>
          <w:vertAlign w:val="superscript"/>
        </w:rPr>
        <w:endnoteRef/>
      </w:r>
      <w:r w:rsidRPr="00E95958">
        <w:rPr>
          <w:smallCaps/>
        </w:rPr>
        <w:t xml:space="preserve"> WHO, Global Health Sector Strategy on Sexually Transmitted Infections, </w:t>
      </w:r>
      <w:r w:rsidRPr="00E95958">
        <w:rPr>
          <w:i/>
        </w:rPr>
        <w:t xml:space="preserve">supra </w:t>
      </w:r>
      <w:r w:rsidRPr="00E95958">
        <w:t xml:space="preserve">note 571, at 21. </w:t>
      </w:r>
    </w:p>
  </w:endnote>
  <w:endnote w:id="574">
    <w:p w14:paraId="5CE64166" w14:textId="77777777" w:rsidR="002772C9" w:rsidRPr="00E95958" w:rsidRDefault="002772C9" w:rsidP="00E95958">
      <w:pPr>
        <w:pStyle w:val="EndnoteText"/>
        <w:ind w:left="-36" w:hanging="324"/>
      </w:pPr>
      <w:r w:rsidRPr="00E95958">
        <w:rPr>
          <w:vertAlign w:val="superscript"/>
        </w:rPr>
        <w:endnoteRef/>
      </w:r>
      <w:r w:rsidRPr="00E95958">
        <w:rPr>
          <w:smallCaps/>
        </w:rPr>
        <w:t xml:space="preserve"> </w:t>
      </w:r>
      <w:r w:rsidRPr="00E95958">
        <w:rPr>
          <w:i/>
        </w:rPr>
        <w:t xml:space="preserve">See </w:t>
      </w:r>
      <w:r w:rsidRPr="00E95958">
        <w:rPr>
          <w:smallCaps/>
        </w:rPr>
        <w:t xml:space="preserve">Baxley &amp; Zendell, </w:t>
      </w:r>
      <w:r w:rsidRPr="00E95958">
        <w:rPr>
          <w:i/>
        </w:rPr>
        <w:t>supra</w:t>
      </w:r>
      <w:r w:rsidRPr="00E95958">
        <w:t xml:space="preserve"> note 552, at 72-75.</w:t>
      </w:r>
    </w:p>
  </w:endnote>
  <w:endnote w:id="575">
    <w:p w14:paraId="0867C657" w14:textId="77777777" w:rsidR="002772C9" w:rsidRPr="00E95958" w:rsidRDefault="002772C9" w:rsidP="00E95958">
      <w:pPr>
        <w:pStyle w:val="EndnoteText"/>
        <w:ind w:left="-36" w:hanging="324"/>
      </w:pPr>
      <w:r w:rsidRPr="00E95958">
        <w:rPr>
          <w:vertAlign w:val="superscript"/>
        </w:rPr>
        <w:endnoteRef/>
      </w:r>
      <w:r w:rsidRPr="00E95958">
        <w:rPr>
          <w:i/>
        </w:rPr>
        <w:t xml:space="preserve"> See</w:t>
      </w:r>
      <w:r w:rsidRPr="00E95958">
        <w:t xml:space="preserve"> </w:t>
      </w:r>
      <w:r w:rsidRPr="00E95958">
        <w:rPr>
          <w:smallCaps/>
        </w:rPr>
        <w:t>Maxwell et al., Health Handbook</w:t>
      </w:r>
      <w:r w:rsidRPr="00E95958">
        <w:t xml:space="preserve">, </w:t>
      </w:r>
      <w:r w:rsidRPr="00E95958">
        <w:rPr>
          <w:i/>
        </w:rPr>
        <w:t>supra</w:t>
      </w:r>
      <w:r w:rsidRPr="00E95958">
        <w:t xml:space="preserve"> note 416, at </w:t>
      </w:r>
      <w:r w:rsidRPr="00E95958">
        <w:rPr>
          <w:smallCaps/>
        </w:rPr>
        <w:t xml:space="preserve">157-184. </w:t>
      </w:r>
    </w:p>
  </w:endnote>
  <w:endnote w:id="576">
    <w:p w14:paraId="1030BABF"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UNFPA, Make It Matter - 10 Key Advocacy Messages to Prevent HIV in Girls and Young Women</w:t>
      </w:r>
      <w:r w:rsidRPr="00E95958">
        <w:t xml:space="preserve">, </w:t>
      </w:r>
      <w:r w:rsidRPr="00E95958">
        <w:rPr>
          <w:i/>
        </w:rPr>
        <w:t>supra</w:t>
      </w:r>
      <w:r w:rsidRPr="00E95958">
        <w:t xml:space="preserve"> note 569, at 14-15.</w:t>
      </w:r>
    </w:p>
  </w:endnote>
  <w:endnote w:id="577">
    <w:p w14:paraId="3878DB46" w14:textId="77777777" w:rsidR="002772C9" w:rsidRPr="00E95958" w:rsidRDefault="002772C9" w:rsidP="00E95958">
      <w:pPr>
        <w:pStyle w:val="EndnoteText"/>
        <w:ind w:left="-36" w:hanging="324"/>
        <w:rPr>
          <w:smallCaps/>
        </w:rPr>
      </w:pPr>
      <w:r w:rsidRPr="00E95958">
        <w:rPr>
          <w:vertAlign w:val="superscript"/>
        </w:rPr>
        <w:endnoteRef/>
      </w:r>
      <w:r w:rsidRPr="00E95958">
        <w:t xml:space="preserve"> </w:t>
      </w:r>
      <w:r w:rsidRPr="00E95958">
        <w:rPr>
          <w:smallCaps/>
        </w:rPr>
        <w:t>WHO, Comprehensive Cervical Cancer Control: A Guide to Essential Practice</w:t>
      </w:r>
      <w:r w:rsidRPr="00E95958">
        <w:t xml:space="preserve"> 78 (2</w:t>
      </w:r>
      <w:r w:rsidRPr="00E95958">
        <w:rPr>
          <w:vertAlign w:val="superscript"/>
        </w:rPr>
        <w:t>nd</w:t>
      </w:r>
      <w:r w:rsidRPr="00E95958">
        <w:t xml:space="preserve"> ed., Dec. 2014),</w:t>
      </w:r>
      <w:r w:rsidRPr="00E95958">
        <w:rPr>
          <w:smallCaps/>
        </w:rPr>
        <w:t xml:space="preserve"> </w:t>
      </w:r>
      <w:hyperlink r:id="rId186">
        <w:r w:rsidRPr="00E95958">
          <w:rPr>
            <w:rStyle w:val="Hyperlink"/>
          </w:rPr>
          <w:t>http://www.who.int/reproductivehealth/publications/cancers/cervical-cancer-guide/en/</w:t>
        </w:r>
      </w:hyperlink>
      <w:r w:rsidRPr="00E95958">
        <w:t>.</w:t>
      </w:r>
    </w:p>
  </w:endnote>
  <w:endnote w:id="578">
    <w:p w14:paraId="0F80D484" w14:textId="696EF37F"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 xml:space="preserve">WHO, Consolidated guideline on sexual and reproductive health and rights of women living with HIV </w:t>
      </w:r>
      <w:r w:rsidRPr="00E95958">
        <w:t xml:space="preserve">xvii (2017), </w:t>
      </w:r>
      <w:hyperlink r:id="rId187" w:history="1">
        <w:r w:rsidRPr="00E95958">
          <w:rPr>
            <w:rStyle w:val="Hyperlink"/>
          </w:rPr>
          <w:t>http://www.who.int/reproductivehealth/publications/gender_rights/Ex-Summ-srhr-women-hiv/en/</w:t>
        </w:r>
      </w:hyperlink>
      <w:r w:rsidRPr="00E95958">
        <w:t>.</w:t>
      </w:r>
    </w:p>
  </w:endnote>
  <w:endnote w:id="579">
    <w:p w14:paraId="5C657563"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See</w:t>
      </w:r>
      <w:r w:rsidRPr="00E95958">
        <w:t xml:space="preserve"> </w:t>
      </w:r>
      <w:r w:rsidRPr="00E95958">
        <w:rPr>
          <w:smallCaps/>
        </w:rPr>
        <w:t>Maxwell et al., Health Handbook</w:t>
      </w:r>
      <w:r w:rsidRPr="00E95958">
        <w:t xml:space="preserve">, </w:t>
      </w:r>
      <w:r w:rsidRPr="00E95958">
        <w:rPr>
          <w:i/>
        </w:rPr>
        <w:t>supra</w:t>
      </w:r>
      <w:r w:rsidRPr="00E95958">
        <w:t xml:space="preserve"> note 416, at 183. </w:t>
      </w:r>
    </w:p>
  </w:endnote>
  <w:endnote w:id="580">
    <w:p w14:paraId="3B5541F7"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See</w:t>
      </w:r>
      <w:r w:rsidRPr="00E95958">
        <w:t xml:space="preserve"> </w:t>
      </w:r>
      <w:r w:rsidRPr="00E95958">
        <w:rPr>
          <w:smallCaps/>
        </w:rPr>
        <w:t>Maxwell et al., Health Handbook</w:t>
      </w:r>
      <w:r w:rsidRPr="00E95958">
        <w:t xml:space="preserve">, </w:t>
      </w:r>
      <w:r w:rsidRPr="00E95958">
        <w:rPr>
          <w:i/>
        </w:rPr>
        <w:t>supra</w:t>
      </w:r>
      <w:r w:rsidRPr="00E95958">
        <w:t xml:space="preserve"> note 416, at 184.</w:t>
      </w:r>
    </w:p>
  </w:endnote>
  <w:endnote w:id="581">
    <w:p w14:paraId="50D062E4"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 xml:space="preserve">See </w:t>
      </w:r>
      <w:r w:rsidRPr="00E95958">
        <w:rPr>
          <w:smallCaps/>
        </w:rPr>
        <w:t>Maxwell et al., Health Handbook</w:t>
      </w:r>
      <w:r w:rsidRPr="00E95958">
        <w:t xml:space="preserve">, </w:t>
      </w:r>
      <w:r w:rsidRPr="00E95958">
        <w:rPr>
          <w:i/>
        </w:rPr>
        <w:t>supra</w:t>
      </w:r>
      <w:r w:rsidRPr="00E95958">
        <w:t xml:space="preserve"> note 416, at 183. </w:t>
      </w:r>
    </w:p>
  </w:endnote>
  <w:endnote w:id="582">
    <w:p w14:paraId="656EAD93" w14:textId="77777777" w:rsidR="002772C9" w:rsidRPr="00E95958" w:rsidRDefault="002772C9" w:rsidP="00E95958">
      <w:pPr>
        <w:pStyle w:val="EndnoteText"/>
        <w:ind w:left="-36" w:hanging="324"/>
      </w:pPr>
      <w:r w:rsidRPr="00E95958">
        <w:rPr>
          <w:vertAlign w:val="superscript"/>
        </w:rPr>
        <w:endnoteRef/>
      </w:r>
      <w:r w:rsidRPr="00E95958">
        <w:rPr>
          <w:i/>
        </w:rPr>
        <w:t xml:space="preserve"> </w:t>
      </w:r>
      <w:r w:rsidRPr="00E95958">
        <w:t xml:space="preserve">WHO, </w:t>
      </w:r>
      <w:r w:rsidRPr="00E95958">
        <w:rPr>
          <w:smallCaps/>
        </w:rPr>
        <w:t xml:space="preserve">Consolidated Guideline on SRHR of Women Living with HIV, </w:t>
      </w:r>
      <w:r w:rsidRPr="00E95958">
        <w:rPr>
          <w:i/>
        </w:rPr>
        <w:t>supra</w:t>
      </w:r>
      <w:r w:rsidRPr="00E95958">
        <w:t xml:space="preserve"> note 565, at 24-30.</w:t>
      </w:r>
    </w:p>
  </w:endnote>
  <w:endnote w:id="583">
    <w:p w14:paraId="6205DE0E"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Interagency Task Team (IATT), WHO, UNFPA, UNICEF, Compendium of Case Studies: HIV and Sexual and Reproductive Health Programming: Innovative Approaches to Integrated Service Delivery</w:t>
      </w:r>
      <w:r w:rsidRPr="00E95958">
        <w:t xml:space="preserve"> 12 (2016), </w:t>
      </w:r>
      <w:hyperlink r:id="rId188">
        <w:r w:rsidRPr="00E95958">
          <w:rPr>
            <w:rStyle w:val="Hyperlink"/>
          </w:rPr>
          <w:t>http://www.unfpa.org/sites/default/files/pub-pdf/HIV_SRH_Programming_Integrated_Service_Delivery_Case_Studies_1.pdf</w:t>
        </w:r>
      </w:hyperlink>
      <w:r w:rsidRPr="00E95958">
        <w:t xml:space="preserve">.  </w:t>
      </w:r>
    </w:p>
  </w:endnote>
  <w:endnote w:id="584">
    <w:p w14:paraId="1624B061" w14:textId="77777777" w:rsidR="002772C9" w:rsidRPr="00E95958" w:rsidRDefault="002772C9" w:rsidP="00E95958">
      <w:pPr>
        <w:pStyle w:val="EndnoteText"/>
        <w:ind w:left="-36" w:hanging="324"/>
        <w:rPr>
          <w:smallCaps/>
        </w:rPr>
      </w:pPr>
      <w:r w:rsidRPr="00E95958">
        <w:rPr>
          <w:rStyle w:val="EndnoteReference"/>
        </w:rPr>
        <w:endnoteRef/>
      </w:r>
      <w:r w:rsidRPr="00E95958">
        <w:t xml:space="preserve"> </w:t>
      </w:r>
      <w:r w:rsidRPr="00E95958">
        <w:rPr>
          <w:smallCaps/>
        </w:rPr>
        <w:t xml:space="preserve">WHO, Strengthening Health Systems to Respond to Women Subjected to Intimate Partner Violence or Sexual Violence: A Manual for Health Managers (2017), </w:t>
      </w:r>
      <w:hyperlink r:id="rId189" w:history="1">
        <w:r w:rsidRPr="00E95958">
          <w:rPr>
            <w:rStyle w:val="Hyperlink"/>
          </w:rPr>
          <w:t>http://apps.who.int/iris/bitstream/handle/10665/259489/9789241513005-eng.pdf?sequence=1</w:t>
        </w:r>
      </w:hyperlink>
      <w:r w:rsidRPr="00E95958">
        <w:rPr>
          <w:rStyle w:val="Hyperlink"/>
        </w:rPr>
        <w:t>.</w:t>
      </w:r>
      <w:r w:rsidRPr="00E95958">
        <w:rPr>
          <w:smallCaps/>
        </w:rPr>
        <w:t xml:space="preserve"> </w:t>
      </w:r>
    </w:p>
  </w:endnote>
  <w:endnote w:id="585">
    <w:p w14:paraId="188F454B"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 xml:space="preserve">See </w:t>
      </w:r>
      <w:r w:rsidRPr="00E95958">
        <w:rPr>
          <w:smallCaps/>
        </w:rPr>
        <w:t>Maxwell et al., Health Handbook</w:t>
      </w:r>
      <w:r w:rsidRPr="00E95958">
        <w:t xml:space="preserve">, </w:t>
      </w:r>
      <w:r w:rsidRPr="00E95958">
        <w:rPr>
          <w:i/>
        </w:rPr>
        <w:t>supra</w:t>
      </w:r>
      <w:r w:rsidRPr="00E95958">
        <w:t xml:space="preserve"> note 416, at 299-304</w:t>
      </w:r>
      <w:r w:rsidRPr="00E95958">
        <w:rPr>
          <w:smallCaps/>
        </w:rPr>
        <w:t xml:space="preserve">; </w:t>
      </w:r>
      <w:r w:rsidRPr="00E95958">
        <w:t xml:space="preserve">Nora E. Groce &amp; Reshama Trasi, </w:t>
      </w:r>
      <w:r w:rsidRPr="00E95958">
        <w:rPr>
          <w:i/>
        </w:rPr>
        <w:t>Rape of Individuals with Disability: AIDS and the Folk Belief of Virgin Cleansing</w:t>
      </w:r>
      <w:r w:rsidRPr="00E95958">
        <w:t xml:space="preserve">, 363 </w:t>
      </w:r>
      <w:r w:rsidRPr="00E95958">
        <w:rPr>
          <w:smallCaps/>
        </w:rPr>
        <w:t>The Lancet</w:t>
      </w:r>
      <w:r w:rsidRPr="00E95958">
        <w:t xml:space="preserve"> 1663, 1663 (May 22, 2004). </w:t>
      </w:r>
    </w:p>
  </w:endnote>
  <w:endnote w:id="586">
    <w:p w14:paraId="4B620FBC" w14:textId="77777777" w:rsidR="002772C9" w:rsidRPr="00E95958" w:rsidRDefault="002772C9" w:rsidP="00E95958">
      <w:pPr>
        <w:pStyle w:val="EndnoteText"/>
        <w:ind w:left="-36" w:hanging="324"/>
      </w:pPr>
      <w:r w:rsidRPr="00E95958">
        <w:rPr>
          <w:vertAlign w:val="superscript"/>
        </w:rPr>
        <w:endnoteRef/>
      </w:r>
      <w:r w:rsidRPr="00E95958">
        <w:t xml:space="preserve"> CRPD, </w:t>
      </w:r>
      <w:r w:rsidRPr="00E95958">
        <w:rPr>
          <w:i/>
        </w:rPr>
        <w:t xml:space="preserve">supra </w:t>
      </w:r>
      <w:r w:rsidRPr="00E95958">
        <w:t>note 429, at art. 25.</w:t>
      </w:r>
    </w:p>
  </w:endnote>
  <w:endnote w:id="587">
    <w:p w14:paraId="0C026FB3" w14:textId="77777777" w:rsidR="002772C9" w:rsidRPr="00E95958" w:rsidRDefault="002772C9" w:rsidP="00E95958">
      <w:pPr>
        <w:pStyle w:val="EndnoteText"/>
        <w:ind w:left="-36" w:hanging="324"/>
        <w:rPr>
          <w:smallCaps/>
        </w:rPr>
      </w:pPr>
      <w:r w:rsidRPr="00E95958">
        <w:rPr>
          <w:vertAlign w:val="superscript"/>
        </w:rPr>
        <w:endnoteRef/>
      </w:r>
      <w:r w:rsidRPr="00E95958">
        <w:t xml:space="preserve"> </w:t>
      </w:r>
      <w:r w:rsidRPr="00E95958">
        <w:rPr>
          <w:i/>
        </w:rPr>
        <w:t xml:space="preserve">See </w:t>
      </w:r>
      <w:r w:rsidRPr="00E95958">
        <w:rPr>
          <w:smallCaps/>
        </w:rPr>
        <w:t xml:space="preserve">Doris Rajan, DisAbled Women’s Network (DAWN Canada), Women with Disabilities &amp; Breast Cancer Screening: An Environmental Scan. Identified Problems, Strategies and Recommended Next Steps </w:t>
      </w:r>
      <w:r w:rsidRPr="00E95958">
        <w:t xml:space="preserve">5 (2012) [hereinafter </w:t>
      </w:r>
      <w:r w:rsidRPr="00E95958">
        <w:rPr>
          <w:smallCaps/>
        </w:rPr>
        <w:t>Rajan,</w:t>
      </w:r>
      <w:r w:rsidRPr="00E95958">
        <w:t xml:space="preserve"> </w:t>
      </w:r>
      <w:r w:rsidRPr="00E95958">
        <w:rPr>
          <w:smallCaps/>
        </w:rPr>
        <w:t xml:space="preserve">Women with Disabilities &amp; Breast Cancer Screening]. </w:t>
      </w:r>
    </w:p>
  </w:endnote>
  <w:endnote w:id="588">
    <w:p w14:paraId="5483D5AE" w14:textId="77777777" w:rsidR="002772C9" w:rsidRPr="00E95958" w:rsidRDefault="002772C9" w:rsidP="00E95958">
      <w:pPr>
        <w:pStyle w:val="EndnoteText"/>
        <w:ind w:left="-36" w:hanging="324"/>
      </w:pPr>
      <w:r w:rsidRPr="00E95958">
        <w:rPr>
          <w:vertAlign w:val="superscript"/>
        </w:rPr>
        <w:endnoteRef/>
      </w:r>
      <w:r w:rsidRPr="00E95958">
        <w:t xml:space="preserve">  ICPD Programme of Action, </w:t>
      </w:r>
      <w:r w:rsidRPr="00E95958">
        <w:rPr>
          <w:i/>
        </w:rPr>
        <w:t xml:space="preserve">supra </w:t>
      </w:r>
      <w:r w:rsidRPr="00E95958">
        <w:t xml:space="preserve">note 457, paras. 7.6, 8.25, 13.14(b). </w:t>
      </w:r>
    </w:p>
  </w:endnote>
  <w:endnote w:id="589">
    <w:p w14:paraId="60A96221" w14:textId="43D08C52"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 xml:space="preserve">WHO, Unsafe Abortion: </w:t>
      </w:r>
      <w:r w:rsidRPr="00E95958">
        <w:t>G</w:t>
      </w:r>
      <w:r w:rsidRPr="00E95958">
        <w:rPr>
          <w:smallCaps/>
        </w:rPr>
        <w:t>lobal and Regional Estimates of the Incidence of Unsafe Abortion and Associated Mortality in 2008 1 (</w:t>
      </w:r>
      <w:r w:rsidRPr="00E95958">
        <w:t xml:space="preserve">6th ed., 2001), </w:t>
      </w:r>
      <w:hyperlink r:id="rId190" w:history="1">
        <w:r w:rsidRPr="00E95958">
          <w:rPr>
            <w:rStyle w:val="Hyperlink"/>
          </w:rPr>
          <w:t>http://apps.who.int/iris/bitstream/10665/44529/1/9789241501118_eng.pdf</w:t>
        </w:r>
      </w:hyperlink>
      <w:r w:rsidRPr="00E95958">
        <w:t>.</w:t>
      </w:r>
    </w:p>
  </w:endnote>
  <w:endnote w:id="590">
    <w:p w14:paraId="5D2677BC"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WHO, Safe Abortion: Technical &amp; Policy Guidance for Health Systems – Legal and Policy Considerations</w:t>
      </w:r>
      <w:r w:rsidRPr="00E95958">
        <w:rPr>
          <w:i/>
        </w:rPr>
        <w:t xml:space="preserve"> </w:t>
      </w:r>
      <w:r w:rsidRPr="00E95958">
        <w:t>1 (2015)</w:t>
      </w:r>
      <w:r w:rsidRPr="00E95958">
        <w:rPr>
          <w:i/>
        </w:rPr>
        <w:t>,</w:t>
      </w:r>
      <w:r w:rsidRPr="00E95958">
        <w:t xml:space="preserve"> </w:t>
      </w:r>
      <w:hyperlink r:id="rId191">
        <w:r w:rsidRPr="00E95958">
          <w:rPr>
            <w:rStyle w:val="Hyperlink"/>
          </w:rPr>
          <w:t>http://www.who.int/reproductivehealth/publications/unsafe_abortion/sa_legal_policy_considerations/en/</w:t>
        </w:r>
      </w:hyperlink>
      <w:r w:rsidRPr="00E95958">
        <w:t xml:space="preserve"> </w:t>
      </w:r>
    </w:p>
  </w:endnote>
  <w:endnote w:id="591">
    <w:p w14:paraId="27CC48C8"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WHO, Unsafe Abortion</w:t>
      </w:r>
      <w:r w:rsidRPr="00E95958">
        <w:t xml:space="preserve">, </w:t>
      </w:r>
      <w:r w:rsidRPr="00E95958">
        <w:rPr>
          <w:i/>
        </w:rPr>
        <w:t xml:space="preserve">supra </w:t>
      </w:r>
      <w:r w:rsidRPr="00E95958">
        <w:t>note 588, at 40.</w:t>
      </w:r>
    </w:p>
  </w:endnote>
  <w:endnote w:id="592">
    <w:p w14:paraId="6310E032"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See, e.g.</w:t>
      </w:r>
      <w:r w:rsidRPr="00E95958">
        <w:t xml:space="preserve">, L.C. v. Peru, CEDAW Committee, Comm. No. 22/2009, paras. 9.2(a), 9.2(c), U.N. Doc. CEDAW/C/50/D/22/2009 (2011); CEDAW Committee, </w:t>
      </w:r>
      <w:r w:rsidRPr="00E95958">
        <w:rPr>
          <w:i/>
        </w:rPr>
        <w:t>Concluding Observations: Sri Lanka</w:t>
      </w:r>
      <w:r w:rsidRPr="00E95958">
        <w:t xml:space="preserve">, para. 283, U.N. Doc. A/57/38, Part I (2002); CRC Committee, </w:t>
      </w:r>
      <w:r w:rsidRPr="00E95958">
        <w:rPr>
          <w:i/>
        </w:rPr>
        <w:t>Concluding Observations: Chad</w:t>
      </w:r>
      <w:r w:rsidRPr="00E95958">
        <w:t xml:space="preserve">, para. 30, U.N. Doc. CRC/C/15/Add.107 (1999); </w:t>
      </w:r>
      <w:r w:rsidRPr="00E95958">
        <w:rPr>
          <w:i/>
        </w:rPr>
        <w:t>Chile</w:t>
      </w:r>
      <w:r w:rsidRPr="00E95958">
        <w:t xml:space="preserve">, para. 56, U.N. Doc. CRC/C/CHL/CO/3 (2007); </w:t>
      </w:r>
      <w:r w:rsidRPr="00E95958">
        <w:rPr>
          <w:i/>
        </w:rPr>
        <w:t>Guatemala</w:t>
      </w:r>
      <w:r w:rsidRPr="00E95958">
        <w:t xml:space="preserve">, para. 40, U.N. Doc. CRC/C/15/Add.154 (2001); Human Rights Committee, </w:t>
      </w:r>
      <w:r w:rsidRPr="00E95958">
        <w:rPr>
          <w:i/>
        </w:rPr>
        <w:t>Concluding Observations: Guatemala</w:t>
      </w:r>
      <w:r w:rsidRPr="00E95958">
        <w:t xml:space="preserve">, para. 20, U.N. Doc. CCPR/C/GTM/CO/3 (2012); </w:t>
      </w:r>
      <w:r w:rsidRPr="00E95958">
        <w:rPr>
          <w:i/>
        </w:rPr>
        <w:t>Dominican Republic</w:t>
      </w:r>
      <w:r w:rsidRPr="00E95958">
        <w:t xml:space="preserve">, para. 15, U.N. Doc. CCPR/C/DOM/CO/5 (2012); </w:t>
      </w:r>
      <w:r w:rsidRPr="00E95958">
        <w:rPr>
          <w:i/>
        </w:rPr>
        <w:t>Panama</w:t>
      </w:r>
      <w:r w:rsidRPr="00E95958">
        <w:t xml:space="preserve">, para. 9, U.N. Doc. CCPR/C/PAN/CO/3 (2008); ESCR Committee, </w:t>
      </w:r>
      <w:r w:rsidRPr="00E95958">
        <w:rPr>
          <w:i/>
        </w:rPr>
        <w:t>Concluding Observations: Chile</w:t>
      </w:r>
      <w:r w:rsidRPr="00E95958">
        <w:t xml:space="preserve">, para. 53, U.N. Doc.  E/C.12/1/Add.105 (2004); </w:t>
      </w:r>
      <w:r w:rsidRPr="00E95958">
        <w:rPr>
          <w:i/>
        </w:rPr>
        <w:t>Costa Rica</w:t>
      </w:r>
      <w:r w:rsidRPr="00E95958">
        <w:t xml:space="preserve">, paras. 25, 46, U.N. Doc. E/C/12/CRI/CO/4 (2008); </w:t>
      </w:r>
      <w:r w:rsidRPr="00E95958">
        <w:rPr>
          <w:i/>
        </w:rPr>
        <w:t>Nepal</w:t>
      </w:r>
      <w:r w:rsidRPr="00E95958">
        <w:t xml:space="preserve">, para. 55, U.N. Doc. E/C.12/1/Add.66 (2001); Committee against Torture, </w:t>
      </w:r>
      <w:r w:rsidRPr="00E95958">
        <w:rPr>
          <w:i/>
        </w:rPr>
        <w:t>Concluding Observations: Peru</w:t>
      </w:r>
      <w:r w:rsidRPr="00E95958">
        <w:t>, para. 23, U.N. Doc. CAT/C/PER/4 (2006).</w:t>
      </w:r>
    </w:p>
  </w:endnote>
  <w:endnote w:id="593">
    <w:p w14:paraId="1975B934"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Maxwell et al., Health Handbook</w:t>
      </w:r>
      <w:r w:rsidRPr="00E95958">
        <w:t xml:space="preserve">, </w:t>
      </w:r>
      <w:r w:rsidRPr="00E95958">
        <w:rPr>
          <w:i/>
        </w:rPr>
        <w:t>supra</w:t>
      </w:r>
      <w:r w:rsidRPr="00E95958">
        <w:t xml:space="preserve"> note 416, at 42. </w:t>
      </w:r>
    </w:p>
  </w:endnote>
  <w:endnote w:id="594">
    <w:p w14:paraId="544ECDF7"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 xml:space="preserve">See </w:t>
      </w:r>
      <w:r w:rsidRPr="00E95958">
        <w:rPr>
          <w:smallCaps/>
        </w:rPr>
        <w:t>Rajan,</w:t>
      </w:r>
      <w:r w:rsidRPr="00E95958">
        <w:t xml:space="preserve"> </w:t>
      </w:r>
      <w:r w:rsidRPr="00E95958">
        <w:rPr>
          <w:smallCaps/>
        </w:rPr>
        <w:t xml:space="preserve">Women with Disabilities &amp; Breast Cancer Screening, </w:t>
      </w:r>
      <w:r w:rsidRPr="00E95958">
        <w:rPr>
          <w:i/>
        </w:rPr>
        <w:t xml:space="preserve">supra </w:t>
      </w:r>
      <w:r w:rsidRPr="00E95958">
        <w:t xml:space="preserve">note 586, at 5. </w:t>
      </w:r>
    </w:p>
  </w:endnote>
  <w:endnote w:id="595">
    <w:p w14:paraId="6E4060E8" w14:textId="77777777" w:rsidR="002772C9" w:rsidRPr="00E95958" w:rsidRDefault="002772C9" w:rsidP="00E95958">
      <w:pPr>
        <w:pStyle w:val="EndnoteText"/>
        <w:ind w:left="-36" w:hanging="324"/>
        <w:rPr>
          <w:iCs/>
        </w:rPr>
      </w:pPr>
      <w:r w:rsidRPr="00E95958">
        <w:rPr>
          <w:rStyle w:val="EndnoteReference"/>
        </w:rPr>
        <w:endnoteRef/>
      </w:r>
      <w:r w:rsidRPr="00E95958">
        <w:t xml:space="preserve"> </w:t>
      </w:r>
      <w:r w:rsidRPr="00E95958">
        <w:rPr>
          <w:iCs/>
          <w:smallCaps/>
        </w:rPr>
        <w:t>IPAS, Access for Everybody: Disability Inclusion in Abortion and Contraceptive Care – OVERVIEW 4 (2018</w:t>
      </w:r>
      <w:r w:rsidRPr="00E95958">
        <w:rPr>
          <w:iCs/>
        </w:rPr>
        <w:t xml:space="preserve">), </w:t>
      </w:r>
      <w:hyperlink r:id="rId192" w:history="1">
        <w:r w:rsidRPr="00E95958">
          <w:rPr>
            <w:rStyle w:val="Hyperlink"/>
          </w:rPr>
          <w:t>file:///Users/alr/Downloads/AEDIO-E18_lr.pdf</w:t>
        </w:r>
      </w:hyperlink>
    </w:p>
  </w:endnote>
  <w:endnote w:id="596">
    <w:p w14:paraId="36D29EDD"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 xml:space="preserve">See </w:t>
      </w:r>
      <w:r w:rsidRPr="00E95958">
        <w:rPr>
          <w:smallCaps/>
        </w:rPr>
        <w:t>Rajan,</w:t>
      </w:r>
      <w:r w:rsidRPr="00E95958">
        <w:t xml:space="preserve"> </w:t>
      </w:r>
      <w:r w:rsidRPr="00E95958">
        <w:rPr>
          <w:smallCaps/>
        </w:rPr>
        <w:t xml:space="preserve">Women with Disabilities &amp; Breast Cancer Screening, </w:t>
      </w:r>
      <w:r w:rsidRPr="00E95958">
        <w:rPr>
          <w:i/>
        </w:rPr>
        <w:t xml:space="preserve">supra </w:t>
      </w:r>
      <w:r w:rsidRPr="00E95958">
        <w:t xml:space="preserve">note 586, at 6. </w:t>
      </w:r>
    </w:p>
  </w:endnote>
  <w:endnote w:id="597">
    <w:p w14:paraId="4925646B"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 xml:space="preserve">See </w:t>
      </w:r>
      <w:r w:rsidRPr="00E95958">
        <w:rPr>
          <w:smallCaps/>
        </w:rPr>
        <w:t>Rajan,</w:t>
      </w:r>
      <w:r w:rsidRPr="00E95958">
        <w:t xml:space="preserve"> </w:t>
      </w:r>
      <w:r w:rsidRPr="00E95958">
        <w:rPr>
          <w:smallCaps/>
        </w:rPr>
        <w:t xml:space="preserve">Women with Disabilities &amp; Breast Cancer Screening, </w:t>
      </w:r>
      <w:r w:rsidRPr="00E95958">
        <w:rPr>
          <w:i/>
        </w:rPr>
        <w:t xml:space="preserve">supra </w:t>
      </w:r>
      <w:r w:rsidRPr="00E95958">
        <w:t>note 586, at 6.</w:t>
      </w:r>
    </w:p>
  </w:endnote>
  <w:endnote w:id="598">
    <w:p w14:paraId="63A3D2D0" w14:textId="32AEA566" w:rsidR="002772C9" w:rsidRPr="00E95958" w:rsidRDefault="002772C9" w:rsidP="00E95958">
      <w:pPr>
        <w:pStyle w:val="EndnoteText"/>
        <w:ind w:left="-36" w:hanging="324"/>
      </w:pPr>
      <w:r w:rsidRPr="00E95958">
        <w:rPr>
          <w:vertAlign w:val="superscript"/>
        </w:rPr>
        <w:endnoteRef/>
      </w:r>
      <w:r w:rsidRPr="00E95958">
        <w:rPr>
          <w:smallCaps/>
        </w:rPr>
        <w:t xml:space="preserve"> DisAbled Women’s Network Canada / Réseau d’Action des Femmes Handicapées (DAWN/RAFH Canada), Our Health Matters! Improving Access to Cancer Identification &amp; General Healthcare for People with Disabilities &amp; Deaf People Toolkit</w:t>
      </w:r>
      <w:r w:rsidRPr="00E95958">
        <w:t xml:space="preserve"> (2012), </w:t>
      </w:r>
      <w:hyperlink r:id="rId193">
        <w:r w:rsidRPr="00E95958">
          <w:rPr>
            <w:rStyle w:val="Hyperlink"/>
          </w:rPr>
          <w:t>http://www.dawncanada.net/main/wp-content/uploads/2014/10/Our-Heath-Matters.pdf</w:t>
        </w:r>
      </w:hyperlink>
      <w:r w:rsidRPr="00E95958">
        <w:t xml:space="preserve">. </w:t>
      </w:r>
    </w:p>
  </w:endnote>
  <w:endnote w:id="599">
    <w:p w14:paraId="1EDB6343" w14:textId="0C6E5956"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Jane Tracy, Mary Burbidge, Jenny Butler, &amp; Mandy Donley, Supporting Women: Information and Resources for General Practitioners Supporting Women to Manage their Menstruation</w:t>
      </w:r>
      <w:r w:rsidRPr="00E95958">
        <w:t xml:space="preserve"> (2010), </w:t>
      </w:r>
      <w:hyperlink r:id="rId194">
        <w:r w:rsidRPr="00E95958">
          <w:rPr>
            <w:rStyle w:val="Hyperlink"/>
          </w:rPr>
          <w:t>http://www.cddh.monashhealth.org/wp-content/uploads/2016/11/supporting-women-gp.pdf</w:t>
        </w:r>
      </w:hyperlink>
      <w:r w:rsidRPr="00E95958">
        <w:t xml:space="preserve">. </w:t>
      </w:r>
    </w:p>
  </w:endnote>
  <w:endnote w:id="600">
    <w:p w14:paraId="61618CC5" w14:textId="7655D604"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WHO, Clinical Practice Handbook for Safe Abortion</w:t>
      </w:r>
      <w:r w:rsidRPr="00E95958">
        <w:t xml:space="preserve"> 5(2014), </w:t>
      </w:r>
      <w:hyperlink r:id="rId195">
        <w:r w:rsidRPr="00E95958">
          <w:rPr>
            <w:rStyle w:val="Hyperlink"/>
          </w:rPr>
          <w:t>http://www.who.int/reproductivehealth/publications/unsafe_abortion/clinical-practice-safe-abortion/en/</w:t>
        </w:r>
      </w:hyperlink>
      <w:r w:rsidRPr="00E95958">
        <w:t xml:space="preserve"> [hereinafter </w:t>
      </w:r>
      <w:r w:rsidRPr="00E95958">
        <w:rPr>
          <w:smallCaps/>
        </w:rPr>
        <w:t>WHO, Safe Abortion Handbook]’; WHO, Safe Abortion: Technical &amp; Policy Guidance for Health Systems 68 (2</w:t>
      </w:r>
      <w:r w:rsidRPr="00E95958">
        <w:rPr>
          <w:smallCaps/>
          <w:vertAlign w:val="superscript"/>
        </w:rPr>
        <w:t>nd</w:t>
      </w:r>
      <w:r w:rsidRPr="00E95958">
        <w:rPr>
          <w:smallCaps/>
        </w:rPr>
        <w:t xml:space="preserve"> </w:t>
      </w:r>
      <w:r w:rsidRPr="00E95958">
        <w:t xml:space="preserve">ed, 2012), </w:t>
      </w:r>
      <w:hyperlink r:id="rId196" w:history="1">
        <w:r w:rsidRPr="00E95958">
          <w:rPr>
            <w:rStyle w:val="Hyperlink"/>
          </w:rPr>
          <w:t>http://apps.who.int/iris/bitstream/10665/70914/1/9789241548434_eng.pdf?ua=1</w:t>
        </w:r>
      </w:hyperlink>
      <w:r w:rsidRPr="00E95958">
        <w:t xml:space="preserve"> [hereinafter </w:t>
      </w:r>
      <w:r w:rsidRPr="00E95958">
        <w:rPr>
          <w:smallCaps/>
        </w:rPr>
        <w:t>WHO, Safe Abortion Guidance</w:t>
      </w:r>
      <w:r w:rsidRPr="00E95958">
        <w:t xml:space="preserve">]. </w:t>
      </w:r>
    </w:p>
  </w:endnote>
  <w:endnote w:id="601">
    <w:p w14:paraId="76624658"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Inter-Agency Standing Committee, IASC Guidelines on Mental Health and Psychosocial Support in Emergency Settings</w:t>
      </w:r>
      <w:r w:rsidRPr="00E95958">
        <w:t xml:space="preserve">  9-11 (2007), </w:t>
      </w:r>
      <w:hyperlink r:id="rId197">
        <w:r w:rsidRPr="00E95958">
          <w:rPr>
            <w:rStyle w:val="Hyperlink"/>
          </w:rPr>
          <w:t>http://www.who.int/mental_health/emergencies/guidelines_iasc_mental_health_psychosocial_june_2007.pdf</w:t>
        </w:r>
      </w:hyperlink>
      <w:r w:rsidRPr="00E95958">
        <w:t>.</w:t>
      </w:r>
    </w:p>
  </w:endnote>
  <w:endnote w:id="602">
    <w:p w14:paraId="33318393"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 xml:space="preserve">WHO, Safe Abortion Handbook, </w:t>
      </w:r>
      <w:r w:rsidRPr="00E95958">
        <w:rPr>
          <w:i/>
        </w:rPr>
        <w:t>supra</w:t>
      </w:r>
      <w:r w:rsidRPr="00E95958">
        <w:t xml:space="preserve"> note 599, at 10. </w:t>
      </w:r>
    </w:p>
  </w:endnote>
  <w:endnote w:id="603">
    <w:p w14:paraId="0D915D92"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 xml:space="preserve">Contraception – Quality Standard, </w:t>
      </w:r>
      <w:r w:rsidRPr="00E95958">
        <w:rPr>
          <w:smallCaps/>
        </w:rPr>
        <w:t>National Institute for Health and Care Excellence 21-25 (NICE)</w:t>
      </w:r>
      <w:r w:rsidRPr="00E95958">
        <w:t xml:space="preserve"> (Sept. 2016),</w:t>
      </w:r>
      <w:r w:rsidRPr="00E95958">
        <w:rPr>
          <w:i/>
        </w:rPr>
        <w:t xml:space="preserve"> </w:t>
      </w:r>
      <w:hyperlink r:id="rId198">
        <w:r w:rsidRPr="00E95958">
          <w:rPr>
            <w:rStyle w:val="Hyperlink"/>
          </w:rPr>
          <w:t>https://www.nice.org.uk/guidance/qs129</w:t>
        </w:r>
      </w:hyperlink>
      <w:r w:rsidRPr="00E95958">
        <w:t xml:space="preserve">.   </w:t>
      </w:r>
    </w:p>
  </w:endnote>
  <w:endnote w:id="604">
    <w:p w14:paraId="1CBF623D" w14:textId="77777777" w:rsidR="002772C9" w:rsidRPr="00E95958" w:rsidRDefault="002772C9" w:rsidP="00E95958">
      <w:pPr>
        <w:pStyle w:val="EndnoteText"/>
        <w:ind w:left="-36" w:hanging="324"/>
      </w:pPr>
      <w:r w:rsidRPr="00E95958">
        <w:rPr>
          <w:rStyle w:val="EndnoteReference"/>
        </w:rPr>
        <w:endnoteRef/>
      </w:r>
      <w:r w:rsidRPr="00E95958">
        <w:t xml:space="preserve"> </w:t>
      </w:r>
      <w:r w:rsidRPr="00E95958">
        <w:rPr>
          <w:iCs/>
          <w:smallCaps/>
        </w:rPr>
        <w:t>IPAS, Access for Everybody: Disability Inclusion in Abortion and Contraceptive Care – OVERVIEW 11-12 (2018</w:t>
      </w:r>
      <w:r w:rsidRPr="00E95958">
        <w:rPr>
          <w:iCs/>
        </w:rPr>
        <w:t xml:space="preserve">), </w:t>
      </w:r>
      <w:hyperlink r:id="rId199" w:history="1">
        <w:r w:rsidRPr="00E95958">
          <w:rPr>
            <w:rStyle w:val="Hyperlink"/>
          </w:rPr>
          <w:t>file:///Users/alr/Downloads/AEDIO-E18_lr.pdf</w:t>
        </w:r>
      </w:hyperlink>
      <w:r w:rsidRPr="00E95958">
        <w:rPr>
          <w:rStyle w:val="Hyperlink"/>
        </w:rPr>
        <w:t>.</w:t>
      </w:r>
    </w:p>
  </w:endnote>
  <w:endnote w:id="605">
    <w:p w14:paraId="75287A79" w14:textId="77777777" w:rsidR="002772C9" w:rsidRPr="00E95958" w:rsidRDefault="002772C9" w:rsidP="00E95958">
      <w:pPr>
        <w:pStyle w:val="EndnoteText"/>
        <w:ind w:left="-36" w:hanging="324"/>
      </w:pPr>
      <w:r w:rsidRPr="00E95958">
        <w:rPr>
          <w:rStyle w:val="EndnoteReference"/>
        </w:rPr>
        <w:endnoteRef/>
      </w:r>
      <w:r w:rsidRPr="00E95958">
        <w:t xml:space="preserve"> IPAS, Access for Everybody – Overview, </w:t>
      </w:r>
      <w:r w:rsidRPr="00E95958">
        <w:rPr>
          <w:i/>
        </w:rPr>
        <w:t>supra</w:t>
      </w:r>
      <w:r w:rsidRPr="00E95958">
        <w:t xml:space="preserve"> note 603, at 11-12.</w:t>
      </w:r>
    </w:p>
  </w:endnote>
  <w:endnote w:id="606">
    <w:p w14:paraId="2CEF7CA1" w14:textId="77777777" w:rsidR="002772C9" w:rsidRPr="00E95958" w:rsidRDefault="002772C9" w:rsidP="00E95958">
      <w:pPr>
        <w:pStyle w:val="EndnoteText"/>
        <w:ind w:left="-36" w:hanging="324"/>
      </w:pPr>
      <w:r w:rsidRPr="00E95958">
        <w:rPr>
          <w:rStyle w:val="EndnoteReference"/>
        </w:rPr>
        <w:endnoteRef/>
      </w:r>
      <w:r w:rsidRPr="00E95958">
        <w:t xml:space="preserve"> Jane Hartman Adamé, </w:t>
      </w:r>
      <w:r w:rsidRPr="00E95958">
        <w:rPr>
          <w:i/>
        </w:rPr>
        <w:t xml:space="preserve">I Designed a Menstrual Cup That’s Easier for Disabled People to Use, </w:t>
      </w:r>
      <w:r w:rsidRPr="00E95958">
        <w:rPr>
          <w:smallCaps/>
        </w:rPr>
        <w:t>Teen Vogue</w:t>
      </w:r>
      <w:r w:rsidRPr="00E95958">
        <w:t xml:space="preserve"> (Dec. 30, 2017 8:00am EST), </w:t>
      </w:r>
      <w:r w:rsidRPr="00E95958">
        <w:rPr>
          <w:rStyle w:val="Hyperlink"/>
        </w:rPr>
        <w:t>https://www.teenvogue.com/story/menstrual-cups-for-disabled-people</w:t>
      </w:r>
      <w:r w:rsidRPr="00E95958">
        <w:t>.</w:t>
      </w:r>
    </w:p>
  </w:endnote>
  <w:endnote w:id="607">
    <w:p w14:paraId="7A8CEBF3" w14:textId="77777777" w:rsidR="002772C9" w:rsidRPr="00E95958" w:rsidRDefault="002772C9" w:rsidP="00E95958">
      <w:pPr>
        <w:pStyle w:val="EndnoteText"/>
        <w:ind w:left="-36" w:hanging="324"/>
        <w:rPr>
          <w:smallCaps/>
        </w:rPr>
      </w:pPr>
      <w:r w:rsidRPr="00E95958">
        <w:rPr>
          <w:vertAlign w:val="superscript"/>
        </w:rPr>
        <w:endnoteRef/>
      </w:r>
      <w:r w:rsidRPr="00E95958">
        <w:rPr>
          <w:smallCaps/>
        </w:rPr>
        <w:t xml:space="preserve"> Table Manners and Beyond: The Gynecological Exam for Women with Developmental Disabilities and Other Functional Limitations</w:t>
      </w:r>
      <w:r w:rsidRPr="00E95958">
        <w:t xml:space="preserve"> 25 (Katherine M. Simpson ed. May 2001) [hereinafter </w:t>
      </w:r>
      <w:r w:rsidRPr="00E95958">
        <w:rPr>
          <w:smallCaps/>
        </w:rPr>
        <w:t xml:space="preserve">Table Manners and Beyond]. </w:t>
      </w:r>
    </w:p>
  </w:endnote>
  <w:endnote w:id="608">
    <w:p w14:paraId="0B44C3B7" w14:textId="77777777" w:rsidR="002772C9" w:rsidRPr="00E95958" w:rsidRDefault="002772C9" w:rsidP="00E95958">
      <w:pPr>
        <w:pStyle w:val="EndnoteText"/>
        <w:ind w:left="-36" w:hanging="324"/>
      </w:pPr>
      <w:r w:rsidRPr="00E95958">
        <w:rPr>
          <w:vertAlign w:val="superscript"/>
        </w:rPr>
        <w:endnoteRef/>
      </w:r>
      <w:r w:rsidRPr="00E95958">
        <w:rPr>
          <w:i/>
        </w:rPr>
        <w:t xml:space="preserve"> </w:t>
      </w:r>
      <w:r w:rsidRPr="00E95958">
        <w:t>Society of Menstrual Cycle Research,</w:t>
      </w:r>
      <w:r w:rsidRPr="00E95958">
        <w:rPr>
          <w:i/>
        </w:rPr>
        <w:t xml:space="preserve"> “Kahani Her Mahine Ki” – A Menstruation Kit for the visually impaired women Sadhvi Thukral, National Institute of Design</w:t>
      </w:r>
      <w:r w:rsidRPr="00E95958">
        <w:t xml:space="preserve">, Menstruation Matters (June 5, 2016), </w:t>
      </w:r>
      <w:hyperlink r:id="rId200">
        <w:r w:rsidRPr="00E95958">
          <w:rPr>
            <w:rStyle w:val="Hyperlink"/>
          </w:rPr>
          <w:t>http://www.menstruationresearch.org/2015/05/28/menstrual-management-for-women-with-disabilities-menstrual-hygiene-taboos-and-menstrual-cycle-awareness/</w:t>
        </w:r>
      </w:hyperlink>
      <w:r w:rsidRPr="00E95958">
        <w:t xml:space="preserve">. </w:t>
      </w:r>
    </w:p>
  </w:endnote>
  <w:endnote w:id="609">
    <w:p w14:paraId="6814EF76"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Monash Health &amp; The Centre for Developmental Disability Health, Pap Tests: The Plain Facts</w:t>
      </w:r>
      <w:r w:rsidRPr="00E95958">
        <w:t xml:space="preserve"> (2016), </w:t>
      </w:r>
      <w:hyperlink r:id="rId201">
        <w:r w:rsidRPr="00E95958">
          <w:rPr>
            <w:rStyle w:val="Hyperlink"/>
          </w:rPr>
          <w:t>http://www.cddh.monashhealth.org/wp-content/uploads/2016/11/pap-tests-the-plain-facts.pdf</w:t>
        </w:r>
      </w:hyperlink>
      <w:r w:rsidRPr="00E95958">
        <w:t xml:space="preserve"> </w:t>
      </w:r>
    </w:p>
  </w:endnote>
  <w:endnote w:id="610">
    <w:p w14:paraId="0633739D"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 xml:space="preserve">See </w:t>
      </w:r>
      <w:r w:rsidRPr="00E95958">
        <w:t xml:space="preserve">Marge Berer, </w:t>
      </w:r>
      <w:r w:rsidRPr="00E95958">
        <w:rPr>
          <w:i/>
        </w:rPr>
        <w:t xml:space="preserve">Provision of Abortion by Mid-Level Providers: International Policy, Practice and Perspectives </w:t>
      </w:r>
      <w:r w:rsidRPr="00E95958">
        <w:rPr>
          <w:smallCaps/>
        </w:rPr>
        <w:t>87 Bulletin of the World Health Organization</w:t>
      </w:r>
      <w:r w:rsidRPr="00E95958">
        <w:t xml:space="preserve"> 1-80 (Jan. 2007), </w:t>
      </w:r>
      <w:hyperlink r:id="rId202">
        <w:r w:rsidRPr="00E95958">
          <w:rPr>
            <w:rStyle w:val="Hyperlink"/>
          </w:rPr>
          <w:t>http://www.who.int/bulletin/volumes/87/1/07-050138/en/</w:t>
        </w:r>
      </w:hyperlink>
      <w:r w:rsidRPr="00E95958">
        <w:t xml:space="preserve">. </w:t>
      </w:r>
    </w:p>
  </w:endnote>
  <w:endnote w:id="611">
    <w:p w14:paraId="7DA5221B" w14:textId="66AE1416"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 xml:space="preserve">WHO, Safe Abortion Handbook, </w:t>
      </w:r>
      <w:r w:rsidRPr="00E95958">
        <w:rPr>
          <w:i/>
        </w:rPr>
        <w:t>supra</w:t>
      </w:r>
      <w:r w:rsidRPr="00E95958">
        <w:t xml:space="preserve"> note 599, at 5; </w:t>
      </w:r>
      <w:r w:rsidRPr="00E95958">
        <w:rPr>
          <w:smallCaps/>
        </w:rPr>
        <w:t>WHO, Safe Abortion: Technical &amp; Policy Guidance for Health Systems 64 (2</w:t>
      </w:r>
      <w:r w:rsidRPr="00E95958">
        <w:rPr>
          <w:smallCaps/>
          <w:vertAlign w:val="superscript"/>
        </w:rPr>
        <w:t>nd</w:t>
      </w:r>
      <w:r w:rsidRPr="00E95958">
        <w:rPr>
          <w:smallCaps/>
        </w:rPr>
        <w:t xml:space="preserve"> </w:t>
      </w:r>
      <w:r w:rsidRPr="00E95958">
        <w:t xml:space="preserve">ed, 2012), </w:t>
      </w:r>
      <w:hyperlink r:id="rId203" w:history="1">
        <w:r w:rsidRPr="00E95958">
          <w:rPr>
            <w:rStyle w:val="Hyperlink"/>
          </w:rPr>
          <w:t>http://apps.who.int/iris/bitstream/10665/70914/1/9789241548434_eng.pdf?ua=1</w:t>
        </w:r>
      </w:hyperlink>
      <w:r w:rsidRPr="00E95958">
        <w:t xml:space="preserve"> [hereinafter </w:t>
      </w:r>
      <w:r w:rsidRPr="00E95958">
        <w:rPr>
          <w:smallCaps/>
        </w:rPr>
        <w:t>WHO, Safe Abortion Guidance</w:t>
      </w:r>
      <w:r w:rsidRPr="00E95958">
        <w:t>].</w:t>
      </w:r>
    </w:p>
  </w:endnote>
  <w:endnote w:id="612">
    <w:p w14:paraId="431A5ED1"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Maxwell et al., Health Handbook</w:t>
      </w:r>
      <w:r w:rsidRPr="00E95958">
        <w:t xml:space="preserve">, </w:t>
      </w:r>
      <w:r w:rsidRPr="00E95958">
        <w:rPr>
          <w:i/>
        </w:rPr>
        <w:t>supra</w:t>
      </w:r>
      <w:r w:rsidRPr="00E95958">
        <w:t xml:space="preserve"> note 416, at 123.</w:t>
      </w:r>
    </w:p>
  </w:endnote>
  <w:endnote w:id="613">
    <w:p w14:paraId="65B45F40"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 xml:space="preserve">Table Manners and Beyond, </w:t>
      </w:r>
      <w:r w:rsidRPr="00E95958">
        <w:rPr>
          <w:i/>
        </w:rPr>
        <w:t>supra</w:t>
      </w:r>
      <w:r w:rsidRPr="00E95958">
        <w:t xml:space="preserve"> note 606, at 8. </w:t>
      </w:r>
    </w:p>
  </w:endnote>
  <w:endnote w:id="614">
    <w:p w14:paraId="53B70698"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 xml:space="preserve">WHO, Safe Abortion Handbook, </w:t>
      </w:r>
      <w:r w:rsidRPr="00E95958">
        <w:rPr>
          <w:i/>
        </w:rPr>
        <w:t>supra</w:t>
      </w:r>
      <w:r w:rsidRPr="00E95958">
        <w:t xml:space="preserve"> note 599, at 10-13. </w:t>
      </w:r>
    </w:p>
  </w:endnote>
  <w:endnote w:id="615">
    <w:p w14:paraId="2F84E816"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 xml:space="preserve">WHO, Safe Abortion Handbook, </w:t>
      </w:r>
      <w:r w:rsidRPr="00E95958">
        <w:rPr>
          <w:i/>
        </w:rPr>
        <w:t>supra</w:t>
      </w:r>
      <w:r w:rsidRPr="00E95958">
        <w:t xml:space="preserve"> note 599, at 10; </w:t>
      </w:r>
      <w:r w:rsidRPr="00E95958">
        <w:rPr>
          <w:smallCaps/>
        </w:rPr>
        <w:t xml:space="preserve">WHO, Safe Abortion Guidance, </w:t>
      </w:r>
      <w:r w:rsidRPr="00E95958">
        <w:rPr>
          <w:i/>
        </w:rPr>
        <w:t>supra</w:t>
      </w:r>
      <w:r w:rsidRPr="00E95958">
        <w:t xml:space="preserve"> note 610, at 36-37. </w:t>
      </w:r>
      <w:r w:rsidRPr="00E95958">
        <w:rPr>
          <w:i/>
        </w:rPr>
        <w:t>See also</w:t>
      </w:r>
      <w:r w:rsidRPr="00E95958">
        <w:rPr>
          <w:smallCaps/>
        </w:rPr>
        <w:t xml:space="preserve"> WHO, Safe Abortion Guidance, </w:t>
      </w:r>
      <w:r w:rsidRPr="00E95958">
        <w:rPr>
          <w:i/>
        </w:rPr>
        <w:t>supra</w:t>
      </w:r>
      <w:r w:rsidRPr="00E95958">
        <w:t xml:space="preserve"> note 610, at 68.</w:t>
      </w:r>
    </w:p>
  </w:endnote>
  <w:endnote w:id="616">
    <w:p w14:paraId="18C858EE"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 xml:space="preserve">WHO, Safe Abortion Handbook, </w:t>
      </w:r>
      <w:r w:rsidRPr="00E95958">
        <w:rPr>
          <w:i/>
        </w:rPr>
        <w:t>supra</w:t>
      </w:r>
      <w:r w:rsidRPr="00E95958">
        <w:t xml:space="preserve"> note 599, at 5. </w:t>
      </w:r>
    </w:p>
  </w:endnote>
  <w:endnote w:id="617">
    <w:p w14:paraId="59085A22" w14:textId="6B9A2902"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 xml:space="preserve">WHO, Safe Abortion Guidance, </w:t>
      </w:r>
      <w:r w:rsidRPr="00E95958">
        <w:rPr>
          <w:i/>
        </w:rPr>
        <w:t>supra</w:t>
      </w:r>
      <w:r w:rsidRPr="00E95958">
        <w:t xml:space="preserve"> note 610, at 64. </w:t>
      </w:r>
    </w:p>
  </w:endnote>
  <w:endnote w:id="618">
    <w:p w14:paraId="3076A29E"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 xml:space="preserve">WHO, Safe Abortion Handbook, </w:t>
      </w:r>
      <w:r w:rsidRPr="00E95958">
        <w:rPr>
          <w:i/>
        </w:rPr>
        <w:t>supra</w:t>
      </w:r>
      <w:r w:rsidRPr="00E95958">
        <w:t xml:space="preserve"> note 599, at 61-64;</w:t>
      </w:r>
      <w:r w:rsidRPr="00E95958">
        <w:rPr>
          <w:smallCaps/>
        </w:rPr>
        <w:t xml:space="preserve"> WHO, Safe Abortion: Technical &amp; Policy Guidance for Health Systems – Legal and Policy Considerations 5</w:t>
      </w:r>
      <w:r w:rsidRPr="00E95958">
        <w:t xml:space="preserve"> (2015)</w:t>
      </w:r>
      <w:r w:rsidRPr="00E95958">
        <w:rPr>
          <w:i/>
        </w:rPr>
        <w:t>,</w:t>
      </w:r>
      <w:r w:rsidRPr="00E95958">
        <w:t xml:space="preserve"> </w:t>
      </w:r>
      <w:hyperlink r:id="rId204">
        <w:r w:rsidRPr="00E95958">
          <w:rPr>
            <w:rStyle w:val="Hyperlink"/>
          </w:rPr>
          <w:t>http://www.who.int/reproductivehealth/publications/unsafe_abortion/sa_legal_policy_considerations/en/</w:t>
        </w:r>
      </w:hyperlink>
      <w:r w:rsidRPr="00E95958">
        <w:t xml:space="preserve">. </w:t>
      </w:r>
    </w:p>
  </w:endnote>
  <w:endnote w:id="619">
    <w:p w14:paraId="52496030"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 xml:space="preserve">See </w:t>
      </w:r>
      <w:r w:rsidRPr="00E95958">
        <w:rPr>
          <w:smallCaps/>
        </w:rPr>
        <w:t>Rajan,</w:t>
      </w:r>
      <w:r w:rsidRPr="00E95958">
        <w:t xml:space="preserve"> </w:t>
      </w:r>
      <w:r w:rsidRPr="00E95958">
        <w:rPr>
          <w:smallCaps/>
        </w:rPr>
        <w:t xml:space="preserve">Women with Disabilities &amp; Breast Cancer Screening, </w:t>
      </w:r>
      <w:r w:rsidRPr="00E95958">
        <w:rPr>
          <w:i/>
        </w:rPr>
        <w:t xml:space="preserve">supra </w:t>
      </w:r>
      <w:r w:rsidRPr="00E95958">
        <w:t xml:space="preserve">note 586. </w:t>
      </w:r>
    </w:p>
  </w:endnote>
  <w:endnote w:id="620">
    <w:p w14:paraId="63FBF4A4"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 xml:space="preserve">WHO, Safe Abortion Handbook, </w:t>
      </w:r>
      <w:r w:rsidRPr="00E95958">
        <w:rPr>
          <w:i/>
        </w:rPr>
        <w:t>supra</w:t>
      </w:r>
      <w:r w:rsidRPr="00E95958">
        <w:t xml:space="preserve"> note 599, at 10. </w:t>
      </w:r>
    </w:p>
  </w:endnote>
  <w:endnote w:id="621">
    <w:p w14:paraId="53E5244C"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 xml:space="preserve">UNFPA &amp; Promundo, Adolescent Boys and Young Men: Engaging Them as Supporters of Gender Equality and Health and Understanding their Vulnerabilities </w:t>
      </w:r>
      <w:r w:rsidRPr="00E95958">
        <w:t xml:space="preserve">22-24 </w:t>
      </w:r>
      <w:r w:rsidRPr="00E95958">
        <w:rPr>
          <w:smallCaps/>
        </w:rPr>
        <w:t>(</w:t>
      </w:r>
      <w:r w:rsidRPr="00E95958">
        <w:t>Mar. 2016</w:t>
      </w:r>
      <w:r w:rsidRPr="00E95958">
        <w:rPr>
          <w:smallCaps/>
        </w:rPr>
        <w:t xml:space="preserve">), </w:t>
      </w:r>
      <w:hyperlink r:id="rId205">
        <w:r w:rsidRPr="00E95958">
          <w:rPr>
            <w:rStyle w:val="Hyperlink"/>
          </w:rPr>
          <w:t>http://www.unfpa.org/publications/adolescent-boys-and-young-men</w:t>
        </w:r>
      </w:hyperlink>
      <w:r w:rsidRPr="00E95958">
        <w:t>.</w:t>
      </w:r>
    </w:p>
  </w:endnote>
  <w:endnote w:id="622">
    <w:p w14:paraId="18AE66F5"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 xml:space="preserve">WHO, Making Health Services Adolescent Friendly: Developing National Quality Standards for Adolescent Friendly Health Services 5 </w:t>
      </w:r>
      <w:r w:rsidRPr="00E95958">
        <w:t xml:space="preserve">(2012), </w:t>
      </w:r>
      <w:hyperlink r:id="rId206">
        <w:r w:rsidRPr="00E95958">
          <w:rPr>
            <w:rStyle w:val="Hyperlink"/>
          </w:rPr>
          <w:t>http://www.who.int/maternal_child_adolescent/documents/adolescent_friendly_services/en/</w:t>
        </w:r>
      </w:hyperlink>
      <w:r w:rsidRPr="00E95958">
        <w:t>.</w:t>
      </w:r>
    </w:p>
  </w:endnote>
  <w:endnote w:id="623">
    <w:p w14:paraId="75B07554"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 xml:space="preserve">UNFPA, Make It Matter, </w:t>
      </w:r>
      <w:r w:rsidRPr="00E95958">
        <w:rPr>
          <w:i/>
        </w:rPr>
        <w:t xml:space="preserve">supra </w:t>
      </w:r>
      <w:r w:rsidRPr="00E95958">
        <w:t xml:space="preserve">note 388. </w:t>
      </w:r>
    </w:p>
  </w:endnote>
  <w:endnote w:id="624">
    <w:p w14:paraId="0D921DCA"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Rajan,</w:t>
      </w:r>
      <w:r w:rsidRPr="00E95958">
        <w:t xml:space="preserve"> </w:t>
      </w:r>
      <w:r w:rsidRPr="00E95958">
        <w:rPr>
          <w:smallCaps/>
        </w:rPr>
        <w:t xml:space="preserve">Women with Disabilities &amp; Breast Cancer Screening, </w:t>
      </w:r>
      <w:r w:rsidRPr="00E95958">
        <w:rPr>
          <w:i/>
        </w:rPr>
        <w:t xml:space="preserve">supra </w:t>
      </w:r>
      <w:r w:rsidRPr="00E95958">
        <w:t xml:space="preserve">note 586, at 6. </w:t>
      </w:r>
    </w:p>
  </w:endnote>
  <w:endnote w:id="625">
    <w:p w14:paraId="398D950A"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 xml:space="preserve">WHO, Making Health Services Adolescent Friendly, </w:t>
      </w:r>
      <w:r w:rsidRPr="00E95958">
        <w:rPr>
          <w:i/>
        </w:rPr>
        <w:t xml:space="preserve">supra </w:t>
      </w:r>
      <w:r w:rsidRPr="00E95958">
        <w:t xml:space="preserve">note 621, at 5. </w:t>
      </w:r>
    </w:p>
  </w:endnote>
  <w:endnote w:id="626">
    <w:p w14:paraId="079B857D" w14:textId="77777777" w:rsidR="002772C9" w:rsidRPr="00E95958" w:rsidRDefault="002772C9" w:rsidP="00E95958">
      <w:pPr>
        <w:pStyle w:val="EndnoteText"/>
        <w:ind w:left="-36" w:hanging="324"/>
      </w:pPr>
      <w:r w:rsidRPr="00E95958">
        <w:rPr>
          <w:vertAlign w:val="superscript"/>
        </w:rPr>
        <w:endnoteRef/>
      </w:r>
      <w:r w:rsidRPr="00E95958">
        <w:rPr>
          <w:smallCaps/>
        </w:rPr>
        <w:t xml:space="preserve"> WHO, Making Health Services Adolescent Friendly, </w:t>
      </w:r>
      <w:r w:rsidRPr="00E95958">
        <w:rPr>
          <w:i/>
        </w:rPr>
        <w:t xml:space="preserve">supra </w:t>
      </w:r>
      <w:r w:rsidRPr="00E95958">
        <w:t>note 621, at 5.</w:t>
      </w:r>
    </w:p>
  </w:endnote>
  <w:endnote w:id="627">
    <w:p w14:paraId="745CD29D"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Rajan,</w:t>
      </w:r>
      <w:r w:rsidRPr="00E95958">
        <w:t xml:space="preserve"> </w:t>
      </w:r>
      <w:r w:rsidRPr="00E95958">
        <w:rPr>
          <w:smallCaps/>
        </w:rPr>
        <w:t xml:space="preserve">Women with Disabilities &amp; Breast Cancer Screening, </w:t>
      </w:r>
      <w:r w:rsidRPr="00E95958">
        <w:rPr>
          <w:i/>
        </w:rPr>
        <w:t xml:space="preserve">supra </w:t>
      </w:r>
      <w:r w:rsidRPr="00E95958">
        <w:t xml:space="preserve">note 586, at 5-6. </w:t>
      </w:r>
    </w:p>
  </w:endnote>
  <w:endnote w:id="628">
    <w:p w14:paraId="2808D8CF"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WHO, Global accelerated action for the health of adolescents (AA-HA!): Guidance to Support Country Implementation – Summary</w:t>
      </w:r>
      <w:r w:rsidRPr="00E95958">
        <w:t xml:space="preserve">(2017), </w:t>
      </w:r>
      <w:hyperlink r:id="rId207">
        <w:r w:rsidRPr="00E95958">
          <w:rPr>
            <w:rStyle w:val="Hyperlink"/>
          </w:rPr>
          <w:t>http://apps.who.int/iris/bitstream/10665/255418/1/WHO-FWC-MCA-17.05-eng.pdf?ua</w:t>
        </w:r>
      </w:hyperlink>
      <w:r w:rsidRPr="00E95958">
        <w:rPr>
          <w:rStyle w:val="Hyperlink"/>
        </w:rPr>
        <w:t>=</w:t>
      </w:r>
      <w:r w:rsidRPr="00E95958">
        <w:t xml:space="preserve">. </w:t>
      </w:r>
    </w:p>
  </w:endnote>
  <w:endnote w:id="629">
    <w:p w14:paraId="767235C4" w14:textId="77777777" w:rsidR="002772C9" w:rsidRPr="00E95958" w:rsidRDefault="002772C9" w:rsidP="00E95958">
      <w:pPr>
        <w:pStyle w:val="EndnoteText"/>
        <w:ind w:left="-36" w:hanging="324"/>
      </w:pPr>
      <w:r w:rsidRPr="00E95958">
        <w:rPr>
          <w:vertAlign w:val="superscript"/>
        </w:rPr>
        <w:endnoteRef/>
      </w:r>
      <w:r w:rsidRPr="00E95958">
        <w:t xml:space="preserve"> WHO, </w:t>
      </w:r>
      <w:r w:rsidRPr="00E95958">
        <w:rPr>
          <w:smallCaps/>
        </w:rPr>
        <w:t xml:space="preserve">AA-HA!: Guidance, </w:t>
      </w:r>
      <w:r w:rsidRPr="00E95958">
        <w:rPr>
          <w:i/>
        </w:rPr>
        <w:t>supra</w:t>
      </w:r>
      <w:r w:rsidRPr="00E95958">
        <w:t xml:space="preserve"> note 627, at 3. </w:t>
      </w:r>
    </w:p>
  </w:endnote>
  <w:endnote w:id="630">
    <w:p w14:paraId="1685A5BA"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WHO &amp; UNAIDS, Global Standards for Quality Health-Care Services for Adolescents: A Guide to Implement a Standards-Driven Approach to Improve the Quality of Health Care Services for Adolescents. Volume 1: Standards and criteria</w:t>
      </w:r>
      <w:r w:rsidRPr="00E95958">
        <w:t xml:space="preserve"> (2015), </w:t>
      </w:r>
      <w:hyperlink r:id="rId208">
        <w:r w:rsidRPr="00E95958">
          <w:rPr>
            <w:rStyle w:val="Hyperlink"/>
          </w:rPr>
          <w:t>http://apps.who.int/iris/bitstream/10665/183935/1/9789241549332_vol1_eng.pdf?ua=1</w:t>
        </w:r>
      </w:hyperlink>
      <w:r w:rsidRPr="00E95958">
        <w:t xml:space="preserve">. </w:t>
      </w:r>
    </w:p>
  </w:endnote>
  <w:endnote w:id="631">
    <w:p w14:paraId="20339E6C" w14:textId="77777777" w:rsidR="002772C9" w:rsidRPr="00E95958" w:rsidRDefault="002772C9" w:rsidP="00E95958">
      <w:pPr>
        <w:pStyle w:val="EndnoteText"/>
        <w:ind w:left="-36" w:hanging="324"/>
        <w:rPr>
          <w:smallCaps/>
        </w:rPr>
      </w:pPr>
      <w:r w:rsidRPr="00E95958">
        <w:rPr>
          <w:vertAlign w:val="superscript"/>
        </w:rPr>
        <w:endnoteRef/>
      </w:r>
      <w:r w:rsidRPr="00E95958">
        <w:t xml:space="preserve"> </w:t>
      </w:r>
      <w:r w:rsidRPr="00E95958">
        <w:rPr>
          <w:smallCaps/>
        </w:rPr>
        <w:t xml:space="preserve">WHO &amp; UNAIDS, Global Standards for Quality Health-Care Services for Adolescents, </w:t>
      </w:r>
      <w:r w:rsidRPr="00E95958">
        <w:rPr>
          <w:i/>
        </w:rPr>
        <w:t>supra</w:t>
      </w:r>
      <w:r w:rsidRPr="00E95958">
        <w:t xml:space="preserve"> note 629, at 4.</w:t>
      </w:r>
    </w:p>
  </w:endnote>
  <w:endnote w:id="632">
    <w:p w14:paraId="77516481" w14:textId="77777777" w:rsidR="002772C9" w:rsidRPr="00E95958" w:rsidRDefault="002772C9" w:rsidP="00E95958">
      <w:pPr>
        <w:pStyle w:val="EndnoteText"/>
        <w:ind w:left="-36" w:hanging="324"/>
      </w:pPr>
      <w:r w:rsidRPr="00E95958">
        <w:rPr>
          <w:rStyle w:val="EndnoteReference"/>
        </w:rPr>
        <w:endnoteRef/>
      </w:r>
      <w:r w:rsidRPr="00E95958">
        <w:t xml:space="preserve"> Caroline van Slobbe, Dutch Coalition on Disability and Development, Share-Net International, Everybody Matters: Good Practices for Inclusion of People with Disabilities in Sexual and Reproductive Health and Rights Programmes 31-32 (Claire Stout, Bianca Tolboom &amp; Lieke Scheewe eds. 2017), </w:t>
      </w:r>
      <w:hyperlink r:id="rId209" w:history="1">
        <w:r w:rsidRPr="00E95958">
          <w:rPr>
            <w:rStyle w:val="Hyperlink"/>
          </w:rPr>
          <w:t>http://share-netinternational.org/everybody-matters/</w:t>
        </w:r>
      </w:hyperlink>
      <w:r w:rsidRPr="00E95958">
        <w:t xml:space="preserve"> [hereinafter DCDD &amp; Share-Net, Everybody Matters]. </w:t>
      </w:r>
    </w:p>
  </w:endnote>
  <w:endnote w:id="633">
    <w:p w14:paraId="0889AFD0" w14:textId="77777777" w:rsidR="002772C9" w:rsidRPr="00E95958" w:rsidRDefault="002772C9" w:rsidP="00E95958">
      <w:pPr>
        <w:pStyle w:val="EndnoteText"/>
        <w:ind w:left="-36" w:hanging="324"/>
      </w:pPr>
      <w:r w:rsidRPr="00E95958">
        <w:rPr>
          <w:rStyle w:val="EndnoteReference"/>
        </w:rPr>
        <w:endnoteRef/>
      </w:r>
      <w:r w:rsidRPr="00E95958">
        <w:t xml:space="preserve"> DCDD &amp; Share-Net,</w:t>
      </w:r>
      <w:r w:rsidRPr="00E95958">
        <w:rPr>
          <w:iCs/>
        </w:rPr>
        <w:t xml:space="preserve"> Everybody Matters, </w:t>
      </w:r>
      <w:r w:rsidRPr="00E95958">
        <w:rPr>
          <w:i/>
        </w:rPr>
        <w:t xml:space="preserve">supra </w:t>
      </w:r>
      <w:r w:rsidRPr="00E95958">
        <w:t xml:space="preserve">note 631, at 31. </w:t>
      </w:r>
    </w:p>
  </w:endnote>
  <w:endnote w:id="634">
    <w:p w14:paraId="252A7749" w14:textId="77777777" w:rsidR="002772C9" w:rsidRPr="00E95958" w:rsidRDefault="002772C9" w:rsidP="00E95958">
      <w:pPr>
        <w:pStyle w:val="EndnoteText"/>
        <w:ind w:left="-36" w:hanging="324"/>
      </w:pPr>
      <w:r w:rsidRPr="00E95958">
        <w:rPr>
          <w:rStyle w:val="EndnoteReference"/>
        </w:rPr>
        <w:endnoteRef/>
      </w:r>
      <w:r w:rsidRPr="00E95958">
        <w:t xml:space="preserve"> DCDD &amp; Share-Net,</w:t>
      </w:r>
      <w:r w:rsidRPr="00E95958">
        <w:rPr>
          <w:iCs/>
        </w:rPr>
        <w:t xml:space="preserve"> Everybody Matters, </w:t>
      </w:r>
      <w:r w:rsidRPr="00E95958">
        <w:rPr>
          <w:i/>
        </w:rPr>
        <w:t xml:space="preserve">supra </w:t>
      </w:r>
      <w:r w:rsidRPr="00E95958">
        <w:t xml:space="preserve">note 631. </w:t>
      </w:r>
    </w:p>
  </w:endnote>
  <w:endnote w:id="635">
    <w:p w14:paraId="692EF240" w14:textId="77777777" w:rsidR="002772C9" w:rsidRPr="00E95958" w:rsidRDefault="002772C9" w:rsidP="00E95958">
      <w:pPr>
        <w:pStyle w:val="EndnoteText"/>
        <w:ind w:left="-36" w:hanging="324"/>
      </w:pPr>
      <w:r w:rsidRPr="00E95958">
        <w:rPr>
          <w:vertAlign w:val="superscript"/>
        </w:rPr>
        <w:endnoteRef/>
      </w:r>
      <w:r w:rsidRPr="00E95958">
        <w:rPr>
          <w:smallCaps/>
        </w:rPr>
        <w:t xml:space="preserve"> Down’s Syndrome Scotland, Let’s Talk About Periods</w:t>
      </w:r>
      <w:r w:rsidRPr="00E95958">
        <w:t xml:space="preserve"> (2016), </w:t>
      </w:r>
      <w:hyperlink r:id="rId210">
        <w:r w:rsidRPr="00E95958">
          <w:rPr>
            <w:rStyle w:val="Hyperlink"/>
          </w:rPr>
          <w:t>https://www.dsscotland.org.uk/wordpress/wp-content/uploads/2016/02/Lets-talk-Periods.pdf</w:t>
        </w:r>
      </w:hyperlink>
      <w:r w:rsidRPr="00E95958">
        <w:t xml:space="preserve"> </w:t>
      </w:r>
    </w:p>
  </w:endnote>
  <w:endnote w:id="636">
    <w:p w14:paraId="49106D12"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Maxwell et al., Health Handbook</w:t>
      </w:r>
      <w:r w:rsidRPr="00E95958">
        <w:t xml:space="preserve">, </w:t>
      </w:r>
      <w:r w:rsidRPr="00E95958">
        <w:rPr>
          <w:i/>
        </w:rPr>
        <w:t>supra</w:t>
      </w:r>
      <w:r w:rsidRPr="00E95958">
        <w:t xml:space="preserve"> note 416, at 110.</w:t>
      </w:r>
    </w:p>
  </w:endnote>
  <w:endnote w:id="637">
    <w:p w14:paraId="163533FE" w14:textId="77777777" w:rsidR="002772C9" w:rsidRPr="00E95958" w:rsidRDefault="002772C9" w:rsidP="00E95958">
      <w:pPr>
        <w:pStyle w:val="EndnoteText"/>
        <w:ind w:left="-36" w:hanging="324"/>
      </w:pPr>
      <w:r w:rsidRPr="00E95958">
        <w:rPr>
          <w:vertAlign w:val="superscript"/>
        </w:rPr>
        <w:endnoteRef/>
      </w:r>
      <w:r w:rsidRPr="00E95958">
        <w:t xml:space="preserve"> Jane Tracy, Sonia Grover &amp; Sandra Macgibbon, </w:t>
      </w:r>
      <w:r w:rsidRPr="00E95958">
        <w:rPr>
          <w:i/>
        </w:rPr>
        <w:t>Menstrual Issues for Women with Intellectual Disability,</w:t>
      </w:r>
      <w:r w:rsidRPr="00E95958">
        <w:t xml:space="preserve"> </w:t>
      </w:r>
      <w:r w:rsidRPr="00E95958">
        <w:rPr>
          <w:smallCaps/>
        </w:rPr>
        <w:t>29 Austl. Prescriber 2</w:t>
      </w:r>
      <w:r w:rsidRPr="00E95958">
        <w:t xml:space="preserve"> (Apr. 1, 2016), </w:t>
      </w:r>
      <w:hyperlink r:id="rId211">
        <w:r w:rsidRPr="00E95958">
          <w:rPr>
            <w:rStyle w:val="Hyperlink"/>
          </w:rPr>
          <w:t>https://www.nps.org.au/australian-prescriber/articles/menstrual-issues-for-women-with-intellectual-disability</w:t>
        </w:r>
      </w:hyperlink>
      <w:r w:rsidRPr="00E95958">
        <w:t>.</w:t>
      </w:r>
    </w:p>
  </w:endnote>
  <w:endnote w:id="638">
    <w:p w14:paraId="121852B2" w14:textId="77777777" w:rsidR="002772C9" w:rsidRPr="00E95958" w:rsidRDefault="002772C9" w:rsidP="00E95958">
      <w:pPr>
        <w:pStyle w:val="EndnoteText"/>
        <w:ind w:left="-36" w:hanging="324"/>
      </w:pPr>
      <w:r w:rsidRPr="00E95958">
        <w:rPr>
          <w:vertAlign w:val="superscript"/>
        </w:rPr>
        <w:endnoteRef/>
      </w:r>
      <w:r w:rsidRPr="00E95958">
        <w:t xml:space="preserve">Sabrina Rubi &amp; Jennifer Rubi, </w:t>
      </w:r>
      <w:r w:rsidRPr="00E95958">
        <w:rPr>
          <w:i/>
        </w:rPr>
        <w:t xml:space="preserve">The Unheard Voices Of Tanzanian Girls With Disabilities Breaking The Menstrual Taboo, </w:t>
      </w:r>
      <w:r w:rsidRPr="00E95958">
        <w:rPr>
          <w:smallCaps/>
        </w:rPr>
        <w:t>The Huffington Post</w:t>
      </w:r>
      <w:r w:rsidRPr="00E95958">
        <w:t xml:space="preserve">, Mar. 23, 2017,  </w:t>
      </w:r>
      <w:hyperlink r:id="rId212">
        <w:r w:rsidRPr="00E95958">
          <w:rPr>
            <w:rStyle w:val="Hyperlink"/>
          </w:rPr>
          <w:t>http://www.huffingtonpost.ca/sabrina-rubli/tanzanian-girls-with-disabilities_b_15537396.html</w:t>
        </w:r>
      </w:hyperlink>
      <w:r w:rsidRPr="00E95958">
        <w:t xml:space="preserve">. </w:t>
      </w:r>
      <w:r w:rsidRPr="00E95958">
        <w:rPr>
          <w:i/>
        </w:rPr>
        <w:t>See also</w:t>
      </w:r>
      <w:r w:rsidRPr="00E95958">
        <w:t xml:space="preserve"> </w:t>
      </w:r>
      <w:r w:rsidRPr="00E95958">
        <w:rPr>
          <w:i/>
        </w:rPr>
        <w:t>Our Programs</w:t>
      </w:r>
      <w:r w:rsidRPr="00E95958">
        <w:t xml:space="preserve">, </w:t>
      </w:r>
      <w:r w:rsidRPr="00E95958">
        <w:rPr>
          <w:smallCaps/>
        </w:rPr>
        <w:t>Femme International</w:t>
      </w:r>
      <w:r w:rsidRPr="00E95958">
        <w:t xml:space="preserve">, </w:t>
      </w:r>
      <w:hyperlink r:id="rId213">
        <w:r w:rsidRPr="00E95958">
          <w:rPr>
            <w:rStyle w:val="Hyperlink"/>
          </w:rPr>
          <w:t>https://www.femmeinternational.org/our-work/</w:t>
        </w:r>
      </w:hyperlink>
      <w:r w:rsidRPr="00E95958">
        <w:t>.</w:t>
      </w:r>
    </w:p>
  </w:endnote>
  <w:endnote w:id="639">
    <w:p w14:paraId="4A292BB7" w14:textId="77777777" w:rsidR="002772C9" w:rsidRPr="00E95958" w:rsidRDefault="002772C9" w:rsidP="00E95958">
      <w:pPr>
        <w:pStyle w:val="EndnoteText"/>
        <w:ind w:left="-36" w:hanging="324"/>
        <w:rPr>
          <w:highlight w:val="white"/>
        </w:rPr>
      </w:pPr>
      <w:r w:rsidRPr="00E95958">
        <w:rPr>
          <w:vertAlign w:val="superscript"/>
        </w:rPr>
        <w:endnoteRef/>
      </w:r>
      <w:r w:rsidRPr="00E95958">
        <w:t xml:space="preserve"> </w:t>
      </w:r>
      <w:r w:rsidRPr="00E95958">
        <w:rPr>
          <w:smallCaps/>
          <w:highlight w:val="white"/>
        </w:rPr>
        <w:t>The Adolescent Kit For Expression and Innovation</w:t>
      </w:r>
      <w:r w:rsidRPr="00E95958">
        <w:rPr>
          <w:highlight w:val="white"/>
        </w:rPr>
        <w:t xml:space="preserve">, </w:t>
      </w:r>
      <w:hyperlink r:id="rId214">
        <w:r w:rsidRPr="00E95958">
          <w:rPr>
            <w:rStyle w:val="Hyperlink"/>
          </w:rPr>
          <w:t>http://adolescentkit.org/</w:t>
        </w:r>
      </w:hyperlink>
      <w:r w:rsidRPr="00E95958">
        <w:t>.</w:t>
      </w:r>
      <w:r w:rsidRPr="00E95958">
        <w:rPr>
          <w:highlight w:val="white"/>
        </w:rPr>
        <w:t> </w:t>
      </w:r>
    </w:p>
  </w:endnote>
  <w:endnote w:id="640">
    <w:p w14:paraId="287ED609" w14:textId="77777777" w:rsidR="002772C9" w:rsidRPr="00E95958" w:rsidRDefault="002772C9" w:rsidP="00E95958">
      <w:pPr>
        <w:pStyle w:val="EndnoteText"/>
        <w:ind w:left="-36" w:hanging="324"/>
      </w:pPr>
      <w:r w:rsidRPr="00E95958">
        <w:rPr>
          <w:vertAlign w:val="superscript"/>
        </w:rPr>
        <w:endnoteRef/>
      </w:r>
      <w:r w:rsidRPr="00E95958">
        <w:t xml:space="preserve"> UNICEF, </w:t>
      </w:r>
      <w:r w:rsidRPr="00E95958">
        <w:rPr>
          <w:smallCaps/>
        </w:rPr>
        <w:t>Take Us Seriously!  Engaging children with disabilities in decisions affecting their lives</w:t>
      </w:r>
      <w:r w:rsidRPr="00E95958">
        <w:t xml:space="preserve"> 24-25 (2012), </w:t>
      </w:r>
      <w:hyperlink r:id="rId215">
        <w:r w:rsidRPr="00E95958">
          <w:rPr>
            <w:rStyle w:val="Hyperlink"/>
          </w:rPr>
          <w:t>https://www.unicef.org/disabilities/files/Take_Us_Seriously.pdf</w:t>
        </w:r>
      </w:hyperlink>
      <w:r w:rsidRPr="00E95958">
        <w:t xml:space="preserve">. </w:t>
      </w:r>
    </w:p>
  </w:endnote>
  <w:endnote w:id="641">
    <w:p w14:paraId="24E5E6D8"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 xml:space="preserve">WHO, Making Health Services Adolescent Friendly, </w:t>
      </w:r>
      <w:r w:rsidRPr="00E95958">
        <w:rPr>
          <w:i/>
        </w:rPr>
        <w:t xml:space="preserve">supra </w:t>
      </w:r>
      <w:r w:rsidRPr="00E95958">
        <w:t>note 621, at 5.</w:t>
      </w:r>
    </w:p>
  </w:endnote>
  <w:endnote w:id="642">
    <w:p w14:paraId="22D5C290"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See</w:t>
      </w:r>
      <w:r w:rsidRPr="00E95958">
        <w:t xml:space="preserve"> Office of the United Nations High Commissioner for Human Rights (OHCHR), </w:t>
      </w:r>
      <w:r w:rsidRPr="00E95958">
        <w:rPr>
          <w:i/>
        </w:rPr>
        <w:t>Thematic Study on the Issue of Violence Against Women and Girls and Disability</w:t>
      </w:r>
      <w:r w:rsidRPr="00E95958">
        <w:t xml:space="preserve">, para. 53(h), U.N. Doc. A/HRC/20/5 (Mar. 30 2012). </w:t>
      </w:r>
      <w:hyperlink r:id="rId216">
        <w:r w:rsidRPr="00E95958">
          <w:rPr>
            <w:rStyle w:val="Hyperlink"/>
          </w:rPr>
          <w:t>http://www2.ohchr.org/english/issues/women/docs/A.HRC.20.5.pdf</w:t>
        </w:r>
      </w:hyperlink>
      <w:r w:rsidRPr="00E95958">
        <w:t>.</w:t>
      </w:r>
    </w:p>
  </w:endnote>
  <w:endnote w:id="643">
    <w:p w14:paraId="7D95DCD5" w14:textId="77777777" w:rsidR="002772C9" w:rsidRPr="00E95958" w:rsidRDefault="002772C9" w:rsidP="00E95958">
      <w:pPr>
        <w:pStyle w:val="EndnoteText"/>
        <w:ind w:left="-36" w:hanging="324"/>
        <w:rPr>
          <w:i/>
        </w:rPr>
      </w:pPr>
      <w:r w:rsidRPr="00E95958">
        <w:rPr>
          <w:rStyle w:val="EndnoteReference"/>
        </w:rPr>
        <w:endnoteRef/>
      </w:r>
      <w:r w:rsidRPr="00E95958">
        <w:t xml:space="preserve"> </w:t>
      </w:r>
      <w:r w:rsidRPr="00E95958">
        <w:rPr>
          <w:i/>
        </w:rPr>
        <w:t xml:space="preserve">See e.g. </w:t>
      </w:r>
      <w:r w:rsidRPr="00E95958">
        <w:rPr>
          <w:smallCaps/>
          <w:highlight w:val="white"/>
        </w:rPr>
        <w:t>"Decimelo a mi!"  </w:t>
      </w:r>
      <w:hyperlink r:id="rId217">
        <w:r w:rsidRPr="00E95958">
          <w:rPr>
            <w:rStyle w:val="Hyperlink"/>
            <w:highlight w:val="white"/>
          </w:rPr>
          <w:t>http://decimeloami.com/web/</w:t>
        </w:r>
      </w:hyperlink>
      <w:r w:rsidRPr="00E95958">
        <w:t>.</w:t>
      </w:r>
    </w:p>
  </w:endnote>
  <w:endnote w:id="644">
    <w:p w14:paraId="097D2915" w14:textId="3F457AD7" w:rsidR="002772C9" w:rsidRPr="00E95958" w:rsidRDefault="002772C9" w:rsidP="00F3261F">
      <w:pPr>
        <w:pStyle w:val="EndnoteText"/>
        <w:ind w:left="-36" w:hanging="324"/>
      </w:pPr>
      <w:r w:rsidRPr="00E95958">
        <w:rPr>
          <w:vertAlign w:val="superscript"/>
        </w:rPr>
        <w:endnoteRef/>
      </w:r>
      <w:r w:rsidRPr="00E95958">
        <w:rPr>
          <w:vertAlign w:val="superscript"/>
        </w:rPr>
        <w:t xml:space="preserve"> </w:t>
      </w:r>
      <w:r w:rsidRPr="00E95958">
        <w:rPr>
          <w:smallCaps/>
        </w:rPr>
        <w:t xml:space="preserve">WHO, Core Competencies in Adolescent Health and Development for Primary Care Providers </w:t>
      </w:r>
      <w:r w:rsidRPr="00F3261F">
        <w:rPr>
          <w:smallCaps/>
          <w:lang w:val="en-GB"/>
        </w:rPr>
        <w:t>including a Tool to Assess the Adolescent Health and Development Component in Pre-Service Education of Health-Care Providers (2015),</w:t>
      </w:r>
      <w:r w:rsidRPr="00E95958">
        <w:t xml:space="preserve"> </w:t>
      </w:r>
      <w:hyperlink r:id="rId218" w:history="1">
        <w:r w:rsidRPr="00F3261F">
          <w:rPr>
            <w:rStyle w:val="Hyperlink"/>
          </w:rPr>
          <w:t>http://www.who.int/maternal_child_adolescent/documents/core_competencies/en/</w:t>
        </w:r>
      </w:hyperlink>
      <w:r w:rsidRPr="00E95958">
        <w:t xml:space="preserve">. </w:t>
      </w:r>
    </w:p>
  </w:endnote>
  <w:endnote w:id="645">
    <w:p w14:paraId="2663C855" w14:textId="29D1CB4B"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Report of the Special Rapporteur on the Right of Everyone to the Enjoyment of the Highest Attainable Standards of Physical and Mental Health: Note by the Secretariat</w:t>
      </w:r>
      <w:r w:rsidRPr="00E95958">
        <w:t xml:space="preserve">, para. 18, U.N.Doc. A/HRC/32/32 (Apr. 4, 2016). </w:t>
      </w:r>
    </w:p>
  </w:endnote>
  <w:endnote w:id="646">
    <w:p w14:paraId="5D09344D" w14:textId="77777777" w:rsidR="002772C9" w:rsidRPr="00E95958" w:rsidRDefault="002772C9" w:rsidP="00E95958">
      <w:pPr>
        <w:pStyle w:val="EndnoteText"/>
        <w:ind w:left="-36" w:hanging="324"/>
        <w:rPr>
          <w:i/>
        </w:rPr>
      </w:pPr>
      <w:r w:rsidRPr="00E95958">
        <w:rPr>
          <w:vertAlign w:val="superscript"/>
        </w:rPr>
        <w:endnoteRef/>
      </w:r>
      <w:r w:rsidRPr="00E95958">
        <w:t xml:space="preserve"> </w:t>
      </w:r>
      <w:r w:rsidRPr="00E95958">
        <w:rPr>
          <w:i/>
        </w:rPr>
        <w:t>Report of the Special Rapporteur on the Right of Everyone to the Enjoyment of the Highest Attainable Standards of Physical and Mental Health</w:t>
      </w:r>
      <w:r w:rsidRPr="00E95958">
        <w:rPr>
          <w:smallCaps/>
        </w:rPr>
        <w:t xml:space="preserve">, </w:t>
      </w:r>
      <w:r w:rsidRPr="00E95958">
        <w:rPr>
          <w:i/>
        </w:rPr>
        <w:t>supra</w:t>
      </w:r>
      <w:r w:rsidRPr="00E95958">
        <w:t xml:space="preserve"> note 644, at para. 56. </w:t>
      </w:r>
    </w:p>
  </w:endnote>
  <w:endnote w:id="647">
    <w:p w14:paraId="45285C7E"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See Report of the Special Rapporteur on the Right of Everyone to the Enjoyment of the Highest Attainable Standards of Physical and Mental Health</w:t>
      </w:r>
      <w:r w:rsidRPr="00E95958">
        <w:rPr>
          <w:smallCaps/>
        </w:rPr>
        <w:t xml:space="preserve">, </w:t>
      </w:r>
      <w:r w:rsidRPr="00E95958">
        <w:rPr>
          <w:i/>
        </w:rPr>
        <w:t>supra</w:t>
      </w:r>
      <w:r w:rsidRPr="00E95958">
        <w:t xml:space="preserve"> note 644. </w:t>
      </w:r>
    </w:p>
  </w:endnote>
  <w:endnote w:id="648">
    <w:p w14:paraId="3871248B" w14:textId="77777777" w:rsidR="002772C9" w:rsidRPr="00E95958" w:rsidRDefault="002772C9" w:rsidP="00E95958">
      <w:pPr>
        <w:pStyle w:val="EndnoteText"/>
        <w:ind w:left="-36" w:hanging="324"/>
        <w:rPr>
          <w:b/>
        </w:rPr>
      </w:pPr>
      <w:r w:rsidRPr="00E95958">
        <w:rPr>
          <w:rStyle w:val="EndnoteReference"/>
        </w:rPr>
        <w:endnoteRef/>
      </w:r>
      <w:r w:rsidRPr="00E95958">
        <w:t xml:space="preserve"> </w:t>
      </w:r>
      <w:r w:rsidRPr="00E95958">
        <w:rPr>
          <w:i/>
        </w:rPr>
        <w:t xml:space="preserve">See </w:t>
      </w:r>
      <w:r w:rsidRPr="00E95958">
        <w:rPr>
          <w:rFonts w:eastAsia="Times New Roman"/>
          <w:smallCaps/>
        </w:rPr>
        <w:t>Inter-agency Working Group (IAWG) on Reproductive Health in Crises, Inter-agency Field Manual on Reproductive Health in Humanitarian Settings</w:t>
      </w:r>
      <w:r w:rsidRPr="00E95958">
        <w:t xml:space="preserve"> (2010), </w:t>
      </w:r>
      <w:hyperlink r:id="rId219" w:history="1">
        <w:r w:rsidRPr="00E95958">
          <w:rPr>
            <w:rStyle w:val="Hyperlink"/>
          </w:rPr>
          <w:t>http://www.who.int/reproductivehealth/publications/emergencies/field_manual/en/</w:t>
        </w:r>
      </w:hyperlink>
      <w:r w:rsidRPr="00E95958">
        <w:t xml:space="preserve"> (Note, an updated version of this manual is expected to be published in 2018 after the completion of this document); </w:t>
      </w:r>
      <w:r w:rsidRPr="00E95958">
        <w:rPr>
          <w:i/>
        </w:rPr>
        <w:t xml:space="preserve"> </w:t>
      </w:r>
      <w:r w:rsidRPr="00E95958">
        <w:rPr>
          <w:smallCaps/>
        </w:rPr>
        <w:t>UNFPA</w:t>
      </w:r>
      <w:r w:rsidRPr="00E95958">
        <w:rPr>
          <w:smallCaps/>
          <w:lang w:eastAsia="zh-CN"/>
        </w:rPr>
        <w:t>,</w:t>
      </w:r>
      <w:r w:rsidRPr="00E95958">
        <w:rPr>
          <w:smallCaps/>
        </w:rPr>
        <w:t xml:space="preserve"> Minimum Initial Service Package (MISP) </w:t>
      </w:r>
      <w:r w:rsidRPr="00E95958">
        <w:t xml:space="preserve">(Apr. 2015), </w:t>
      </w:r>
      <w:hyperlink r:id="rId220" w:history="1">
        <w:r w:rsidRPr="00E95958">
          <w:rPr>
            <w:rStyle w:val="Hyperlink"/>
          </w:rPr>
          <w:t>https://www.unfpa.org/sites/default/files/resource-pdf/MISP_Objectives.pdf</w:t>
        </w:r>
      </w:hyperlink>
      <w:r w:rsidRPr="00E95958">
        <w:t xml:space="preserve">; </w:t>
      </w:r>
      <w:r w:rsidRPr="00E95958">
        <w:rPr>
          <w:i/>
        </w:rPr>
        <w:t>Minimum Initial Service Package,</w:t>
      </w:r>
      <w:r w:rsidRPr="00E95958">
        <w:t xml:space="preserve"> </w:t>
      </w:r>
      <w:r w:rsidRPr="00E95958">
        <w:rPr>
          <w:smallCaps/>
        </w:rPr>
        <w:t>Inter-Agency Working Group on Reproductive Health in Crises</w:t>
      </w:r>
      <w:r w:rsidRPr="00E95958">
        <w:t xml:space="preserve"> (2011), </w:t>
      </w:r>
      <w:hyperlink r:id="rId221" w:history="1">
        <w:r w:rsidRPr="00E95958">
          <w:rPr>
            <w:rStyle w:val="Hyperlink"/>
          </w:rPr>
          <w:t>http://iawg.net/minimum-initial-service-package</w:t>
        </w:r>
      </w:hyperlink>
      <w:r w:rsidRPr="00E95958">
        <w:t>.</w:t>
      </w:r>
    </w:p>
  </w:endnote>
  <w:endnote w:id="649">
    <w:p w14:paraId="6793A902" w14:textId="77777777" w:rsidR="002772C9" w:rsidRPr="00E95958" w:rsidRDefault="002772C9" w:rsidP="00E95958">
      <w:pPr>
        <w:pStyle w:val="EndnoteText"/>
        <w:ind w:left="-36" w:hanging="324"/>
      </w:pPr>
      <w:r w:rsidRPr="00E95958">
        <w:rPr>
          <w:rStyle w:val="EndnoteReference"/>
        </w:rPr>
        <w:endnoteRef/>
      </w:r>
      <w:r w:rsidRPr="00E95958">
        <w:t xml:space="preserve"> Adolescent Sexual and Reproductive Health Toolkit, </w:t>
      </w:r>
      <w:r w:rsidRPr="00E95958">
        <w:rPr>
          <w:i/>
        </w:rPr>
        <w:t>supra</w:t>
      </w:r>
      <w:r w:rsidRPr="00E95958">
        <w:t xml:space="preserve"> note 389.</w:t>
      </w:r>
    </w:p>
  </w:endnote>
  <w:endnote w:id="650">
    <w:p w14:paraId="26C79AA1"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 xml:space="preserve">Adolescent Sexual and Reproductive Health Toolkit, </w:t>
      </w:r>
      <w:r w:rsidRPr="00E95958">
        <w:rPr>
          <w:i/>
        </w:rPr>
        <w:t>supra</w:t>
      </w:r>
      <w:r w:rsidRPr="00E95958">
        <w:t xml:space="preserve"> note 389, at 18, 28.</w:t>
      </w:r>
    </w:p>
  </w:endnote>
  <w:endnote w:id="651">
    <w:p w14:paraId="5283D15A"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 xml:space="preserve">Adolescent Sexual and Reproductive Health Toolkit, </w:t>
      </w:r>
      <w:r w:rsidRPr="00E95958">
        <w:rPr>
          <w:i/>
        </w:rPr>
        <w:t>supra</w:t>
      </w:r>
      <w:r w:rsidRPr="00E95958">
        <w:t xml:space="preserve"> note 389, at 18, 28.</w:t>
      </w:r>
    </w:p>
  </w:endnote>
  <w:endnote w:id="652">
    <w:p w14:paraId="260352BF"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 xml:space="preserve">Adolescent Sexual and Reproductive Health Toolkit, </w:t>
      </w:r>
      <w:r w:rsidRPr="00E95958">
        <w:rPr>
          <w:i/>
        </w:rPr>
        <w:t>supra</w:t>
      </w:r>
      <w:r w:rsidRPr="00E95958">
        <w:t xml:space="preserve"> note 389, at 30. </w:t>
      </w:r>
    </w:p>
  </w:endnote>
  <w:endnote w:id="653">
    <w:p w14:paraId="688A3630"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Ragnar Anderson, Christine Panchaud, Lisa Remez &amp; Susheela Singh, Measuring Adolescent Women’s Sexual and Reproductive Health Within A Rights-Based Framework: Developing and Applying an Index</w:t>
      </w:r>
      <w:r w:rsidRPr="00E95958">
        <w:t xml:space="preserve">, Guttmacher Institute 9 (Dec. 2014), </w:t>
      </w:r>
      <w:hyperlink r:id="rId222">
        <w:r w:rsidRPr="00E95958">
          <w:rPr>
            <w:rStyle w:val="Hyperlink"/>
          </w:rPr>
          <w:t>https://www.guttmacher.org/report/measuring-adolescent-womens-sexual-and-reproductive-health-within-rights-based-framework</w:t>
        </w:r>
      </w:hyperlink>
      <w:r w:rsidRPr="00E95958">
        <w:t xml:space="preserve">. </w:t>
      </w:r>
    </w:p>
  </w:endnote>
  <w:endnote w:id="654">
    <w:p w14:paraId="194DB03F" w14:textId="372E2D20"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James E. Rosen &amp; Ruth Levine, Mainstreaming Adolescent Girls into Indicators of Health Systems Strengthening</w:t>
      </w:r>
      <w:r w:rsidRPr="00E95958">
        <w:t xml:space="preserve">, </w:t>
      </w:r>
      <w:r w:rsidRPr="00E95958">
        <w:rPr>
          <w:i/>
        </w:rPr>
        <w:t>Center for Global Development</w:t>
      </w:r>
      <w:r w:rsidRPr="00E95958">
        <w:t xml:space="preserve"> 9 (Feb. 26, 2010) </w:t>
      </w:r>
      <w:hyperlink r:id="rId223">
        <w:r w:rsidRPr="00E95958">
          <w:rPr>
            <w:rStyle w:val="Hyperlink"/>
          </w:rPr>
          <w:t>http://www.cgdev.org/doc/ghprn/Start_with_a_Girl-Indicators Paper.pdf</w:t>
        </w:r>
      </w:hyperlink>
      <w:r w:rsidRPr="00E95958">
        <w:t xml:space="preserve">. </w:t>
      </w:r>
    </w:p>
  </w:endnote>
  <w:endnote w:id="655">
    <w:p w14:paraId="0D2F24D9" w14:textId="1AAC90DA" w:rsidR="002772C9" w:rsidRPr="00F3261F" w:rsidRDefault="002772C9" w:rsidP="00E95958">
      <w:pPr>
        <w:pStyle w:val="EndnoteText"/>
        <w:ind w:left="-36" w:hanging="324"/>
        <w:rPr>
          <w:rStyle w:val="Hyperlink"/>
          <w:rFonts w:cs="Times New Roman"/>
        </w:rPr>
      </w:pPr>
      <w:r w:rsidRPr="00E95958">
        <w:rPr>
          <w:vertAlign w:val="superscript"/>
        </w:rPr>
        <w:endnoteRef/>
      </w:r>
      <w:r w:rsidRPr="00E95958">
        <w:rPr>
          <w:smallCaps/>
        </w:rPr>
        <w:t>WHO, Comprehensive Cervical Cancer Control: A Guide to Essential Practice</w:t>
      </w:r>
      <w:r w:rsidRPr="00E95958">
        <w:t xml:space="preserve"> 78 (2</w:t>
      </w:r>
      <w:r w:rsidRPr="00E95958">
        <w:rPr>
          <w:vertAlign w:val="superscript"/>
        </w:rPr>
        <w:t>nd</w:t>
      </w:r>
      <w:r w:rsidRPr="00E95958">
        <w:t xml:space="preserve"> ed. 2014), </w:t>
      </w:r>
      <w:hyperlink r:id="rId224" w:history="1">
        <w:r w:rsidRPr="00E95958">
          <w:rPr>
            <w:rStyle w:val="Hyperlink"/>
          </w:rPr>
          <w:t>https://www.who.int/reproductivehealth/publications/cancers/cervical-cancer-guide/en/</w:t>
        </w:r>
      </w:hyperlink>
      <w:r w:rsidRPr="00F3261F">
        <w:rPr>
          <w:rStyle w:val="Hyperlink"/>
          <w:rFonts w:cs="Times New Roman"/>
        </w:rPr>
        <w:t>.</w:t>
      </w:r>
    </w:p>
  </w:endnote>
  <w:endnote w:id="656">
    <w:p w14:paraId="23FDB270" w14:textId="77777777" w:rsidR="002772C9" w:rsidRPr="00E95958" w:rsidRDefault="002772C9" w:rsidP="00E95958">
      <w:pPr>
        <w:pStyle w:val="EndnoteText"/>
        <w:ind w:left="-36" w:hanging="324"/>
        <w:rPr>
          <w:smallCaps/>
        </w:rPr>
      </w:pPr>
      <w:r w:rsidRPr="00E95958">
        <w:rPr>
          <w:vertAlign w:val="superscript"/>
        </w:rPr>
        <w:endnoteRef/>
      </w:r>
      <w:r w:rsidRPr="00E95958">
        <w:rPr>
          <w:smallCaps/>
        </w:rPr>
        <w:t xml:space="preserve"> Adolescent Sexual and Reproductive Health Toolkit, </w:t>
      </w:r>
      <w:r w:rsidRPr="00E95958">
        <w:rPr>
          <w:i/>
        </w:rPr>
        <w:t>supra</w:t>
      </w:r>
      <w:r w:rsidRPr="00E95958">
        <w:t xml:space="preserve"> note 389, at 5-6. </w:t>
      </w:r>
    </w:p>
  </w:endnote>
  <w:endnote w:id="657">
    <w:p w14:paraId="56B34B1A" w14:textId="77777777" w:rsidR="002772C9" w:rsidRPr="00E95958" w:rsidRDefault="002772C9" w:rsidP="00E95958">
      <w:pPr>
        <w:pStyle w:val="EndnoteText"/>
        <w:ind w:left="-36" w:hanging="324"/>
      </w:pPr>
      <w:r w:rsidRPr="00E95958">
        <w:rPr>
          <w:vertAlign w:val="superscript"/>
        </w:rPr>
        <w:endnoteRef/>
      </w:r>
      <w:r w:rsidRPr="00E95958">
        <w:t xml:space="preserve"> Vanderbilt Kennedy Center for Excellence in Developmental Disabilities, </w:t>
      </w:r>
      <w:r w:rsidRPr="00E95958">
        <w:rPr>
          <w:i/>
        </w:rPr>
        <w:t xml:space="preserve">Informed Consent in Adults with Intellectual or Developmental Disabilities, </w:t>
      </w:r>
      <w:r w:rsidRPr="00E95958">
        <w:rPr>
          <w:smallCaps/>
        </w:rPr>
        <w:t xml:space="preserve">Health Care for Adults with Intellectual and Developmental Disabilities: Toolkit for Primary Care Providers (2017), </w:t>
      </w:r>
      <w:hyperlink r:id="rId225">
        <w:r w:rsidRPr="00E95958">
          <w:rPr>
            <w:rStyle w:val="Hyperlink"/>
          </w:rPr>
          <w:t>http://vkc.mc.vanderbilt.edu/etoolkit/general-issues/informed-consent/</w:t>
        </w:r>
      </w:hyperlink>
      <w:r w:rsidRPr="00E95958">
        <w:t>.</w:t>
      </w:r>
    </w:p>
  </w:endnote>
  <w:endnote w:id="658">
    <w:p w14:paraId="37550B2C" w14:textId="3762FD3F" w:rsidR="002772C9" w:rsidRPr="00E95958" w:rsidRDefault="002772C9" w:rsidP="00E95958">
      <w:pPr>
        <w:pStyle w:val="EndnoteText"/>
        <w:ind w:left="-36" w:hanging="324"/>
        <w:rPr>
          <w:smallCaps/>
        </w:rPr>
      </w:pPr>
      <w:r w:rsidRPr="00E95958">
        <w:rPr>
          <w:vertAlign w:val="superscript"/>
        </w:rPr>
        <w:endnoteRef/>
      </w:r>
      <w:r w:rsidRPr="00E95958">
        <w:rPr>
          <w:smallCaps/>
        </w:rPr>
        <w:t xml:space="preserve"> UNFPA, UNFPA Operational Guidance for Comprehensive Sexuality Education: A Focus on Human Rights and Gender</w:t>
      </w:r>
      <w:r w:rsidRPr="00E95958">
        <w:rPr>
          <w:i/>
        </w:rPr>
        <w:t xml:space="preserve"> </w:t>
      </w:r>
      <w:r w:rsidRPr="00E95958">
        <w:t xml:space="preserve">6-7 (2014), </w:t>
      </w:r>
      <w:hyperlink r:id="rId226">
        <w:r w:rsidRPr="00E95958">
          <w:rPr>
            <w:rStyle w:val="Hyperlink"/>
          </w:rPr>
          <w:t>http://www.unfpa.org/sites/default/files/pub-pdf/UNFPA_OperationalGuidance_WEB3.pdf</w:t>
        </w:r>
      </w:hyperlink>
      <w:r w:rsidRPr="00E95958">
        <w:t>.</w:t>
      </w:r>
    </w:p>
  </w:endnote>
  <w:endnote w:id="659">
    <w:p w14:paraId="549A71F2" w14:textId="77777777" w:rsidR="002772C9" w:rsidRPr="00E95958" w:rsidRDefault="002772C9" w:rsidP="00E95958">
      <w:pPr>
        <w:pStyle w:val="EndnoteText"/>
        <w:ind w:left="-36" w:hanging="324"/>
      </w:pPr>
      <w:r w:rsidRPr="00E95958">
        <w:rPr>
          <w:vertAlign w:val="superscript"/>
        </w:rPr>
        <w:endnoteRef/>
      </w:r>
      <w:r w:rsidRPr="00E95958">
        <w:t xml:space="preserve"> UNFPA, </w:t>
      </w:r>
      <w:r w:rsidRPr="00E95958">
        <w:rPr>
          <w:smallCaps/>
        </w:rPr>
        <w:t xml:space="preserve">Marrying Too Young: End Child Marriage 10 (2012), </w:t>
      </w:r>
      <w:hyperlink r:id="rId227">
        <w:r w:rsidRPr="00E95958">
          <w:rPr>
            <w:rStyle w:val="Hyperlink"/>
          </w:rPr>
          <w:t>https://www.unfpa.org/sites/default/files/pub-pdf/MarryingTooYoung.pdf</w:t>
        </w:r>
      </w:hyperlink>
      <w:r w:rsidRPr="00E95958">
        <w:t>.</w:t>
      </w:r>
    </w:p>
  </w:endnote>
  <w:endnote w:id="660">
    <w:p w14:paraId="44123E62" w14:textId="77777777" w:rsidR="002772C9" w:rsidRPr="00E95958" w:rsidRDefault="002772C9" w:rsidP="00E95958">
      <w:pPr>
        <w:pStyle w:val="EndnoteText"/>
        <w:ind w:left="-36" w:hanging="324"/>
      </w:pPr>
      <w:r w:rsidRPr="00E95958">
        <w:rPr>
          <w:vertAlign w:val="superscript"/>
        </w:rPr>
        <w:endnoteRef/>
      </w:r>
      <w:r w:rsidRPr="00E95958">
        <w:t xml:space="preserve"> U.N. Secretary-General, </w:t>
      </w:r>
      <w:r w:rsidRPr="00E95958">
        <w:rPr>
          <w:i/>
        </w:rPr>
        <w:t>In-depth Study on All Forms of Violence Against Women: Report of the Secretary General</w:t>
      </w:r>
      <w:r w:rsidRPr="00E95958">
        <w:t xml:space="preserve">, paras.111-113, U.N. Doc.A/61/122/Add.1 (July 6, 2006), </w:t>
      </w:r>
      <w:hyperlink r:id="rId228">
        <w:r w:rsidRPr="00E95958">
          <w:rPr>
            <w:rStyle w:val="Hyperlink"/>
          </w:rPr>
          <w:t>https://documents-dds-ny.un.org/doc/UNDOC/GEN/N06/419/74/PDF/N0641974.pdf?OpenElement</w:t>
        </w:r>
      </w:hyperlink>
      <w:r w:rsidRPr="00E95958">
        <w:t>.</w:t>
      </w:r>
    </w:p>
  </w:endnote>
  <w:endnote w:id="661">
    <w:p w14:paraId="0AF01DE8"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 xml:space="preserve">Female Genital Mutilation: Fact Sheet, </w:t>
      </w:r>
      <w:r w:rsidRPr="00E95958">
        <w:rPr>
          <w:smallCaps/>
        </w:rPr>
        <w:t xml:space="preserve">WHO </w:t>
      </w:r>
      <w:r w:rsidRPr="00E95958">
        <w:t xml:space="preserve">(Feb 2017), </w:t>
      </w:r>
      <w:hyperlink r:id="rId229">
        <w:r w:rsidRPr="00E95958">
          <w:rPr>
            <w:rStyle w:val="Hyperlink"/>
          </w:rPr>
          <w:t>http://www.who.int/mediacentre/factsheets/fs241/en/</w:t>
        </w:r>
      </w:hyperlink>
      <w:r w:rsidRPr="00E95958">
        <w:t xml:space="preserve">.  </w:t>
      </w:r>
    </w:p>
  </w:endnote>
  <w:endnote w:id="662">
    <w:p w14:paraId="38B7FAC3" w14:textId="77777777" w:rsidR="002772C9" w:rsidRPr="00E95958" w:rsidRDefault="002772C9" w:rsidP="00E95958">
      <w:pPr>
        <w:pStyle w:val="EndnoteText"/>
        <w:ind w:left="-36" w:hanging="324"/>
      </w:pPr>
      <w:r w:rsidRPr="00E95958">
        <w:rPr>
          <w:vertAlign w:val="superscript"/>
        </w:rPr>
        <w:endnoteRef/>
      </w:r>
      <w:r w:rsidRPr="00E95958">
        <w:t xml:space="preserve"> UNFPA, </w:t>
      </w:r>
      <w:r w:rsidRPr="00E95958">
        <w:rPr>
          <w:smallCaps/>
        </w:rPr>
        <w:t>Implementation of the International and Regional Human Rights Framework for the Elimination of Female Genital Mutilation  28-33 (</w:t>
      </w:r>
      <w:r w:rsidRPr="00E95958">
        <w:t xml:space="preserve">2014), </w:t>
      </w:r>
      <w:hyperlink r:id="rId230">
        <w:r w:rsidRPr="00E95958">
          <w:rPr>
            <w:rStyle w:val="Hyperlink"/>
          </w:rPr>
          <w:t>http://www.unfpa.org/publications/implementation-international-and-regional-human-rights-framework-elimination-female</w:t>
        </w:r>
      </w:hyperlink>
      <w:r w:rsidRPr="00E95958">
        <w:t>.</w:t>
      </w:r>
    </w:p>
  </w:endnote>
  <w:endnote w:id="663">
    <w:p w14:paraId="051BEE80" w14:textId="77777777" w:rsidR="002772C9" w:rsidRPr="00E95958" w:rsidRDefault="002772C9" w:rsidP="00E95958">
      <w:pPr>
        <w:pStyle w:val="EndnoteText"/>
        <w:ind w:left="-36" w:hanging="324"/>
      </w:pPr>
      <w:r w:rsidRPr="00E95958">
        <w:rPr>
          <w:vertAlign w:val="superscript"/>
        </w:rPr>
        <w:endnoteRef/>
      </w:r>
      <w:r w:rsidRPr="00E95958">
        <w:rPr>
          <w:smallCaps/>
        </w:rPr>
        <w:t xml:space="preserve">United Nations Population Fund (UNFPA), UN Women, World Health Organization (WHO), United Nations Development Programme (UNDP), </w:t>
      </w:r>
      <w:r w:rsidRPr="00E95958">
        <w:t>and</w:t>
      </w:r>
      <w:r w:rsidRPr="00E95958">
        <w:rPr>
          <w:smallCaps/>
        </w:rPr>
        <w:t xml:space="preserve"> United Nations Office on Drugs and Crime (UNODC), Essential Services for Women and Girls Subject to Violence (Module 1) 9 (2015), </w:t>
      </w:r>
      <w:hyperlink r:id="rId231">
        <w:r w:rsidRPr="00E95958">
          <w:rPr>
            <w:rStyle w:val="Hyperlink"/>
          </w:rPr>
          <w:t>http://www.unfpa.org/publications/essential-services-package-women-and-girls-subject-violence</w:t>
        </w:r>
      </w:hyperlink>
      <w:r w:rsidRPr="00E95958">
        <w:t xml:space="preserve"> [hereinafter </w:t>
      </w:r>
      <w:r w:rsidRPr="00E95958">
        <w:rPr>
          <w:smallCaps/>
        </w:rPr>
        <w:t>Essential Services for Women and Girls Subject to Violence (Module 1)].</w:t>
      </w:r>
    </w:p>
  </w:endnote>
  <w:endnote w:id="664">
    <w:p w14:paraId="1B9947F2"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 xml:space="preserve">UNDP, UNICEF, UNWOMEN, Informal Justice Systems: Charting a Course for Human Rights-Based Engagement 8 (2012), </w:t>
      </w:r>
      <w:hyperlink r:id="rId232">
        <w:r w:rsidRPr="00E95958">
          <w:rPr>
            <w:rStyle w:val="Hyperlink"/>
          </w:rPr>
          <w:t>http://www.unwomen.org/-/media/headquarters/attachments/sections/library/publications/2013/1/informal-justice-systems-charting-a-course-for-human-rights-based-engagement.pdf?la=en&amp;vs=5500</w:t>
        </w:r>
      </w:hyperlink>
      <w:r w:rsidRPr="00E95958">
        <w:t xml:space="preserve">. </w:t>
      </w:r>
    </w:p>
  </w:endnote>
  <w:endnote w:id="665">
    <w:p w14:paraId="6269BF2B" w14:textId="25D6AACB" w:rsidR="002772C9" w:rsidRPr="00E95958" w:rsidRDefault="002772C9" w:rsidP="00E95958">
      <w:pPr>
        <w:pStyle w:val="EndnoteText"/>
        <w:ind w:left="-36" w:hanging="324"/>
        <w:rPr>
          <w:smallCaps/>
        </w:rPr>
      </w:pPr>
      <w:r w:rsidRPr="00E95958">
        <w:rPr>
          <w:vertAlign w:val="superscript"/>
        </w:rPr>
        <w:endnoteRef/>
      </w:r>
      <w:r w:rsidRPr="00E95958">
        <w:rPr>
          <w:smallCaps/>
        </w:rPr>
        <w:t xml:space="preserve"> Inter-Agency Standing Committee (IASC), Guidelines for Integrating Gender-based Violence Interventions in Humanitarian Action: Reducing Risk, Promoting Resilience and Aiding Recovery</w:t>
      </w:r>
      <w:r w:rsidRPr="00E95958">
        <w:t xml:space="preserve"> 322 (Aug. 2015), </w:t>
      </w:r>
      <w:hyperlink r:id="rId233">
        <w:r w:rsidRPr="00E95958">
          <w:rPr>
            <w:rStyle w:val="Hyperlink"/>
          </w:rPr>
          <w:t>https://interagencystandingcommittee.org/system/files/2015-iasc-gender-based-violence-guidelines_lo-res.pdf</w:t>
        </w:r>
      </w:hyperlink>
      <w:r w:rsidRPr="00E95958">
        <w:t xml:space="preserve">. </w:t>
      </w:r>
    </w:p>
  </w:endnote>
  <w:endnote w:id="666">
    <w:p w14:paraId="0DD7AD90" w14:textId="77777777" w:rsidR="002772C9" w:rsidRPr="00E95958" w:rsidRDefault="002772C9" w:rsidP="00E95958">
      <w:pPr>
        <w:pStyle w:val="EndnoteText"/>
        <w:ind w:left="-36" w:hanging="324"/>
      </w:pPr>
      <w:r w:rsidRPr="00E95958">
        <w:rPr>
          <w:vertAlign w:val="superscript"/>
        </w:rPr>
        <w:endnoteRef/>
      </w:r>
      <w:r w:rsidRPr="00E95958">
        <w:t xml:space="preserve"> African Commission on Human and Peoples’ Rights, Protocol to the African Charter on Human and Peoples Rights on the Rights of Women in Africa, Art. 1(g), AHG/Res. 240 (XXXI) (June 1995); African Commission on Human and Peoples’ Rights, Draft Protocol to the African Charter on Human and Peoples Rights on the Rights of Persons’ with Disabilities in Africa, Art. 1, (Draft II, 16-25 Feb. 2016), available at </w:t>
      </w:r>
      <w:r w:rsidRPr="00E95958">
        <w:rPr>
          <w:rStyle w:val="Hyperlink"/>
        </w:rPr>
        <w:t>http://www.achpr.org/news/2016/04/d216</w:t>
      </w:r>
      <w:r w:rsidRPr="00E95958">
        <w:t>.</w:t>
      </w:r>
    </w:p>
  </w:endnote>
  <w:endnote w:id="667">
    <w:p w14:paraId="262A3818" w14:textId="77777777" w:rsidR="002772C9" w:rsidRPr="00E95958" w:rsidRDefault="002772C9" w:rsidP="00E95958">
      <w:pPr>
        <w:pStyle w:val="EndnoteText"/>
        <w:ind w:left="-36" w:hanging="324"/>
      </w:pPr>
      <w:r w:rsidRPr="00E95958">
        <w:rPr>
          <w:vertAlign w:val="superscript"/>
        </w:rPr>
        <w:endnoteRef/>
      </w:r>
      <w:r w:rsidRPr="00E95958">
        <w:t xml:space="preserve"> WHO, </w:t>
      </w:r>
      <w:r w:rsidRPr="00E95958">
        <w:rPr>
          <w:smallCaps/>
        </w:rPr>
        <w:t>Responding to Intimate Partner Violence and Sexual Violence against Women: WHO Clinical and Policy Guidelines</w:t>
      </w:r>
      <w:r w:rsidRPr="00E95958">
        <w:t xml:space="preserve"> vii (2013), </w:t>
      </w:r>
      <w:hyperlink r:id="rId234">
        <w:r w:rsidRPr="00E95958">
          <w:rPr>
            <w:rStyle w:val="Hyperlink"/>
          </w:rPr>
          <w:t>http://apps.who.int/iris/bitstream/10665/85240/1/9789241548595_eng.pdf</w:t>
        </w:r>
      </w:hyperlink>
      <w:r w:rsidRPr="00E95958">
        <w:t>.</w:t>
      </w:r>
    </w:p>
  </w:endnote>
  <w:endnote w:id="668">
    <w:p w14:paraId="3CB6AED6" w14:textId="7303BE20"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WHO, Health System Strengthening: Glossary</w:t>
      </w:r>
      <w:r w:rsidRPr="00E95958">
        <w:t xml:space="preserve"> (Jan. 2011), </w:t>
      </w:r>
      <w:hyperlink r:id="rId235">
        <w:r w:rsidRPr="00E95958">
          <w:rPr>
            <w:rStyle w:val="Hyperlink"/>
          </w:rPr>
          <w:t>http://www.who.int/healthsystems/Glossary_January2011.pdf</w:t>
        </w:r>
      </w:hyperlink>
      <w:r w:rsidRPr="00E95958">
        <w:t xml:space="preserve">. </w:t>
      </w:r>
    </w:p>
  </w:endnote>
  <w:endnote w:id="669">
    <w:p w14:paraId="475E1179" w14:textId="77777777" w:rsidR="002772C9" w:rsidRPr="00E95958" w:rsidRDefault="002772C9" w:rsidP="00E95958">
      <w:pPr>
        <w:pStyle w:val="EndnoteText"/>
        <w:ind w:left="-36" w:hanging="324"/>
      </w:pPr>
      <w:r w:rsidRPr="00E95958">
        <w:rPr>
          <w:vertAlign w:val="superscript"/>
        </w:rPr>
        <w:endnoteRef/>
      </w:r>
      <w:r w:rsidRPr="00E95958">
        <w:rPr>
          <w:i/>
        </w:rPr>
        <w:t xml:space="preserve">Humanitarian Emergencies, </w:t>
      </w:r>
      <w:r w:rsidRPr="00E95958">
        <w:rPr>
          <w:smallCaps/>
        </w:rPr>
        <w:t>UNFPA,</w:t>
      </w:r>
      <w:r w:rsidRPr="00E95958">
        <w:rPr>
          <w:i/>
        </w:rPr>
        <w:t xml:space="preserve"> </w:t>
      </w:r>
      <w:hyperlink r:id="rId236">
        <w:r w:rsidRPr="00E95958">
          <w:rPr>
            <w:rStyle w:val="Hyperlink"/>
          </w:rPr>
          <w:t>http://www.unfpa.org/emergencies</w:t>
        </w:r>
      </w:hyperlink>
      <w:r w:rsidRPr="00E95958">
        <w:t>.</w:t>
      </w:r>
    </w:p>
  </w:endnote>
  <w:endnote w:id="670">
    <w:p w14:paraId="7ED11E9A" w14:textId="77777777" w:rsidR="002772C9" w:rsidRPr="00E95958" w:rsidRDefault="002772C9" w:rsidP="00E95958">
      <w:pPr>
        <w:pStyle w:val="EndnoteText"/>
        <w:ind w:left="-36" w:hanging="324"/>
      </w:pPr>
      <w:r w:rsidRPr="00E95958">
        <w:rPr>
          <w:vertAlign w:val="superscript"/>
        </w:rPr>
        <w:endnoteRef/>
      </w:r>
      <w:r w:rsidRPr="00E95958">
        <w:t xml:space="preserve"> Convention on the Rights of Persons with Disabilities, art. 11, G.A. Res. 61/106, U.N. Doc. A/RES/61/106 (Dec. 13, 2006). </w:t>
      </w:r>
    </w:p>
  </w:endnote>
  <w:endnote w:id="671">
    <w:p w14:paraId="378FFD5F"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i/>
        </w:rPr>
        <w:t xml:space="preserve">See </w:t>
      </w:r>
      <w:r w:rsidRPr="00E95958">
        <w:t xml:space="preserve">CRPD Committee, </w:t>
      </w:r>
      <w:r w:rsidRPr="00E95958">
        <w:rPr>
          <w:i/>
        </w:rPr>
        <w:t>General Comment No. 1 (2014) Article 12: Equality Recognition Before the Law</w:t>
      </w:r>
      <w:r w:rsidRPr="00E95958">
        <w:t xml:space="preserve">, para. 39, U.N. Doc. CRPD/C/GC/1 (May 19, 2014). </w:t>
      </w:r>
    </w:p>
  </w:endnote>
  <w:endnote w:id="672">
    <w:p w14:paraId="27C18BC0" w14:textId="01036FE6"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Janice Du Mont &amp; Deborah White, The Uses and Impacts of Medico-Legal Evidence in Sexual Assault Cases: A Global Review,</w:t>
      </w:r>
      <w:r w:rsidRPr="00E95958">
        <w:t xml:space="preserve"> WHO, 10 (2007), </w:t>
      </w:r>
      <w:hyperlink r:id="rId237">
        <w:r w:rsidRPr="00E95958">
          <w:rPr>
            <w:rStyle w:val="Hyperlink"/>
          </w:rPr>
          <w:t>http://apps.who.int/iris/bitstream/10665/43795/1/9789241596046_eng.pdf</w:t>
        </w:r>
      </w:hyperlink>
      <w:r w:rsidRPr="00E95958">
        <w:t xml:space="preserve">. </w:t>
      </w:r>
      <w:r w:rsidRPr="00E95958">
        <w:rPr>
          <w:i/>
        </w:rPr>
        <w:t>See also</w:t>
      </w:r>
      <w:r w:rsidRPr="00E95958">
        <w:t xml:space="preserve"> WHO, </w:t>
      </w:r>
      <w:r w:rsidRPr="00E95958">
        <w:rPr>
          <w:smallCaps/>
        </w:rPr>
        <w:t>Guidelines for medico-legal care for victims of sexual violence</w:t>
      </w:r>
      <w:r w:rsidRPr="00E95958">
        <w:t xml:space="preserve"> (2003), </w:t>
      </w:r>
      <w:hyperlink r:id="rId238">
        <w:r w:rsidRPr="00E95958">
          <w:rPr>
            <w:rStyle w:val="Hyperlink"/>
          </w:rPr>
          <w:t>http://apps.who.int/iris/bitstream/10665/42788/1/924154628X.pdf</w:t>
        </w:r>
      </w:hyperlink>
      <w:r w:rsidRPr="00E95958">
        <w:t xml:space="preserve">. </w:t>
      </w:r>
    </w:p>
  </w:endnote>
  <w:endnote w:id="673">
    <w:p w14:paraId="471B1AD8" w14:textId="77777777" w:rsidR="002772C9" w:rsidRPr="00E95958" w:rsidRDefault="002772C9" w:rsidP="00E95958">
      <w:pPr>
        <w:pStyle w:val="EndnoteText"/>
        <w:ind w:left="-36" w:hanging="324"/>
      </w:pPr>
      <w:r w:rsidRPr="00E95958">
        <w:rPr>
          <w:vertAlign w:val="superscript"/>
        </w:rPr>
        <w:endnoteRef/>
      </w:r>
      <w:r w:rsidRPr="00E95958">
        <w:t xml:space="preserve"> CRPD, </w:t>
      </w:r>
      <w:r w:rsidRPr="00E95958">
        <w:rPr>
          <w:i/>
        </w:rPr>
        <w:t>supra</w:t>
      </w:r>
      <w:r w:rsidRPr="00E95958">
        <w:t xml:space="preserve"> note 669, at art 1.</w:t>
      </w:r>
    </w:p>
  </w:endnote>
  <w:endnote w:id="674">
    <w:p w14:paraId="75E19EFE" w14:textId="77777777" w:rsidR="002772C9" w:rsidRPr="00E95958" w:rsidRDefault="002772C9" w:rsidP="00E95958">
      <w:pPr>
        <w:pStyle w:val="EndnoteText"/>
        <w:ind w:left="-36" w:hanging="324"/>
      </w:pPr>
      <w:r w:rsidRPr="00E95958">
        <w:rPr>
          <w:vertAlign w:val="superscript"/>
        </w:rPr>
        <w:endnoteRef/>
      </w:r>
      <w:r w:rsidRPr="00E95958">
        <w:t xml:space="preserve"> U.N. Secretary-General, </w:t>
      </w:r>
      <w:r w:rsidRPr="00E95958">
        <w:rPr>
          <w:i/>
        </w:rPr>
        <w:t>In-depth Study on All Forms of Violence Against Women: Report of the Secretary General</w:t>
      </w:r>
      <w:r w:rsidRPr="00E95958">
        <w:t xml:space="preserve">, para.113, U.N. Doc.A/61/122/Add.1 (July 6, 2006), </w:t>
      </w:r>
      <w:hyperlink r:id="rId239">
        <w:r w:rsidRPr="00E95958">
          <w:rPr>
            <w:rStyle w:val="Hyperlink"/>
          </w:rPr>
          <w:t>https://documents-dds-ny.un.org/doc/UNDOC/GEN/N06/419/74/PDF/N0641974.pdf?OpenElement</w:t>
        </w:r>
      </w:hyperlink>
      <w:r w:rsidRPr="00E95958">
        <w:t>.</w:t>
      </w:r>
    </w:p>
  </w:endnote>
  <w:endnote w:id="675">
    <w:p w14:paraId="6B9D5DE6" w14:textId="77777777" w:rsidR="002772C9" w:rsidRPr="00E95958" w:rsidRDefault="002772C9" w:rsidP="00E95958">
      <w:pPr>
        <w:pStyle w:val="EndnoteText"/>
        <w:ind w:left="-36" w:hanging="324"/>
      </w:pPr>
      <w:r w:rsidRPr="00E95958">
        <w:rPr>
          <w:rStyle w:val="EndnoteReference"/>
        </w:rPr>
        <w:endnoteRef/>
      </w:r>
      <w:r w:rsidRPr="00E95958">
        <w:t xml:space="preserve"> World Network of Users and Survivors of Psychiatry, Implementation Manual for the United Nations Convention on the Rights of Persons with Disabilities 9 (Feb. 2008), </w:t>
      </w:r>
      <w:hyperlink r:id="rId240">
        <w:r w:rsidRPr="00E95958">
          <w:rPr>
            <w:rStyle w:val="Hyperlink"/>
          </w:rPr>
          <w:t>http://www.wnusp.net/documents/WNUSP_CRPD_Manual.pdf</w:t>
        </w:r>
      </w:hyperlink>
      <w:r w:rsidRPr="00E95958">
        <w:t>.</w:t>
      </w:r>
    </w:p>
  </w:endnote>
  <w:endnote w:id="676">
    <w:p w14:paraId="0F28227D"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 xml:space="preserve">World Network of Users and Survivors of Psychiatry, Implementation Manual, </w:t>
      </w:r>
      <w:r w:rsidRPr="00E95958">
        <w:rPr>
          <w:i/>
        </w:rPr>
        <w:t>supra</w:t>
      </w:r>
      <w:r w:rsidRPr="00E95958">
        <w:t xml:space="preserve"> note 674, at 9. </w:t>
      </w:r>
    </w:p>
  </w:endnote>
  <w:endnote w:id="677">
    <w:p w14:paraId="11BFD879" w14:textId="4A88559F" w:rsidR="002772C9" w:rsidRPr="00E95958" w:rsidRDefault="002772C9" w:rsidP="00E95958">
      <w:pPr>
        <w:pStyle w:val="EndnoteText"/>
        <w:ind w:left="-36" w:hanging="324"/>
      </w:pPr>
      <w:r w:rsidRPr="00E95958">
        <w:rPr>
          <w:vertAlign w:val="superscript"/>
        </w:rPr>
        <w:endnoteRef/>
      </w:r>
      <w:r>
        <w:t xml:space="preserve"> </w:t>
      </w:r>
      <w:r w:rsidRPr="00E95958">
        <w:t xml:space="preserve">CRPD, </w:t>
      </w:r>
      <w:r w:rsidRPr="00E95958">
        <w:rPr>
          <w:i/>
        </w:rPr>
        <w:t>supra</w:t>
      </w:r>
      <w:r w:rsidRPr="00E95958">
        <w:t xml:space="preserve"> note 669, art. 2. </w:t>
      </w:r>
    </w:p>
  </w:endnote>
  <w:endnote w:id="678">
    <w:p w14:paraId="07E0633E" w14:textId="77777777" w:rsidR="002772C9" w:rsidRPr="00E95958" w:rsidRDefault="002772C9" w:rsidP="00E95958">
      <w:pPr>
        <w:pStyle w:val="EndnoteText"/>
        <w:ind w:left="-36" w:hanging="324"/>
      </w:pPr>
      <w:r w:rsidRPr="00E95958">
        <w:rPr>
          <w:vertAlign w:val="superscript"/>
        </w:rPr>
        <w:endnoteRef/>
      </w:r>
      <w:r w:rsidRPr="00E95958">
        <w:t xml:space="preserve"> CRPD, </w:t>
      </w:r>
      <w:r w:rsidRPr="00E95958">
        <w:rPr>
          <w:i/>
        </w:rPr>
        <w:t>supra</w:t>
      </w:r>
      <w:r w:rsidRPr="00E95958">
        <w:t xml:space="preserve"> note 669, art. 23(1). </w:t>
      </w:r>
    </w:p>
  </w:endnote>
  <w:endnote w:id="679">
    <w:p w14:paraId="464BE75D" w14:textId="533B5271" w:rsidR="002772C9" w:rsidRPr="00E95958" w:rsidRDefault="002772C9" w:rsidP="00E95958">
      <w:pPr>
        <w:pStyle w:val="EndnoteText"/>
        <w:ind w:left="-36" w:hanging="324"/>
      </w:pPr>
      <w:r w:rsidRPr="00E95958">
        <w:rPr>
          <w:vertAlign w:val="superscript"/>
        </w:rPr>
        <w:endnoteRef/>
      </w:r>
      <w:r w:rsidRPr="00E95958">
        <w:rPr>
          <w:i/>
        </w:rPr>
        <w:t xml:space="preserve"> Sexual and Reproductive Health: Defining Sexual Health</w:t>
      </w:r>
      <w:r w:rsidRPr="00E95958">
        <w:t xml:space="preserve">, WHO (2017), </w:t>
      </w:r>
      <w:hyperlink r:id="rId241">
        <w:r w:rsidRPr="00E95958">
          <w:rPr>
            <w:rStyle w:val="Hyperlink"/>
          </w:rPr>
          <w:t>http://www.who.int/reproductivehealth/topics/sexual_health/sh_definitions/en/</w:t>
        </w:r>
      </w:hyperlink>
      <w:r w:rsidRPr="00E95958">
        <w:t xml:space="preserve">. </w:t>
      </w:r>
    </w:p>
  </w:endnote>
  <w:endnote w:id="680">
    <w:p w14:paraId="68F7AA35" w14:textId="77777777" w:rsidR="002772C9" w:rsidRPr="00E95958" w:rsidRDefault="002772C9" w:rsidP="00E95958">
      <w:pPr>
        <w:pStyle w:val="EndnoteText"/>
        <w:ind w:left="-36" w:hanging="324"/>
        <w:rPr>
          <w:smallCaps/>
        </w:rPr>
      </w:pPr>
      <w:r w:rsidRPr="00E95958">
        <w:rPr>
          <w:vertAlign w:val="superscript"/>
        </w:rPr>
        <w:endnoteRef/>
      </w:r>
      <w:r w:rsidRPr="00E95958">
        <w:t xml:space="preserve"> </w:t>
      </w:r>
      <w:r w:rsidRPr="00E95958">
        <w:rPr>
          <w:smallCaps/>
        </w:rPr>
        <w:t xml:space="preserve">United Nations Population Fund (UNFPA), UN Women, World Health Organization (WHO), United Nations Development Programme (UNDP), </w:t>
      </w:r>
      <w:r w:rsidRPr="00E95958">
        <w:t>and</w:t>
      </w:r>
      <w:r w:rsidRPr="00E95958">
        <w:rPr>
          <w:smallCaps/>
        </w:rPr>
        <w:t xml:space="preserve"> United Nations Office on Drugs and Crime (UNODC), Essential Services for Women and Girls Subject to Violence (Module 1) 10  (2015), </w:t>
      </w:r>
      <w:hyperlink r:id="rId242">
        <w:r w:rsidRPr="00E95958">
          <w:rPr>
            <w:rStyle w:val="Hyperlink"/>
          </w:rPr>
          <w:t>http://www.unfpa.org/publications/essential-services-package-women-and-girls-subject-violence</w:t>
        </w:r>
      </w:hyperlink>
      <w:r w:rsidRPr="00E95958">
        <w:t xml:space="preserve">.  </w:t>
      </w:r>
    </w:p>
  </w:endnote>
  <w:endnote w:id="681">
    <w:p w14:paraId="0049A1C7" w14:textId="77777777" w:rsidR="002772C9" w:rsidRPr="00E95958" w:rsidRDefault="002772C9" w:rsidP="00E95958">
      <w:pPr>
        <w:pStyle w:val="EndnoteText"/>
        <w:ind w:left="-36" w:hanging="324"/>
      </w:pPr>
      <w:r w:rsidRPr="00E95958">
        <w:rPr>
          <w:vertAlign w:val="superscript"/>
        </w:rPr>
        <w:endnoteRef/>
      </w:r>
      <w:r w:rsidRPr="00E95958">
        <w:t xml:space="preserve"> CRPD Committee, </w:t>
      </w:r>
      <w:r w:rsidRPr="00E95958">
        <w:rPr>
          <w:i/>
        </w:rPr>
        <w:t>General Comment No. 1 (2014) Article 12: Equality Recognition Before the Law</w:t>
      </w:r>
      <w:r w:rsidRPr="00E95958">
        <w:t>, para. 29, U.N. Doc. CRPD/C/GC/1 (May 19, 2014).</w:t>
      </w:r>
    </w:p>
  </w:endnote>
  <w:endnote w:id="682">
    <w:p w14:paraId="23CFFFB3" w14:textId="77777777" w:rsidR="002772C9" w:rsidRPr="00E95958" w:rsidRDefault="002772C9" w:rsidP="00E95958">
      <w:pPr>
        <w:pStyle w:val="EndnoteText"/>
        <w:ind w:left="-36" w:hanging="324"/>
      </w:pPr>
      <w:r w:rsidRPr="00E95958">
        <w:rPr>
          <w:vertAlign w:val="superscript"/>
        </w:rPr>
        <w:endnoteRef/>
      </w:r>
      <w:r w:rsidRPr="00E95958">
        <w:t xml:space="preserve"> Office of the United Nations High Commissioner for Human Rights (OHCHR), </w:t>
      </w:r>
      <w:r w:rsidRPr="00E95958">
        <w:rPr>
          <w:i/>
        </w:rPr>
        <w:t>Thematic Study on the Issue of Violence Against Women and Girls and Disability</w:t>
      </w:r>
      <w:r w:rsidRPr="00E95958">
        <w:t xml:space="preserve">, para. 16, U.N. Doc. A/HRC/20/5 (Mar. 30 2012). </w:t>
      </w:r>
      <w:hyperlink r:id="rId243">
        <w:r w:rsidRPr="00E95958">
          <w:rPr>
            <w:rStyle w:val="Hyperlink"/>
          </w:rPr>
          <w:t>http://www2.ohchr.org/english/issues/women/docs/A.HRC.20.5.pdf</w:t>
        </w:r>
      </w:hyperlink>
      <w:r w:rsidRPr="00E95958">
        <w:t>.</w:t>
      </w:r>
    </w:p>
  </w:endnote>
  <w:endnote w:id="683">
    <w:p w14:paraId="7D91368A"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Inter-Agency Standing Committee (IASC), Guidelines for Integrating Gender-based Violence Interventions in Humanitarian Action: Reducing Risk, Promoting Resilience and Aiding Recovery</w:t>
      </w:r>
      <w:r w:rsidRPr="00E95958">
        <w:t xml:space="preserve">  252 (Aug. 2015), </w:t>
      </w:r>
      <w:hyperlink r:id="rId244">
        <w:r w:rsidRPr="00E95958">
          <w:rPr>
            <w:rStyle w:val="Hyperlink"/>
          </w:rPr>
          <w:t>https://interagencystandingcommittee.org/system/files/2015-iasc-gender-based-violence-guidelines_lo-res.pdf</w:t>
        </w:r>
      </w:hyperlink>
      <w:r w:rsidRPr="00E95958">
        <w:t xml:space="preserve">. </w:t>
      </w:r>
    </w:p>
  </w:endnote>
  <w:endnote w:id="684">
    <w:p w14:paraId="46E6436B" w14:textId="77777777" w:rsidR="002772C9" w:rsidRPr="00E95958" w:rsidRDefault="002772C9" w:rsidP="00E95958">
      <w:pPr>
        <w:pStyle w:val="EndnoteText"/>
        <w:ind w:left="-36" w:hanging="324"/>
      </w:pPr>
      <w:r w:rsidRPr="00E95958">
        <w:rPr>
          <w:vertAlign w:val="superscript"/>
        </w:rPr>
        <w:endnoteRef/>
      </w:r>
      <w:r w:rsidRPr="00E95958">
        <w:t xml:space="preserve"> Committee on the Rights of Persons with Disabilities (CRPD Committee), </w:t>
      </w:r>
      <w:r w:rsidRPr="00E95958">
        <w:rPr>
          <w:i/>
        </w:rPr>
        <w:t xml:space="preserve">General Comment No. 3 (2016) Article 6: Women and Girls with Disabilities, </w:t>
      </w:r>
      <w:r w:rsidRPr="00E95958">
        <w:t>para. 27, U.N. Doc. CRPD/C/GC/3 (Nov. 25, 2016).</w:t>
      </w:r>
    </w:p>
  </w:endnote>
  <w:endnote w:id="685">
    <w:p w14:paraId="0AB5404F" w14:textId="77777777" w:rsidR="002772C9" w:rsidRPr="00E95958" w:rsidRDefault="002772C9" w:rsidP="00E95958">
      <w:pPr>
        <w:pStyle w:val="EndnoteText"/>
        <w:ind w:left="-36" w:hanging="324"/>
      </w:pPr>
      <w:r w:rsidRPr="00E95958">
        <w:rPr>
          <w:vertAlign w:val="superscript"/>
        </w:rPr>
        <w:endnoteRef/>
      </w:r>
      <w:r w:rsidRPr="00E95958">
        <w:t xml:space="preserve"> U.N. Secretary-General, </w:t>
      </w:r>
      <w:r w:rsidRPr="00E95958">
        <w:rPr>
          <w:i/>
        </w:rPr>
        <w:t>In-depth Study on All Forms of Violence Against Women: Report of the Secretary General</w:t>
      </w:r>
      <w:r w:rsidRPr="00E95958">
        <w:t xml:space="preserve">, para. 21, U.N. Doc.A/61/122/Add.1 (July 6, 2006), </w:t>
      </w:r>
      <w:hyperlink r:id="rId245">
        <w:r w:rsidRPr="00E95958">
          <w:rPr>
            <w:rStyle w:val="Hyperlink"/>
          </w:rPr>
          <w:t>https://documents-dds-ny.un.org/doc/UNDOC/GEN/N06/419/74/PDF/N0641974.pdf?OpenElement</w:t>
        </w:r>
      </w:hyperlink>
      <w:r w:rsidRPr="00E95958">
        <w:t>.</w:t>
      </w:r>
    </w:p>
  </w:endnote>
  <w:endnote w:id="686">
    <w:p w14:paraId="6670C168" w14:textId="77777777" w:rsidR="002772C9" w:rsidRPr="00E95958" w:rsidRDefault="002772C9" w:rsidP="00E95958">
      <w:pPr>
        <w:pStyle w:val="EndnoteText"/>
        <w:ind w:left="-36" w:hanging="324"/>
      </w:pPr>
      <w:r w:rsidRPr="00E95958">
        <w:rPr>
          <w:rStyle w:val="EndnoteReference"/>
        </w:rPr>
        <w:endnoteRef/>
      </w:r>
      <w:r w:rsidRPr="00E95958">
        <w:t xml:space="preserve"> Nora E. Groce &amp; Reshama Trasi, Rape of Individuals with Disability: AIDS and the Folk Belief of Virgin Cleansing, 363 </w:t>
      </w:r>
      <w:r w:rsidRPr="00E95958">
        <w:rPr>
          <w:smallCaps/>
        </w:rPr>
        <w:t>The Lancet</w:t>
      </w:r>
      <w:r w:rsidRPr="00E95958">
        <w:t xml:space="preserve"> 1663, 1663 (May 22, 2004).</w:t>
      </w:r>
    </w:p>
  </w:endnote>
  <w:endnote w:id="687">
    <w:p w14:paraId="0EB8A127" w14:textId="77777777" w:rsidR="002772C9" w:rsidRPr="00E95958" w:rsidRDefault="002772C9" w:rsidP="00E95958">
      <w:pPr>
        <w:pStyle w:val="EndnoteText"/>
        <w:ind w:left="-36" w:hanging="324"/>
      </w:pPr>
      <w:r w:rsidRPr="00E95958">
        <w:rPr>
          <w:vertAlign w:val="superscript"/>
        </w:rPr>
        <w:endnoteRef/>
      </w:r>
      <w:r w:rsidRPr="00E95958">
        <w:t xml:space="preserve"> Groce et al., </w:t>
      </w:r>
      <w:r w:rsidRPr="00E95958">
        <w:rPr>
          <w:i/>
        </w:rPr>
        <w:t>Rape of Individuals with Disability, supra</w:t>
      </w:r>
      <w:r w:rsidRPr="00E95958">
        <w:t xml:space="preserve"> note 685 at 1663-64. </w:t>
      </w:r>
    </w:p>
  </w:endnote>
  <w:endnote w:id="688">
    <w:p w14:paraId="5C0B1DFF" w14:textId="77777777" w:rsidR="002772C9" w:rsidRPr="00E95958" w:rsidRDefault="002772C9" w:rsidP="00E95958">
      <w:pPr>
        <w:pStyle w:val="EndnoteText"/>
        <w:ind w:left="-36" w:hanging="324"/>
      </w:pPr>
      <w:r w:rsidRPr="00E95958">
        <w:rPr>
          <w:vertAlign w:val="superscript"/>
        </w:rPr>
        <w:endnoteRef/>
      </w:r>
      <w:r w:rsidRPr="00E95958">
        <w:t xml:space="preserve"> Declaration on the Elimination of Violence Against Women, art. 1, G.A. Res. 48/104, U.N. Doc. A/RES/48/104 (Dec. 20, 1993).</w:t>
      </w:r>
    </w:p>
  </w:endnote>
  <w:endnote w:id="689">
    <w:p w14:paraId="318AAEC2" w14:textId="77777777" w:rsidR="002772C9" w:rsidRPr="00E95958" w:rsidRDefault="002772C9" w:rsidP="00E95958">
      <w:pPr>
        <w:pStyle w:val="EndnoteText"/>
        <w:ind w:left="-36" w:hanging="324"/>
      </w:pPr>
      <w:r w:rsidRPr="00E95958">
        <w:rPr>
          <w:vertAlign w:val="superscript"/>
        </w:rPr>
        <w:endnoteRef/>
      </w:r>
      <w:r w:rsidRPr="00E95958">
        <w:t xml:space="preserve"> </w:t>
      </w:r>
      <w:r w:rsidRPr="00E95958">
        <w:rPr>
          <w:smallCaps/>
        </w:rPr>
        <w:t>UNFPA, Girlhood, Not Motherhood: Preventing Adolescent Pregnancy 6</w:t>
      </w:r>
      <w:r w:rsidRPr="00E95958">
        <w:t xml:space="preserve"> (2015), </w:t>
      </w:r>
      <w:hyperlink r:id="rId246">
        <w:r w:rsidRPr="00E95958">
          <w:rPr>
            <w:rStyle w:val="Hyperlink"/>
          </w:rPr>
          <w:t>https://www.unfpa.org/sites/default/files/pub-pdf/Girlhood_not_motherhood_final_web.pdf</w:t>
        </w:r>
      </w:hyperlink>
      <w:r w:rsidRPr="00E95958">
        <w:t>.</w:t>
      </w:r>
    </w:p>
  </w:endnote>
  <w:endnote w:id="690">
    <w:p w14:paraId="305F0A44" w14:textId="77777777" w:rsidR="002772C9" w:rsidRPr="00B3695D" w:rsidRDefault="002772C9" w:rsidP="00E95958">
      <w:pPr>
        <w:pStyle w:val="EndnoteText"/>
        <w:ind w:left="-36" w:hanging="324"/>
      </w:pPr>
      <w:r w:rsidRPr="00E95958">
        <w:rPr>
          <w:vertAlign w:val="superscript"/>
        </w:rPr>
        <w:endnoteRef/>
      </w:r>
      <w:r w:rsidRPr="00E95958">
        <w:t xml:space="preserve"> </w:t>
      </w:r>
      <w:r w:rsidRPr="00E95958">
        <w:rPr>
          <w:smallCaps/>
        </w:rPr>
        <w:t xml:space="preserve">UNFPA, Girlhood, Not Motherhood, </w:t>
      </w:r>
      <w:r w:rsidRPr="00E95958">
        <w:rPr>
          <w:i/>
        </w:rPr>
        <w:t>supra</w:t>
      </w:r>
      <w:r w:rsidRPr="00E95958">
        <w:t xml:space="preserve"> note 688, at 6</w:t>
      </w:r>
      <w:r w:rsidRPr="00B3695D">
        <w:t>.</w:t>
      </w:r>
    </w:p>
    <w:p w14:paraId="4919989C" w14:textId="77777777" w:rsidR="002772C9" w:rsidRPr="00306DD5" w:rsidRDefault="002772C9" w:rsidP="005B1703">
      <w:pPr>
        <w:pBdr>
          <w:top w:val="nil"/>
          <w:left w:val="nil"/>
          <w:bottom w:val="nil"/>
          <w:right w:val="nil"/>
          <w:between w:val="nil"/>
        </w:pBdr>
        <w:tabs>
          <w:tab w:val="center" w:pos="4320"/>
          <w:tab w:val="right" w:pos="8640"/>
        </w:tabs>
        <w:rPr>
          <w:rFonts w:ascii="Arial" w:eastAsia="Helvetica Neue" w:hAnsi="Arial" w:cs="Arial"/>
          <w:color w:val="000000" w:themeColor="text1"/>
          <w:sz w:val="20"/>
          <w:szCs w:val="20"/>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Times New 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46912905"/>
      <w:docPartObj>
        <w:docPartGallery w:val="Page Numbers (Bottom of Page)"/>
        <w:docPartUnique/>
      </w:docPartObj>
    </w:sdtPr>
    <w:sdtEndPr>
      <w:rPr>
        <w:rStyle w:val="PageNumber"/>
      </w:rPr>
    </w:sdtEndPr>
    <w:sdtContent>
      <w:p w14:paraId="5B2F21D2" w14:textId="15755FF5" w:rsidR="002772C9" w:rsidRDefault="002772C9" w:rsidP="001B0B2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8096D5" w14:textId="30B642D8" w:rsidR="002772C9" w:rsidRDefault="002772C9">
    <w:pPr>
      <w:pBdr>
        <w:top w:val="nil"/>
        <w:left w:val="nil"/>
        <w:bottom w:val="nil"/>
        <w:right w:val="nil"/>
        <w:between w:val="nil"/>
      </w:pBdr>
      <w:tabs>
        <w:tab w:val="center" w:pos="4680"/>
        <w:tab w:val="right" w:pos="9360"/>
      </w:tabs>
      <w:jc w:val="center"/>
      <w:rPr>
        <w:rFonts w:ascii="Cambria" w:eastAsia="Cambria" w:hAnsi="Cambria" w:cs="Cambria"/>
        <w:color w:val="000000"/>
      </w:rPr>
    </w:pPr>
  </w:p>
  <w:p w14:paraId="5927598C" w14:textId="77777777" w:rsidR="002772C9" w:rsidRDefault="002772C9">
    <w:pPr>
      <w:pBdr>
        <w:top w:val="nil"/>
        <w:left w:val="nil"/>
        <w:bottom w:val="nil"/>
        <w:right w:val="nil"/>
        <w:between w:val="nil"/>
      </w:pBdr>
      <w:tabs>
        <w:tab w:val="center" w:pos="4680"/>
        <w:tab w:val="right" w:pos="9360"/>
      </w:tabs>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5087936"/>
      <w:docPartObj>
        <w:docPartGallery w:val="Page Numbers (Bottom of Page)"/>
        <w:docPartUnique/>
      </w:docPartObj>
    </w:sdtPr>
    <w:sdtEndPr>
      <w:rPr>
        <w:rStyle w:val="PageNumber"/>
      </w:rPr>
    </w:sdtEndPr>
    <w:sdtContent>
      <w:p w14:paraId="0F628DE5" w14:textId="2BA5E4B5" w:rsidR="002772C9" w:rsidRDefault="002772C9" w:rsidP="001B0B2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184</w:t>
        </w:r>
        <w:r>
          <w:rPr>
            <w:rStyle w:val="PageNumber"/>
          </w:rPr>
          <w:fldChar w:fldCharType="end"/>
        </w:r>
      </w:p>
    </w:sdtContent>
  </w:sdt>
  <w:p w14:paraId="1E72A81F" w14:textId="77777777" w:rsidR="002772C9" w:rsidRDefault="002772C9">
    <w:pPr>
      <w:pBdr>
        <w:top w:val="nil"/>
        <w:left w:val="nil"/>
        <w:bottom w:val="nil"/>
        <w:right w:val="nil"/>
        <w:between w:val="nil"/>
      </w:pBdr>
      <w:tabs>
        <w:tab w:val="center" w:pos="4680"/>
        <w:tab w:val="right" w:pos="936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6E52AF" w14:textId="77777777" w:rsidR="00B90992" w:rsidRDefault="00B90992">
      <w:r>
        <w:separator/>
      </w:r>
    </w:p>
    <w:p w14:paraId="4966DACA" w14:textId="77777777" w:rsidR="00B90992" w:rsidRDefault="00B90992"/>
  </w:footnote>
  <w:footnote w:type="continuationSeparator" w:id="0">
    <w:p w14:paraId="19852CEE" w14:textId="77777777" w:rsidR="00B90992" w:rsidRDefault="00B90992">
      <w:r>
        <w:continuationSeparator/>
      </w:r>
    </w:p>
    <w:p w14:paraId="25196793" w14:textId="77777777" w:rsidR="00B90992" w:rsidRDefault="00B909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1F1B5" w14:textId="03A8E193" w:rsidR="002772C9" w:rsidRDefault="002772C9" w:rsidP="00D5357E">
    <w:pPr>
      <w:spacing w:before="288"/>
      <w:ind w:left="-900" w:right="-990"/>
      <w:jc w:val="center"/>
      <w:rPr>
        <w:color w:val="000000"/>
      </w:rPr>
    </w:pPr>
  </w:p>
  <w:p w14:paraId="76129A85" w14:textId="77777777" w:rsidR="002772C9" w:rsidRDefault="002772C9">
    <w:pPr>
      <w:pBdr>
        <w:top w:val="nil"/>
        <w:left w:val="nil"/>
        <w:bottom w:val="nil"/>
        <w:right w:val="nil"/>
        <w:between w:val="nil"/>
      </w:pBdr>
      <w:tabs>
        <w:tab w:val="center" w:pos="4680"/>
        <w:tab w:val="right" w:pos="9360"/>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4B02C8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9964FB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D36342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68860B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E9E56B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33C1F4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4E67E1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288043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FD8B09A"/>
    <w:lvl w:ilvl="0">
      <w:start w:val="1"/>
      <w:numFmt w:val="decimal"/>
      <w:lvlText w:val="%1."/>
      <w:lvlJc w:val="left"/>
      <w:pPr>
        <w:tabs>
          <w:tab w:val="num" w:pos="360"/>
        </w:tabs>
        <w:ind w:left="360" w:hanging="360"/>
      </w:pPr>
    </w:lvl>
  </w:abstractNum>
  <w:abstractNum w:abstractNumId="9" w15:restartNumberingAfterBreak="0">
    <w:nsid w:val="00043AA3"/>
    <w:multiLevelType w:val="multilevel"/>
    <w:tmpl w:val="7D3CE330"/>
    <w:name w:val="Examples List22222"/>
    <w:lvl w:ilvl="0">
      <w:start w:val="1"/>
      <w:numFmt w:val="decimal"/>
      <w:lvlText w:val="%1."/>
      <w:lvlJc w:val="left"/>
      <w:pPr>
        <w:ind w:left="360" w:hanging="360"/>
      </w:pPr>
      <w:rPr>
        <w:rFonts w:hint="default"/>
        <w:sz w:val="24"/>
        <w:szCs w:val="20"/>
      </w:rPr>
    </w:lvl>
    <w:lvl w:ilvl="1">
      <w:start w:val="1"/>
      <w:numFmt w:val="bullet"/>
      <w:lvlRestart w:val="0"/>
      <w:lvlText w:val=""/>
      <w:lvlJc w:val="left"/>
      <w:pPr>
        <w:ind w:left="720" w:hanging="360"/>
      </w:pPr>
      <w:rPr>
        <w:rFonts w:ascii="Wingdings" w:hAnsi="Wingdings" w:cs="Times New Roman" w:hint="default"/>
        <w:sz w:val="20"/>
        <w:szCs w:val="21"/>
      </w:rPr>
    </w:lvl>
    <w:lvl w:ilvl="2">
      <w:start w:val="1"/>
      <w:numFmt w:val="bullet"/>
      <w:lvlText w:val=""/>
      <w:lvlJc w:val="left"/>
      <w:pPr>
        <w:ind w:left="1080" w:hanging="360"/>
      </w:pPr>
      <w:rPr>
        <w:rFonts w:ascii="Wingdings 3" w:hAnsi="Wingdings 3" w:hint="default"/>
        <w:sz w:val="16"/>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01E2001"/>
    <w:multiLevelType w:val="multilevel"/>
    <w:tmpl w:val="2160B50C"/>
    <w:lvl w:ilvl="0">
      <w:start w:val="1"/>
      <w:numFmt w:val="bullet"/>
      <w:lvlText w:val=""/>
      <w:lvlJc w:val="left"/>
      <w:pPr>
        <w:ind w:left="360" w:hanging="360"/>
      </w:pPr>
      <w:rPr>
        <w:rFonts w:ascii="Wingdings" w:hAnsi="Wingdings" w:cs="Times New Roman" w:hint="default"/>
        <w:sz w:val="19"/>
        <w:szCs w:val="20"/>
      </w:rPr>
    </w:lvl>
    <w:lvl w:ilvl="1">
      <w:start w:val="1"/>
      <w:numFmt w:val="bullet"/>
      <w:lvlText w:val=""/>
      <w:lvlJc w:val="left"/>
      <w:pPr>
        <w:ind w:left="720" w:hanging="360"/>
      </w:pPr>
      <w:rPr>
        <w:rFonts w:ascii="Wingdings" w:hAnsi="Wingdings" w:cs="Wingdings" w:hint="default"/>
        <w:sz w:val="17"/>
        <w:szCs w:val="21"/>
      </w:rPr>
    </w:lvl>
    <w:lvl w:ilvl="2">
      <w:start w:val="1"/>
      <w:numFmt w:val="bullet"/>
      <w:lvlText w:val=""/>
      <w:lvlJc w:val="left"/>
      <w:pPr>
        <w:ind w:left="1080" w:hanging="360"/>
      </w:pPr>
      <w:rPr>
        <w:rFonts w:ascii="Wingdings 3" w:hAnsi="Wingdings 3" w:cs="Wingdings" w:hint="default"/>
        <w:sz w:val="19"/>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2B927C3"/>
    <w:multiLevelType w:val="multilevel"/>
    <w:tmpl w:val="009CCDC6"/>
    <w:lvl w:ilvl="0">
      <w:start w:val="1"/>
      <w:numFmt w:val="decimal"/>
      <w:lvlText w:val="%1."/>
      <w:lvlJc w:val="left"/>
      <w:pPr>
        <w:ind w:left="360" w:hanging="360"/>
      </w:pPr>
      <w:rPr>
        <w:rFonts w:hint="default"/>
        <w:sz w:val="24"/>
        <w:szCs w:val="20"/>
      </w:rPr>
    </w:lvl>
    <w:lvl w:ilvl="1">
      <w:start w:val="1"/>
      <w:numFmt w:val="bullet"/>
      <w:lvlRestart w:val="0"/>
      <w:lvlText w:val=""/>
      <w:lvlJc w:val="left"/>
      <w:pPr>
        <w:ind w:left="720" w:hanging="360"/>
      </w:pPr>
      <w:rPr>
        <w:rFonts w:ascii="Wingdings" w:hAnsi="Wingdings" w:cs="Wingdings" w:hint="default"/>
        <w:sz w:val="19"/>
        <w:szCs w:val="21"/>
      </w:rPr>
    </w:lvl>
    <w:lvl w:ilvl="2">
      <w:start w:val="1"/>
      <w:numFmt w:val="bullet"/>
      <w:lvlText w:val=""/>
      <w:lvlJc w:val="left"/>
      <w:pPr>
        <w:ind w:left="1080" w:hanging="360"/>
      </w:pPr>
      <w:rPr>
        <w:rFonts w:ascii="Wingdings 3" w:hAnsi="Wingdings 3" w:cs="Wingdings 3" w:hint="default"/>
        <w:sz w:val="16"/>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3B56ACB"/>
    <w:multiLevelType w:val="multilevel"/>
    <w:tmpl w:val="5A6E8180"/>
    <w:lvl w:ilvl="0">
      <w:start w:val="1"/>
      <w:numFmt w:val="decimal"/>
      <w:lvlText w:val="%1."/>
      <w:lvlJc w:val="left"/>
      <w:pPr>
        <w:ind w:left="360" w:hanging="360"/>
      </w:pPr>
      <w:rPr>
        <w:rFonts w:hint="default"/>
        <w:sz w:val="24"/>
        <w:szCs w:val="20"/>
      </w:rPr>
    </w:lvl>
    <w:lvl w:ilvl="1">
      <w:start w:val="1"/>
      <w:numFmt w:val="bullet"/>
      <w:lvlRestart w:val="0"/>
      <w:lvlText w:val=""/>
      <w:lvlJc w:val="left"/>
      <w:pPr>
        <w:ind w:left="720" w:hanging="360"/>
      </w:pPr>
      <w:rPr>
        <w:rFonts w:ascii="Wingdings" w:hAnsi="Wingdings" w:cs="Wingdings" w:hint="default"/>
        <w:sz w:val="19"/>
        <w:szCs w:val="21"/>
      </w:rPr>
    </w:lvl>
    <w:lvl w:ilvl="2">
      <w:start w:val="1"/>
      <w:numFmt w:val="bullet"/>
      <w:lvlRestart w:val="0"/>
      <w:lvlText w:val=""/>
      <w:lvlJc w:val="left"/>
      <w:pPr>
        <w:ind w:left="1080" w:hanging="360"/>
      </w:pPr>
      <w:rPr>
        <w:rFonts w:ascii="Wingdings" w:hAnsi="Wingdings" w:cs="Wingdings" w:hint="default"/>
        <w:sz w:val="16"/>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3FA3158"/>
    <w:multiLevelType w:val="multilevel"/>
    <w:tmpl w:val="793A2B9C"/>
    <w:lvl w:ilvl="0">
      <w:start w:val="1"/>
      <w:numFmt w:val="bullet"/>
      <w:lvlText w:val=""/>
      <w:lvlJc w:val="left"/>
      <w:pPr>
        <w:ind w:left="360" w:hanging="360"/>
      </w:pPr>
      <w:rPr>
        <w:rFonts w:ascii="Wingdings" w:hAnsi="Wingdings" w:cs="Wingdings" w:hint="default"/>
        <w:sz w:val="19"/>
        <w:szCs w:val="20"/>
      </w:rPr>
    </w:lvl>
    <w:lvl w:ilvl="1">
      <w:start w:val="1"/>
      <w:numFmt w:val="bullet"/>
      <w:lvlRestart w:val="0"/>
      <w:lvlText w:val=""/>
      <w:lvlJc w:val="left"/>
      <w:pPr>
        <w:ind w:left="360" w:hanging="360"/>
      </w:pPr>
      <w:rPr>
        <w:rFonts w:ascii="Wingdings" w:hAnsi="Wingdings" w:cs="Wingdings" w:hint="default"/>
        <w:sz w:val="19"/>
        <w:szCs w:val="21"/>
      </w:rPr>
    </w:lvl>
    <w:lvl w:ilvl="2">
      <w:start w:val="1"/>
      <w:numFmt w:val="bullet"/>
      <w:lvlText w:val=""/>
      <w:lvlJc w:val="left"/>
      <w:pPr>
        <w:ind w:left="720" w:hanging="360"/>
      </w:pPr>
      <w:rPr>
        <w:rFonts w:ascii="Wingdings 3" w:hAnsi="Wingdings 3" w:cs="Wingdings 3" w:hint="default"/>
        <w:sz w:val="16"/>
        <w:szCs w:val="20"/>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4D17E18"/>
    <w:multiLevelType w:val="multilevel"/>
    <w:tmpl w:val="9340A7F2"/>
    <w:name w:val="Examples List 222222"/>
    <w:lvl w:ilvl="0">
      <w:start w:val="1"/>
      <w:numFmt w:val="bullet"/>
      <w:lvlText w:val=""/>
      <w:lvlJc w:val="left"/>
      <w:pPr>
        <w:ind w:left="360" w:hanging="360"/>
      </w:pPr>
      <w:rPr>
        <w:rFonts w:ascii="Wingdings 3" w:hAnsi="Wingdings 3" w:cs="Times New Roman" w:hint="default"/>
        <w:sz w:val="20"/>
        <w:szCs w:val="20"/>
      </w:rPr>
    </w:lvl>
    <w:lvl w:ilvl="1">
      <w:start w:val="1"/>
      <w:numFmt w:val="decimal"/>
      <w:lvlRestart w:val="0"/>
      <w:lvlText w:val="%2."/>
      <w:lvlJc w:val="left"/>
      <w:pPr>
        <w:ind w:left="720" w:hanging="360"/>
      </w:pPr>
      <w:rPr>
        <w:rFonts w:hint="default"/>
      </w:rPr>
    </w:lvl>
    <w:lvl w:ilvl="2">
      <w:start w:val="1"/>
      <w:numFmt w:val="bullet"/>
      <w:lvlRestart w:val="0"/>
      <w:lvlText w:val=""/>
      <w:lvlJc w:val="left"/>
      <w:pPr>
        <w:ind w:left="1008" w:hanging="288"/>
      </w:pPr>
      <w:rPr>
        <w:rFonts w:ascii="Wingdings 3" w:hAnsi="Wingdings 3" w:cs="Times New Roman" w:hint="default"/>
        <w:sz w:val="20"/>
        <w:szCs w:val="20"/>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50B350E"/>
    <w:multiLevelType w:val="hybridMultilevel"/>
    <w:tmpl w:val="68CE425C"/>
    <w:lvl w:ilvl="0" w:tplc="B204BE1E">
      <w:start w:val="1"/>
      <w:numFmt w:val="lowerLetter"/>
      <w:lvlText w:val="%1)"/>
      <w:lvlJc w:val="left"/>
      <w:pPr>
        <w:ind w:left="720" w:hanging="360"/>
      </w:pPr>
    </w:lvl>
    <w:lvl w:ilvl="1" w:tplc="129418AA" w:tentative="1">
      <w:start w:val="1"/>
      <w:numFmt w:val="lowerLetter"/>
      <w:lvlText w:val="%2."/>
      <w:lvlJc w:val="left"/>
      <w:pPr>
        <w:ind w:left="1440" w:hanging="360"/>
      </w:pPr>
    </w:lvl>
    <w:lvl w:ilvl="2" w:tplc="70E0E376" w:tentative="1">
      <w:start w:val="1"/>
      <w:numFmt w:val="lowerRoman"/>
      <w:lvlText w:val="%3."/>
      <w:lvlJc w:val="right"/>
      <w:pPr>
        <w:ind w:left="2160" w:hanging="180"/>
      </w:pPr>
    </w:lvl>
    <w:lvl w:ilvl="3" w:tplc="A974433E" w:tentative="1">
      <w:start w:val="1"/>
      <w:numFmt w:val="decimal"/>
      <w:lvlText w:val="%4."/>
      <w:lvlJc w:val="left"/>
      <w:pPr>
        <w:ind w:left="2880" w:hanging="360"/>
      </w:pPr>
    </w:lvl>
    <w:lvl w:ilvl="4" w:tplc="23B2BEDC" w:tentative="1">
      <w:start w:val="1"/>
      <w:numFmt w:val="lowerLetter"/>
      <w:lvlText w:val="%5."/>
      <w:lvlJc w:val="left"/>
      <w:pPr>
        <w:ind w:left="3600" w:hanging="360"/>
      </w:pPr>
    </w:lvl>
    <w:lvl w:ilvl="5" w:tplc="78109822" w:tentative="1">
      <w:start w:val="1"/>
      <w:numFmt w:val="lowerRoman"/>
      <w:lvlText w:val="%6."/>
      <w:lvlJc w:val="right"/>
      <w:pPr>
        <w:ind w:left="4320" w:hanging="180"/>
      </w:pPr>
    </w:lvl>
    <w:lvl w:ilvl="6" w:tplc="FC981A1A" w:tentative="1">
      <w:start w:val="1"/>
      <w:numFmt w:val="decimal"/>
      <w:lvlText w:val="%7."/>
      <w:lvlJc w:val="left"/>
      <w:pPr>
        <w:ind w:left="5040" w:hanging="360"/>
      </w:pPr>
    </w:lvl>
    <w:lvl w:ilvl="7" w:tplc="B2587AB6" w:tentative="1">
      <w:start w:val="1"/>
      <w:numFmt w:val="lowerLetter"/>
      <w:lvlText w:val="%8."/>
      <w:lvlJc w:val="left"/>
      <w:pPr>
        <w:ind w:left="5760" w:hanging="360"/>
      </w:pPr>
    </w:lvl>
    <w:lvl w:ilvl="8" w:tplc="1CEC0372" w:tentative="1">
      <w:start w:val="1"/>
      <w:numFmt w:val="lowerRoman"/>
      <w:lvlText w:val="%9."/>
      <w:lvlJc w:val="right"/>
      <w:pPr>
        <w:ind w:left="6480" w:hanging="180"/>
      </w:pPr>
    </w:lvl>
  </w:abstractNum>
  <w:abstractNum w:abstractNumId="16" w15:restartNumberingAfterBreak="0">
    <w:nsid w:val="0528703D"/>
    <w:multiLevelType w:val="multilevel"/>
    <w:tmpl w:val="1F9C0798"/>
    <w:lvl w:ilvl="0">
      <w:start w:val="1"/>
      <w:numFmt w:val="decimal"/>
      <w:lvlText w:val="%1."/>
      <w:lvlJc w:val="left"/>
      <w:pPr>
        <w:ind w:left="360" w:hanging="360"/>
      </w:pPr>
      <w:rPr>
        <w:rFonts w:hint="default"/>
        <w:sz w:val="24"/>
        <w:szCs w:val="20"/>
      </w:rPr>
    </w:lvl>
    <w:lvl w:ilvl="1">
      <w:start w:val="1"/>
      <w:numFmt w:val="bullet"/>
      <w:lvlText w:val=""/>
      <w:lvlJc w:val="left"/>
      <w:pPr>
        <w:ind w:left="720" w:hanging="360"/>
      </w:pPr>
      <w:rPr>
        <w:rFonts w:ascii="Wingdings 3" w:hAnsi="Wingdings 3" w:cs="Times New Roman" w:hint="default"/>
        <w:sz w:val="21"/>
        <w:szCs w:val="20"/>
      </w:rPr>
    </w:lvl>
    <w:lvl w:ilvl="2">
      <w:start w:val="1"/>
      <w:numFmt w:val="bullet"/>
      <w:lvlRestart w:val="0"/>
      <w:lvlText w:val=""/>
      <w:lvlJc w:val="left"/>
      <w:pPr>
        <w:ind w:left="1008" w:hanging="288"/>
      </w:pPr>
      <w:rPr>
        <w:rFonts w:ascii="Wingdings" w:hAnsi="Wingdings" w:cs="Times New Roman" w:hint="default"/>
        <w:sz w:val="20"/>
        <w:szCs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64829B4"/>
    <w:multiLevelType w:val="multilevel"/>
    <w:tmpl w:val="138C465A"/>
    <w:lvl w:ilvl="0">
      <w:start w:val="1"/>
      <w:numFmt w:val="decimal"/>
      <w:lvlText w:val="%1."/>
      <w:lvlJc w:val="left"/>
      <w:pPr>
        <w:ind w:left="360" w:hanging="360"/>
      </w:pPr>
      <w:rPr>
        <w:rFonts w:hint="default"/>
        <w:sz w:val="24"/>
        <w:szCs w:val="20"/>
      </w:rPr>
    </w:lvl>
    <w:lvl w:ilvl="1">
      <w:start w:val="1"/>
      <w:numFmt w:val="bullet"/>
      <w:lvlRestart w:val="0"/>
      <w:lvlText w:val=""/>
      <w:lvlJc w:val="left"/>
      <w:pPr>
        <w:ind w:left="720" w:hanging="360"/>
      </w:pPr>
      <w:rPr>
        <w:rFonts w:ascii="Wingdings 3" w:hAnsi="Wingdings 3" w:cs="Times New Roman" w:hint="default"/>
        <w:szCs w:val="20"/>
      </w:rPr>
    </w:lvl>
    <w:lvl w:ilvl="2">
      <w:start w:val="1"/>
      <w:numFmt w:val="bullet"/>
      <w:lvlRestart w:val="0"/>
      <w:lvlText w:val=""/>
      <w:lvlJc w:val="left"/>
      <w:pPr>
        <w:ind w:left="1008" w:hanging="288"/>
      </w:pPr>
      <w:rPr>
        <w:rFonts w:ascii="Wingdings" w:hAnsi="Wingdings" w:cs="Times New Roman" w:hint="default"/>
        <w:sz w:val="20"/>
        <w:szCs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8403E8E"/>
    <w:multiLevelType w:val="multilevel"/>
    <w:tmpl w:val="E7D8FE92"/>
    <w:lvl w:ilvl="0">
      <w:start w:val="1"/>
      <w:numFmt w:val="bullet"/>
      <w:lvlText w:val=""/>
      <w:lvlJc w:val="left"/>
      <w:pPr>
        <w:ind w:left="360" w:hanging="360"/>
      </w:pPr>
      <w:rPr>
        <w:rFonts w:ascii="Wingdings" w:hAnsi="Wingdings" w:cs="Wingdings" w:hint="default"/>
        <w:color w:val="auto"/>
        <w:sz w:val="19"/>
        <w:szCs w:val="20"/>
      </w:rPr>
    </w:lvl>
    <w:lvl w:ilvl="1">
      <w:start w:val="1"/>
      <w:numFmt w:val="bullet"/>
      <w:lvlText w:val="o"/>
      <w:lvlJc w:val="left"/>
      <w:pPr>
        <w:ind w:left="360" w:hanging="360"/>
      </w:pPr>
      <w:rPr>
        <w:rFonts w:ascii="Courier New" w:hAnsi="Courier New" w:cs="Courier New" w:hint="default"/>
        <w:sz w:val="19"/>
        <w:szCs w:val="21"/>
      </w:rPr>
    </w:lvl>
    <w:lvl w:ilvl="2">
      <w:start w:val="1"/>
      <w:numFmt w:val="bullet"/>
      <w:lvlText w:val=""/>
      <w:lvlJc w:val="left"/>
      <w:pPr>
        <w:ind w:left="720" w:hanging="360"/>
      </w:pPr>
      <w:rPr>
        <w:rFonts w:ascii="Wingdings 3" w:hAnsi="Wingdings 3" w:cs="Wingdings" w:hint="default"/>
        <w:sz w:val="19"/>
        <w:szCs w:val="20"/>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08C77D9C"/>
    <w:multiLevelType w:val="multilevel"/>
    <w:tmpl w:val="2CAAC47E"/>
    <w:lvl w:ilvl="0">
      <w:start w:val="1"/>
      <w:numFmt w:val="bullet"/>
      <w:lvlText w:val=""/>
      <w:lvlJc w:val="left"/>
      <w:pPr>
        <w:ind w:left="720" w:hanging="360"/>
      </w:pPr>
      <w:rPr>
        <w:rFonts w:ascii="Symbol" w:hAnsi="Symbol" w:hint="default"/>
        <w:sz w:val="24"/>
        <w:szCs w:val="20"/>
      </w:rPr>
    </w:lvl>
    <w:lvl w:ilvl="1">
      <w:start w:val="1"/>
      <w:numFmt w:val="bullet"/>
      <w:lvlRestart w:val="0"/>
      <w:lvlText w:val=""/>
      <w:lvlJc w:val="left"/>
      <w:pPr>
        <w:ind w:left="1080" w:hanging="360"/>
      </w:pPr>
      <w:rPr>
        <w:rFonts w:ascii="Wingdings 3" w:hAnsi="Wingdings 3" w:cs="Times New Roman" w:hint="default"/>
        <w:szCs w:val="20"/>
      </w:rPr>
    </w:lvl>
    <w:lvl w:ilvl="2">
      <w:start w:val="1"/>
      <w:numFmt w:val="bullet"/>
      <w:lvlRestart w:val="0"/>
      <w:lvlText w:val=""/>
      <w:lvlJc w:val="left"/>
      <w:pPr>
        <w:ind w:left="1368" w:hanging="288"/>
      </w:pPr>
      <w:rPr>
        <w:rFonts w:ascii="Wingdings" w:hAnsi="Wingdings" w:cs="Times New Roman" w:hint="default"/>
        <w:sz w:val="20"/>
        <w:szCs w:val="24"/>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0" w15:restartNumberingAfterBreak="0">
    <w:nsid w:val="0925733B"/>
    <w:multiLevelType w:val="multilevel"/>
    <w:tmpl w:val="8AF8BB12"/>
    <w:lvl w:ilvl="0">
      <w:start w:val="1"/>
      <w:numFmt w:val="bullet"/>
      <w:lvlText w:val=""/>
      <w:lvlJc w:val="left"/>
      <w:pPr>
        <w:ind w:left="360" w:hanging="360"/>
      </w:pPr>
      <w:rPr>
        <w:rFonts w:ascii="Wingdings" w:hAnsi="Wingdings" w:cs="Wingdings" w:hint="default"/>
        <w:sz w:val="19"/>
        <w:szCs w:val="20"/>
      </w:rPr>
    </w:lvl>
    <w:lvl w:ilvl="1">
      <w:start w:val="1"/>
      <w:numFmt w:val="bullet"/>
      <w:lvlRestart w:val="0"/>
      <w:lvlText w:val=""/>
      <w:lvlJc w:val="left"/>
      <w:pPr>
        <w:ind w:left="720" w:hanging="360"/>
      </w:pPr>
      <w:rPr>
        <w:rFonts w:ascii="Wingdings" w:hAnsi="Wingdings" w:cs="Wingdings" w:hint="default"/>
        <w:sz w:val="19"/>
        <w:szCs w:val="21"/>
      </w:rPr>
    </w:lvl>
    <w:lvl w:ilvl="2">
      <w:start w:val="1"/>
      <w:numFmt w:val="bullet"/>
      <w:lvlText w:val=""/>
      <w:lvlJc w:val="left"/>
      <w:pPr>
        <w:ind w:left="1080" w:hanging="360"/>
      </w:pPr>
      <w:rPr>
        <w:rFonts w:ascii="Wingdings 3" w:hAnsi="Wingdings 3" w:cs="Wingdings" w:hint="default"/>
        <w:sz w:val="19"/>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93C042B"/>
    <w:multiLevelType w:val="multilevel"/>
    <w:tmpl w:val="2160B50C"/>
    <w:lvl w:ilvl="0">
      <w:start w:val="1"/>
      <w:numFmt w:val="bullet"/>
      <w:lvlText w:val=""/>
      <w:lvlJc w:val="left"/>
      <w:pPr>
        <w:ind w:left="360" w:hanging="360"/>
      </w:pPr>
      <w:rPr>
        <w:rFonts w:ascii="Wingdings" w:hAnsi="Wingdings" w:cs="Times New Roman" w:hint="default"/>
        <w:sz w:val="19"/>
        <w:szCs w:val="20"/>
      </w:rPr>
    </w:lvl>
    <w:lvl w:ilvl="1">
      <w:start w:val="1"/>
      <w:numFmt w:val="bullet"/>
      <w:lvlText w:val=""/>
      <w:lvlJc w:val="left"/>
      <w:pPr>
        <w:ind w:left="720" w:hanging="360"/>
      </w:pPr>
      <w:rPr>
        <w:rFonts w:ascii="Wingdings" w:hAnsi="Wingdings" w:cs="Wingdings" w:hint="default"/>
        <w:sz w:val="17"/>
        <w:szCs w:val="21"/>
      </w:rPr>
    </w:lvl>
    <w:lvl w:ilvl="2">
      <w:start w:val="1"/>
      <w:numFmt w:val="bullet"/>
      <w:lvlText w:val=""/>
      <w:lvlJc w:val="left"/>
      <w:pPr>
        <w:ind w:left="1080" w:hanging="360"/>
      </w:pPr>
      <w:rPr>
        <w:rFonts w:ascii="Wingdings 3" w:hAnsi="Wingdings 3" w:cs="Wingdings" w:hint="default"/>
        <w:sz w:val="19"/>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0A047D53"/>
    <w:multiLevelType w:val="multilevel"/>
    <w:tmpl w:val="1F9C0798"/>
    <w:lvl w:ilvl="0">
      <w:start w:val="1"/>
      <w:numFmt w:val="decimal"/>
      <w:lvlText w:val="%1."/>
      <w:lvlJc w:val="left"/>
      <w:pPr>
        <w:ind w:left="360" w:hanging="360"/>
      </w:pPr>
      <w:rPr>
        <w:rFonts w:hint="default"/>
        <w:sz w:val="24"/>
        <w:szCs w:val="20"/>
      </w:rPr>
    </w:lvl>
    <w:lvl w:ilvl="1">
      <w:start w:val="1"/>
      <w:numFmt w:val="bullet"/>
      <w:lvlText w:val=""/>
      <w:lvlJc w:val="left"/>
      <w:pPr>
        <w:ind w:left="720" w:hanging="360"/>
      </w:pPr>
      <w:rPr>
        <w:rFonts w:ascii="Wingdings 3" w:hAnsi="Wingdings 3" w:cs="Times New Roman" w:hint="default"/>
        <w:sz w:val="21"/>
        <w:szCs w:val="20"/>
      </w:rPr>
    </w:lvl>
    <w:lvl w:ilvl="2">
      <w:start w:val="1"/>
      <w:numFmt w:val="bullet"/>
      <w:lvlRestart w:val="0"/>
      <w:lvlText w:val=""/>
      <w:lvlJc w:val="left"/>
      <w:pPr>
        <w:ind w:left="1008" w:hanging="288"/>
      </w:pPr>
      <w:rPr>
        <w:rFonts w:ascii="Wingdings" w:hAnsi="Wingdings" w:cs="Times New Roman" w:hint="default"/>
        <w:sz w:val="20"/>
        <w:szCs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0AB86998"/>
    <w:multiLevelType w:val="multilevel"/>
    <w:tmpl w:val="2160B50C"/>
    <w:lvl w:ilvl="0">
      <w:start w:val="1"/>
      <w:numFmt w:val="bullet"/>
      <w:lvlText w:val=""/>
      <w:lvlJc w:val="left"/>
      <w:pPr>
        <w:ind w:left="360" w:hanging="360"/>
      </w:pPr>
      <w:rPr>
        <w:rFonts w:ascii="Wingdings" w:hAnsi="Wingdings" w:cs="Times New Roman" w:hint="default"/>
        <w:sz w:val="19"/>
        <w:szCs w:val="20"/>
      </w:rPr>
    </w:lvl>
    <w:lvl w:ilvl="1">
      <w:start w:val="1"/>
      <w:numFmt w:val="bullet"/>
      <w:lvlText w:val=""/>
      <w:lvlJc w:val="left"/>
      <w:pPr>
        <w:ind w:left="720" w:hanging="360"/>
      </w:pPr>
      <w:rPr>
        <w:rFonts w:ascii="Wingdings" w:hAnsi="Wingdings" w:cs="Wingdings" w:hint="default"/>
        <w:sz w:val="17"/>
        <w:szCs w:val="21"/>
      </w:rPr>
    </w:lvl>
    <w:lvl w:ilvl="2">
      <w:start w:val="1"/>
      <w:numFmt w:val="bullet"/>
      <w:lvlText w:val=""/>
      <w:lvlJc w:val="left"/>
      <w:pPr>
        <w:ind w:left="1080" w:hanging="360"/>
      </w:pPr>
      <w:rPr>
        <w:rFonts w:ascii="Wingdings 3" w:hAnsi="Wingdings 3" w:cs="Wingdings" w:hint="default"/>
        <w:sz w:val="19"/>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0C5E1188"/>
    <w:multiLevelType w:val="multilevel"/>
    <w:tmpl w:val="5A6E8180"/>
    <w:lvl w:ilvl="0">
      <w:start w:val="1"/>
      <w:numFmt w:val="decimal"/>
      <w:lvlText w:val="%1."/>
      <w:lvlJc w:val="left"/>
      <w:pPr>
        <w:ind w:left="360" w:hanging="360"/>
      </w:pPr>
      <w:rPr>
        <w:rFonts w:hint="default"/>
        <w:sz w:val="24"/>
        <w:szCs w:val="20"/>
      </w:rPr>
    </w:lvl>
    <w:lvl w:ilvl="1">
      <w:start w:val="1"/>
      <w:numFmt w:val="bullet"/>
      <w:lvlRestart w:val="0"/>
      <w:lvlText w:val=""/>
      <w:lvlJc w:val="left"/>
      <w:pPr>
        <w:ind w:left="720" w:hanging="360"/>
      </w:pPr>
      <w:rPr>
        <w:rFonts w:ascii="Wingdings" w:hAnsi="Wingdings" w:cs="Wingdings" w:hint="default"/>
        <w:sz w:val="19"/>
        <w:szCs w:val="21"/>
      </w:rPr>
    </w:lvl>
    <w:lvl w:ilvl="2">
      <w:start w:val="1"/>
      <w:numFmt w:val="bullet"/>
      <w:lvlRestart w:val="0"/>
      <w:lvlText w:val=""/>
      <w:lvlJc w:val="left"/>
      <w:pPr>
        <w:ind w:left="1080" w:hanging="360"/>
      </w:pPr>
      <w:rPr>
        <w:rFonts w:ascii="Wingdings" w:hAnsi="Wingdings" w:cs="Wingdings" w:hint="default"/>
        <w:sz w:val="16"/>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0C7477B2"/>
    <w:multiLevelType w:val="hybridMultilevel"/>
    <w:tmpl w:val="927AE660"/>
    <w:lvl w:ilvl="0" w:tplc="99FAB4C8">
      <w:start w:val="1"/>
      <w:numFmt w:val="bullet"/>
      <w:lvlText w:val=""/>
      <w:lvlJc w:val="left"/>
      <w:pPr>
        <w:ind w:left="5404" w:hanging="360"/>
      </w:pPr>
      <w:rPr>
        <w:rFonts w:ascii="Wingdings" w:hAnsi="Wingdings" w:cs="Wingdings" w:hint="default"/>
        <w:sz w:val="19"/>
      </w:rPr>
    </w:lvl>
    <w:lvl w:ilvl="1" w:tplc="04090003">
      <w:start w:val="1"/>
      <w:numFmt w:val="bullet"/>
      <w:lvlText w:val="o"/>
      <w:lvlJc w:val="left"/>
      <w:pPr>
        <w:ind w:left="6124" w:hanging="360"/>
      </w:pPr>
      <w:rPr>
        <w:rFonts w:ascii="Courier New" w:hAnsi="Courier New" w:cs="Courier New" w:hint="default"/>
      </w:rPr>
    </w:lvl>
    <w:lvl w:ilvl="2" w:tplc="04090005" w:tentative="1">
      <w:start w:val="1"/>
      <w:numFmt w:val="bullet"/>
      <w:lvlText w:val=""/>
      <w:lvlJc w:val="left"/>
      <w:pPr>
        <w:ind w:left="6844" w:hanging="360"/>
      </w:pPr>
      <w:rPr>
        <w:rFonts w:ascii="Wingdings" w:hAnsi="Wingdings" w:hint="default"/>
      </w:rPr>
    </w:lvl>
    <w:lvl w:ilvl="3" w:tplc="04090001">
      <w:start w:val="1"/>
      <w:numFmt w:val="bullet"/>
      <w:lvlText w:val=""/>
      <w:lvlJc w:val="left"/>
      <w:pPr>
        <w:ind w:left="360" w:hanging="360"/>
      </w:pPr>
      <w:rPr>
        <w:rFonts w:ascii="Symbol" w:hAnsi="Symbol" w:hint="default"/>
      </w:rPr>
    </w:lvl>
    <w:lvl w:ilvl="4" w:tplc="04090003" w:tentative="1">
      <w:start w:val="1"/>
      <w:numFmt w:val="bullet"/>
      <w:lvlText w:val="o"/>
      <w:lvlJc w:val="left"/>
      <w:pPr>
        <w:ind w:left="8284" w:hanging="360"/>
      </w:pPr>
      <w:rPr>
        <w:rFonts w:ascii="Courier New" w:hAnsi="Courier New" w:cs="Courier New" w:hint="default"/>
      </w:rPr>
    </w:lvl>
    <w:lvl w:ilvl="5" w:tplc="04090005" w:tentative="1">
      <w:start w:val="1"/>
      <w:numFmt w:val="bullet"/>
      <w:lvlText w:val=""/>
      <w:lvlJc w:val="left"/>
      <w:pPr>
        <w:ind w:left="9004" w:hanging="360"/>
      </w:pPr>
      <w:rPr>
        <w:rFonts w:ascii="Wingdings" w:hAnsi="Wingdings" w:hint="default"/>
      </w:rPr>
    </w:lvl>
    <w:lvl w:ilvl="6" w:tplc="04090001" w:tentative="1">
      <w:start w:val="1"/>
      <w:numFmt w:val="bullet"/>
      <w:lvlText w:val=""/>
      <w:lvlJc w:val="left"/>
      <w:pPr>
        <w:ind w:left="9724" w:hanging="360"/>
      </w:pPr>
      <w:rPr>
        <w:rFonts w:ascii="Symbol" w:hAnsi="Symbol" w:hint="default"/>
      </w:rPr>
    </w:lvl>
    <w:lvl w:ilvl="7" w:tplc="04090003" w:tentative="1">
      <w:start w:val="1"/>
      <w:numFmt w:val="bullet"/>
      <w:lvlText w:val="o"/>
      <w:lvlJc w:val="left"/>
      <w:pPr>
        <w:ind w:left="10444" w:hanging="360"/>
      </w:pPr>
      <w:rPr>
        <w:rFonts w:ascii="Courier New" w:hAnsi="Courier New" w:cs="Courier New" w:hint="default"/>
      </w:rPr>
    </w:lvl>
    <w:lvl w:ilvl="8" w:tplc="04090005" w:tentative="1">
      <w:start w:val="1"/>
      <w:numFmt w:val="bullet"/>
      <w:lvlText w:val=""/>
      <w:lvlJc w:val="left"/>
      <w:pPr>
        <w:ind w:left="11164" w:hanging="360"/>
      </w:pPr>
      <w:rPr>
        <w:rFonts w:ascii="Wingdings" w:hAnsi="Wingdings" w:hint="default"/>
      </w:rPr>
    </w:lvl>
  </w:abstractNum>
  <w:abstractNum w:abstractNumId="26" w15:restartNumberingAfterBreak="0">
    <w:nsid w:val="0CA54C1E"/>
    <w:multiLevelType w:val="multilevel"/>
    <w:tmpl w:val="1F9C0798"/>
    <w:lvl w:ilvl="0">
      <w:start w:val="1"/>
      <w:numFmt w:val="decimal"/>
      <w:lvlText w:val="%1."/>
      <w:lvlJc w:val="left"/>
      <w:pPr>
        <w:ind w:left="360" w:hanging="360"/>
      </w:pPr>
      <w:rPr>
        <w:rFonts w:hint="default"/>
        <w:sz w:val="24"/>
        <w:szCs w:val="20"/>
      </w:rPr>
    </w:lvl>
    <w:lvl w:ilvl="1">
      <w:start w:val="1"/>
      <w:numFmt w:val="bullet"/>
      <w:lvlText w:val=""/>
      <w:lvlJc w:val="left"/>
      <w:pPr>
        <w:ind w:left="720" w:hanging="360"/>
      </w:pPr>
      <w:rPr>
        <w:rFonts w:ascii="Wingdings 3" w:hAnsi="Wingdings 3" w:cs="Times New Roman" w:hint="default"/>
        <w:sz w:val="21"/>
        <w:szCs w:val="20"/>
      </w:rPr>
    </w:lvl>
    <w:lvl w:ilvl="2">
      <w:start w:val="1"/>
      <w:numFmt w:val="bullet"/>
      <w:lvlRestart w:val="0"/>
      <w:lvlText w:val=""/>
      <w:lvlJc w:val="left"/>
      <w:pPr>
        <w:ind w:left="1008" w:hanging="288"/>
      </w:pPr>
      <w:rPr>
        <w:rFonts w:ascii="Wingdings" w:hAnsi="Wingdings" w:cs="Times New Roman" w:hint="default"/>
        <w:sz w:val="20"/>
        <w:szCs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0D6C15C7"/>
    <w:multiLevelType w:val="multilevel"/>
    <w:tmpl w:val="1F9C0798"/>
    <w:lvl w:ilvl="0">
      <w:start w:val="1"/>
      <w:numFmt w:val="decimal"/>
      <w:lvlText w:val="%1."/>
      <w:lvlJc w:val="left"/>
      <w:pPr>
        <w:ind w:left="360" w:hanging="360"/>
      </w:pPr>
      <w:rPr>
        <w:rFonts w:hint="default"/>
        <w:sz w:val="24"/>
        <w:szCs w:val="20"/>
      </w:rPr>
    </w:lvl>
    <w:lvl w:ilvl="1">
      <w:start w:val="1"/>
      <w:numFmt w:val="bullet"/>
      <w:lvlText w:val=""/>
      <w:lvlJc w:val="left"/>
      <w:pPr>
        <w:ind w:left="720" w:hanging="360"/>
      </w:pPr>
      <w:rPr>
        <w:rFonts w:ascii="Wingdings 3" w:hAnsi="Wingdings 3" w:cs="Times New Roman" w:hint="default"/>
        <w:sz w:val="21"/>
        <w:szCs w:val="20"/>
      </w:rPr>
    </w:lvl>
    <w:lvl w:ilvl="2">
      <w:start w:val="1"/>
      <w:numFmt w:val="bullet"/>
      <w:lvlRestart w:val="0"/>
      <w:lvlText w:val=""/>
      <w:lvlJc w:val="left"/>
      <w:pPr>
        <w:ind w:left="1008" w:hanging="288"/>
      </w:pPr>
      <w:rPr>
        <w:rFonts w:ascii="Wingdings" w:hAnsi="Wingdings" w:cs="Times New Roman" w:hint="default"/>
        <w:sz w:val="20"/>
        <w:szCs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0D8547D8"/>
    <w:multiLevelType w:val="multilevel"/>
    <w:tmpl w:val="17F219CE"/>
    <w:name w:val="Examples List22"/>
    <w:lvl w:ilvl="0">
      <w:start w:val="1"/>
      <w:numFmt w:val="bullet"/>
      <w:lvlText w:val=""/>
      <w:lvlJc w:val="left"/>
      <w:pPr>
        <w:ind w:left="360" w:hanging="360"/>
      </w:pPr>
      <w:rPr>
        <w:rFonts w:ascii="Wingdings 3" w:hAnsi="Wingdings 3" w:cs="Times New Roman" w:hint="default"/>
        <w:sz w:val="20"/>
        <w:szCs w:val="20"/>
      </w:rPr>
    </w:lvl>
    <w:lvl w:ilvl="1">
      <w:start w:val="1"/>
      <w:numFmt w:val="decimal"/>
      <w:lvlRestart w:val="0"/>
      <w:lvlText w:val="%2."/>
      <w:lvlJc w:val="left"/>
      <w:pPr>
        <w:ind w:left="720" w:hanging="360"/>
      </w:pPr>
      <w:rPr>
        <w:rFonts w:hint="default"/>
      </w:rPr>
    </w:lvl>
    <w:lvl w:ilvl="2">
      <w:start w:val="1"/>
      <w:numFmt w:val="bullet"/>
      <w:lvlRestart w:val="0"/>
      <w:lvlText w:val=""/>
      <w:lvlJc w:val="left"/>
      <w:pPr>
        <w:ind w:left="1008" w:hanging="288"/>
      </w:pPr>
      <w:rPr>
        <w:rFonts w:ascii="Wingdings 3" w:hAnsi="Wingdings 3" w:cs="Times New Roman" w:hint="default"/>
        <w:sz w:val="20"/>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0D9C478F"/>
    <w:multiLevelType w:val="multilevel"/>
    <w:tmpl w:val="2160B50C"/>
    <w:lvl w:ilvl="0">
      <w:start w:val="1"/>
      <w:numFmt w:val="bullet"/>
      <w:lvlText w:val=""/>
      <w:lvlJc w:val="left"/>
      <w:pPr>
        <w:ind w:left="360" w:hanging="360"/>
      </w:pPr>
      <w:rPr>
        <w:rFonts w:ascii="Wingdings" w:hAnsi="Wingdings" w:cs="Times New Roman" w:hint="default"/>
        <w:sz w:val="19"/>
        <w:szCs w:val="20"/>
      </w:rPr>
    </w:lvl>
    <w:lvl w:ilvl="1">
      <w:start w:val="1"/>
      <w:numFmt w:val="bullet"/>
      <w:lvlText w:val=""/>
      <w:lvlJc w:val="left"/>
      <w:pPr>
        <w:ind w:left="720" w:hanging="360"/>
      </w:pPr>
      <w:rPr>
        <w:rFonts w:ascii="Wingdings" w:hAnsi="Wingdings" w:cs="Wingdings" w:hint="default"/>
        <w:sz w:val="17"/>
        <w:szCs w:val="21"/>
      </w:rPr>
    </w:lvl>
    <w:lvl w:ilvl="2">
      <w:start w:val="1"/>
      <w:numFmt w:val="bullet"/>
      <w:lvlText w:val=""/>
      <w:lvlJc w:val="left"/>
      <w:pPr>
        <w:ind w:left="1080" w:hanging="360"/>
      </w:pPr>
      <w:rPr>
        <w:rFonts w:ascii="Wingdings 3" w:hAnsi="Wingdings 3" w:cs="Wingdings" w:hint="default"/>
        <w:sz w:val="19"/>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0DCE508D"/>
    <w:multiLevelType w:val="multilevel"/>
    <w:tmpl w:val="2160B50C"/>
    <w:lvl w:ilvl="0">
      <w:start w:val="1"/>
      <w:numFmt w:val="bullet"/>
      <w:lvlText w:val=""/>
      <w:lvlJc w:val="left"/>
      <w:pPr>
        <w:ind w:left="360" w:hanging="360"/>
      </w:pPr>
      <w:rPr>
        <w:rFonts w:ascii="Wingdings" w:hAnsi="Wingdings" w:cs="Times New Roman" w:hint="default"/>
        <w:sz w:val="19"/>
        <w:szCs w:val="20"/>
      </w:rPr>
    </w:lvl>
    <w:lvl w:ilvl="1">
      <w:start w:val="1"/>
      <w:numFmt w:val="bullet"/>
      <w:lvlText w:val=""/>
      <w:lvlJc w:val="left"/>
      <w:pPr>
        <w:ind w:left="720" w:hanging="360"/>
      </w:pPr>
      <w:rPr>
        <w:rFonts w:ascii="Wingdings" w:hAnsi="Wingdings" w:cs="Wingdings" w:hint="default"/>
        <w:sz w:val="17"/>
        <w:szCs w:val="21"/>
      </w:rPr>
    </w:lvl>
    <w:lvl w:ilvl="2">
      <w:start w:val="1"/>
      <w:numFmt w:val="bullet"/>
      <w:lvlText w:val=""/>
      <w:lvlJc w:val="left"/>
      <w:pPr>
        <w:ind w:left="1080" w:hanging="360"/>
      </w:pPr>
      <w:rPr>
        <w:rFonts w:ascii="Wingdings 3" w:hAnsi="Wingdings 3" w:cs="Wingdings" w:hint="default"/>
        <w:sz w:val="19"/>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0E5E534F"/>
    <w:multiLevelType w:val="multilevel"/>
    <w:tmpl w:val="5A6E8180"/>
    <w:lvl w:ilvl="0">
      <w:start w:val="1"/>
      <w:numFmt w:val="decimal"/>
      <w:lvlText w:val="%1."/>
      <w:lvlJc w:val="left"/>
      <w:pPr>
        <w:ind w:left="360" w:hanging="360"/>
      </w:pPr>
      <w:rPr>
        <w:rFonts w:hint="default"/>
        <w:sz w:val="24"/>
        <w:szCs w:val="20"/>
      </w:rPr>
    </w:lvl>
    <w:lvl w:ilvl="1">
      <w:start w:val="1"/>
      <w:numFmt w:val="bullet"/>
      <w:lvlRestart w:val="0"/>
      <w:lvlText w:val=""/>
      <w:lvlJc w:val="left"/>
      <w:pPr>
        <w:ind w:left="720" w:hanging="360"/>
      </w:pPr>
      <w:rPr>
        <w:rFonts w:ascii="Wingdings" w:hAnsi="Wingdings" w:cs="Wingdings" w:hint="default"/>
        <w:sz w:val="19"/>
        <w:szCs w:val="21"/>
      </w:rPr>
    </w:lvl>
    <w:lvl w:ilvl="2">
      <w:start w:val="1"/>
      <w:numFmt w:val="bullet"/>
      <w:lvlRestart w:val="0"/>
      <w:lvlText w:val=""/>
      <w:lvlJc w:val="left"/>
      <w:pPr>
        <w:ind w:left="1080" w:hanging="360"/>
      </w:pPr>
      <w:rPr>
        <w:rFonts w:ascii="Wingdings" w:hAnsi="Wingdings" w:cs="Wingdings" w:hint="default"/>
        <w:sz w:val="16"/>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0F1A0A6D"/>
    <w:multiLevelType w:val="multilevel"/>
    <w:tmpl w:val="9126EB9E"/>
    <w:lvl w:ilvl="0">
      <w:start w:val="1"/>
      <w:numFmt w:val="bullet"/>
      <w:lvlText w:val=""/>
      <w:lvlJc w:val="left"/>
      <w:pPr>
        <w:ind w:left="360" w:hanging="360"/>
      </w:pPr>
      <w:rPr>
        <w:rFonts w:ascii="Wingdings" w:hAnsi="Wingdings" w:cs="Wingdings" w:hint="default"/>
        <w:sz w:val="19"/>
        <w:szCs w:val="20"/>
      </w:rPr>
    </w:lvl>
    <w:lvl w:ilvl="1">
      <w:start w:val="1"/>
      <w:numFmt w:val="bullet"/>
      <w:lvlRestart w:val="0"/>
      <w:lvlText w:val=""/>
      <w:lvlJc w:val="left"/>
      <w:pPr>
        <w:ind w:left="720" w:hanging="360"/>
      </w:pPr>
      <w:rPr>
        <w:rFonts w:ascii="Wingdings" w:hAnsi="Wingdings" w:cs="Wingdings" w:hint="default"/>
        <w:sz w:val="19"/>
        <w:szCs w:val="21"/>
      </w:rPr>
    </w:lvl>
    <w:lvl w:ilvl="2">
      <w:start w:val="1"/>
      <w:numFmt w:val="bullet"/>
      <w:lvlText w:val=""/>
      <w:lvlJc w:val="left"/>
      <w:pPr>
        <w:ind w:left="1080" w:hanging="360"/>
      </w:pPr>
      <w:rPr>
        <w:rFonts w:ascii="Wingdings 3" w:hAnsi="Wingdings 3" w:cs="Wingdings" w:hint="default"/>
        <w:sz w:val="19"/>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0F542B6A"/>
    <w:multiLevelType w:val="multilevel"/>
    <w:tmpl w:val="6556F652"/>
    <w:lvl w:ilvl="0">
      <w:start w:val="1"/>
      <w:numFmt w:val="bullet"/>
      <w:lvlText w:val=""/>
      <w:lvlJc w:val="left"/>
      <w:pPr>
        <w:ind w:left="360" w:hanging="360"/>
      </w:pPr>
      <w:rPr>
        <w:rFonts w:ascii="Wingdings" w:hAnsi="Wingdings" w:cs="Wingdings" w:hint="default"/>
        <w:sz w:val="19"/>
        <w:szCs w:val="20"/>
      </w:rPr>
    </w:lvl>
    <w:lvl w:ilvl="1">
      <w:start w:val="1"/>
      <w:numFmt w:val="bullet"/>
      <w:lvlRestart w:val="0"/>
      <w:lvlText w:val=""/>
      <w:lvlJc w:val="left"/>
      <w:pPr>
        <w:ind w:left="360" w:hanging="360"/>
      </w:pPr>
      <w:rPr>
        <w:rFonts w:ascii="Wingdings" w:hAnsi="Wingdings" w:cs="Wingdings" w:hint="default"/>
        <w:sz w:val="19"/>
        <w:szCs w:val="21"/>
      </w:rPr>
    </w:lvl>
    <w:lvl w:ilvl="2">
      <w:start w:val="1"/>
      <w:numFmt w:val="bullet"/>
      <w:lvlText w:val="o"/>
      <w:lvlJc w:val="left"/>
      <w:pPr>
        <w:ind w:left="720" w:hanging="360"/>
      </w:pPr>
      <w:rPr>
        <w:rFonts w:ascii="Courier New" w:hAnsi="Courier New" w:cs="Courier New" w:hint="default"/>
        <w:sz w:val="16"/>
        <w:szCs w:val="20"/>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0FD04475"/>
    <w:multiLevelType w:val="multilevel"/>
    <w:tmpl w:val="1F9C0798"/>
    <w:lvl w:ilvl="0">
      <w:start w:val="1"/>
      <w:numFmt w:val="decimal"/>
      <w:lvlText w:val="%1."/>
      <w:lvlJc w:val="left"/>
      <w:pPr>
        <w:ind w:left="360" w:hanging="360"/>
      </w:pPr>
      <w:rPr>
        <w:rFonts w:hint="default"/>
        <w:sz w:val="24"/>
        <w:szCs w:val="20"/>
      </w:rPr>
    </w:lvl>
    <w:lvl w:ilvl="1">
      <w:start w:val="1"/>
      <w:numFmt w:val="bullet"/>
      <w:lvlText w:val=""/>
      <w:lvlJc w:val="left"/>
      <w:pPr>
        <w:ind w:left="720" w:hanging="360"/>
      </w:pPr>
      <w:rPr>
        <w:rFonts w:ascii="Wingdings 3" w:hAnsi="Wingdings 3" w:cs="Times New Roman" w:hint="default"/>
        <w:sz w:val="21"/>
        <w:szCs w:val="20"/>
      </w:rPr>
    </w:lvl>
    <w:lvl w:ilvl="2">
      <w:start w:val="1"/>
      <w:numFmt w:val="bullet"/>
      <w:lvlRestart w:val="0"/>
      <w:lvlText w:val=""/>
      <w:lvlJc w:val="left"/>
      <w:pPr>
        <w:ind w:left="1008" w:hanging="288"/>
      </w:pPr>
      <w:rPr>
        <w:rFonts w:ascii="Wingdings" w:hAnsi="Wingdings" w:cs="Times New Roman" w:hint="default"/>
        <w:sz w:val="20"/>
        <w:szCs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03C74EA"/>
    <w:multiLevelType w:val="multilevel"/>
    <w:tmpl w:val="EA86BC94"/>
    <w:name w:val="Examples List22222"/>
    <w:lvl w:ilvl="0">
      <w:start w:val="1"/>
      <w:numFmt w:val="decimal"/>
      <w:lvlText w:val="%1."/>
      <w:lvlJc w:val="left"/>
      <w:pPr>
        <w:ind w:left="360" w:hanging="360"/>
      </w:pPr>
      <w:rPr>
        <w:rFonts w:hint="default"/>
        <w:sz w:val="24"/>
        <w:szCs w:val="20"/>
      </w:rPr>
    </w:lvl>
    <w:lvl w:ilvl="1">
      <w:start w:val="1"/>
      <w:numFmt w:val="bullet"/>
      <w:lvlRestart w:val="0"/>
      <w:lvlText w:val=""/>
      <w:lvlJc w:val="left"/>
      <w:pPr>
        <w:ind w:left="720" w:hanging="360"/>
      </w:pPr>
      <w:rPr>
        <w:rFonts w:ascii="Wingdings" w:hAnsi="Wingdings" w:cs="Times New Roman" w:hint="default"/>
        <w:sz w:val="20"/>
        <w:szCs w:val="21"/>
      </w:rPr>
    </w:lvl>
    <w:lvl w:ilvl="2">
      <w:start w:val="1"/>
      <w:numFmt w:val="bullet"/>
      <w:lvlRestart w:val="0"/>
      <w:lvlText w:val=""/>
      <w:lvlJc w:val="left"/>
      <w:pPr>
        <w:ind w:left="1080" w:hanging="360"/>
      </w:pPr>
      <w:rPr>
        <w:rFonts w:ascii="Wingdings" w:hAnsi="Wingdings" w:cs="Wingdings" w:hint="default"/>
        <w:sz w:val="16"/>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09D1ADC"/>
    <w:multiLevelType w:val="multilevel"/>
    <w:tmpl w:val="EA86BC94"/>
    <w:name w:val="Examples List2222222"/>
    <w:lvl w:ilvl="0">
      <w:start w:val="1"/>
      <w:numFmt w:val="decimal"/>
      <w:lvlText w:val="%1."/>
      <w:lvlJc w:val="left"/>
      <w:pPr>
        <w:ind w:left="360" w:hanging="360"/>
      </w:pPr>
      <w:rPr>
        <w:rFonts w:hint="default"/>
        <w:sz w:val="24"/>
        <w:szCs w:val="20"/>
      </w:rPr>
    </w:lvl>
    <w:lvl w:ilvl="1">
      <w:start w:val="1"/>
      <w:numFmt w:val="bullet"/>
      <w:lvlRestart w:val="0"/>
      <w:lvlText w:val=""/>
      <w:lvlJc w:val="left"/>
      <w:pPr>
        <w:ind w:left="720" w:hanging="360"/>
      </w:pPr>
      <w:rPr>
        <w:rFonts w:ascii="Wingdings" w:hAnsi="Wingdings" w:cs="Times New Roman" w:hint="default"/>
        <w:sz w:val="20"/>
        <w:szCs w:val="21"/>
      </w:rPr>
    </w:lvl>
    <w:lvl w:ilvl="2">
      <w:start w:val="1"/>
      <w:numFmt w:val="bullet"/>
      <w:lvlRestart w:val="0"/>
      <w:lvlText w:val=""/>
      <w:lvlJc w:val="left"/>
      <w:pPr>
        <w:ind w:left="1080" w:hanging="360"/>
      </w:pPr>
      <w:rPr>
        <w:rFonts w:ascii="Wingdings" w:hAnsi="Wingdings" w:cs="Wingdings" w:hint="default"/>
        <w:sz w:val="16"/>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0A40439"/>
    <w:multiLevelType w:val="multilevel"/>
    <w:tmpl w:val="5A6E8180"/>
    <w:lvl w:ilvl="0">
      <w:start w:val="1"/>
      <w:numFmt w:val="decimal"/>
      <w:lvlText w:val="%1."/>
      <w:lvlJc w:val="left"/>
      <w:pPr>
        <w:ind w:left="360" w:hanging="360"/>
      </w:pPr>
      <w:rPr>
        <w:rFonts w:hint="default"/>
        <w:sz w:val="24"/>
        <w:szCs w:val="20"/>
      </w:rPr>
    </w:lvl>
    <w:lvl w:ilvl="1">
      <w:start w:val="1"/>
      <w:numFmt w:val="bullet"/>
      <w:lvlRestart w:val="0"/>
      <w:lvlText w:val=""/>
      <w:lvlJc w:val="left"/>
      <w:pPr>
        <w:ind w:left="720" w:hanging="360"/>
      </w:pPr>
      <w:rPr>
        <w:rFonts w:ascii="Wingdings" w:hAnsi="Wingdings" w:cs="Wingdings" w:hint="default"/>
        <w:sz w:val="19"/>
        <w:szCs w:val="21"/>
      </w:rPr>
    </w:lvl>
    <w:lvl w:ilvl="2">
      <w:start w:val="1"/>
      <w:numFmt w:val="bullet"/>
      <w:lvlRestart w:val="0"/>
      <w:lvlText w:val=""/>
      <w:lvlJc w:val="left"/>
      <w:pPr>
        <w:ind w:left="1080" w:hanging="360"/>
      </w:pPr>
      <w:rPr>
        <w:rFonts w:ascii="Wingdings" w:hAnsi="Wingdings" w:cs="Wingdings" w:hint="default"/>
        <w:sz w:val="16"/>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110E054F"/>
    <w:multiLevelType w:val="multilevel"/>
    <w:tmpl w:val="5A6E8180"/>
    <w:lvl w:ilvl="0">
      <w:start w:val="1"/>
      <w:numFmt w:val="decimal"/>
      <w:lvlText w:val="%1."/>
      <w:lvlJc w:val="left"/>
      <w:pPr>
        <w:ind w:left="360" w:hanging="360"/>
      </w:pPr>
      <w:rPr>
        <w:rFonts w:hint="default"/>
        <w:sz w:val="24"/>
        <w:szCs w:val="20"/>
      </w:rPr>
    </w:lvl>
    <w:lvl w:ilvl="1">
      <w:start w:val="1"/>
      <w:numFmt w:val="bullet"/>
      <w:lvlRestart w:val="0"/>
      <w:lvlText w:val=""/>
      <w:lvlJc w:val="left"/>
      <w:pPr>
        <w:ind w:left="720" w:hanging="360"/>
      </w:pPr>
      <w:rPr>
        <w:rFonts w:ascii="Wingdings" w:hAnsi="Wingdings" w:cs="Wingdings" w:hint="default"/>
        <w:sz w:val="19"/>
        <w:szCs w:val="21"/>
      </w:rPr>
    </w:lvl>
    <w:lvl w:ilvl="2">
      <w:start w:val="1"/>
      <w:numFmt w:val="bullet"/>
      <w:lvlRestart w:val="0"/>
      <w:lvlText w:val=""/>
      <w:lvlJc w:val="left"/>
      <w:pPr>
        <w:ind w:left="1080" w:hanging="360"/>
      </w:pPr>
      <w:rPr>
        <w:rFonts w:ascii="Wingdings" w:hAnsi="Wingdings" w:cs="Wingdings" w:hint="default"/>
        <w:sz w:val="16"/>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11A81B93"/>
    <w:multiLevelType w:val="multilevel"/>
    <w:tmpl w:val="2160B50C"/>
    <w:lvl w:ilvl="0">
      <w:start w:val="1"/>
      <w:numFmt w:val="bullet"/>
      <w:lvlText w:val=""/>
      <w:lvlJc w:val="left"/>
      <w:pPr>
        <w:ind w:left="360" w:hanging="360"/>
      </w:pPr>
      <w:rPr>
        <w:rFonts w:ascii="Wingdings" w:hAnsi="Wingdings" w:cs="Times New Roman" w:hint="default"/>
        <w:sz w:val="19"/>
        <w:szCs w:val="20"/>
      </w:rPr>
    </w:lvl>
    <w:lvl w:ilvl="1">
      <w:start w:val="1"/>
      <w:numFmt w:val="bullet"/>
      <w:lvlText w:val=""/>
      <w:lvlJc w:val="left"/>
      <w:pPr>
        <w:ind w:left="720" w:hanging="360"/>
      </w:pPr>
      <w:rPr>
        <w:rFonts w:ascii="Wingdings" w:hAnsi="Wingdings" w:cs="Wingdings" w:hint="default"/>
        <w:sz w:val="17"/>
        <w:szCs w:val="21"/>
      </w:rPr>
    </w:lvl>
    <w:lvl w:ilvl="2">
      <w:start w:val="1"/>
      <w:numFmt w:val="bullet"/>
      <w:lvlText w:val=""/>
      <w:lvlJc w:val="left"/>
      <w:pPr>
        <w:ind w:left="1080" w:hanging="360"/>
      </w:pPr>
      <w:rPr>
        <w:rFonts w:ascii="Wingdings 3" w:hAnsi="Wingdings 3" w:cs="Wingdings" w:hint="default"/>
        <w:sz w:val="19"/>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11CE40FD"/>
    <w:multiLevelType w:val="multilevel"/>
    <w:tmpl w:val="1F9C0798"/>
    <w:lvl w:ilvl="0">
      <w:start w:val="1"/>
      <w:numFmt w:val="decimal"/>
      <w:lvlText w:val="%1."/>
      <w:lvlJc w:val="left"/>
      <w:pPr>
        <w:ind w:left="360" w:hanging="360"/>
      </w:pPr>
      <w:rPr>
        <w:rFonts w:hint="default"/>
        <w:sz w:val="24"/>
        <w:szCs w:val="20"/>
      </w:rPr>
    </w:lvl>
    <w:lvl w:ilvl="1">
      <w:start w:val="1"/>
      <w:numFmt w:val="bullet"/>
      <w:lvlText w:val=""/>
      <w:lvlJc w:val="left"/>
      <w:pPr>
        <w:ind w:left="720" w:hanging="360"/>
      </w:pPr>
      <w:rPr>
        <w:rFonts w:ascii="Wingdings 3" w:hAnsi="Wingdings 3" w:cs="Times New Roman" w:hint="default"/>
        <w:sz w:val="21"/>
        <w:szCs w:val="20"/>
      </w:rPr>
    </w:lvl>
    <w:lvl w:ilvl="2">
      <w:start w:val="1"/>
      <w:numFmt w:val="bullet"/>
      <w:lvlRestart w:val="0"/>
      <w:lvlText w:val=""/>
      <w:lvlJc w:val="left"/>
      <w:pPr>
        <w:ind w:left="1008" w:hanging="288"/>
      </w:pPr>
      <w:rPr>
        <w:rFonts w:ascii="Wingdings" w:hAnsi="Wingdings" w:cs="Times New Roman" w:hint="default"/>
        <w:sz w:val="20"/>
        <w:szCs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24B7261"/>
    <w:multiLevelType w:val="multilevel"/>
    <w:tmpl w:val="5A6E8180"/>
    <w:lvl w:ilvl="0">
      <w:start w:val="1"/>
      <w:numFmt w:val="decimal"/>
      <w:lvlText w:val="%1."/>
      <w:lvlJc w:val="left"/>
      <w:pPr>
        <w:ind w:left="360" w:hanging="360"/>
      </w:pPr>
      <w:rPr>
        <w:rFonts w:hint="default"/>
        <w:sz w:val="24"/>
        <w:szCs w:val="20"/>
      </w:rPr>
    </w:lvl>
    <w:lvl w:ilvl="1">
      <w:start w:val="1"/>
      <w:numFmt w:val="bullet"/>
      <w:lvlRestart w:val="0"/>
      <w:lvlText w:val=""/>
      <w:lvlJc w:val="left"/>
      <w:pPr>
        <w:ind w:left="720" w:hanging="360"/>
      </w:pPr>
      <w:rPr>
        <w:rFonts w:ascii="Wingdings" w:hAnsi="Wingdings" w:cs="Wingdings" w:hint="default"/>
        <w:sz w:val="19"/>
        <w:szCs w:val="21"/>
      </w:rPr>
    </w:lvl>
    <w:lvl w:ilvl="2">
      <w:start w:val="1"/>
      <w:numFmt w:val="bullet"/>
      <w:lvlRestart w:val="0"/>
      <w:lvlText w:val=""/>
      <w:lvlJc w:val="left"/>
      <w:pPr>
        <w:ind w:left="1080" w:hanging="360"/>
      </w:pPr>
      <w:rPr>
        <w:rFonts w:ascii="Wingdings" w:hAnsi="Wingdings" w:cs="Wingdings" w:hint="default"/>
        <w:sz w:val="16"/>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12A50771"/>
    <w:multiLevelType w:val="multilevel"/>
    <w:tmpl w:val="1F9C0798"/>
    <w:lvl w:ilvl="0">
      <w:start w:val="1"/>
      <w:numFmt w:val="decimal"/>
      <w:lvlText w:val="%1."/>
      <w:lvlJc w:val="left"/>
      <w:pPr>
        <w:ind w:left="360" w:hanging="360"/>
      </w:pPr>
      <w:rPr>
        <w:rFonts w:hint="default"/>
        <w:sz w:val="24"/>
        <w:szCs w:val="20"/>
      </w:rPr>
    </w:lvl>
    <w:lvl w:ilvl="1">
      <w:start w:val="1"/>
      <w:numFmt w:val="bullet"/>
      <w:lvlText w:val=""/>
      <w:lvlJc w:val="left"/>
      <w:pPr>
        <w:ind w:left="720" w:hanging="360"/>
      </w:pPr>
      <w:rPr>
        <w:rFonts w:ascii="Wingdings 3" w:hAnsi="Wingdings 3" w:cs="Times New Roman" w:hint="default"/>
        <w:sz w:val="21"/>
        <w:szCs w:val="20"/>
      </w:rPr>
    </w:lvl>
    <w:lvl w:ilvl="2">
      <w:start w:val="1"/>
      <w:numFmt w:val="bullet"/>
      <w:lvlRestart w:val="0"/>
      <w:lvlText w:val=""/>
      <w:lvlJc w:val="left"/>
      <w:pPr>
        <w:ind w:left="1008" w:hanging="288"/>
      </w:pPr>
      <w:rPr>
        <w:rFonts w:ascii="Wingdings" w:hAnsi="Wingdings" w:cs="Times New Roman" w:hint="default"/>
        <w:sz w:val="20"/>
        <w:szCs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4332272"/>
    <w:multiLevelType w:val="multilevel"/>
    <w:tmpl w:val="1F9C0798"/>
    <w:lvl w:ilvl="0">
      <w:start w:val="1"/>
      <w:numFmt w:val="decimal"/>
      <w:lvlText w:val="%1."/>
      <w:lvlJc w:val="left"/>
      <w:pPr>
        <w:ind w:left="360" w:hanging="360"/>
      </w:pPr>
      <w:rPr>
        <w:rFonts w:hint="default"/>
        <w:sz w:val="24"/>
        <w:szCs w:val="20"/>
      </w:rPr>
    </w:lvl>
    <w:lvl w:ilvl="1">
      <w:start w:val="1"/>
      <w:numFmt w:val="bullet"/>
      <w:lvlText w:val=""/>
      <w:lvlJc w:val="left"/>
      <w:pPr>
        <w:ind w:left="720" w:hanging="360"/>
      </w:pPr>
      <w:rPr>
        <w:rFonts w:ascii="Wingdings 3" w:hAnsi="Wingdings 3" w:cs="Times New Roman" w:hint="default"/>
        <w:sz w:val="21"/>
        <w:szCs w:val="20"/>
      </w:rPr>
    </w:lvl>
    <w:lvl w:ilvl="2">
      <w:start w:val="1"/>
      <w:numFmt w:val="bullet"/>
      <w:lvlRestart w:val="0"/>
      <w:lvlText w:val=""/>
      <w:lvlJc w:val="left"/>
      <w:pPr>
        <w:ind w:left="1008" w:hanging="288"/>
      </w:pPr>
      <w:rPr>
        <w:rFonts w:ascii="Wingdings" w:hAnsi="Wingdings" w:cs="Times New Roman" w:hint="default"/>
        <w:sz w:val="20"/>
        <w:szCs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14D90DFF"/>
    <w:multiLevelType w:val="multilevel"/>
    <w:tmpl w:val="BCA48C10"/>
    <w:lvl w:ilvl="0">
      <w:start w:val="1"/>
      <w:numFmt w:val="bullet"/>
      <w:lvlText w:val=""/>
      <w:lvlJc w:val="left"/>
      <w:pPr>
        <w:ind w:left="720" w:hanging="360"/>
      </w:pPr>
      <w:rPr>
        <w:rFonts w:ascii="Wingdings" w:hAnsi="Wingdings" w:cs="Wingdings" w:hint="default"/>
        <w:sz w:val="19"/>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5" w15:restartNumberingAfterBreak="0">
    <w:nsid w:val="15BB4AFC"/>
    <w:multiLevelType w:val="hybridMultilevel"/>
    <w:tmpl w:val="090C83A6"/>
    <w:lvl w:ilvl="0" w:tplc="99FAB4C8">
      <w:start w:val="1"/>
      <w:numFmt w:val="bullet"/>
      <w:lvlText w:val=""/>
      <w:lvlJc w:val="left"/>
      <w:pPr>
        <w:ind w:left="720" w:hanging="360"/>
      </w:pPr>
      <w:rPr>
        <w:rFonts w:ascii="Wingdings" w:hAnsi="Wingdings" w:cs="Wingdings" w:hint="default"/>
        <w:sz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60328C3"/>
    <w:multiLevelType w:val="multilevel"/>
    <w:tmpl w:val="17F219CE"/>
    <w:name w:val="Examples List222"/>
    <w:lvl w:ilvl="0">
      <w:start w:val="1"/>
      <w:numFmt w:val="bullet"/>
      <w:lvlText w:val=""/>
      <w:lvlJc w:val="left"/>
      <w:pPr>
        <w:ind w:left="360" w:hanging="360"/>
      </w:pPr>
      <w:rPr>
        <w:rFonts w:ascii="Wingdings 3" w:hAnsi="Wingdings 3" w:cs="Times New Roman" w:hint="default"/>
        <w:sz w:val="20"/>
        <w:szCs w:val="20"/>
      </w:rPr>
    </w:lvl>
    <w:lvl w:ilvl="1">
      <w:start w:val="1"/>
      <w:numFmt w:val="decimal"/>
      <w:lvlRestart w:val="0"/>
      <w:lvlText w:val="%2."/>
      <w:lvlJc w:val="left"/>
      <w:pPr>
        <w:ind w:left="720" w:hanging="360"/>
      </w:pPr>
      <w:rPr>
        <w:rFonts w:hint="default"/>
      </w:rPr>
    </w:lvl>
    <w:lvl w:ilvl="2">
      <w:start w:val="1"/>
      <w:numFmt w:val="bullet"/>
      <w:lvlRestart w:val="0"/>
      <w:lvlText w:val=""/>
      <w:lvlJc w:val="left"/>
      <w:pPr>
        <w:ind w:left="1008" w:hanging="288"/>
      </w:pPr>
      <w:rPr>
        <w:rFonts w:ascii="Wingdings 3" w:hAnsi="Wingdings 3" w:cs="Times New Roman" w:hint="default"/>
        <w:sz w:val="20"/>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17234994"/>
    <w:multiLevelType w:val="multilevel"/>
    <w:tmpl w:val="2160B50C"/>
    <w:lvl w:ilvl="0">
      <w:start w:val="1"/>
      <w:numFmt w:val="bullet"/>
      <w:lvlText w:val=""/>
      <w:lvlJc w:val="left"/>
      <w:pPr>
        <w:ind w:left="360" w:hanging="360"/>
      </w:pPr>
      <w:rPr>
        <w:rFonts w:ascii="Wingdings" w:hAnsi="Wingdings" w:cs="Times New Roman" w:hint="default"/>
        <w:sz w:val="19"/>
        <w:szCs w:val="20"/>
      </w:rPr>
    </w:lvl>
    <w:lvl w:ilvl="1">
      <w:start w:val="1"/>
      <w:numFmt w:val="bullet"/>
      <w:lvlText w:val=""/>
      <w:lvlJc w:val="left"/>
      <w:pPr>
        <w:ind w:left="720" w:hanging="360"/>
      </w:pPr>
      <w:rPr>
        <w:rFonts w:ascii="Wingdings" w:hAnsi="Wingdings" w:cs="Wingdings" w:hint="default"/>
        <w:sz w:val="17"/>
        <w:szCs w:val="21"/>
      </w:rPr>
    </w:lvl>
    <w:lvl w:ilvl="2">
      <w:start w:val="1"/>
      <w:numFmt w:val="bullet"/>
      <w:lvlText w:val=""/>
      <w:lvlJc w:val="left"/>
      <w:pPr>
        <w:ind w:left="1080" w:hanging="360"/>
      </w:pPr>
      <w:rPr>
        <w:rFonts w:ascii="Wingdings 3" w:hAnsi="Wingdings 3" w:cs="Wingdings" w:hint="default"/>
        <w:sz w:val="19"/>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17FD69E2"/>
    <w:multiLevelType w:val="multilevel"/>
    <w:tmpl w:val="0409001D"/>
    <w:numStyleLink w:val="Unbulletedlist"/>
  </w:abstractNum>
  <w:abstractNum w:abstractNumId="49" w15:restartNumberingAfterBreak="0">
    <w:nsid w:val="180A72BD"/>
    <w:multiLevelType w:val="multilevel"/>
    <w:tmpl w:val="1F9C0798"/>
    <w:lvl w:ilvl="0">
      <w:start w:val="1"/>
      <w:numFmt w:val="decimal"/>
      <w:lvlText w:val="%1."/>
      <w:lvlJc w:val="left"/>
      <w:pPr>
        <w:ind w:left="360" w:hanging="360"/>
      </w:pPr>
      <w:rPr>
        <w:rFonts w:hint="default"/>
        <w:sz w:val="24"/>
        <w:szCs w:val="20"/>
      </w:rPr>
    </w:lvl>
    <w:lvl w:ilvl="1">
      <w:start w:val="1"/>
      <w:numFmt w:val="bullet"/>
      <w:lvlText w:val=""/>
      <w:lvlJc w:val="left"/>
      <w:pPr>
        <w:ind w:left="720" w:hanging="360"/>
      </w:pPr>
      <w:rPr>
        <w:rFonts w:ascii="Wingdings 3" w:hAnsi="Wingdings 3" w:cs="Times New Roman" w:hint="default"/>
        <w:sz w:val="21"/>
        <w:szCs w:val="20"/>
      </w:rPr>
    </w:lvl>
    <w:lvl w:ilvl="2">
      <w:start w:val="1"/>
      <w:numFmt w:val="bullet"/>
      <w:lvlRestart w:val="0"/>
      <w:lvlText w:val=""/>
      <w:lvlJc w:val="left"/>
      <w:pPr>
        <w:ind w:left="1008" w:hanging="288"/>
      </w:pPr>
      <w:rPr>
        <w:rFonts w:ascii="Wingdings" w:hAnsi="Wingdings" w:cs="Times New Roman" w:hint="default"/>
        <w:sz w:val="20"/>
        <w:szCs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19823902"/>
    <w:multiLevelType w:val="multilevel"/>
    <w:tmpl w:val="1F9C0798"/>
    <w:lvl w:ilvl="0">
      <w:start w:val="1"/>
      <w:numFmt w:val="decimal"/>
      <w:lvlText w:val="%1."/>
      <w:lvlJc w:val="left"/>
      <w:pPr>
        <w:ind w:left="360" w:hanging="360"/>
      </w:pPr>
      <w:rPr>
        <w:rFonts w:hint="default"/>
        <w:sz w:val="24"/>
        <w:szCs w:val="20"/>
      </w:rPr>
    </w:lvl>
    <w:lvl w:ilvl="1">
      <w:start w:val="1"/>
      <w:numFmt w:val="bullet"/>
      <w:lvlText w:val=""/>
      <w:lvlJc w:val="left"/>
      <w:pPr>
        <w:ind w:left="720" w:hanging="360"/>
      </w:pPr>
      <w:rPr>
        <w:rFonts w:ascii="Wingdings 3" w:hAnsi="Wingdings 3" w:cs="Times New Roman" w:hint="default"/>
        <w:sz w:val="21"/>
        <w:szCs w:val="20"/>
      </w:rPr>
    </w:lvl>
    <w:lvl w:ilvl="2">
      <w:start w:val="1"/>
      <w:numFmt w:val="bullet"/>
      <w:lvlRestart w:val="0"/>
      <w:lvlText w:val=""/>
      <w:lvlJc w:val="left"/>
      <w:pPr>
        <w:ind w:left="1008" w:hanging="288"/>
      </w:pPr>
      <w:rPr>
        <w:rFonts w:ascii="Wingdings" w:hAnsi="Wingdings" w:cs="Times New Roman" w:hint="default"/>
        <w:sz w:val="20"/>
        <w:szCs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19D9414A"/>
    <w:multiLevelType w:val="multilevel"/>
    <w:tmpl w:val="5A6E8180"/>
    <w:name w:val="Examples List22222"/>
    <w:lvl w:ilvl="0">
      <w:start w:val="1"/>
      <w:numFmt w:val="decimal"/>
      <w:lvlText w:val="%1."/>
      <w:lvlJc w:val="left"/>
      <w:pPr>
        <w:ind w:left="360" w:hanging="360"/>
      </w:pPr>
      <w:rPr>
        <w:rFonts w:hint="default"/>
        <w:sz w:val="24"/>
        <w:szCs w:val="20"/>
      </w:rPr>
    </w:lvl>
    <w:lvl w:ilvl="1">
      <w:start w:val="1"/>
      <w:numFmt w:val="bullet"/>
      <w:lvlRestart w:val="0"/>
      <w:lvlText w:val=""/>
      <w:lvlJc w:val="left"/>
      <w:pPr>
        <w:ind w:left="720" w:hanging="360"/>
      </w:pPr>
      <w:rPr>
        <w:rFonts w:ascii="Wingdings" w:hAnsi="Wingdings" w:cs="Wingdings" w:hint="default"/>
        <w:sz w:val="19"/>
        <w:szCs w:val="21"/>
      </w:rPr>
    </w:lvl>
    <w:lvl w:ilvl="2">
      <w:start w:val="1"/>
      <w:numFmt w:val="bullet"/>
      <w:lvlRestart w:val="0"/>
      <w:lvlText w:val=""/>
      <w:lvlJc w:val="left"/>
      <w:pPr>
        <w:ind w:left="1080" w:hanging="360"/>
      </w:pPr>
      <w:rPr>
        <w:rFonts w:ascii="Wingdings" w:hAnsi="Wingdings" w:cs="Wingdings" w:hint="default"/>
        <w:sz w:val="16"/>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1AD21498"/>
    <w:multiLevelType w:val="multilevel"/>
    <w:tmpl w:val="5A6E8180"/>
    <w:lvl w:ilvl="0">
      <w:start w:val="1"/>
      <w:numFmt w:val="decimal"/>
      <w:lvlText w:val="%1."/>
      <w:lvlJc w:val="left"/>
      <w:pPr>
        <w:ind w:left="360" w:hanging="360"/>
      </w:pPr>
      <w:rPr>
        <w:rFonts w:hint="default"/>
        <w:sz w:val="24"/>
        <w:szCs w:val="20"/>
      </w:rPr>
    </w:lvl>
    <w:lvl w:ilvl="1">
      <w:start w:val="1"/>
      <w:numFmt w:val="bullet"/>
      <w:lvlRestart w:val="0"/>
      <w:lvlText w:val=""/>
      <w:lvlJc w:val="left"/>
      <w:pPr>
        <w:ind w:left="720" w:hanging="360"/>
      </w:pPr>
      <w:rPr>
        <w:rFonts w:ascii="Wingdings" w:hAnsi="Wingdings" w:cs="Wingdings" w:hint="default"/>
        <w:sz w:val="19"/>
        <w:szCs w:val="21"/>
      </w:rPr>
    </w:lvl>
    <w:lvl w:ilvl="2">
      <w:start w:val="1"/>
      <w:numFmt w:val="bullet"/>
      <w:lvlRestart w:val="0"/>
      <w:lvlText w:val=""/>
      <w:lvlJc w:val="left"/>
      <w:pPr>
        <w:ind w:left="1080" w:hanging="360"/>
      </w:pPr>
      <w:rPr>
        <w:rFonts w:ascii="Wingdings" w:hAnsi="Wingdings" w:cs="Wingdings" w:hint="default"/>
        <w:sz w:val="16"/>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1AE734E6"/>
    <w:multiLevelType w:val="multilevel"/>
    <w:tmpl w:val="5A6E8180"/>
    <w:lvl w:ilvl="0">
      <w:start w:val="1"/>
      <w:numFmt w:val="decimal"/>
      <w:lvlText w:val="%1."/>
      <w:lvlJc w:val="left"/>
      <w:pPr>
        <w:ind w:left="360" w:hanging="360"/>
      </w:pPr>
      <w:rPr>
        <w:rFonts w:hint="default"/>
        <w:sz w:val="24"/>
        <w:szCs w:val="20"/>
      </w:rPr>
    </w:lvl>
    <w:lvl w:ilvl="1">
      <w:start w:val="1"/>
      <w:numFmt w:val="bullet"/>
      <w:lvlRestart w:val="0"/>
      <w:lvlText w:val=""/>
      <w:lvlJc w:val="left"/>
      <w:pPr>
        <w:ind w:left="720" w:hanging="360"/>
      </w:pPr>
      <w:rPr>
        <w:rFonts w:ascii="Wingdings" w:hAnsi="Wingdings" w:cs="Wingdings" w:hint="default"/>
        <w:sz w:val="19"/>
        <w:szCs w:val="21"/>
      </w:rPr>
    </w:lvl>
    <w:lvl w:ilvl="2">
      <w:start w:val="1"/>
      <w:numFmt w:val="bullet"/>
      <w:lvlRestart w:val="0"/>
      <w:lvlText w:val=""/>
      <w:lvlJc w:val="left"/>
      <w:pPr>
        <w:ind w:left="1080" w:hanging="360"/>
      </w:pPr>
      <w:rPr>
        <w:rFonts w:ascii="Wingdings" w:hAnsi="Wingdings" w:cs="Wingdings" w:hint="default"/>
        <w:sz w:val="16"/>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1B5842F1"/>
    <w:multiLevelType w:val="multilevel"/>
    <w:tmpl w:val="1F9C0798"/>
    <w:lvl w:ilvl="0">
      <w:start w:val="1"/>
      <w:numFmt w:val="decimal"/>
      <w:lvlText w:val="%1."/>
      <w:lvlJc w:val="left"/>
      <w:pPr>
        <w:ind w:left="360" w:hanging="360"/>
      </w:pPr>
      <w:rPr>
        <w:rFonts w:hint="default"/>
        <w:sz w:val="24"/>
        <w:szCs w:val="20"/>
      </w:rPr>
    </w:lvl>
    <w:lvl w:ilvl="1">
      <w:start w:val="1"/>
      <w:numFmt w:val="bullet"/>
      <w:lvlText w:val=""/>
      <w:lvlJc w:val="left"/>
      <w:pPr>
        <w:ind w:left="720" w:hanging="360"/>
      </w:pPr>
      <w:rPr>
        <w:rFonts w:ascii="Wingdings 3" w:hAnsi="Wingdings 3" w:cs="Times New Roman" w:hint="default"/>
        <w:sz w:val="21"/>
        <w:szCs w:val="20"/>
      </w:rPr>
    </w:lvl>
    <w:lvl w:ilvl="2">
      <w:start w:val="1"/>
      <w:numFmt w:val="bullet"/>
      <w:lvlRestart w:val="0"/>
      <w:lvlText w:val=""/>
      <w:lvlJc w:val="left"/>
      <w:pPr>
        <w:ind w:left="1008" w:hanging="288"/>
      </w:pPr>
      <w:rPr>
        <w:rFonts w:ascii="Wingdings" w:hAnsi="Wingdings" w:cs="Times New Roman" w:hint="default"/>
        <w:sz w:val="20"/>
        <w:szCs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1C4D687D"/>
    <w:multiLevelType w:val="multilevel"/>
    <w:tmpl w:val="5A6E8180"/>
    <w:lvl w:ilvl="0">
      <w:start w:val="1"/>
      <w:numFmt w:val="decimal"/>
      <w:lvlText w:val="%1."/>
      <w:lvlJc w:val="left"/>
      <w:pPr>
        <w:ind w:left="360" w:hanging="360"/>
      </w:pPr>
      <w:rPr>
        <w:rFonts w:hint="default"/>
        <w:sz w:val="24"/>
        <w:szCs w:val="20"/>
      </w:rPr>
    </w:lvl>
    <w:lvl w:ilvl="1">
      <w:start w:val="1"/>
      <w:numFmt w:val="bullet"/>
      <w:lvlRestart w:val="0"/>
      <w:lvlText w:val=""/>
      <w:lvlJc w:val="left"/>
      <w:pPr>
        <w:ind w:left="720" w:hanging="360"/>
      </w:pPr>
      <w:rPr>
        <w:rFonts w:ascii="Wingdings" w:hAnsi="Wingdings" w:cs="Wingdings" w:hint="default"/>
        <w:sz w:val="19"/>
        <w:szCs w:val="21"/>
      </w:rPr>
    </w:lvl>
    <w:lvl w:ilvl="2">
      <w:start w:val="1"/>
      <w:numFmt w:val="bullet"/>
      <w:lvlRestart w:val="0"/>
      <w:lvlText w:val=""/>
      <w:lvlJc w:val="left"/>
      <w:pPr>
        <w:ind w:left="1080" w:hanging="360"/>
      </w:pPr>
      <w:rPr>
        <w:rFonts w:ascii="Wingdings" w:hAnsi="Wingdings" w:cs="Wingdings" w:hint="default"/>
        <w:sz w:val="16"/>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1C510E9E"/>
    <w:multiLevelType w:val="multilevel"/>
    <w:tmpl w:val="0409001D"/>
    <w:styleLink w:val="Unbulletedlist"/>
    <w:lvl w:ilvl="0">
      <w:start w:val="1"/>
      <w:numFmt w:val="none"/>
      <w:lvlText w:val="%1"/>
      <w:lvlJc w:val="left"/>
      <w:pPr>
        <w:ind w:left="360" w:hanging="360"/>
      </w:pPr>
      <w:rPr>
        <w:rFonts w:ascii="Times New Roman" w:hAnsi="Times New Roman" w:cs="Times New Roman"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1CDD6F2F"/>
    <w:multiLevelType w:val="hybridMultilevel"/>
    <w:tmpl w:val="624EDF04"/>
    <w:lvl w:ilvl="0" w:tplc="99FAB4C8">
      <w:start w:val="1"/>
      <w:numFmt w:val="bullet"/>
      <w:lvlText w:val=""/>
      <w:lvlJc w:val="left"/>
      <w:pPr>
        <w:ind w:left="1080" w:hanging="360"/>
      </w:pPr>
      <w:rPr>
        <w:rFonts w:ascii="Wingdings" w:hAnsi="Wingdings" w:cs="Wingdings" w:hint="default"/>
        <w:sz w:val="19"/>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1D340CFE"/>
    <w:multiLevelType w:val="multilevel"/>
    <w:tmpl w:val="793A2B9C"/>
    <w:lvl w:ilvl="0">
      <w:start w:val="1"/>
      <w:numFmt w:val="bullet"/>
      <w:lvlText w:val=""/>
      <w:lvlJc w:val="left"/>
      <w:pPr>
        <w:ind w:left="360" w:hanging="360"/>
      </w:pPr>
      <w:rPr>
        <w:rFonts w:ascii="Wingdings" w:hAnsi="Wingdings" w:cs="Wingdings" w:hint="default"/>
        <w:sz w:val="19"/>
        <w:szCs w:val="20"/>
      </w:rPr>
    </w:lvl>
    <w:lvl w:ilvl="1">
      <w:start w:val="1"/>
      <w:numFmt w:val="bullet"/>
      <w:lvlRestart w:val="0"/>
      <w:lvlText w:val=""/>
      <w:lvlJc w:val="left"/>
      <w:pPr>
        <w:ind w:left="360" w:hanging="360"/>
      </w:pPr>
      <w:rPr>
        <w:rFonts w:ascii="Wingdings" w:hAnsi="Wingdings" w:cs="Wingdings" w:hint="default"/>
        <w:sz w:val="19"/>
        <w:szCs w:val="21"/>
      </w:rPr>
    </w:lvl>
    <w:lvl w:ilvl="2">
      <w:start w:val="1"/>
      <w:numFmt w:val="bullet"/>
      <w:lvlText w:val=""/>
      <w:lvlJc w:val="left"/>
      <w:pPr>
        <w:ind w:left="720" w:hanging="360"/>
      </w:pPr>
      <w:rPr>
        <w:rFonts w:ascii="Wingdings 3" w:hAnsi="Wingdings 3" w:cs="Wingdings 3" w:hint="default"/>
        <w:sz w:val="16"/>
        <w:szCs w:val="20"/>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9" w15:restartNumberingAfterBreak="0">
    <w:nsid w:val="1E7F1890"/>
    <w:multiLevelType w:val="multilevel"/>
    <w:tmpl w:val="2160B50C"/>
    <w:lvl w:ilvl="0">
      <w:start w:val="1"/>
      <w:numFmt w:val="bullet"/>
      <w:lvlText w:val=""/>
      <w:lvlJc w:val="left"/>
      <w:pPr>
        <w:ind w:left="360" w:hanging="360"/>
      </w:pPr>
      <w:rPr>
        <w:rFonts w:ascii="Wingdings" w:hAnsi="Wingdings" w:cs="Times New Roman" w:hint="default"/>
        <w:sz w:val="19"/>
        <w:szCs w:val="20"/>
      </w:rPr>
    </w:lvl>
    <w:lvl w:ilvl="1">
      <w:start w:val="1"/>
      <w:numFmt w:val="bullet"/>
      <w:lvlText w:val=""/>
      <w:lvlJc w:val="left"/>
      <w:pPr>
        <w:ind w:left="720" w:hanging="360"/>
      </w:pPr>
      <w:rPr>
        <w:rFonts w:ascii="Wingdings" w:hAnsi="Wingdings" w:cs="Wingdings" w:hint="default"/>
        <w:sz w:val="17"/>
        <w:szCs w:val="21"/>
      </w:rPr>
    </w:lvl>
    <w:lvl w:ilvl="2">
      <w:start w:val="1"/>
      <w:numFmt w:val="bullet"/>
      <w:lvlText w:val=""/>
      <w:lvlJc w:val="left"/>
      <w:pPr>
        <w:ind w:left="1080" w:hanging="360"/>
      </w:pPr>
      <w:rPr>
        <w:rFonts w:ascii="Wingdings 3" w:hAnsi="Wingdings 3" w:cs="Wingdings" w:hint="default"/>
        <w:sz w:val="19"/>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1F1F1B4F"/>
    <w:multiLevelType w:val="multilevel"/>
    <w:tmpl w:val="5A6E8180"/>
    <w:lvl w:ilvl="0">
      <w:start w:val="1"/>
      <w:numFmt w:val="decimal"/>
      <w:lvlText w:val="%1."/>
      <w:lvlJc w:val="left"/>
      <w:pPr>
        <w:ind w:left="360" w:hanging="360"/>
      </w:pPr>
      <w:rPr>
        <w:rFonts w:hint="default"/>
        <w:sz w:val="24"/>
        <w:szCs w:val="20"/>
      </w:rPr>
    </w:lvl>
    <w:lvl w:ilvl="1">
      <w:start w:val="1"/>
      <w:numFmt w:val="bullet"/>
      <w:lvlRestart w:val="0"/>
      <w:lvlText w:val=""/>
      <w:lvlJc w:val="left"/>
      <w:pPr>
        <w:ind w:left="720" w:hanging="360"/>
      </w:pPr>
      <w:rPr>
        <w:rFonts w:ascii="Wingdings" w:hAnsi="Wingdings" w:cs="Wingdings" w:hint="default"/>
        <w:sz w:val="19"/>
        <w:szCs w:val="21"/>
      </w:rPr>
    </w:lvl>
    <w:lvl w:ilvl="2">
      <w:start w:val="1"/>
      <w:numFmt w:val="bullet"/>
      <w:lvlRestart w:val="0"/>
      <w:lvlText w:val=""/>
      <w:lvlJc w:val="left"/>
      <w:pPr>
        <w:ind w:left="1080" w:hanging="360"/>
      </w:pPr>
      <w:rPr>
        <w:rFonts w:ascii="Wingdings" w:hAnsi="Wingdings" w:cs="Wingdings" w:hint="default"/>
        <w:sz w:val="16"/>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1FE6677F"/>
    <w:multiLevelType w:val="multilevel"/>
    <w:tmpl w:val="1F9C0798"/>
    <w:lvl w:ilvl="0">
      <w:start w:val="1"/>
      <w:numFmt w:val="decimal"/>
      <w:lvlText w:val="%1."/>
      <w:lvlJc w:val="left"/>
      <w:pPr>
        <w:ind w:left="360" w:hanging="360"/>
      </w:pPr>
      <w:rPr>
        <w:rFonts w:hint="default"/>
        <w:sz w:val="24"/>
        <w:szCs w:val="20"/>
      </w:rPr>
    </w:lvl>
    <w:lvl w:ilvl="1">
      <w:start w:val="1"/>
      <w:numFmt w:val="bullet"/>
      <w:lvlText w:val=""/>
      <w:lvlJc w:val="left"/>
      <w:pPr>
        <w:ind w:left="720" w:hanging="360"/>
      </w:pPr>
      <w:rPr>
        <w:rFonts w:ascii="Wingdings 3" w:hAnsi="Wingdings 3" w:cs="Times New Roman" w:hint="default"/>
        <w:sz w:val="21"/>
        <w:szCs w:val="20"/>
      </w:rPr>
    </w:lvl>
    <w:lvl w:ilvl="2">
      <w:start w:val="1"/>
      <w:numFmt w:val="bullet"/>
      <w:lvlRestart w:val="0"/>
      <w:lvlText w:val=""/>
      <w:lvlJc w:val="left"/>
      <w:pPr>
        <w:ind w:left="1008" w:hanging="288"/>
      </w:pPr>
      <w:rPr>
        <w:rFonts w:ascii="Wingdings" w:hAnsi="Wingdings" w:cs="Times New Roman" w:hint="default"/>
        <w:sz w:val="20"/>
        <w:szCs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1451E68"/>
    <w:multiLevelType w:val="multilevel"/>
    <w:tmpl w:val="2160B50C"/>
    <w:lvl w:ilvl="0">
      <w:start w:val="1"/>
      <w:numFmt w:val="bullet"/>
      <w:lvlText w:val=""/>
      <w:lvlJc w:val="left"/>
      <w:pPr>
        <w:ind w:left="360" w:hanging="360"/>
      </w:pPr>
      <w:rPr>
        <w:rFonts w:ascii="Wingdings" w:hAnsi="Wingdings" w:cs="Times New Roman" w:hint="default"/>
        <w:sz w:val="19"/>
        <w:szCs w:val="20"/>
      </w:rPr>
    </w:lvl>
    <w:lvl w:ilvl="1">
      <w:start w:val="1"/>
      <w:numFmt w:val="bullet"/>
      <w:lvlText w:val=""/>
      <w:lvlJc w:val="left"/>
      <w:pPr>
        <w:ind w:left="720" w:hanging="360"/>
      </w:pPr>
      <w:rPr>
        <w:rFonts w:ascii="Wingdings" w:hAnsi="Wingdings" w:cs="Wingdings" w:hint="default"/>
        <w:sz w:val="17"/>
        <w:szCs w:val="21"/>
      </w:rPr>
    </w:lvl>
    <w:lvl w:ilvl="2">
      <w:start w:val="1"/>
      <w:numFmt w:val="bullet"/>
      <w:lvlText w:val=""/>
      <w:lvlJc w:val="left"/>
      <w:pPr>
        <w:ind w:left="1080" w:hanging="360"/>
      </w:pPr>
      <w:rPr>
        <w:rFonts w:ascii="Wingdings 3" w:hAnsi="Wingdings 3" w:cs="Wingdings" w:hint="default"/>
        <w:sz w:val="19"/>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21BB3584"/>
    <w:multiLevelType w:val="multilevel"/>
    <w:tmpl w:val="2160B50C"/>
    <w:lvl w:ilvl="0">
      <w:start w:val="1"/>
      <w:numFmt w:val="bullet"/>
      <w:lvlText w:val=""/>
      <w:lvlJc w:val="left"/>
      <w:pPr>
        <w:ind w:left="360" w:hanging="360"/>
      </w:pPr>
      <w:rPr>
        <w:rFonts w:ascii="Wingdings" w:hAnsi="Wingdings" w:cs="Times New Roman" w:hint="default"/>
        <w:sz w:val="19"/>
        <w:szCs w:val="20"/>
      </w:rPr>
    </w:lvl>
    <w:lvl w:ilvl="1">
      <w:start w:val="1"/>
      <w:numFmt w:val="bullet"/>
      <w:lvlText w:val=""/>
      <w:lvlJc w:val="left"/>
      <w:pPr>
        <w:ind w:left="720" w:hanging="360"/>
      </w:pPr>
      <w:rPr>
        <w:rFonts w:ascii="Wingdings" w:hAnsi="Wingdings" w:cs="Wingdings" w:hint="default"/>
        <w:sz w:val="17"/>
        <w:szCs w:val="21"/>
      </w:rPr>
    </w:lvl>
    <w:lvl w:ilvl="2">
      <w:start w:val="1"/>
      <w:numFmt w:val="bullet"/>
      <w:lvlText w:val=""/>
      <w:lvlJc w:val="left"/>
      <w:pPr>
        <w:ind w:left="1080" w:hanging="360"/>
      </w:pPr>
      <w:rPr>
        <w:rFonts w:ascii="Wingdings 3" w:hAnsi="Wingdings 3" w:cs="Wingdings" w:hint="default"/>
        <w:sz w:val="19"/>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21C942CE"/>
    <w:multiLevelType w:val="hybridMultilevel"/>
    <w:tmpl w:val="1FD457F6"/>
    <w:lvl w:ilvl="0" w:tplc="99FAB4C8">
      <w:start w:val="1"/>
      <w:numFmt w:val="bullet"/>
      <w:lvlText w:val=""/>
      <w:lvlJc w:val="left"/>
      <w:pPr>
        <w:ind w:left="1440" w:hanging="360"/>
      </w:pPr>
      <w:rPr>
        <w:rFonts w:ascii="Wingdings" w:hAnsi="Wingdings" w:cs="Wingdings" w:hint="default"/>
        <w:sz w:val="19"/>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233C7FE0"/>
    <w:multiLevelType w:val="multilevel"/>
    <w:tmpl w:val="17F219CE"/>
    <w:name w:val="Examples List2222"/>
    <w:lvl w:ilvl="0">
      <w:start w:val="1"/>
      <w:numFmt w:val="bullet"/>
      <w:lvlText w:val=""/>
      <w:lvlJc w:val="left"/>
      <w:pPr>
        <w:ind w:left="360" w:hanging="360"/>
      </w:pPr>
      <w:rPr>
        <w:rFonts w:ascii="Wingdings 3" w:hAnsi="Wingdings 3" w:cs="Times New Roman" w:hint="default"/>
        <w:sz w:val="20"/>
        <w:szCs w:val="20"/>
      </w:rPr>
    </w:lvl>
    <w:lvl w:ilvl="1">
      <w:start w:val="1"/>
      <w:numFmt w:val="decimal"/>
      <w:lvlRestart w:val="0"/>
      <w:lvlText w:val="%2."/>
      <w:lvlJc w:val="left"/>
      <w:pPr>
        <w:ind w:left="720" w:hanging="360"/>
      </w:pPr>
      <w:rPr>
        <w:rFonts w:hint="default"/>
      </w:rPr>
    </w:lvl>
    <w:lvl w:ilvl="2">
      <w:start w:val="1"/>
      <w:numFmt w:val="bullet"/>
      <w:lvlRestart w:val="0"/>
      <w:lvlText w:val=""/>
      <w:lvlJc w:val="left"/>
      <w:pPr>
        <w:ind w:left="1008" w:hanging="288"/>
      </w:pPr>
      <w:rPr>
        <w:rFonts w:ascii="Wingdings 3" w:hAnsi="Wingdings 3" w:cs="Times New Roman" w:hint="default"/>
        <w:sz w:val="20"/>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3412880"/>
    <w:multiLevelType w:val="multilevel"/>
    <w:tmpl w:val="1F9C0798"/>
    <w:lvl w:ilvl="0">
      <w:start w:val="1"/>
      <w:numFmt w:val="decimal"/>
      <w:lvlText w:val="%1."/>
      <w:lvlJc w:val="left"/>
      <w:pPr>
        <w:ind w:left="360" w:hanging="360"/>
      </w:pPr>
      <w:rPr>
        <w:rFonts w:hint="default"/>
        <w:sz w:val="24"/>
        <w:szCs w:val="20"/>
      </w:rPr>
    </w:lvl>
    <w:lvl w:ilvl="1">
      <w:start w:val="1"/>
      <w:numFmt w:val="bullet"/>
      <w:lvlText w:val=""/>
      <w:lvlJc w:val="left"/>
      <w:pPr>
        <w:ind w:left="720" w:hanging="360"/>
      </w:pPr>
      <w:rPr>
        <w:rFonts w:ascii="Wingdings 3" w:hAnsi="Wingdings 3" w:cs="Times New Roman" w:hint="default"/>
        <w:sz w:val="21"/>
        <w:szCs w:val="20"/>
      </w:rPr>
    </w:lvl>
    <w:lvl w:ilvl="2">
      <w:start w:val="1"/>
      <w:numFmt w:val="bullet"/>
      <w:lvlRestart w:val="0"/>
      <w:lvlText w:val=""/>
      <w:lvlJc w:val="left"/>
      <w:pPr>
        <w:ind w:left="1008" w:hanging="288"/>
      </w:pPr>
      <w:rPr>
        <w:rFonts w:ascii="Wingdings" w:hAnsi="Wingdings" w:cs="Times New Roman" w:hint="default"/>
        <w:sz w:val="20"/>
        <w:szCs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4532CFC"/>
    <w:multiLevelType w:val="multilevel"/>
    <w:tmpl w:val="1F9C0798"/>
    <w:lvl w:ilvl="0">
      <w:start w:val="1"/>
      <w:numFmt w:val="decimal"/>
      <w:lvlText w:val="%1."/>
      <w:lvlJc w:val="left"/>
      <w:pPr>
        <w:ind w:left="360" w:hanging="360"/>
      </w:pPr>
      <w:rPr>
        <w:rFonts w:hint="default"/>
        <w:sz w:val="24"/>
        <w:szCs w:val="20"/>
      </w:rPr>
    </w:lvl>
    <w:lvl w:ilvl="1">
      <w:start w:val="1"/>
      <w:numFmt w:val="bullet"/>
      <w:lvlText w:val=""/>
      <w:lvlJc w:val="left"/>
      <w:pPr>
        <w:ind w:left="720" w:hanging="360"/>
      </w:pPr>
      <w:rPr>
        <w:rFonts w:ascii="Wingdings 3" w:hAnsi="Wingdings 3" w:cs="Times New Roman" w:hint="default"/>
        <w:sz w:val="21"/>
        <w:szCs w:val="20"/>
      </w:rPr>
    </w:lvl>
    <w:lvl w:ilvl="2">
      <w:start w:val="1"/>
      <w:numFmt w:val="bullet"/>
      <w:lvlRestart w:val="0"/>
      <w:lvlText w:val=""/>
      <w:lvlJc w:val="left"/>
      <w:pPr>
        <w:ind w:left="1008" w:hanging="288"/>
      </w:pPr>
      <w:rPr>
        <w:rFonts w:ascii="Wingdings" w:hAnsi="Wingdings" w:cs="Times New Roman" w:hint="default"/>
        <w:sz w:val="20"/>
        <w:szCs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251B4388"/>
    <w:multiLevelType w:val="multilevel"/>
    <w:tmpl w:val="9FCA9F6C"/>
    <w:lvl w:ilvl="0">
      <w:start w:val="1"/>
      <w:numFmt w:val="decimal"/>
      <w:lvlText w:val="%1."/>
      <w:lvlJc w:val="left"/>
      <w:pPr>
        <w:ind w:left="360" w:hanging="360"/>
      </w:pPr>
      <w:rPr>
        <w:rFonts w:hint="default"/>
        <w:sz w:val="24"/>
        <w:szCs w:val="20"/>
      </w:rPr>
    </w:lvl>
    <w:lvl w:ilvl="1">
      <w:start w:val="1"/>
      <w:numFmt w:val="bullet"/>
      <w:lvlText w:val=""/>
      <w:lvlJc w:val="left"/>
      <w:pPr>
        <w:ind w:left="720" w:hanging="360"/>
      </w:pPr>
      <w:rPr>
        <w:rFonts w:ascii="Wingdings" w:hAnsi="Wingdings" w:cs="Wingdings" w:hint="default"/>
        <w:sz w:val="21"/>
        <w:szCs w:val="20"/>
      </w:rPr>
    </w:lvl>
    <w:lvl w:ilvl="2">
      <w:start w:val="1"/>
      <w:numFmt w:val="bullet"/>
      <w:lvlRestart w:val="0"/>
      <w:lvlText w:val=""/>
      <w:lvlJc w:val="left"/>
      <w:pPr>
        <w:ind w:left="1008" w:hanging="288"/>
      </w:pPr>
      <w:rPr>
        <w:rFonts w:ascii="Wingdings" w:hAnsi="Wingdings" w:cs="Times New Roman" w:hint="default"/>
        <w:sz w:val="20"/>
        <w:szCs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261123D8"/>
    <w:multiLevelType w:val="multilevel"/>
    <w:tmpl w:val="5A6E8180"/>
    <w:lvl w:ilvl="0">
      <w:start w:val="1"/>
      <w:numFmt w:val="decimal"/>
      <w:lvlText w:val="%1."/>
      <w:lvlJc w:val="left"/>
      <w:pPr>
        <w:ind w:left="360" w:hanging="360"/>
      </w:pPr>
      <w:rPr>
        <w:rFonts w:hint="default"/>
        <w:sz w:val="24"/>
        <w:szCs w:val="20"/>
      </w:rPr>
    </w:lvl>
    <w:lvl w:ilvl="1">
      <w:start w:val="1"/>
      <w:numFmt w:val="bullet"/>
      <w:lvlRestart w:val="0"/>
      <w:lvlText w:val=""/>
      <w:lvlJc w:val="left"/>
      <w:pPr>
        <w:ind w:left="720" w:hanging="360"/>
      </w:pPr>
      <w:rPr>
        <w:rFonts w:ascii="Wingdings" w:hAnsi="Wingdings" w:cs="Wingdings" w:hint="default"/>
        <w:sz w:val="19"/>
        <w:szCs w:val="21"/>
      </w:rPr>
    </w:lvl>
    <w:lvl w:ilvl="2">
      <w:start w:val="1"/>
      <w:numFmt w:val="bullet"/>
      <w:lvlRestart w:val="0"/>
      <w:lvlText w:val=""/>
      <w:lvlJc w:val="left"/>
      <w:pPr>
        <w:ind w:left="1080" w:hanging="360"/>
      </w:pPr>
      <w:rPr>
        <w:rFonts w:ascii="Wingdings" w:hAnsi="Wingdings" w:cs="Wingdings" w:hint="default"/>
        <w:sz w:val="16"/>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26C05B36"/>
    <w:multiLevelType w:val="multilevel"/>
    <w:tmpl w:val="1F9C0798"/>
    <w:lvl w:ilvl="0">
      <w:start w:val="1"/>
      <w:numFmt w:val="decimal"/>
      <w:lvlText w:val="%1."/>
      <w:lvlJc w:val="left"/>
      <w:pPr>
        <w:ind w:left="360" w:hanging="360"/>
      </w:pPr>
      <w:rPr>
        <w:rFonts w:hint="default"/>
        <w:sz w:val="24"/>
        <w:szCs w:val="20"/>
      </w:rPr>
    </w:lvl>
    <w:lvl w:ilvl="1">
      <w:start w:val="1"/>
      <w:numFmt w:val="bullet"/>
      <w:lvlText w:val=""/>
      <w:lvlJc w:val="left"/>
      <w:pPr>
        <w:ind w:left="720" w:hanging="360"/>
      </w:pPr>
      <w:rPr>
        <w:rFonts w:ascii="Wingdings 3" w:hAnsi="Wingdings 3" w:cs="Times New Roman" w:hint="default"/>
        <w:sz w:val="21"/>
        <w:szCs w:val="20"/>
      </w:rPr>
    </w:lvl>
    <w:lvl w:ilvl="2">
      <w:start w:val="1"/>
      <w:numFmt w:val="bullet"/>
      <w:lvlRestart w:val="0"/>
      <w:lvlText w:val=""/>
      <w:lvlJc w:val="left"/>
      <w:pPr>
        <w:ind w:left="1008" w:hanging="288"/>
      </w:pPr>
      <w:rPr>
        <w:rFonts w:ascii="Wingdings" w:hAnsi="Wingdings" w:cs="Times New Roman" w:hint="default"/>
        <w:sz w:val="20"/>
        <w:szCs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27AE72DB"/>
    <w:multiLevelType w:val="multilevel"/>
    <w:tmpl w:val="5A6E8180"/>
    <w:lvl w:ilvl="0">
      <w:start w:val="1"/>
      <w:numFmt w:val="decimal"/>
      <w:lvlText w:val="%1."/>
      <w:lvlJc w:val="left"/>
      <w:pPr>
        <w:ind w:left="360" w:hanging="360"/>
      </w:pPr>
      <w:rPr>
        <w:rFonts w:hint="default"/>
        <w:sz w:val="24"/>
        <w:szCs w:val="20"/>
      </w:rPr>
    </w:lvl>
    <w:lvl w:ilvl="1">
      <w:start w:val="1"/>
      <w:numFmt w:val="bullet"/>
      <w:lvlRestart w:val="0"/>
      <w:lvlText w:val=""/>
      <w:lvlJc w:val="left"/>
      <w:pPr>
        <w:ind w:left="720" w:hanging="360"/>
      </w:pPr>
      <w:rPr>
        <w:rFonts w:ascii="Wingdings" w:hAnsi="Wingdings" w:cs="Wingdings" w:hint="default"/>
        <w:sz w:val="19"/>
        <w:szCs w:val="21"/>
      </w:rPr>
    </w:lvl>
    <w:lvl w:ilvl="2">
      <w:start w:val="1"/>
      <w:numFmt w:val="bullet"/>
      <w:lvlRestart w:val="0"/>
      <w:lvlText w:val=""/>
      <w:lvlJc w:val="left"/>
      <w:pPr>
        <w:ind w:left="1080" w:hanging="360"/>
      </w:pPr>
      <w:rPr>
        <w:rFonts w:ascii="Wingdings" w:hAnsi="Wingdings" w:cs="Wingdings" w:hint="default"/>
        <w:sz w:val="16"/>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29165B1F"/>
    <w:multiLevelType w:val="multilevel"/>
    <w:tmpl w:val="5A6E8180"/>
    <w:lvl w:ilvl="0">
      <w:start w:val="1"/>
      <w:numFmt w:val="decimal"/>
      <w:lvlText w:val="%1."/>
      <w:lvlJc w:val="left"/>
      <w:pPr>
        <w:ind w:left="360" w:hanging="360"/>
      </w:pPr>
      <w:rPr>
        <w:rFonts w:hint="default"/>
        <w:sz w:val="24"/>
        <w:szCs w:val="20"/>
      </w:rPr>
    </w:lvl>
    <w:lvl w:ilvl="1">
      <w:start w:val="1"/>
      <w:numFmt w:val="bullet"/>
      <w:lvlRestart w:val="0"/>
      <w:lvlText w:val=""/>
      <w:lvlJc w:val="left"/>
      <w:pPr>
        <w:ind w:left="720" w:hanging="360"/>
      </w:pPr>
      <w:rPr>
        <w:rFonts w:ascii="Wingdings" w:hAnsi="Wingdings" w:cs="Wingdings" w:hint="default"/>
        <w:sz w:val="19"/>
        <w:szCs w:val="21"/>
      </w:rPr>
    </w:lvl>
    <w:lvl w:ilvl="2">
      <w:start w:val="1"/>
      <w:numFmt w:val="bullet"/>
      <w:lvlRestart w:val="0"/>
      <w:lvlText w:val=""/>
      <w:lvlJc w:val="left"/>
      <w:pPr>
        <w:ind w:left="1080" w:hanging="360"/>
      </w:pPr>
      <w:rPr>
        <w:rFonts w:ascii="Wingdings" w:hAnsi="Wingdings" w:cs="Wingdings" w:hint="default"/>
        <w:sz w:val="16"/>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2B273CDD"/>
    <w:multiLevelType w:val="multilevel"/>
    <w:tmpl w:val="5A6E8180"/>
    <w:lvl w:ilvl="0">
      <w:start w:val="1"/>
      <w:numFmt w:val="decimal"/>
      <w:lvlText w:val="%1."/>
      <w:lvlJc w:val="left"/>
      <w:pPr>
        <w:ind w:left="360" w:hanging="360"/>
      </w:pPr>
      <w:rPr>
        <w:rFonts w:hint="default"/>
        <w:sz w:val="24"/>
        <w:szCs w:val="20"/>
      </w:rPr>
    </w:lvl>
    <w:lvl w:ilvl="1">
      <w:start w:val="1"/>
      <w:numFmt w:val="bullet"/>
      <w:lvlRestart w:val="0"/>
      <w:lvlText w:val=""/>
      <w:lvlJc w:val="left"/>
      <w:pPr>
        <w:ind w:left="720" w:hanging="360"/>
      </w:pPr>
      <w:rPr>
        <w:rFonts w:ascii="Wingdings" w:hAnsi="Wingdings" w:cs="Wingdings" w:hint="default"/>
        <w:sz w:val="19"/>
        <w:szCs w:val="21"/>
      </w:rPr>
    </w:lvl>
    <w:lvl w:ilvl="2">
      <w:start w:val="1"/>
      <w:numFmt w:val="bullet"/>
      <w:lvlRestart w:val="0"/>
      <w:lvlText w:val=""/>
      <w:lvlJc w:val="left"/>
      <w:pPr>
        <w:ind w:left="1080" w:hanging="360"/>
      </w:pPr>
      <w:rPr>
        <w:rFonts w:ascii="Wingdings" w:hAnsi="Wingdings" w:cs="Wingdings" w:hint="default"/>
        <w:sz w:val="16"/>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2DA60841"/>
    <w:multiLevelType w:val="multilevel"/>
    <w:tmpl w:val="D1B22E64"/>
    <w:name w:val="Examples List 222222222"/>
    <w:lvl w:ilvl="0">
      <w:start w:val="1"/>
      <w:numFmt w:val="bullet"/>
      <w:lvlText w:val=""/>
      <w:lvlJc w:val="left"/>
      <w:pPr>
        <w:ind w:left="360" w:hanging="360"/>
      </w:pPr>
      <w:rPr>
        <w:rFonts w:ascii="Wingdings 3" w:hAnsi="Wingdings 3" w:cs="Times New Roman" w:hint="default"/>
        <w:sz w:val="20"/>
        <w:szCs w:val="20"/>
      </w:rPr>
    </w:lvl>
    <w:lvl w:ilvl="1">
      <w:start w:val="1"/>
      <w:numFmt w:val="decimal"/>
      <w:lvlRestart w:val="0"/>
      <w:lvlText w:val="%2."/>
      <w:lvlJc w:val="left"/>
      <w:pPr>
        <w:ind w:left="720" w:hanging="360"/>
      </w:pPr>
      <w:rPr>
        <w:rFonts w:hint="default"/>
      </w:rPr>
    </w:lvl>
    <w:lvl w:ilvl="2">
      <w:start w:val="1"/>
      <w:numFmt w:val="bullet"/>
      <w:lvlText w:val=""/>
      <w:lvlJc w:val="left"/>
      <w:pPr>
        <w:ind w:left="1080" w:hanging="360"/>
      </w:pPr>
      <w:rPr>
        <w:rFonts w:ascii="Wingdings" w:hAnsi="Wingdings" w:cs="Wingdings" w:hint="default"/>
        <w:sz w:val="21"/>
        <w:szCs w:val="20"/>
      </w:rPr>
    </w:lvl>
    <w:lvl w:ilvl="3">
      <w:start w:val="1"/>
      <w:numFmt w:val="bullet"/>
      <w:lvlText w:val="o"/>
      <w:lvlJc w:val="left"/>
      <w:pPr>
        <w:ind w:left="1354" w:hanging="360"/>
      </w:pPr>
      <w:rPr>
        <w:rFonts w:ascii="Courier New" w:hAnsi="Courier New" w:cs="Courier New"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2DD27D3B"/>
    <w:multiLevelType w:val="multilevel"/>
    <w:tmpl w:val="2160B50C"/>
    <w:lvl w:ilvl="0">
      <w:start w:val="1"/>
      <w:numFmt w:val="bullet"/>
      <w:lvlText w:val=""/>
      <w:lvlJc w:val="left"/>
      <w:pPr>
        <w:ind w:left="360" w:hanging="360"/>
      </w:pPr>
      <w:rPr>
        <w:rFonts w:ascii="Wingdings" w:hAnsi="Wingdings" w:cs="Times New Roman" w:hint="default"/>
        <w:sz w:val="19"/>
        <w:szCs w:val="20"/>
      </w:rPr>
    </w:lvl>
    <w:lvl w:ilvl="1">
      <w:start w:val="1"/>
      <w:numFmt w:val="bullet"/>
      <w:lvlText w:val=""/>
      <w:lvlJc w:val="left"/>
      <w:pPr>
        <w:ind w:left="720" w:hanging="360"/>
      </w:pPr>
      <w:rPr>
        <w:rFonts w:ascii="Wingdings" w:hAnsi="Wingdings" w:cs="Wingdings" w:hint="default"/>
        <w:sz w:val="17"/>
        <w:szCs w:val="21"/>
      </w:rPr>
    </w:lvl>
    <w:lvl w:ilvl="2">
      <w:start w:val="1"/>
      <w:numFmt w:val="bullet"/>
      <w:lvlText w:val=""/>
      <w:lvlJc w:val="left"/>
      <w:pPr>
        <w:ind w:left="1080" w:hanging="360"/>
      </w:pPr>
      <w:rPr>
        <w:rFonts w:ascii="Wingdings 3" w:hAnsi="Wingdings 3" w:cs="Wingdings" w:hint="default"/>
        <w:sz w:val="19"/>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2FD6577C"/>
    <w:multiLevelType w:val="multilevel"/>
    <w:tmpl w:val="5A6E8180"/>
    <w:lvl w:ilvl="0">
      <w:start w:val="1"/>
      <w:numFmt w:val="decimal"/>
      <w:lvlText w:val="%1."/>
      <w:lvlJc w:val="left"/>
      <w:pPr>
        <w:ind w:left="360" w:hanging="360"/>
      </w:pPr>
      <w:rPr>
        <w:rFonts w:hint="default"/>
        <w:sz w:val="24"/>
        <w:szCs w:val="20"/>
      </w:rPr>
    </w:lvl>
    <w:lvl w:ilvl="1">
      <w:start w:val="1"/>
      <w:numFmt w:val="bullet"/>
      <w:lvlRestart w:val="0"/>
      <w:lvlText w:val=""/>
      <w:lvlJc w:val="left"/>
      <w:pPr>
        <w:ind w:left="720" w:hanging="360"/>
      </w:pPr>
      <w:rPr>
        <w:rFonts w:ascii="Wingdings" w:hAnsi="Wingdings" w:cs="Wingdings" w:hint="default"/>
        <w:sz w:val="19"/>
        <w:szCs w:val="21"/>
      </w:rPr>
    </w:lvl>
    <w:lvl w:ilvl="2">
      <w:start w:val="1"/>
      <w:numFmt w:val="bullet"/>
      <w:lvlRestart w:val="0"/>
      <w:lvlText w:val=""/>
      <w:lvlJc w:val="left"/>
      <w:pPr>
        <w:ind w:left="1080" w:hanging="360"/>
      </w:pPr>
      <w:rPr>
        <w:rFonts w:ascii="Wingdings" w:hAnsi="Wingdings" w:cs="Wingdings" w:hint="default"/>
        <w:sz w:val="16"/>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31694274"/>
    <w:multiLevelType w:val="multilevel"/>
    <w:tmpl w:val="17F219CE"/>
    <w:name w:val="Examples List 22222222"/>
    <w:lvl w:ilvl="0">
      <w:start w:val="1"/>
      <w:numFmt w:val="bullet"/>
      <w:lvlText w:val=""/>
      <w:lvlJc w:val="left"/>
      <w:pPr>
        <w:ind w:left="360" w:hanging="360"/>
      </w:pPr>
      <w:rPr>
        <w:rFonts w:ascii="Wingdings 3" w:hAnsi="Wingdings 3" w:cs="Times New Roman" w:hint="default"/>
        <w:sz w:val="20"/>
        <w:szCs w:val="20"/>
      </w:rPr>
    </w:lvl>
    <w:lvl w:ilvl="1">
      <w:start w:val="1"/>
      <w:numFmt w:val="decimal"/>
      <w:lvlRestart w:val="0"/>
      <w:lvlText w:val="%2."/>
      <w:lvlJc w:val="left"/>
      <w:pPr>
        <w:ind w:left="720" w:hanging="360"/>
      </w:pPr>
      <w:rPr>
        <w:rFonts w:hint="default"/>
      </w:rPr>
    </w:lvl>
    <w:lvl w:ilvl="2">
      <w:start w:val="1"/>
      <w:numFmt w:val="bullet"/>
      <w:lvlRestart w:val="0"/>
      <w:lvlText w:val=""/>
      <w:lvlJc w:val="left"/>
      <w:pPr>
        <w:ind w:left="1008" w:hanging="288"/>
      </w:pPr>
      <w:rPr>
        <w:rFonts w:ascii="Wingdings 3" w:hAnsi="Wingdings 3" w:cs="Times New Roman" w:hint="default"/>
        <w:sz w:val="20"/>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31DC0C40"/>
    <w:multiLevelType w:val="multilevel"/>
    <w:tmpl w:val="1F9C0798"/>
    <w:lvl w:ilvl="0">
      <w:start w:val="1"/>
      <w:numFmt w:val="decimal"/>
      <w:lvlText w:val="%1."/>
      <w:lvlJc w:val="left"/>
      <w:pPr>
        <w:ind w:left="360" w:hanging="360"/>
      </w:pPr>
      <w:rPr>
        <w:rFonts w:hint="default"/>
        <w:sz w:val="24"/>
        <w:szCs w:val="20"/>
      </w:rPr>
    </w:lvl>
    <w:lvl w:ilvl="1">
      <w:start w:val="1"/>
      <w:numFmt w:val="bullet"/>
      <w:lvlText w:val=""/>
      <w:lvlJc w:val="left"/>
      <w:pPr>
        <w:ind w:left="720" w:hanging="360"/>
      </w:pPr>
      <w:rPr>
        <w:rFonts w:ascii="Wingdings 3" w:hAnsi="Wingdings 3" w:cs="Times New Roman" w:hint="default"/>
        <w:sz w:val="21"/>
        <w:szCs w:val="20"/>
      </w:rPr>
    </w:lvl>
    <w:lvl w:ilvl="2">
      <w:start w:val="1"/>
      <w:numFmt w:val="bullet"/>
      <w:lvlRestart w:val="0"/>
      <w:lvlText w:val=""/>
      <w:lvlJc w:val="left"/>
      <w:pPr>
        <w:ind w:left="1008" w:hanging="288"/>
      </w:pPr>
      <w:rPr>
        <w:rFonts w:ascii="Wingdings" w:hAnsi="Wingdings" w:cs="Times New Roman" w:hint="default"/>
        <w:sz w:val="20"/>
        <w:szCs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321C12D2"/>
    <w:multiLevelType w:val="multilevel"/>
    <w:tmpl w:val="2160B50C"/>
    <w:lvl w:ilvl="0">
      <w:start w:val="1"/>
      <w:numFmt w:val="bullet"/>
      <w:lvlText w:val=""/>
      <w:lvlJc w:val="left"/>
      <w:pPr>
        <w:ind w:left="360" w:hanging="360"/>
      </w:pPr>
      <w:rPr>
        <w:rFonts w:ascii="Wingdings" w:hAnsi="Wingdings" w:cs="Times New Roman" w:hint="default"/>
        <w:sz w:val="19"/>
        <w:szCs w:val="20"/>
      </w:rPr>
    </w:lvl>
    <w:lvl w:ilvl="1">
      <w:start w:val="1"/>
      <w:numFmt w:val="bullet"/>
      <w:lvlText w:val=""/>
      <w:lvlJc w:val="left"/>
      <w:pPr>
        <w:ind w:left="720" w:hanging="360"/>
      </w:pPr>
      <w:rPr>
        <w:rFonts w:ascii="Wingdings" w:hAnsi="Wingdings" w:cs="Wingdings" w:hint="default"/>
        <w:sz w:val="17"/>
        <w:szCs w:val="21"/>
      </w:rPr>
    </w:lvl>
    <w:lvl w:ilvl="2">
      <w:start w:val="1"/>
      <w:numFmt w:val="bullet"/>
      <w:lvlText w:val=""/>
      <w:lvlJc w:val="left"/>
      <w:pPr>
        <w:ind w:left="1080" w:hanging="360"/>
      </w:pPr>
      <w:rPr>
        <w:rFonts w:ascii="Wingdings 3" w:hAnsi="Wingdings 3" w:cs="Wingdings" w:hint="default"/>
        <w:sz w:val="19"/>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273324E"/>
    <w:multiLevelType w:val="multilevel"/>
    <w:tmpl w:val="F4DE7686"/>
    <w:lvl w:ilvl="0">
      <w:start w:val="1"/>
      <w:numFmt w:val="bullet"/>
      <w:pStyle w:val="ListBullet"/>
      <w:lvlText w:val=""/>
      <w:lvlJc w:val="left"/>
      <w:pPr>
        <w:ind w:left="360" w:hanging="360"/>
      </w:pPr>
      <w:rPr>
        <w:rFonts w:ascii="Wingdings" w:hAnsi="Wingdings" w:cs="Wingdings" w:hint="default"/>
        <w:sz w:val="19"/>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1" w15:restartNumberingAfterBreak="0">
    <w:nsid w:val="32EE2020"/>
    <w:multiLevelType w:val="multilevel"/>
    <w:tmpl w:val="1F9C0798"/>
    <w:lvl w:ilvl="0">
      <w:start w:val="1"/>
      <w:numFmt w:val="decimal"/>
      <w:lvlText w:val="%1."/>
      <w:lvlJc w:val="left"/>
      <w:pPr>
        <w:ind w:left="360" w:hanging="360"/>
      </w:pPr>
      <w:rPr>
        <w:rFonts w:hint="default"/>
        <w:sz w:val="24"/>
        <w:szCs w:val="20"/>
      </w:rPr>
    </w:lvl>
    <w:lvl w:ilvl="1">
      <w:start w:val="1"/>
      <w:numFmt w:val="bullet"/>
      <w:lvlText w:val=""/>
      <w:lvlJc w:val="left"/>
      <w:pPr>
        <w:ind w:left="720" w:hanging="360"/>
      </w:pPr>
      <w:rPr>
        <w:rFonts w:ascii="Wingdings 3" w:hAnsi="Wingdings 3" w:cs="Times New Roman" w:hint="default"/>
        <w:sz w:val="21"/>
        <w:szCs w:val="20"/>
      </w:rPr>
    </w:lvl>
    <w:lvl w:ilvl="2">
      <w:start w:val="1"/>
      <w:numFmt w:val="bullet"/>
      <w:lvlRestart w:val="0"/>
      <w:lvlText w:val=""/>
      <w:lvlJc w:val="left"/>
      <w:pPr>
        <w:ind w:left="1008" w:hanging="288"/>
      </w:pPr>
      <w:rPr>
        <w:rFonts w:ascii="Wingdings" w:hAnsi="Wingdings" w:cs="Times New Roman" w:hint="default"/>
        <w:sz w:val="20"/>
        <w:szCs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332728F3"/>
    <w:multiLevelType w:val="multilevel"/>
    <w:tmpl w:val="2160B50C"/>
    <w:lvl w:ilvl="0">
      <w:start w:val="1"/>
      <w:numFmt w:val="bullet"/>
      <w:lvlText w:val=""/>
      <w:lvlJc w:val="left"/>
      <w:pPr>
        <w:ind w:left="360" w:hanging="360"/>
      </w:pPr>
      <w:rPr>
        <w:rFonts w:ascii="Wingdings" w:hAnsi="Wingdings" w:cs="Times New Roman" w:hint="default"/>
        <w:sz w:val="19"/>
        <w:szCs w:val="20"/>
      </w:rPr>
    </w:lvl>
    <w:lvl w:ilvl="1">
      <w:start w:val="1"/>
      <w:numFmt w:val="bullet"/>
      <w:lvlText w:val=""/>
      <w:lvlJc w:val="left"/>
      <w:pPr>
        <w:ind w:left="720" w:hanging="360"/>
      </w:pPr>
      <w:rPr>
        <w:rFonts w:ascii="Wingdings" w:hAnsi="Wingdings" w:cs="Wingdings" w:hint="default"/>
        <w:sz w:val="17"/>
        <w:szCs w:val="21"/>
      </w:rPr>
    </w:lvl>
    <w:lvl w:ilvl="2">
      <w:start w:val="1"/>
      <w:numFmt w:val="bullet"/>
      <w:lvlText w:val=""/>
      <w:lvlJc w:val="left"/>
      <w:pPr>
        <w:ind w:left="1080" w:hanging="360"/>
      </w:pPr>
      <w:rPr>
        <w:rFonts w:ascii="Wingdings 3" w:hAnsi="Wingdings 3" w:cs="Wingdings" w:hint="default"/>
        <w:sz w:val="19"/>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33D65E54"/>
    <w:multiLevelType w:val="multilevel"/>
    <w:tmpl w:val="17F219CE"/>
    <w:styleLink w:val="Multi-LevelList1"/>
    <w:lvl w:ilvl="0">
      <w:start w:val="1"/>
      <w:numFmt w:val="bullet"/>
      <w:lvlText w:val=""/>
      <w:lvlJc w:val="left"/>
      <w:pPr>
        <w:ind w:left="360" w:hanging="360"/>
      </w:pPr>
      <w:rPr>
        <w:rFonts w:ascii="Wingdings 3" w:hAnsi="Wingdings 3" w:cs="Times New Roman" w:hint="default"/>
        <w:sz w:val="20"/>
        <w:szCs w:val="20"/>
      </w:rPr>
    </w:lvl>
    <w:lvl w:ilvl="1">
      <w:start w:val="1"/>
      <w:numFmt w:val="decimal"/>
      <w:lvlRestart w:val="0"/>
      <w:lvlText w:val="%2."/>
      <w:lvlJc w:val="left"/>
      <w:pPr>
        <w:ind w:left="720" w:hanging="360"/>
      </w:pPr>
      <w:rPr>
        <w:rFonts w:hint="default"/>
      </w:rPr>
    </w:lvl>
    <w:lvl w:ilvl="2">
      <w:start w:val="1"/>
      <w:numFmt w:val="bullet"/>
      <w:lvlRestart w:val="0"/>
      <w:lvlText w:val=""/>
      <w:lvlJc w:val="left"/>
      <w:pPr>
        <w:ind w:left="1008" w:hanging="288"/>
      </w:pPr>
      <w:rPr>
        <w:rFonts w:ascii="Wingdings 3" w:hAnsi="Wingdings 3" w:cs="Times New Roman" w:hint="default"/>
        <w:sz w:val="20"/>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34555623"/>
    <w:multiLevelType w:val="multilevel"/>
    <w:tmpl w:val="D744D2AC"/>
    <w:styleLink w:val="PlainList"/>
    <w:lvl w:ilvl="0">
      <w:start w:val="1"/>
      <w:numFmt w:val="none"/>
      <w:lvlText w:val="%1"/>
      <w:lvlJc w:val="left"/>
      <w:pPr>
        <w:ind w:left="0" w:firstLine="0"/>
      </w:pPr>
      <w:rPr>
        <w:rFonts w:hint="default"/>
      </w:rPr>
    </w:lvl>
    <w:lvl w:ilvl="1">
      <w:start w:val="1"/>
      <w:numFmt w:val="none"/>
      <w:lvlText w:val="%2"/>
      <w:lvlJc w:val="left"/>
      <w:pPr>
        <w:ind w:left="36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370F6E08"/>
    <w:multiLevelType w:val="multilevel"/>
    <w:tmpl w:val="2160B50C"/>
    <w:lvl w:ilvl="0">
      <w:start w:val="1"/>
      <w:numFmt w:val="bullet"/>
      <w:lvlText w:val=""/>
      <w:lvlJc w:val="left"/>
      <w:pPr>
        <w:ind w:left="360" w:hanging="360"/>
      </w:pPr>
      <w:rPr>
        <w:rFonts w:ascii="Wingdings" w:hAnsi="Wingdings" w:cs="Times New Roman" w:hint="default"/>
        <w:sz w:val="19"/>
        <w:szCs w:val="20"/>
      </w:rPr>
    </w:lvl>
    <w:lvl w:ilvl="1">
      <w:start w:val="1"/>
      <w:numFmt w:val="bullet"/>
      <w:lvlText w:val=""/>
      <w:lvlJc w:val="left"/>
      <w:pPr>
        <w:ind w:left="720" w:hanging="360"/>
      </w:pPr>
      <w:rPr>
        <w:rFonts w:ascii="Wingdings" w:hAnsi="Wingdings" w:cs="Wingdings" w:hint="default"/>
        <w:sz w:val="17"/>
        <w:szCs w:val="21"/>
      </w:rPr>
    </w:lvl>
    <w:lvl w:ilvl="2">
      <w:start w:val="1"/>
      <w:numFmt w:val="bullet"/>
      <w:lvlText w:val=""/>
      <w:lvlJc w:val="left"/>
      <w:pPr>
        <w:ind w:left="1080" w:hanging="360"/>
      </w:pPr>
      <w:rPr>
        <w:rFonts w:ascii="Wingdings 3" w:hAnsi="Wingdings 3" w:cs="Wingdings" w:hint="default"/>
        <w:sz w:val="19"/>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384E430E"/>
    <w:multiLevelType w:val="multilevel"/>
    <w:tmpl w:val="2160B50C"/>
    <w:lvl w:ilvl="0">
      <w:start w:val="1"/>
      <w:numFmt w:val="bullet"/>
      <w:lvlText w:val=""/>
      <w:lvlJc w:val="left"/>
      <w:pPr>
        <w:ind w:left="360" w:hanging="360"/>
      </w:pPr>
      <w:rPr>
        <w:rFonts w:ascii="Wingdings" w:hAnsi="Wingdings" w:cs="Times New Roman" w:hint="default"/>
        <w:sz w:val="19"/>
        <w:szCs w:val="20"/>
      </w:rPr>
    </w:lvl>
    <w:lvl w:ilvl="1">
      <w:start w:val="1"/>
      <w:numFmt w:val="bullet"/>
      <w:lvlText w:val=""/>
      <w:lvlJc w:val="left"/>
      <w:pPr>
        <w:ind w:left="720" w:hanging="360"/>
      </w:pPr>
      <w:rPr>
        <w:rFonts w:ascii="Wingdings" w:hAnsi="Wingdings" w:cs="Wingdings" w:hint="default"/>
        <w:sz w:val="17"/>
        <w:szCs w:val="21"/>
      </w:rPr>
    </w:lvl>
    <w:lvl w:ilvl="2">
      <w:start w:val="1"/>
      <w:numFmt w:val="bullet"/>
      <w:lvlText w:val=""/>
      <w:lvlJc w:val="left"/>
      <w:pPr>
        <w:ind w:left="1080" w:hanging="360"/>
      </w:pPr>
      <w:rPr>
        <w:rFonts w:ascii="Wingdings 3" w:hAnsi="Wingdings 3" w:cs="Wingdings" w:hint="default"/>
        <w:sz w:val="19"/>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38932122"/>
    <w:multiLevelType w:val="multilevel"/>
    <w:tmpl w:val="2160B50C"/>
    <w:lvl w:ilvl="0">
      <w:start w:val="1"/>
      <w:numFmt w:val="bullet"/>
      <w:lvlText w:val=""/>
      <w:lvlJc w:val="left"/>
      <w:pPr>
        <w:ind w:left="360" w:hanging="360"/>
      </w:pPr>
      <w:rPr>
        <w:rFonts w:ascii="Wingdings" w:hAnsi="Wingdings" w:cs="Times New Roman" w:hint="default"/>
        <w:sz w:val="19"/>
        <w:szCs w:val="20"/>
      </w:rPr>
    </w:lvl>
    <w:lvl w:ilvl="1">
      <w:start w:val="1"/>
      <w:numFmt w:val="bullet"/>
      <w:lvlText w:val=""/>
      <w:lvlJc w:val="left"/>
      <w:pPr>
        <w:ind w:left="720" w:hanging="360"/>
      </w:pPr>
      <w:rPr>
        <w:rFonts w:ascii="Wingdings" w:hAnsi="Wingdings" w:cs="Wingdings" w:hint="default"/>
        <w:sz w:val="17"/>
        <w:szCs w:val="21"/>
      </w:rPr>
    </w:lvl>
    <w:lvl w:ilvl="2">
      <w:start w:val="1"/>
      <w:numFmt w:val="bullet"/>
      <w:lvlText w:val=""/>
      <w:lvlJc w:val="left"/>
      <w:pPr>
        <w:ind w:left="1080" w:hanging="360"/>
      </w:pPr>
      <w:rPr>
        <w:rFonts w:ascii="Wingdings 3" w:hAnsi="Wingdings 3" w:cs="Wingdings" w:hint="default"/>
        <w:sz w:val="19"/>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38944A6E"/>
    <w:multiLevelType w:val="hybridMultilevel"/>
    <w:tmpl w:val="4BD47F54"/>
    <w:lvl w:ilvl="0" w:tplc="9B8A78CA">
      <w:start w:val="1"/>
      <w:numFmt w:val="decimal"/>
      <w:lvlText w:val="%1."/>
      <w:lvlJc w:val="left"/>
      <w:pPr>
        <w:ind w:left="360" w:hanging="360"/>
      </w:pPr>
      <w:rPr>
        <w:rFonts w:eastAsia="Helvetica Neue"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39EE269A"/>
    <w:multiLevelType w:val="multilevel"/>
    <w:tmpl w:val="2160B50C"/>
    <w:lvl w:ilvl="0">
      <w:start w:val="1"/>
      <w:numFmt w:val="bullet"/>
      <w:lvlText w:val=""/>
      <w:lvlJc w:val="left"/>
      <w:pPr>
        <w:ind w:left="360" w:hanging="360"/>
      </w:pPr>
      <w:rPr>
        <w:rFonts w:ascii="Wingdings" w:hAnsi="Wingdings" w:cs="Times New Roman" w:hint="default"/>
        <w:sz w:val="19"/>
        <w:szCs w:val="20"/>
      </w:rPr>
    </w:lvl>
    <w:lvl w:ilvl="1">
      <w:start w:val="1"/>
      <w:numFmt w:val="bullet"/>
      <w:lvlText w:val=""/>
      <w:lvlJc w:val="left"/>
      <w:pPr>
        <w:ind w:left="720" w:hanging="360"/>
      </w:pPr>
      <w:rPr>
        <w:rFonts w:ascii="Wingdings" w:hAnsi="Wingdings" w:cs="Wingdings" w:hint="default"/>
        <w:sz w:val="17"/>
        <w:szCs w:val="21"/>
      </w:rPr>
    </w:lvl>
    <w:lvl w:ilvl="2">
      <w:start w:val="1"/>
      <w:numFmt w:val="bullet"/>
      <w:lvlText w:val=""/>
      <w:lvlJc w:val="left"/>
      <w:pPr>
        <w:ind w:left="1080" w:hanging="360"/>
      </w:pPr>
      <w:rPr>
        <w:rFonts w:ascii="Wingdings 3" w:hAnsi="Wingdings 3" w:cs="Wingdings" w:hint="default"/>
        <w:sz w:val="19"/>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3B1D0987"/>
    <w:multiLevelType w:val="multilevel"/>
    <w:tmpl w:val="2160B50C"/>
    <w:lvl w:ilvl="0">
      <w:start w:val="1"/>
      <w:numFmt w:val="bullet"/>
      <w:lvlText w:val=""/>
      <w:lvlJc w:val="left"/>
      <w:pPr>
        <w:ind w:left="360" w:hanging="360"/>
      </w:pPr>
      <w:rPr>
        <w:rFonts w:ascii="Wingdings" w:hAnsi="Wingdings" w:cs="Times New Roman" w:hint="default"/>
        <w:sz w:val="19"/>
        <w:szCs w:val="20"/>
      </w:rPr>
    </w:lvl>
    <w:lvl w:ilvl="1">
      <w:start w:val="1"/>
      <w:numFmt w:val="bullet"/>
      <w:lvlText w:val=""/>
      <w:lvlJc w:val="left"/>
      <w:pPr>
        <w:ind w:left="720" w:hanging="360"/>
      </w:pPr>
      <w:rPr>
        <w:rFonts w:ascii="Wingdings" w:hAnsi="Wingdings" w:cs="Wingdings" w:hint="default"/>
        <w:sz w:val="17"/>
        <w:szCs w:val="21"/>
      </w:rPr>
    </w:lvl>
    <w:lvl w:ilvl="2">
      <w:start w:val="1"/>
      <w:numFmt w:val="bullet"/>
      <w:lvlText w:val=""/>
      <w:lvlJc w:val="left"/>
      <w:pPr>
        <w:ind w:left="1080" w:hanging="360"/>
      </w:pPr>
      <w:rPr>
        <w:rFonts w:ascii="Wingdings 3" w:hAnsi="Wingdings 3" w:cs="Wingdings" w:hint="default"/>
        <w:sz w:val="19"/>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3D2620BA"/>
    <w:multiLevelType w:val="multilevel"/>
    <w:tmpl w:val="9340A7F2"/>
    <w:name w:val="Examples List 2222222"/>
    <w:lvl w:ilvl="0">
      <w:start w:val="1"/>
      <w:numFmt w:val="bullet"/>
      <w:lvlText w:val=""/>
      <w:lvlJc w:val="left"/>
      <w:pPr>
        <w:ind w:left="360" w:hanging="360"/>
      </w:pPr>
      <w:rPr>
        <w:rFonts w:ascii="Wingdings 3" w:hAnsi="Wingdings 3" w:cs="Times New Roman" w:hint="default"/>
        <w:sz w:val="20"/>
        <w:szCs w:val="20"/>
      </w:rPr>
    </w:lvl>
    <w:lvl w:ilvl="1">
      <w:start w:val="1"/>
      <w:numFmt w:val="decimal"/>
      <w:lvlRestart w:val="0"/>
      <w:lvlText w:val="%2."/>
      <w:lvlJc w:val="left"/>
      <w:pPr>
        <w:ind w:left="720" w:hanging="360"/>
      </w:pPr>
      <w:rPr>
        <w:rFonts w:hint="default"/>
      </w:rPr>
    </w:lvl>
    <w:lvl w:ilvl="2">
      <w:start w:val="1"/>
      <w:numFmt w:val="bullet"/>
      <w:lvlRestart w:val="0"/>
      <w:lvlText w:val=""/>
      <w:lvlJc w:val="left"/>
      <w:pPr>
        <w:ind w:left="1008" w:hanging="288"/>
      </w:pPr>
      <w:rPr>
        <w:rFonts w:ascii="Wingdings 3" w:hAnsi="Wingdings 3" w:cs="Times New Roman" w:hint="default"/>
        <w:sz w:val="20"/>
        <w:szCs w:val="20"/>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3D5351D8"/>
    <w:multiLevelType w:val="multilevel"/>
    <w:tmpl w:val="5A6E8180"/>
    <w:lvl w:ilvl="0">
      <w:start w:val="1"/>
      <w:numFmt w:val="decimal"/>
      <w:lvlText w:val="%1."/>
      <w:lvlJc w:val="left"/>
      <w:pPr>
        <w:ind w:left="360" w:hanging="360"/>
      </w:pPr>
      <w:rPr>
        <w:rFonts w:hint="default"/>
        <w:sz w:val="24"/>
        <w:szCs w:val="20"/>
      </w:rPr>
    </w:lvl>
    <w:lvl w:ilvl="1">
      <w:start w:val="1"/>
      <w:numFmt w:val="bullet"/>
      <w:lvlRestart w:val="0"/>
      <w:lvlText w:val=""/>
      <w:lvlJc w:val="left"/>
      <w:pPr>
        <w:ind w:left="720" w:hanging="360"/>
      </w:pPr>
      <w:rPr>
        <w:rFonts w:ascii="Wingdings" w:hAnsi="Wingdings" w:cs="Wingdings" w:hint="default"/>
        <w:sz w:val="19"/>
        <w:szCs w:val="21"/>
      </w:rPr>
    </w:lvl>
    <w:lvl w:ilvl="2">
      <w:start w:val="1"/>
      <w:numFmt w:val="bullet"/>
      <w:lvlRestart w:val="0"/>
      <w:lvlText w:val=""/>
      <w:lvlJc w:val="left"/>
      <w:pPr>
        <w:ind w:left="1080" w:hanging="360"/>
      </w:pPr>
      <w:rPr>
        <w:rFonts w:ascii="Wingdings" w:hAnsi="Wingdings" w:cs="Wingdings" w:hint="default"/>
        <w:sz w:val="16"/>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3D8C60E4"/>
    <w:multiLevelType w:val="hybridMultilevel"/>
    <w:tmpl w:val="CBDEBA10"/>
    <w:lvl w:ilvl="0" w:tplc="0409000B">
      <w:start w:val="1"/>
      <w:numFmt w:val="decimal"/>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94" w15:restartNumberingAfterBreak="0">
    <w:nsid w:val="3ECC668D"/>
    <w:multiLevelType w:val="multilevel"/>
    <w:tmpl w:val="5A6E8180"/>
    <w:lvl w:ilvl="0">
      <w:start w:val="1"/>
      <w:numFmt w:val="decimal"/>
      <w:lvlText w:val="%1."/>
      <w:lvlJc w:val="left"/>
      <w:pPr>
        <w:ind w:left="360" w:hanging="360"/>
      </w:pPr>
      <w:rPr>
        <w:rFonts w:hint="default"/>
        <w:sz w:val="24"/>
        <w:szCs w:val="20"/>
      </w:rPr>
    </w:lvl>
    <w:lvl w:ilvl="1">
      <w:start w:val="1"/>
      <w:numFmt w:val="bullet"/>
      <w:lvlRestart w:val="0"/>
      <w:lvlText w:val=""/>
      <w:lvlJc w:val="left"/>
      <w:pPr>
        <w:ind w:left="720" w:hanging="360"/>
      </w:pPr>
      <w:rPr>
        <w:rFonts w:ascii="Wingdings" w:hAnsi="Wingdings" w:cs="Wingdings" w:hint="default"/>
        <w:sz w:val="19"/>
        <w:szCs w:val="21"/>
      </w:rPr>
    </w:lvl>
    <w:lvl w:ilvl="2">
      <w:start w:val="1"/>
      <w:numFmt w:val="bullet"/>
      <w:lvlRestart w:val="0"/>
      <w:lvlText w:val=""/>
      <w:lvlJc w:val="left"/>
      <w:pPr>
        <w:ind w:left="1080" w:hanging="360"/>
      </w:pPr>
      <w:rPr>
        <w:rFonts w:ascii="Wingdings" w:hAnsi="Wingdings" w:cs="Wingdings" w:hint="default"/>
        <w:sz w:val="16"/>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1E956CC"/>
    <w:multiLevelType w:val="multilevel"/>
    <w:tmpl w:val="2160B50C"/>
    <w:lvl w:ilvl="0">
      <w:start w:val="1"/>
      <w:numFmt w:val="bullet"/>
      <w:lvlText w:val=""/>
      <w:lvlJc w:val="left"/>
      <w:pPr>
        <w:ind w:left="360" w:hanging="360"/>
      </w:pPr>
      <w:rPr>
        <w:rFonts w:ascii="Wingdings" w:hAnsi="Wingdings" w:cs="Times New Roman" w:hint="default"/>
        <w:sz w:val="19"/>
        <w:szCs w:val="20"/>
      </w:rPr>
    </w:lvl>
    <w:lvl w:ilvl="1">
      <w:start w:val="1"/>
      <w:numFmt w:val="bullet"/>
      <w:lvlText w:val=""/>
      <w:lvlJc w:val="left"/>
      <w:pPr>
        <w:ind w:left="720" w:hanging="360"/>
      </w:pPr>
      <w:rPr>
        <w:rFonts w:ascii="Wingdings" w:hAnsi="Wingdings" w:cs="Wingdings" w:hint="default"/>
        <w:sz w:val="17"/>
        <w:szCs w:val="21"/>
      </w:rPr>
    </w:lvl>
    <w:lvl w:ilvl="2">
      <w:start w:val="1"/>
      <w:numFmt w:val="bullet"/>
      <w:lvlText w:val=""/>
      <w:lvlJc w:val="left"/>
      <w:pPr>
        <w:ind w:left="1080" w:hanging="360"/>
      </w:pPr>
      <w:rPr>
        <w:rFonts w:ascii="Wingdings 3" w:hAnsi="Wingdings 3" w:cs="Wingdings" w:hint="default"/>
        <w:sz w:val="19"/>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3A72796"/>
    <w:multiLevelType w:val="multilevel"/>
    <w:tmpl w:val="2160B50C"/>
    <w:lvl w:ilvl="0">
      <w:start w:val="1"/>
      <w:numFmt w:val="bullet"/>
      <w:lvlText w:val=""/>
      <w:lvlJc w:val="left"/>
      <w:pPr>
        <w:ind w:left="360" w:hanging="360"/>
      </w:pPr>
      <w:rPr>
        <w:rFonts w:ascii="Wingdings" w:hAnsi="Wingdings" w:cs="Times New Roman" w:hint="default"/>
        <w:sz w:val="19"/>
        <w:szCs w:val="20"/>
      </w:rPr>
    </w:lvl>
    <w:lvl w:ilvl="1">
      <w:start w:val="1"/>
      <w:numFmt w:val="bullet"/>
      <w:lvlText w:val=""/>
      <w:lvlJc w:val="left"/>
      <w:pPr>
        <w:ind w:left="720" w:hanging="360"/>
      </w:pPr>
      <w:rPr>
        <w:rFonts w:ascii="Wingdings" w:hAnsi="Wingdings" w:cs="Wingdings" w:hint="default"/>
        <w:sz w:val="17"/>
        <w:szCs w:val="21"/>
      </w:rPr>
    </w:lvl>
    <w:lvl w:ilvl="2">
      <w:start w:val="1"/>
      <w:numFmt w:val="bullet"/>
      <w:lvlText w:val=""/>
      <w:lvlJc w:val="left"/>
      <w:pPr>
        <w:ind w:left="1080" w:hanging="360"/>
      </w:pPr>
      <w:rPr>
        <w:rFonts w:ascii="Wingdings 3" w:hAnsi="Wingdings 3" w:cs="Wingdings" w:hint="default"/>
        <w:sz w:val="19"/>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44367FD1"/>
    <w:multiLevelType w:val="multilevel"/>
    <w:tmpl w:val="138C465A"/>
    <w:lvl w:ilvl="0">
      <w:start w:val="1"/>
      <w:numFmt w:val="decimal"/>
      <w:lvlText w:val="%1."/>
      <w:lvlJc w:val="left"/>
      <w:pPr>
        <w:ind w:left="360" w:hanging="360"/>
      </w:pPr>
      <w:rPr>
        <w:rFonts w:hint="default"/>
        <w:sz w:val="24"/>
        <w:szCs w:val="20"/>
      </w:rPr>
    </w:lvl>
    <w:lvl w:ilvl="1">
      <w:start w:val="1"/>
      <w:numFmt w:val="bullet"/>
      <w:lvlRestart w:val="0"/>
      <w:lvlText w:val=""/>
      <w:lvlJc w:val="left"/>
      <w:pPr>
        <w:ind w:left="720" w:hanging="360"/>
      </w:pPr>
      <w:rPr>
        <w:rFonts w:ascii="Wingdings 3" w:hAnsi="Wingdings 3" w:cs="Times New Roman" w:hint="default"/>
        <w:szCs w:val="20"/>
      </w:rPr>
    </w:lvl>
    <w:lvl w:ilvl="2">
      <w:start w:val="1"/>
      <w:numFmt w:val="bullet"/>
      <w:lvlRestart w:val="0"/>
      <w:lvlText w:val=""/>
      <w:lvlJc w:val="left"/>
      <w:pPr>
        <w:ind w:left="1008" w:hanging="288"/>
      </w:pPr>
      <w:rPr>
        <w:rFonts w:ascii="Wingdings" w:hAnsi="Wingdings" w:cs="Times New Roman" w:hint="default"/>
        <w:sz w:val="20"/>
        <w:szCs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5191C1C"/>
    <w:multiLevelType w:val="multilevel"/>
    <w:tmpl w:val="1F9C0798"/>
    <w:lvl w:ilvl="0">
      <w:start w:val="1"/>
      <w:numFmt w:val="decimal"/>
      <w:lvlText w:val="%1."/>
      <w:lvlJc w:val="left"/>
      <w:pPr>
        <w:ind w:left="360" w:hanging="360"/>
      </w:pPr>
      <w:rPr>
        <w:rFonts w:hint="default"/>
        <w:sz w:val="24"/>
        <w:szCs w:val="20"/>
      </w:rPr>
    </w:lvl>
    <w:lvl w:ilvl="1">
      <w:start w:val="1"/>
      <w:numFmt w:val="bullet"/>
      <w:lvlText w:val=""/>
      <w:lvlJc w:val="left"/>
      <w:pPr>
        <w:ind w:left="720" w:hanging="360"/>
      </w:pPr>
      <w:rPr>
        <w:rFonts w:ascii="Wingdings 3" w:hAnsi="Wingdings 3" w:cs="Times New Roman" w:hint="default"/>
        <w:sz w:val="21"/>
        <w:szCs w:val="20"/>
      </w:rPr>
    </w:lvl>
    <w:lvl w:ilvl="2">
      <w:start w:val="1"/>
      <w:numFmt w:val="bullet"/>
      <w:lvlRestart w:val="0"/>
      <w:lvlText w:val=""/>
      <w:lvlJc w:val="left"/>
      <w:pPr>
        <w:ind w:left="1008" w:hanging="288"/>
      </w:pPr>
      <w:rPr>
        <w:rFonts w:ascii="Wingdings" w:hAnsi="Wingdings" w:cs="Times New Roman" w:hint="default"/>
        <w:sz w:val="20"/>
        <w:szCs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7F25B41"/>
    <w:multiLevelType w:val="multilevel"/>
    <w:tmpl w:val="17F219CE"/>
    <w:name w:val="Examples List2"/>
    <w:lvl w:ilvl="0">
      <w:start w:val="1"/>
      <w:numFmt w:val="bullet"/>
      <w:lvlText w:val=""/>
      <w:lvlJc w:val="left"/>
      <w:pPr>
        <w:ind w:left="360" w:hanging="360"/>
      </w:pPr>
      <w:rPr>
        <w:rFonts w:ascii="Wingdings 3" w:hAnsi="Wingdings 3" w:cs="Times New Roman" w:hint="default"/>
        <w:sz w:val="20"/>
        <w:szCs w:val="20"/>
      </w:rPr>
    </w:lvl>
    <w:lvl w:ilvl="1">
      <w:start w:val="1"/>
      <w:numFmt w:val="decimal"/>
      <w:lvlRestart w:val="0"/>
      <w:lvlText w:val="%2."/>
      <w:lvlJc w:val="left"/>
      <w:pPr>
        <w:ind w:left="720" w:hanging="360"/>
      </w:pPr>
      <w:rPr>
        <w:rFonts w:hint="default"/>
      </w:rPr>
    </w:lvl>
    <w:lvl w:ilvl="2">
      <w:start w:val="1"/>
      <w:numFmt w:val="bullet"/>
      <w:lvlRestart w:val="0"/>
      <w:lvlText w:val=""/>
      <w:lvlJc w:val="left"/>
      <w:pPr>
        <w:ind w:left="1008" w:hanging="288"/>
      </w:pPr>
      <w:rPr>
        <w:rFonts w:ascii="Wingdings 3" w:hAnsi="Wingdings 3" w:cs="Times New Roman" w:hint="default"/>
        <w:sz w:val="20"/>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485811A1"/>
    <w:multiLevelType w:val="hybridMultilevel"/>
    <w:tmpl w:val="F7121F10"/>
    <w:lvl w:ilvl="0" w:tplc="9B8A78CA">
      <w:start w:val="1"/>
      <w:numFmt w:val="decimal"/>
      <w:lvlText w:val="%1."/>
      <w:lvlJc w:val="left"/>
      <w:pPr>
        <w:ind w:left="360" w:hanging="360"/>
      </w:pPr>
      <w:rPr>
        <w:rFonts w:eastAsia="Helvetica Neue"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48D2592E"/>
    <w:multiLevelType w:val="multilevel"/>
    <w:tmpl w:val="1F9C0798"/>
    <w:lvl w:ilvl="0">
      <w:start w:val="1"/>
      <w:numFmt w:val="decimal"/>
      <w:lvlText w:val="%1."/>
      <w:lvlJc w:val="left"/>
      <w:pPr>
        <w:ind w:left="360" w:hanging="360"/>
      </w:pPr>
      <w:rPr>
        <w:rFonts w:hint="default"/>
        <w:sz w:val="24"/>
        <w:szCs w:val="20"/>
      </w:rPr>
    </w:lvl>
    <w:lvl w:ilvl="1">
      <w:start w:val="1"/>
      <w:numFmt w:val="bullet"/>
      <w:lvlText w:val=""/>
      <w:lvlJc w:val="left"/>
      <w:pPr>
        <w:ind w:left="720" w:hanging="360"/>
      </w:pPr>
      <w:rPr>
        <w:rFonts w:ascii="Wingdings 3" w:hAnsi="Wingdings 3" w:cs="Times New Roman" w:hint="default"/>
        <w:sz w:val="21"/>
        <w:szCs w:val="20"/>
      </w:rPr>
    </w:lvl>
    <w:lvl w:ilvl="2">
      <w:start w:val="1"/>
      <w:numFmt w:val="bullet"/>
      <w:lvlRestart w:val="0"/>
      <w:lvlText w:val=""/>
      <w:lvlJc w:val="left"/>
      <w:pPr>
        <w:ind w:left="1008" w:hanging="288"/>
      </w:pPr>
      <w:rPr>
        <w:rFonts w:ascii="Wingdings" w:hAnsi="Wingdings" w:cs="Times New Roman" w:hint="default"/>
        <w:sz w:val="20"/>
        <w:szCs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4BFA7898"/>
    <w:multiLevelType w:val="multilevel"/>
    <w:tmpl w:val="0ABC27F2"/>
    <w:name w:val="Bullet Number Bullet III"/>
    <w:lvl w:ilvl="0">
      <w:start w:val="1"/>
      <w:numFmt w:val="bullet"/>
      <w:lvlText w:val=""/>
      <w:lvlJc w:val="left"/>
      <w:pPr>
        <w:ind w:left="180" w:hanging="180"/>
      </w:pPr>
      <w:rPr>
        <w:rFonts w:ascii="Wingdings" w:hAnsi="Wingdings" w:cs="Times New Roman" w:hint="default"/>
      </w:rPr>
    </w:lvl>
    <w:lvl w:ilvl="1">
      <w:start w:val="1"/>
      <w:numFmt w:val="decimal"/>
      <w:lvlText w:val="%2."/>
      <w:lvlJc w:val="left"/>
      <w:pPr>
        <w:ind w:left="180" w:firstLine="0"/>
      </w:pPr>
      <w:rPr>
        <w:rFonts w:hint="default"/>
      </w:rPr>
    </w:lvl>
    <w:lvl w:ilvl="2">
      <w:start w:val="1"/>
      <w:numFmt w:val="bullet"/>
      <w:lvlRestart w:val="0"/>
      <w:lvlText w:val=""/>
      <w:lvlJc w:val="left"/>
      <w:pPr>
        <w:ind w:left="468" w:hanging="108"/>
      </w:pPr>
      <w:rPr>
        <w:rFonts w:ascii="Wingdings 3" w:hAnsi="Wingdings 3" w:cs="Times New Roman" w:hint="default"/>
        <w:sz w:val="20"/>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4C406C6E"/>
    <w:multiLevelType w:val="multilevel"/>
    <w:tmpl w:val="5A6E8180"/>
    <w:lvl w:ilvl="0">
      <w:start w:val="1"/>
      <w:numFmt w:val="decimal"/>
      <w:lvlText w:val="%1."/>
      <w:lvlJc w:val="left"/>
      <w:pPr>
        <w:ind w:left="360" w:hanging="360"/>
      </w:pPr>
      <w:rPr>
        <w:rFonts w:hint="default"/>
        <w:sz w:val="24"/>
        <w:szCs w:val="20"/>
      </w:rPr>
    </w:lvl>
    <w:lvl w:ilvl="1">
      <w:start w:val="1"/>
      <w:numFmt w:val="bullet"/>
      <w:lvlRestart w:val="0"/>
      <w:lvlText w:val=""/>
      <w:lvlJc w:val="left"/>
      <w:pPr>
        <w:ind w:left="720" w:hanging="360"/>
      </w:pPr>
      <w:rPr>
        <w:rFonts w:ascii="Wingdings" w:hAnsi="Wingdings" w:cs="Wingdings" w:hint="default"/>
        <w:sz w:val="19"/>
        <w:szCs w:val="21"/>
      </w:rPr>
    </w:lvl>
    <w:lvl w:ilvl="2">
      <w:start w:val="1"/>
      <w:numFmt w:val="bullet"/>
      <w:lvlRestart w:val="0"/>
      <w:lvlText w:val=""/>
      <w:lvlJc w:val="left"/>
      <w:pPr>
        <w:ind w:left="1080" w:hanging="360"/>
      </w:pPr>
      <w:rPr>
        <w:rFonts w:ascii="Wingdings" w:hAnsi="Wingdings" w:cs="Wingdings" w:hint="default"/>
        <w:sz w:val="16"/>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4CA05A7C"/>
    <w:multiLevelType w:val="hybridMultilevel"/>
    <w:tmpl w:val="220457B8"/>
    <w:lvl w:ilvl="0" w:tplc="99FAB4C8">
      <w:start w:val="1"/>
      <w:numFmt w:val="bullet"/>
      <w:lvlText w:val=""/>
      <w:lvlJc w:val="left"/>
      <w:pPr>
        <w:ind w:left="720" w:hanging="360"/>
      </w:pPr>
      <w:rPr>
        <w:rFonts w:ascii="Wingdings" w:hAnsi="Wingdings" w:cs="Wingdings" w:hint="default"/>
        <w:sz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6865DE"/>
    <w:multiLevelType w:val="multilevel"/>
    <w:tmpl w:val="7D3CE330"/>
    <w:lvl w:ilvl="0">
      <w:start w:val="1"/>
      <w:numFmt w:val="decimal"/>
      <w:lvlText w:val="%1."/>
      <w:lvlJc w:val="left"/>
      <w:pPr>
        <w:ind w:left="360" w:hanging="360"/>
      </w:pPr>
      <w:rPr>
        <w:rFonts w:hint="default"/>
        <w:sz w:val="24"/>
        <w:szCs w:val="20"/>
      </w:rPr>
    </w:lvl>
    <w:lvl w:ilvl="1">
      <w:start w:val="1"/>
      <w:numFmt w:val="bullet"/>
      <w:lvlRestart w:val="0"/>
      <w:lvlText w:val=""/>
      <w:lvlJc w:val="left"/>
      <w:pPr>
        <w:ind w:left="720" w:hanging="360"/>
      </w:pPr>
      <w:rPr>
        <w:rFonts w:ascii="Wingdings" w:hAnsi="Wingdings" w:cs="Times New Roman" w:hint="default"/>
        <w:sz w:val="20"/>
        <w:szCs w:val="21"/>
      </w:rPr>
    </w:lvl>
    <w:lvl w:ilvl="2">
      <w:start w:val="1"/>
      <w:numFmt w:val="bullet"/>
      <w:lvlText w:val=""/>
      <w:lvlJc w:val="left"/>
      <w:pPr>
        <w:ind w:left="1080" w:hanging="360"/>
      </w:pPr>
      <w:rPr>
        <w:rFonts w:ascii="Wingdings 3" w:hAnsi="Wingdings 3" w:hint="default"/>
        <w:sz w:val="16"/>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4E4B6313"/>
    <w:multiLevelType w:val="multilevel"/>
    <w:tmpl w:val="2160B50C"/>
    <w:lvl w:ilvl="0">
      <w:start w:val="1"/>
      <w:numFmt w:val="bullet"/>
      <w:lvlText w:val=""/>
      <w:lvlJc w:val="left"/>
      <w:pPr>
        <w:ind w:left="360" w:hanging="360"/>
      </w:pPr>
      <w:rPr>
        <w:rFonts w:ascii="Wingdings" w:hAnsi="Wingdings" w:cs="Times New Roman" w:hint="default"/>
        <w:sz w:val="19"/>
        <w:szCs w:val="20"/>
      </w:rPr>
    </w:lvl>
    <w:lvl w:ilvl="1">
      <w:start w:val="1"/>
      <w:numFmt w:val="bullet"/>
      <w:lvlText w:val=""/>
      <w:lvlJc w:val="left"/>
      <w:pPr>
        <w:ind w:left="720" w:hanging="360"/>
      </w:pPr>
      <w:rPr>
        <w:rFonts w:ascii="Wingdings" w:hAnsi="Wingdings" w:cs="Wingdings" w:hint="default"/>
        <w:sz w:val="17"/>
        <w:szCs w:val="21"/>
      </w:rPr>
    </w:lvl>
    <w:lvl w:ilvl="2">
      <w:start w:val="1"/>
      <w:numFmt w:val="bullet"/>
      <w:lvlText w:val=""/>
      <w:lvlJc w:val="left"/>
      <w:pPr>
        <w:ind w:left="1080" w:hanging="360"/>
      </w:pPr>
      <w:rPr>
        <w:rFonts w:ascii="Wingdings 3" w:hAnsi="Wingdings 3" w:cs="Wingdings" w:hint="default"/>
        <w:sz w:val="19"/>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4F775E57"/>
    <w:multiLevelType w:val="multilevel"/>
    <w:tmpl w:val="2160B50C"/>
    <w:lvl w:ilvl="0">
      <w:start w:val="1"/>
      <w:numFmt w:val="bullet"/>
      <w:lvlText w:val=""/>
      <w:lvlJc w:val="left"/>
      <w:pPr>
        <w:ind w:left="360" w:hanging="360"/>
      </w:pPr>
      <w:rPr>
        <w:rFonts w:ascii="Wingdings" w:hAnsi="Wingdings" w:cs="Times New Roman" w:hint="default"/>
        <w:sz w:val="19"/>
        <w:szCs w:val="20"/>
      </w:rPr>
    </w:lvl>
    <w:lvl w:ilvl="1">
      <w:start w:val="1"/>
      <w:numFmt w:val="bullet"/>
      <w:lvlText w:val=""/>
      <w:lvlJc w:val="left"/>
      <w:pPr>
        <w:ind w:left="720" w:hanging="360"/>
      </w:pPr>
      <w:rPr>
        <w:rFonts w:ascii="Wingdings" w:hAnsi="Wingdings" w:cs="Wingdings" w:hint="default"/>
        <w:sz w:val="17"/>
        <w:szCs w:val="21"/>
      </w:rPr>
    </w:lvl>
    <w:lvl w:ilvl="2">
      <w:start w:val="1"/>
      <w:numFmt w:val="bullet"/>
      <w:lvlText w:val=""/>
      <w:lvlJc w:val="left"/>
      <w:pPr>
        <w:ind w:left="1080" w:hanging="360"/>
      </w:pPr>
      <w:rPr>
        <w:rFonts w:ascii="Wingdings 3" w:hAnsi="Wingdings 3" w:cs="Wingdings" w:hint="default"/>
        <w:sz w:val="19"/>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4F7C1828"/>
    <w:multiLevelType w:val="multilevel"/>
    <w:tmpl w:val="1F9C0798"/>
    <w:lvl w:ilvl="0">
      <w:start w:val="1"/>
      <w:numFmt w:val="decimal"/>
      <w:lvlText w:val="%1."/>
      <w:lvlJc w:val="left"/>
      <w:pPr>
        <w:ind w:left="360" w:hanging="360"/>
      </w:pPr>
      <w:rPr>
        <w:rFonts w:hint="default"/>
        <w:sz w:val="24"/>
        <w:szCs w:val="20"/>
      </w:rPr>
    </w:lvl>
    <w:lvl w:ilvl="1">
      <w:start w:val="1"/>
      <w:numFmt w:val="bullet"/>
      <w:lvlText w:val=""/>
      <w:lvlJc w:val="left"/>
      <w:pPr>
        <w:ind w:left="720" w:hanging="360"/>
      </w:pPr>
      <w:rPr>
        <w:rFonts w:ascii="Wingdings 3" w:hAnsi="Wingdings 3" w:cs="Times New Roman" w:hint="default"/>
        <w:sz w:val="21"/>
        <w:szCs w:val="20"/>
      </w:rPr>
    </w:lvl>
    <w:lvl w:ilvl="2">
      <w:start w:val="1"/>
      <w:numFmt w:val="bullet"/>
      <w:lvlRestart w:val="0"/>
      <w:lvlText w:val=""/>
      <w:lvlJc w:val="left"/>
      <w:pPr>
        <w:ind w:left="1008" w:hanging="288"/>
      </w:pPr>
      <w:rPr>
        <w:rFonts w:ascii="Wingdings" w:hAnsi="Wingdings" w:cs="Times New Roman" w:hint="default"/>
        <w:sz w:val="20"/>
        <w:szCs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0FA5A18"/>
    <w:multiLevelType w:val="multilevel"/>
    <w:tmpl w:val="5A6E8180"/>
    <w:lvl w:ilvl="0">
      <w:start w:val="1"/>
      <w:numFmt w:val="decimal"/>
      <w:lvlText w:val="%1."/>
      <w:lvlJc w:val="left"/>
      <w:pPr>
        <w:ind w:left="360" w:hanging="360"/>
      </w:pPr>
      <w:rPr>
        <w:rFonts w:hint="default"/>
        <w:sz w:val="24"/>
        <w:szCs w:val="20"/>
      </w:rPr>
    </w:lvl>
    <w:lvl w:ilvl="1">
      <w:start w:val="1"/>
      <w:numFmt w:val="bullet"/>
      <w:lvlRestart w:val="0"/>
      <w:lvlText w:val=""/>
      <w:lvlJc w:val="left"/>
      <w:pPr>
        <w:ind w:left="720" w:hanging="360"/>
      </w:pPr>
      <w:rPr>
        <w:rFonts w:ascii="Wingdings" w:hAnsi="Wingdings" w:cs="Wingdings" w:hint="default"/>
        <w:sz w:val="19"/>
        <w:szCs w:val="21"/>
      </w:rPr>
    </w:lvl>
    <w:lvl w:ilvl="2">
      <w:start w:val="1"/>
      <w:numFmt w:val="bullet"/>
      <w:lvlRestart w:val="0"/>
      <w:lvlText w:val=""/>
      <w:lvlJc w:val="left"/>
      <w:pPr>
        <w:ind w:left="1080" w:hanging="360"/>
      </w:pPr>
      <w:rPr>
        <w:rFonts w:ascii="Wingdings" w:hAnsi="Wingdings" w:cs="Wingdings" w:hint="default"/>
        <w:sz w:val="16"/>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3F5195D"/>
    <w:multiLevelType w:val="multilevel"/>
    <w:tmpl w:val="5A6E8180"/>
    <w:lvl w:ilvl="0">
      <w:start w:val="1"/>
      <w:numFmt w:val="decimal"/>
      <w:lvlText w:val="%1."/>
      <w:lvlJc w:val="left"/>
      <w:pPr>
        <w:ind w:left="360" w:hanging="360"/>
      </w:pPr>
      <w:rPr>
        <w:rFonts w:hint="default"/>
        <w:sz w:val="24"/>
        <w:szCs w:val="20"/>
      </w:rPr>
    </w:lvl>
    <w:lvl w:ilvl="1">
      <w:start w:val="1"/>
      <w:numFmt w:val="bullet"/>
      <w:lvlRestart w:val="0"/>
      <w:lvlText w:val=""/>
      <w:lvlJc w:val="left"/>
      <w:pPr>
        <w:ind w:left="720" w:hanging="360"/>
      </w:pPr>
      <w:rPr>
        <w:rFonts w:ascii="Wingdings" w:hAnsi="Wingdings" w:cs="Wingdings" w:hint="default"/>
        <w:sz w:val="19"/>
        <w:szCs w:val="21"/>
      </w:rPr>
    </w:lvl>
    <w:lvl w:ilvl="2">
      <w:start w:val="1"/>
      <w:numFmt w:val="bullet"/>
      <w:lvlRestart w:val="0"/>
      <w:lvlText w:val=""/>
      <w:lvlJc w:val="left"/>
      <w:pPr>
        <w:ind w:left="1080" w:hanging="360"/>
      </w:pPr>
      <w:rPr>
        <w:rFonts w:ascii="Wingdings" w:hAnsi="Wingdings" w:cs="Wingdings" w:hint="default"/>
        <w:sz w:val="16"/>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53F0692"/>
    <w:multiLevelType w:val="multilevel"/>
    <w:tmpl w:val="138C465A"/>
    <w:lvl w:ilvl="0">
      <w:start w:val="1"/>
      <w:numFmt w:val="decimal"/>
      <w:lvlText w:val="%1."/>
      <w:lvlJc w:val="left"/>
      <w:pPr>
        <w:ind w:left="360" w:hanging="360"/>
      </w:pPr>
      <w:rPr>
        <w:rFonts w:hint="default"/>
        <w:sz w:val="24"/>
        <w:szCs w:val="20"/>
      </w:rPr>
    </w:lvl>
    <w:lvl w:ilvl="1">
      <w:start w:val="1"/>
      <w:numFmt w:val="bullet"/>
      <w:lvlRestart w:val="0"/>
      <w:lvlText w:val=""/>
      <w:lvlJc w:val="left"/>
      <w:pPr>
        <w:ind w:left="720" w:hanging="360"/>
      </w:pPr>
      <w:rPr>
        <w:rFonts w:ascii="Wingdings 3" w:hAnsi="Wingdings 3" w:cs="Times New Roman" w:hint="default"/>
        <w:szCs w:val="20"/>
      </w:rPr>
    </w:lvl>
    <w:lvl w:ilvl="2">
      <w:start w:val="1"/>
      <w:numFmt w:val="bullet"/>
      <w:lvlRestart w:val="0"/>
      <w:lvlText w:val=""/>
      <w:lvlJc w:val="left"/>
      <w:pPr>
        <w:ind w:left="1008" w:hanging="288"/>
      </w:pPr>
      <w:rPr>
        <w:rFonts w:ascii="Wingdings" w:hAnsi="Wingdings" w:cs="Times New Roman" w:hint="default"/>
        <w:sz w:val="20"/>
        <w:szCs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5695482"/>
    <w:multiLevelType w:val="multilevel"/>
    <w:tmpl w:val="2160B50C"/>
    <w:lvl w:ilvl="0">
      <w:start w:val="1"/>
      <w:numFmt w:val="bullet"/>
      <w:lvlText w:val=""/>
      <w:lvlJc w:val="left"/>
      <w:pPr>
        <w:ind w:left="360" w:hanging="360"/>
      </w:pPr>
      <w:rPr>
        <w:rFonts w:ascii="Wingdings" w:hAnsi="Wingdings" w:cs="Times New Roman" w:hint="default"/>
        <w:sz w:val="19"/>
        <w:szCs w:val="20"/>
      </w:rPr>
    </w:lvl>
    <w:lvl w:ilvl="1">
      <w:start w:val="1"/>
      <w:numFmt w:val="bullet"/>
      <w:lvlText w:val=""/>
      <w:lvlJc w:val="left"/>
      <w:pPr>
        <w:ind w:left="720" w:hanging="360"/>
      </w:pPr>
      <w:rPr>
        <w:rFonts w:ascii="Wingdings" w:hAnsi="Wingdings" w:cs="Wingdings" w:hint="default"/>
        <w:sz w:val="17"/>
        <w:szCs w:val="21"/>
      </w:rPr>
    </w:lvl>
    <w:lvl w:ilvl="2">
      <w:start w:val="1"/>
      <w:numFmt w:val="bullet"/>
      <w:lvlText w:val=""/>
      <w:lvlJc w:val="left"/>
      <w:pPr>
        <w:ind w:left="1080" w:hanging="360"/>
      </w:pPr>
      <w:rPr>
        <w:rFonts w:ascii="Wingdings 3" w:hAnsi="Wingdings 3" w:cs="Wingdings" w:hint="default"/>
        <w:sz w:val="19"/>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684401E"/>
    <w:multiLevelType w:val="multilevel"/>
    <w:tmpl w:val="1F9C0798"/>
    <w:lvl w:ilvl="0">
      <w:start w:val="1"/>
      <w:numFmt w:val="decimal"/>
      <w:lvlText w:val="%1."/>
      <w:lvlJc w:val="left"/>
      <w:pPr>
        <w:ind w:left="360" w:hanging="360"/>
      </w:pPr>
      <w:rPr>
        <w:rFonts w:hint="default"/>
        <w:sz w:val="24"/>
        <w:szCs w:val="20"/>
      </w:rPr>
    </w:lvl>
    <w:lvl w:ilvl="1">
      <w:start w:val="1"/>
      <w:numFmt w:val="bullet"/>
      <w:lvlText w:val=""/>
      <w:lvlJc w:val="left"/>
      <w:pPr>
        <w:ind w:left="720" w:hanging="360"/>
      </w:pPr>
      <w:rPr>
        <w:rFonts w:ascii="Wingdings 3" w:hAnsi="Wingdings 3" w:cs="Times New Roman" w:hint="default"/>
        <w:sz w:val="21"/>
        <w:szCs w:val="20"/>
      </w:rPr>
    </w:lvl>
    <w:lvl w:ilvl="2">
      <w:start w:val="1"/>
      <w:numFmt w:val="bullet"/>
      <w:lvlRestart w:val="0"/>
      <w:lvlText w:val=""/>
      <w:lvlJc w:val="left"/>
      <w:pPr>
        <w:ind w:left="1008" w:hanging="288"/>
      </w:pPr>
      <w:rPr>
        <w:rFonts w:ascii="Wingdings" w:hAnsi="Wingdings" w:cs="Times New Roman" w:hint="default"/>
        <w:sz w:val="20"/>
        <w:szCs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7B7545E"/>
    <w:multiLevelType w:val="multilevel"/>
    <w:tmpl w:val="954E6F18"/>
    <w:name w:val="Examples List 22222222222222"/>
    <w:lvl w:ilvl="0">
      <w:start w:val="1"/>
      <w:numFmt w:val="bullet"/>
      <w:lvlText w:val=""/>
      <w:lvlJc w:val="left"/>
      <w:pPr>
        <w:ind w:left="360" w:hanging="360"/>
      </w:pPr>
      <w:rPr>
        <w:rFonts w:ascii="Wingdings 3" w:hAnsi="Wingdings 3" w:cs="Times New Roman" w:hint="default"/>
        <w:sz w:val="20"/>
        <w:szCs w:val="20"/>
      </w:rPr>
    </w:lvl>
    <w:lvl w:ilvl="1">
      <w:start w:val="1"/>
      <w:numFmt w:val="decimal"/>
      <w:lvlRestart w:val="0"/>
      <w:lvlText w:val="%2."/>
      <w:lvlJc w:val="left"/>
      <w:pPr>
        <w:ind w:left="720" w:hanging="360"/>
      </w:pPr>
      <w:rPr>
        <w:rFonts w:hint="default"/>
      </w:rPr>
    </w:lvl>
    <w:lvl w:ilvl="2">
      <w:start w:val="1"/>
      <w:numFmt w:val="bullet"/>
      <w:lvlText w:val=""/>
      <w:lvlJc w:val="left"/>
      <w:pPr>
        <w:ind w:left="1080" w:hanging="360"/>
      </w:pPr>
      <w:rPr>
        <w:rFonts w:ascii="Symbol" w:hAnsi="Symbol" w:hint="default"/>
        <w:sz w:val="20"/>
        <w:szCs w:val="20"/>
      </w:rPr>
    </w:lvl>
    <w:lvl w:ilvl="3">
      <w:start w:val="1"/>
      <w:numFmt w:val="bullet"/>
      <w:lvlText w:val=""/>
      <w:lvlJc w:val="left"/>
      <w:pPr>
        <w:ind w:left="1354" w:hanging="360"/>
      </w:pPr>
      <w:rPr>
        <w:rFonts w:ascii="Wingdings 3" w:hAnsi="Wingdings 3"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8F60BE5"/>
    <w:multiLevelType w:val="multilevel"/>
    <w:tmpl w:val="5A6E8180"/>
    <w:lvl w:ilvl="0">
      <w:start w:val="1"/>
      <w:numFmt w:val="decimal"/>
      <w:lvlText w:val="%1."/>
      <w:lvlJc w:val="left"/>
      <w:pPr>
        <w:ind w:left="360" w:hanging="360"/>
      </w:pPr>
      <w:rPr>
        <w:rFonts w:hint="default"/>
        <w:sz w:val="24"/>
        <w:szCs w:val="20"/>
      </w:rPr>
    </w:lvl>
    <w:lvl w:ilvl="1">
      <w:start w:val="1"/>
      <w:numFmt w:val="bullet"/>
      <w:lvlRestart w:val="0"/>
      <w:lvlText w:val=""/>
      <w:lvlJc w:val="left"/>
      <w:pPr>
        <w:ind w:left="720" w:hanging="360"/>
      </w:pPr>
      <w:rPr>
        <w:rFonts w:ascii="Wingdings" w:hAnsi="Wingdings" w:cs="Wingdings" w:hint="default"/>
        <w:sz w:val="19"/>
        <w:szCs w:val="21"/>
      </w:rPr>
    </w:lvl>
    <w:lvl w:ilvl="2">
      <w:start w:val="1"/>
      <w:numFmt w:val="bullet"/>
      <w:lvlRestart w:val="0"/>
      <w:lvlText w:val=""/>
      <w:lvlJc w:val="left"/>
      <w:pPr>
        <w:ind w:left="1080" w:hanging="360"/>
      </w:pPr>
      <w:rPr>
        <w:rFonts w:ascii="Wingdings" w:hAnsi="Wingdings" w:cs="Wingdings" w:hint="default"/>
        <w:sz w:val="16"/>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91E0E10"/>
    <w:multiLevelType w:val="multilevel"/>
    <w:tmpl w:val="7788144C"/>
    <w:name w:val="Bullet Number Bullet II"/>
    <w:lvl w:ilvl="0">
      <w:start w:val="1"/>
      <w:numFmt w:val="bullet"/>
      <w:lvlText w:val=""/>
      <w:lvlJc w:val="left"/>
      <w:pPr>
        <w:ind w:left="1080" w:hanging="360"/>
      </w:pPr>
      <w:rPr>
        <w:rFonts w:ascii="Wingdings" w:hAnsi="Wingdings" w:cs="Times New Roman" w:hint="default"/>
      </w:rPr>
    </w:lvl>
    <w:lvl w:ilvl="1">
      <w:start w:val="1"/>
      <w:numFmt w:val="decimal"/>
      <w:lvlText w:val="%2."/>
      <w:lvlJc w:val="left"/>
      <w:pPr>
        <w:ind w:left="1800" w:hanging="360"/>
      </w:pPr>
      <w:rPr>
        <w:rFonts w:hint="default"/>
      </w:rPr>
    </w:lvl>
    <w:lvl w:ilvl="2">
      <w:start w:val="1"/>
      <w:numFmt w:val="bullet"/>
      <w:lvlText w:val=""/>
      <w:lvlJc w:val="left"/>
      <w:pPr>
        <w:ind w:left="2520" w:hanging="360"/>
      </w:pPr>
      <w:rPr>
        <w:rFonts w:ascii="Wingdings 3" w:hAnsi="Wingdings 3" w:cs="Times New Roman"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17" w15:restartNumberingAfterBreak="0">
    <w:nsid w:val="59B967ED"/>
    <w:multiLevelType w:val="multilevel"/>
    <w:tmpl w:val="56B4A532"/>
    <w:lvl w:ilvl="0">
      <w:start w:val="1"/>
      <w:numFmt w:val="bullet"/>
      <w:lvlText w:val=""/>
      <w:lvlJc w:val="left"/>
      <w:pPr>
        <w:ind w:left="720" w:hanging="360"/>
      </w:pPr>
      <w:rPr>
        <w:rFonts w:ascii="Wingdings" w:hAnsi="Wingdings" w:cs="Wingdings" w:hint="default"/>
        <w:sz w:val="19"/>
        <w:szCs w:val="20"/>
      </w:rPr>
    </w:lvl>
    <w:lvl w:ilvl="1">
      <w:start w:val="1"/>
      <w:numFmt w:val="bullet"/>
      <w:lvlRestart w:val="0"/>
      <w:lvlText w:val=""/>
      <w:lvlJc w:val="left"/>
      <w:pPr>
        <w:ind w:left="720" w:hanging="360"/>
      </w:pPr>
      <w:rPr>
        <w:rFonts w:ascii="Wingdings" w:hAnsi="Wingdings" w:cs="Wingdings" w:hint="default"/>
        <w:sz w:val="19"/>
        <w:szCs w:val="21"/>
      </w:rPr>
    </w:lvl>
    <w:lvl w:ilvl="2">
      <w:start w:val="1"/>
      <w:numFmt w:val="bullet"/>
      <w:lvlText w:val=""/>
      <w:lvlJc w:val="left"/>
      <w:pPr>
        <w:ind w:left="1080" w:hanging="360"/>
      </w:pPr>
      <w:rPr>
        <w:rFonts w:ascii="Wingdings 3" w:hAnsi="Wingdings 3" w:cs="Wingdings 3" w:hint="default"/>
        <w:sz w:val="16"/>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9FC5387"/>
    <w:multiLevelType w:val="multilevel"/>
    <w:tmpl w:val="43A6A126"/>
    <w:lvl w:ilvl="0">
      <w:start w:val="1"/>
      <w:numFmt w:val="decimal"/>
      <w:lvlText w:val="%1."/>
      <w:lvlJc w:val="left"/>
      <w:pPr>
        <w:ind w:left="360" w:hanging="360"/>
      </w:pPr>
      <w:rPr>
        <w:rFonts w:hint="default"/>
        <w:sz w:val="24"/>
        <w:szCs w:val="20"/>
      </w:rPr>
    </w:lvl>
    <w:lvl w:ilvl="1">
      <w:start w:val="1"/>
      <w:numFmt w:val="bullet"/>
      <w:lvlRestart w:val="0"/>
      <w:lvlText w:val=""/>
      <w:lvlJc w:val="left"/>
      <w:pPr>
        <w:ind w:left="720" w:hanging="360"/>
      </w:pPr>
      <w:rPr>
        <w:rFonts w:ascii="Wingdings" w:hAnsi="Wingdings" w:cs="Times New Roman" w:hint="default"/>
        <w:sz w:val="20"/>
        <w:szCs w:val="21"/>
      </w:rPr>
    </w:lvl>
    <w:lvl w:ilvl="2">
      <w:start w:val="1"/>
      <w:numFmt w:val="bullet"/>
      <w:lvlRestart w:val="0"/>
      <w:lvlText w:val=""/>
      <w:lvlJc w:val="left"/>
      <w:pPr>
        <w:ind w:left="1080" w:hanging="360"/>
      </w:pPr>
      <w:rPr>
        <w:rFonts w:ascii="Wingdings" w:hAnsi="Wingdings" w:cs="Wingdings" w:hint="default"/>
        <w:sz w:val="16"/>
        <w:szCs w:val="20"/>
      </w:rPr>
    </w:lvl>
    <w:lvl w:ilvl="3">
      <w:start w:val="1"/>
      <w:numFmt w:val="bullet"/>
      <w:lvlText w:val="o"/>
      <w:lvlJc w:val="left"/>
      <w:pPr>
        <w:ind w:left="2880" w:hanging="360"/>
      </w:pPr>
      <w:rPr>
        <w:rFonts w:ascii="Courier New" w:hAnsi="Courier New" w:cs="Courier New"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A6A5D1B"/>
    <w:multiLevelType w:val="multilevel"/>
    <w:tmpl w:val="2160B50C"/>
    <w:lvl w:ilvl="0">
      <w:start w:val="1"/>
      <w:numFmt w:val="bullet"/>
      <w:lvlText w:val=""/>
      <w:lvlJc w:val="left"/>
      <w:pPr>
        <w:ind w:left="360" w:hanging="360"/>
      </w:pPr>
      <w:rPr>
        <w:rFonts w:ascii="Wingdings" w:hAnsi="Wingdings" w:cs="Times New Roman" w:hint="default"/>
        <w:sz w:val="19"/>
        <w:szCs w:val="20"/>
      </w:rPr>
    </w:lvl>
    <w:lvl w:ilvl="1">
      <w:start w:val="1"/>
      <w:numFmt w:val="bullet"/>
      <w:lvlText w:val=""/>
      <w:lvlJc w:val="left"/>
      <w:pPr>
        <w:ind w:left="720" w:hanging="360"/>
      </w:pPr>
      <w:rPr>
        <w:rFonts w:ascii="Wingdings" w:hAnsi="Wingdings" w:cs="Wingdings" w:hint="default"/>
        <w:sz w:val="17"/>
        <w:szCs w:val="21"/>
      </w:rPr>
    </w:lvl>
    <w:lvl w:ilvl="2">
      <w:start w:val="1"/>
      <w:numFmt w:val="bullet"/>
      <w:lvlText w:val=""/>
      <w:lvlJc w:val="left"/>
      <w:pPr>
        <w:ind w:left="1080" w:hanging="360"/>
      </w:pPr>
      <w:rPr>
        <w:rFonts w:ascii="Wingdings 3" w:hAnsi="Wingdings 3" w:cs="Wingdings" w:hint="default"/>
        <w:sz w:val="19"/>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ACA3511"/>
    <w:multiLevelType w:val="multilevel"/>
    <w:tmpl w:val="1F9C0798"/>
    <w:lvl w:ilvl="0">
      <w:start w:val="1"/>
      <w:numFmt w:val="decimal"/>
      <w:lvlText w:val="%1."/>
      <w:lvlJc w:val="left"/>
      <w:pPr>
        <w:ind w:left="360" w:hanging="360"/>
      </w:pPr>
      <w:rPr>
        <w:rFonts w:hint="default"/>
        <w:sz w:val="24"/>
        <w:szCs w:val="20"/>
      </w:rPr>
    </w:lvl>
    <w:lvl w:ilvl="1">
      <w:start w:val="1"/>
      <w:numFmt w:val="bullet"/>
      <w:lvlText w:val=""/>
      <w:lvlJc w:val="left"/>
      <w:pPr>
        <w:ind w:left="720" w:hanging="360"/>
      </w:pPr>
      <w:rPr>
        <w:rFonts w:ascii="Wingdings 3" w:hAnsi="Wingdings 3" w:cs="Times New Roman" w:hint="default"/>
        <w:sz w:val="21"/>
        <w:szCs w:val="20"/>
      </w:rPr>
    </w:lvl>
    <w:lvl w:ilvl="2">
      <w:start w:val="1"/>
      <w:numFmt w:val="bullet"/>
      <w:lvlRestart w:val="0"/>
      <w:lvlText w:val=""/>
      <w:lvlJc w:val="left"/>
      <w:pPr>
        <w:ind w:left="1008" w:hanging="288"/>
      </w:pPr>
      <w:rPr>
        <w:rFonts w:ascii="Wingdings" w:hAnsi="Wingdings" w:cs="Times New Roman" w:hint="default"/>
        <w:sz w:val="20"/>
        <w:szCs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B482E2C"/>
    <w:multiLevelType w:val="multilevel"/>
    <w:tmpl w:val="1F9C0798"/>
    <w:lvl w:ilvl="0">
      <w:start w:val="1"/>
      <w:numFmt w:val="decimal"/>
      <w:lvlText w:val="%1."/>
      <w:lvlJc w:val="left"/>
      <w:pPr>
        <w:ind w:left="360" w:hanging="360"/>
      </w:pPr>
      <w:rPr>
        <w:rFonts w:hint="default"/>
        <w:sz w:val="24"/>
        <w:szCs w:val="20"/>
      </w:rPr>
    </w:lvl>
    <w:lvl w:ilvl="1">
      <w:start w:val="1"/>
      <w:numFmt w:val="bullet"/>
      <w:lvlText w:val=""/>
      <w:lvlJc w:val="left"/>
      <w:pPr>
        <w:ind w:left="720" w:hanging="360"/>
      </w:pPr>
      <w:rPr>
        <w:rFonts w:ascii="Wingdings 3" w:hAnsi="Wingdings 3" w:cs="Times New Roman" w:hint="default"/>
        <w:sz w:val="21"/>
        <w:szCs w:val="20"/>
      </w:rPr>
    </w:lvl>
    <w:lvl w:ilvl="2">
      <w:start w:val="1"/>
      <w:numFmt w:val="bullet"/>
      <w:lvlRestart w:val="0"/>
      <w:lvlText w:val=""/>
      <w:lvlJc w:val="left"/>
      <w:pPr>
        <w:ind w:left="1008" w:hanging="288"/>
      </w:pPr>
      <w:rPr>
        <w:rFonts w:ascii="Wingdings" w:hAnsi="Wingdings" w:cs="Times New Roman" w:hint="default"/>
        <w:sz w:val="20"/>
        <w:szCs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5CEF10D2"/>
    <w:multiLevelType w:val="multilevel"/>
    <w:tmpl w:val="5A6E8180"/>
    <w:lvl w:ilvl="0">
      <w:start w:val="1"/>
      <w:numFmt w:val="decimal"/>
      <w:lvlText w:val="%1."/>
      <w:lvlJc w:val="left"/>
      <w:pPr>
        <w:ind w:left="360" w:hanging="360"/>
      </w:pPr>
      <w:rPr>
        <w:rFonts w:hint="default"/>
        <w:sz w:val="24"/>
        <w:szCs w:val="20"/>
      </w:rPr>
    </w:lvl>
    <w:lvl w:ilvl="1">
      <w:start w:val="1"/>
      <w:numFmt w:val="bullet"/>
      <w:lvlRestart w:val="0"/>
      <w:lvlText w:val=""/>
      <w:lvlJc w:val="left"/>
      <w:pPr>
        <w:ind w:left="720" w:hanging="360"/>
      </w:pPr>
      <w:rPr>
        <w:rFonts w:ascii="Wingdings" w:hAnsi="Wingdings" w:cs="Wingdings" w:hint="default"/>
        <w:sz w:val="19"/>
        <w:szCs w:val="21"/>
      </w:rPr>
    </w:lvl>
    <w:lvl w:ilvl="2">
      <w:start w:val="1"/>
      <w:numFmt w:val="bullet"/>
      <w:lvlRestart w:val="0"/>
      <w:lvlText w:val=""/>
      <w:lvlJc w:val="left"/>
      <w:pPr>
        <w:ind w:left="1080" w:hanging="360"/>
      </w:pPr>
      <w:rPr>
        <w:rFonts w:ascii="Wingdings" w:hAnsi="Wingdings" w:cs="Wingdings" w:hint="default"/>
        <w:sz w:val="16"/>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D751204"/>
    <w:multiLevelType w:val="multilevel"/>
    <w:tmpl w:val="2160B50C"/>
    <w:lvl w:ilvl="0">
      <w:start w:val="1"/>
      <w:numFmt w:val="bullet"/>
      <w:lvlText w:val=""/>
      <w:lvlJc w:val="left"/>
      <w:pPr>
        <w:ind w:left="360" w:hanging="360"/>
      </w:pPr>
      <w:rPr>
        <w:rFonts w:ascii="Wingdings" w:hAnsi="Wingdings" w:cs="Times New Roman" w:hint="default"/>
        <w:sz w:val="19"/>
        <w:szCs w:val="20"/>
      </w:rPr>
    </w:lvl>
    <w:lvl w:ilvl="1">
      <w:start w:val="1"/>
      <w:numFmt w:val="bullet"/>
      <w:lvlText w:val=""/>
      <w:lvlJc w:val="left"/>
      <w:pPr>
        <w:ind w:left="720" w:hanging="360"/>
      </w:pPr>
      <w:rPr>
        <w:rFonts w:ascii="Wingdings" w:hAnsi="Wingdings" w:cs="Wingdings" w:hint="default"/>
        <w:sz w:val="17"/>
        <w:szCs w:val="21"/>
      </w:rPr>
    </w:lvl>
    <w:lvl w:ilvl="2">
      <w:start w:val="1"/>
      <w:numFmt w:val="bullet"/>
      <w:lvlText w:val=""/>
      <w:lvlJc w:val="left"/>
      <w:pPr>
        <w:ind w:left="1080" w:hanging="360"/>
      </w:pPr>
      <w:rPr>
        <w:rFonts w:ascii="Wingdings 3" w:hAnsi="Wingdings 3" w:cs="Wingdings" w:hint="default"/>
        <w:sz w:val="19"/>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5DB11481"/>
    <w:multiLevelType w:val="multilevel"/>
    <w:tmpl w:val="2160B50C"/>
    <w:lvl w:ilvl="0">
      <w:start w:val="1"/>
      <w:numFmt w:val="bullet"/>
      <w:lvlText w:val=""/>
      <w:lvlJc w:val="left"/>
      <w:pPr>
        <w:ind w:left="360" w:hanging="360"/>
      </w:pPr>
      <w:rPr>
        <w:rFonts w:ascii="Wingdings" w:hAnsi="Wingdings" w:cs="Times New Roman" w:hint="default"/>
        <w:sz w:val="19"/>
        <w:szCs w:val="20"/>
      </w:rPr>
    </w:lvl>
    <w:lvl w:ilvl="1">
      <w:start w:val="1"/>
      <w:numFmt w:val="bullet"/>
      <w:lvlText w:val=""/>
      <w:lvlJc w:val="left"/>
      <w:pPr>
        <w:ind w:left="720" w:hanging="360"/>
      </w:pPr>
      <w:rPr>
        <w:rFonts w:ascii="Wingdings" w:hAnsi="Wingdings" w:cs="Wingdings" w:hint="default"/>
        <w:sz w:val="17"/>
        <w:szCs w:val="21"/>
      </w:rPr>
    </w:lvl>
    <w:lvl w:ilvl="2">
      <w:start w:val="1"/>
      <w:numFmt w:val="bullet"/>
      <w:lvlText w:val=""/>
      <w:lvlJc w:val="left"/>
      <w:pPr>
        <w:ind w:left="1080" w:hanging="360"/>
      </w:pPr>
      <w:rPr>
        <w:rFonts w:ascii="Wingdings 3" w:hAnsi="Wingdings 3" w:cs="Wingdings" w:hint="default"/>
        <w:sz w:val="19"/>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5DBB2B5A"/>
    <w:multiLevelType w:val="multilevel"/>
    <w:tmpl w:val="47B6864A"/>
    <w:name w:val="Bullet Number Bullet III2"/>
    <w:lvl w:ilvl="0">
      <w:start w:val="1"/>
      <w:numFmt w:val="bullet"/>
      <w:lvlText w:val=""/>
      <w:lvlJc w:val="left"/>
      <w:pPr>
        <w:ind w:left="720" w:hanging="360"/>
      </w:pPr>
      <w:rPr>
        <w:rFonts w:ascii="Wingdings 3" w:hAnsi="Wingdings 3" w:cs="Wingdings 3" w:hint="default"/>
        <w:sz w:val="20"/>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3" w:hAnsi="Wingdings 3" w:cs="Wingdings 3" w:hint="default"/>
        <w:sz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5DC05589"/>
    <w:multiLevelType w:val="hybridMultilevel"/>
    <w:tmpl w:val="68CE425C"/>
    <w:lvl w:ilvl="0" w:tplc="C276CC44">
      <w:start w:val="1"/>
      <w:numFmt w:val="lowerLetter"/>
      <w:lvlText w:val="%1)"/>
      <w:lvlJc w:val="left"/>
      <w:pPr>
        <w:ind w:left="720" w:hanging="360"/>
      </w:pPr>
    </w:lvl>
    <w:lvl w:ilvl="1" w:tplc="E4BA3EDE" w:tentative="1">
      <w:start w:val="1"/>
      <w:numFmt w:val="lowerLetter"/>
      <w:lvlText w:val="%2."/>
      <w:lvlJc w:val="left"/>
      <w:pPr>
        <w:ind w:left="1440" w:hanging="360"/>
      </w:pPr>
    </w:lvl>
    <w:lvl w:ilvl="2" w:tplc="2C8EB510" w:tentative="1">
      <w:start w:val="1"/>
      <w:numFmt w:val="lowerRoman"/>
      <w:lvlText w:val="%3."/>
      <w:lvlJc w:val="right"/>
      <w:pPr>
        <w:ind w:left="2160" w:hanging="180"/>
      </w:pPr>
    </w:lvl>
    <w:lvl w:ilvl="3" w:tplc="D94CB1DC" w:tentative="1">
      <w:start w:val="1"/>
      <w:numFmt w:val="decimal"/>
      <w:lvlText w:val="%4."/>
      <w:lvlJc w:val="left"/>
      <w:pPr>
        <w:ind w:left="2880" w:hanging="360"/>
      </w:pPr>
    </w:lvl>
    <w:lvl w:ilvl="4" w:tplc="DD468A4A" w:tentative="1">
      <w:start w:val="1"/>
      <w:numFmt w:val="lowerLetter"/>
      <w:lvlText w:val="%5."/>
      <w:lvlJc w:val="left"/>
      <w:pPr>
        <w:ind w:left="3600" w:hanging="360"/>
      </w:pPr>
    </w:lvl>
    <w:lvl w:ilvl="5" w:tplc="ACE09C8C" w:tentative="1">
      <w:start w:val="1"/>
      <w:numFmt w:val="lowerRoman"/>
      <w:lvlText w:val="%6."/>
      <w:lvlJc w:val="right"/>
      <w:pPr>
        <w:ind w:left="4320" w:hanging="180"/>
      </w:pPr>
    </w:lvl>
    <w:lvl w:ilvl="6" w:tplc="3EB64C58" w:tentative="1">
      <w:start w:val="1"/>
      <w:numFmt w:val="decimal"/>
      <w:lvlText w:val="%7."/>
      <w:lvlJc w:val="left"/>
      <w:pPr>
        <w:ind w:left="5040" w:hanging="360"/>
      </w:pPr>
    </w:lvl>
    <w:lvl w:ilvl="7" w:tplc="520048B0" w:tentative="1">
      <w:start w:val="1"/>
      <w:numFmt w:val="lowerLetter"/>
      <w:lvlText w:val="%8."/>
      <w:lvlJc w:val="left"/>
      <w:pPr>
        <w:ind w:left="5760" w:hanging="360"/>
      </w:pPr>
    </w:lvl>
    <w:lvl w:ilvl="8" w:tplc="FD16BF40" w:tentative="1">
      <w:start w:val="1"/>
      <w:numFmt w:val="lowerRoman"/>
      <w:lvlText w:val="%9."/>
      <w:lvlJc w:val="right"/>
      <w:pPr>
        <w:ind w:left="6480" w:hanging="180"/>
      </w:pPr>
    </w:lvl>
  </w:abstractNum>
  <w:abstractNum w:abstractNumId="127" w15:restartNumberingAfterBreak="0">
    <w:nsid w:val="5DEB41D7"/>
    <w:multiLevelType w:val="hybridMultilevel"/>
    <w:tmpl w:val="35B828D6"/>
    <w:lvl w:ilvl="0" w:tplc="99FAB4C8">
      <w:start w:val="1"/>
      <w:numFmt w:val="bullet"/>
      <w:lvlText w:val=""/>
      <w:lvlJc w:val="left"/>
      <w:pPr>
        <w:ind w:left="1080" w:hanging="360"/>
      </w:pPr>
      <w:rPr>
        <w:rFonts w:ascii="Wingdings" w:hAnsi="Wingdings" w:cs="Wingdings" w:hint="default"/>
        <w:sz w:val="19"/>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15:restartNumberingAfterBreak="0">
    <w:nsid w:val="5E01236C"/>
    <w:multiLevelType w:val="multilevel"/>
    <w:tmpl w:val="01F2004C"/>
    <w:lvl w:ilvl="0">
      <w:start w:val="1"/>
      <w:numFmt w:val="bullet"/>
      <w:lvlText w:val=""/>
      <w:lvlJc w:val="left"/>
      <w:pPr>
        <w:ind w:left="360" w:hanging="360"/>
      </w:pPr>
      <w:rPr>
        <w:rFonts w:ascii="Wingdings" w:hAnsi="Wingdings" w:cs="Wingdings" w:hint="default"/>
        <w:sz w:val="19"/>
        <w:szCs w:val="20"/>
      </w:rPr>
    </w:lvl>
    <w:lvl w:ilvl="1">
      <w:start w:val="1"/>
      <w:numFmt w:val="bullet"/>
      <w:lvlRestart w:val="0"/>
      <w:lvlText w:val=""/>
      <w:lvlJc w:val="left"/>
      <w:pPr>
        <w:ind w:left="720" w:hanging="360"/>
      </w:pPr>
      <w:rPr>
        <w:rFonts w:ascii="Wingdings" w:hAnsi="Wingdings" w:cs="Wingdings" w:hint="default"/>
        <w:sz w:val="19"/>
        <w:szCs w:val="21"/>
      </w:rPr>
    </w:lvl>
    <w:lvl w:ilvl="2">
      <w:start w:val="1"/>
      <w:numFmt w:val="bullet"/>
      <w:lvlText w:val=""/>
      <w:lvlJc w:val="left"/>
      <w:pPr>
        <w:ind w:left="1080" w:hanging="360"/>
      </w:pPr>
      <w:rPr>
        <w:rFonts w:ascii="Wingdings 3" w:hAnsi="Wingdings 3" w:cs="Wingdings" w:hint="default"/>
        <w:sz w:val="19"/>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5E6B77FD"/>
    <w:multiLevelType w:val="multilevel"/>
    <w:tmpl w:val="5A6E8180"/>
    <w:lvl w:ilvl="0">
      <w:start w:val="1"/>
      <w:numFmt w:val="decimal"/>
      <w:lvlText w:val="%1."/>
      <w:lvlJc w:val="left"/>
      <w:pPr>
        <w:ind w:left="360" w:hanging="360"/>
      </w:pPr>
      <w:rPr>
        <w:rFonts w:hint="default"/>
        <w:sz w:val="24"/>
        <w:szCs w:val="20"/>
      </w:rPr>
    </w:lvl>
    <w:lvl w:ilvl="1">
      <w:start w:val="1"/>
      <w:numFmt w:val="bullet"/>
      <w:lvlRestart w:val="0"/>
      <w:lvlText w:val=""/>
      <w:lvlJc w:val="left"/>
      <w:pPr>
        <w:ind w:left="720" w:hanging="360"/>
      </w:pPr>
      <w:rPr>
        <w:rFonts w:ascii="Wingdings" w:hAnsi="Wingdings" w:cs="Wingdings" w:hint="default"/>
        <w:sz w:val="19"/>
        <w:szCs w:val="21"/>
      </w:rPr>
    </w:lvl>
    <w:lvl w:ilvl="2">
      <w:start w:val="1"/>
      <w:numFmt w:val="bullet"/>
      <w:lvlRestart w:val="0"/>
      <w:lvlText w:val=""/>
      <w:lvlJc w:val="left"/>
      <w:pPr>
        <w:ind w:left="1080" w:hanging="360"/>
      </w:pPr>
      <w:rPr>
        <w:rFonts w:ascii="Wingdings" w:hAnsi="Wingdings" w:cs="Wingdings" w:hint="default"/>
        <w:sz w:val="16"/>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5FBF64C7"/>
    <w:multiLevelType w:val="multilevel"/>
    <w:tmpl w:val="1F9C0798"/>
    <w:lvl w:ilvl="0">
      <w:start w:val="1"/>
      <w:numFmt w:val="decimal"/>
      <w:lvlText w:val="%1."/>
      <w:lvlJc w:val="left"/>
      <w:pPr>
        <w:ind w:left="360" w:hanging="360"/>
      </w:pPr>
      <w:rPr>
        <w:rFonts w:hint="default"/>
        <w:sz w:val="24"/>
        <w:szCs w:val="20"/>
      </w:rPr>
    </w:lvl>
    <w:lvl w:ilvl="1">
      <w:start w:val="1"/>
      <w:numFmt w:val="bullet"/>
      <w:lvlText w:val=""/>
      <w:lvlJc w:val="left"/>
      <w:pPr>
        <w:ind w:left="720" w:hanging="360"/>
      </w:pPr>
      <w:rPr>
        <w:rFonts w:ascii="Wingdings 3" w:hAnsi="Wingdings 3" w:cs="Times New Roman" w:hint="default"/>
        <w:sz w:val="21"/>
        <w:szCs w:val="20"/>
      </w:rPr>
    </w:lvl>
    <w:lvl w:ilvl="2">
      <w:start w:val="1"/>
      <w:numFmt w:val="bullet"/>
      <w:lvlRestart w:val="0"/>
      <w:lvlText w:val=""/>
      <w:lvlJc w:val="left"/>
      <w:pPr>
        <w:ind w:left="1008" w:hanging="288"/>
      </w:pPr>
      <w:rPr>
        <w:rFonts w:ascii="Wingdings" w:hAnsi="Wingdings" w:cs="Times New Roman" w:hint="default"/>
        <w:sz w:val="20"/>
        <w:szCs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02B0F38"/>
    <w:multiLevelType w:val="multilevel"/>
    <w:tmpl w:val="2160B50C"/>
    <w:lvl w:ilvl="0">
      <w:start w:val="1"/>
      <w:numFmt w:val="bullet"/>
      <w:lvlText w:val=""/>
      <w:lvlJc w:val="left"/>
      <w:pPr>
        <w:ind w:left="360" w:hanging="360"/>
      </w:pPr>
      <w:rPr>
        <w:rFonts w:ascii="Wingdings" w:hAnsi="Wingdings" w:cs="Times New Roman" w:hint="default"/>
        <w:sz w:val="19"/>
        <w:szCs w:val="20"/>
      </w:rPr>
    </w:lvl>
    <w:lvl w:ilvl="1">
      <w:start w:val="1"/>
      <w:numFmt w:val="bullet"/>
      <w:lvlText w:val=""/>
      <w:lvlJc w:val="left"/>
      <w:pPr>
        <w:ind w:left="720" w:hanging="360"/>
      </w:pPr>
      <w:rPr>
        <w:rFonts w:ascii="Wingdings" w:hAnsi="Wingdings" w:cs="Wingdings" w:hint="default"/>
        <w:sz w:val="17"/>
        <w:szCs w:val="21"/>
      </w:rPr>
    </w:lvl>
    <w:lvl w:ilvl="2">
      <w:start w:val="1"/>
      <w:numFmt w:val="bullet"/>
      <w:lvlText w:val=""/>
      <w:lvlJc w:val="left"/>
      <w:pPr>
        <w:ind w:left="1080" w:hanging="360"/>
      </w:pPr>
      <w:rPr>
        <w:rFonts w:ascii="Wingdings 3" w:hAnsi="Wingdings 3" w:cs="Wingdings" w:hint="default"/>
        <w:sz w:val="19"/>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609E52B8"/>
    <w:multiLevelType w:val="hybridMultilevel"/>
    <w:tmpl w:val="6B9825C6"/>
    <w:lvl w:ilvl="0" w:tplc="99FAB4C8">
      <w:start w:val="1"/>
      <w:numFmt w:val="bullet"/>
      <w:lvlText w:val=""/>
      <w:lvlJc w:val="left"/>
      <w:pPr>
        <w:ind w:left="720" w:hanging="360"/>
      </w:pPr>
      <w:rPr>
        <w:rFonts w:ascii="Wingdings" w:hAnsi="Wingdings" w:cs="Wingdings" w:hint="default"/>
        <w:sz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14614F9"/>
    <w:multiLevelType w:val="hybridMultilevel"/>
    <w:tmpl w:val="CBDEBA10"/>
    <w:lvl w:ilvl="0" w:tplc="0FB4BEA6">
      <w:start w:val="1"/>
      <w:numFmt w:val="decimal"/>
      <w:lvlText w:val="%1."/>
      <w:lvlJc w:val="left"/>
      <w:pPr>
        <w:ind w:left="360" w:hanging="360"/>
      </w:pPr>
    </w:lvl>
    <w:lvl w:ilvl="1" w:tplc="97946D44">
      <w:start w:val="1"/>
      <w:numFmt w:val="lowerLetter"/>
      <w:lvlText w:val="%2."/>
      <w:lvlJc w:val="left"/>
      <w:pPr>
        <w:ind w:left="1080" w:hanging="360"/>
      </w:pPr>
    </w:lvl>
    <w:lvl w:ilvl="2" w:tplc="6B5AB8B6" w:tentative="1">
      <w:start w:val="1"/>
      <w:numFmt w:val="lowerRoman"/>
      <w:lvlText w:val="%3."/>
      <w:lvlJc w:val="right"/>
      <w:pPr>
        <w:ind w:left="1800" w:hanging="180"/>
      </w:pPr>
    </w:lvl>
    <w:lvl w:ilvl="3" w:tplc="B8C84D2E" w:tentative="1">
      <w:start w:val="1"/>
      <w:numFmt w:val="decimal"/>
      <w:lvlText w:val="%4."/>
      <w:lvlJc w:val="left"/>
      <w:pPr>
        <w:ind w:left="2520" w:hanging="360"/>
      </w:pPr>
    </w:lvl>
    <w:lvl w:ilvl="4" w:tplc="31E2F954" w:tentative="1">
      <w:start w:val="1"/>
      <w:numFmt w:val="lowerLetter"/>
      <w:lvlText w:val="%5."/>
      <w:lvlJc w:val="left"/>
      <w:pPr>
        <w:ind w:left="3240" w:hanging="360"/>
      </w:pPr>
    </w:lvl>
    <w:lvl w:ilvl="5" w:tplc="CEB4440E" w:tentative="1">
      <w:start w:val="1"/>
      <w:numFmt w:val="lowerRoman"/>
      <w:lvlText w:val="%6."/>
      <w:lvlJc w:val="right"/>
      <w:pPr>
        <w:ind w:left="3960" w:hanging="180"/>
      </w:pPr>
    </w:lvl>
    <w:lvl w:ilvl="6" w:tplc="1C96F160" w:tentative="1">
      <w:start w:val="1"/>
      <w:numFmt w:val="decimal"/>
      <w:lvlText w:val="%7."/>
      <w:lvlJc w:val="left"/>
      <w:pPr>
        <w:ind w:left="4680" w:hanging="360"/>
      </w:pPr>
    </w:lvl>
    <w:lvl w:ilvl="7" w:tplc="9D9C14B2" w:tentative="1">
      <w:start w:val="1"/>
      <w:numFmt w:val="lowerLetter"/>
      <w:lvlText w:val="%8."/>
      <w:lvlJc w:val="left"/>
      <w:pPr>
        <w:ind w:left="5400" w:hanging="360"/>
      </w:pPr>
    </w:lvl>
    <w:lvl w:ilvl="8" w:tplc="3572B5AE" w:tentative="1">
      <w:start w:val="1"/>
      <w:numFmt w:val="lowerRoman"/>
      <w:lvlText w:val="%9."/>
      <w:lvlJc w:val="right"/>
      <w:pPr>
        <w:ind w:left="6120" w:hanging="180"/>
      </w:pPr>
    </w:lvl>
  </w:abstractNum>
  <w:abstractNum w:abstractNumId="134" w15:restartNumberingAfterBreak="0">
    <w:nsid w:val="6175175E"/>
    <w:multiLevelType w:val="multilevel"/>
    <w:tmpl w:val="2160B50C"/>
    <w:lvl w:ilvl="0">
      <w:start w:val="1"/>
      <w:numFmt w:val="bullet"/>
      <w:lvlText w:val=""/>
      <w:lvlJc w:val="left"/>
      <w:pPr>
        <w:ind w:left="360" w:hanging="360"/>
      </w:pPr>
      <w:rPr>
        <w:rFonts w:ascii="Wingdings" w:hAnsi="Wingdings" w:cs="Times New Roman" w:hint="default"/>
        <w:sz w:val="19"/>
        <w:szCs w:val="20"/>
      </w:rPr>
    </w:lvl>
    <w:lvl w:ilvl="1">
      <w:start w:val="1"/>
      <w:numFmt w:val="bullet"/>
      <w:lvlText w:val=""/>
      <w:lvlJc w:val="left"/>
      <w:pPr>
        <w:ind w:left="720" w:hanging="360"/>
      </w:pPr>
      <w:rPr>
        <w:rFonts w:ascii="Wingdings" w:hAnsi="Wingdings" w:cs="Wingdings" w:hint="default"/>
        <w:sz w:val="17"/>
        <w:szCs w:val="21"/>
      </w:rPr>
    </w:lvl>
    <w:lvl w:ilvl="2">
      <w:start w:val="1"/>
      <w:numFmt w:val="bullet"/>
      <w:lvlText w:val=""/>
      <w:lvlJc w:val="left"/>
      <w:pPr>
        <w:ind w:left="1080" w:hanging="360"/>
      </w:pPr>
      <w:rPr>
        <w:rFonts w:ascii="Wingdings 3" w:hAnsi="Wingdings 3" w:cs="Wingdings" w:hint="default"/>
        <w:sz w:val="19"/>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61FF4EF8"/>
    <w:multiLevelType w:val="multilevel"/>
    <w:tmpl w:val="1154106A"/>
    <w:lvl w:ilvl="0">
      <w:start w:val="1"/>
      <w:numFmt w:val="bullet"/>
      <w:lvlText w:val=""/>
      <w:lvlJc w:val="left"/>
      <w:pPr>
        <w:ind w:left="720" w:hanging="360"/>
      </w:pPr>
      <w:rPr>
        <w:rFonts w:ascii="Wingdings" w:hAnsi="Wingdings" w:cs="Wingdings" w:hint="default"/>
        <w:sz w:val="19"/>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36" w15:restartNumberingAfterBreak="0">
    <w:nsid w:val="62080C0E"/>
    <w:multiLevelType w:val="multilevel"/>
    <w:tmpl w:val="138C465A"/>
    <w:lvl w:ilvl="0">
      <w:start w:val="1"/>
      <w:numFmt w:val="decimal"/>
      <w:lvlText w:val="%1."/>
      <w:lvlJc w:val="left"/>
      <w:pPr>
        <w:ind w:left="360" w:hanging="360"/>
      </w:pPr>
      <w:rPr>
        <w:rFonts w:hint="default"/>
        <w:sz w:val="24"/>
        <w:szCs w:val="20"/>
      </w:rPr>
    </w:lvl>
    <w:lvl w:ilvl="1">
      <w:start w:val="1"/>
      <w:numFmt w:val="bullet"/>
      <w:lvlRestart w:val="0"/>
      <w:lvlText w:val=""/>
      <w:lvlJc w:val="left"/>
      <w:pPr>
        <w:ind w:left="720" w:hanging="360"/>
      </w:pPr>
      <w:rPr>
        <w:rFonts w:ascii="Wingdings 3" w:hAnsi="Wingdings 3" w:cs="Times New Roman" w:hint="default"/>
        <w:szCs w:val="20"/>
      </w:rPr>
    </w:lvl>
    <w:lvl w:ilvl="2">
      <w:start w:val="1"/>
      <w:numFmt w:val="bullet"/>
      <w:lvlRestart w:val="0"/>
      <w:lvlText w:val=""/>
      <w:lvlJc w:val="left"/>
      <w:pPr>
        <w:ind w:left="1008" w:hanging="288"/>
      </w:pPr>
      <w:rPr>
        <w:rFonts w:ascii="Wingdings" w:hAnsi="Wingdings" w:cs="Times New Roman" w:hint="default"/>
        <w:sz w:val="20"/>
        <w:szCs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626E6573"/>
    <w:multiLevelType w:val="multilevel"/>
    <w:tmpl w:val="83D28D70"/>
    <w:name w:val="Bullet Number Bullet II2"/>
    <w:lvl w:ilvl="0">
      <w:start w:val="1"/>
      <w:numFmt w:val="bullet"/>
      <w:lvlText w:val=""/>
      <w:lvlJc w:val="left"/>
      <w:pPr>
        <w:ind w:left="720" w:hanging="360"/>
      </w:pPr>
      <w:rPr>
        <w:rFonts w:ascii="Wingdings" w:hAnsi="Wingdings" w:cs="Times New Roman" w:hint="default"/>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3" w:hAnsi="Wingdings 3" w:cs="Wingdings 3" w:hint="default"/>
        <w:sz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8" w15:restartNumberingAfterBreak="0">
    <w:nsid w:val="65DA2172"/>
    <w:multiLevelType w:val="multilevel"/>
    <w:tmpl w:val="421EDB1A"/>
    <w:lvl w:ilvl="0">
      <w:start w:val="1"/>
      <w:numFmt w:val="decimal"/>
      <w:lvlText w:val="%1."/>
      <w:lvlJc w:val="left"/>
      <w:pPr>
        <w:ind w:left="360" w:hanging="360"/>
      </w:pPr>
      <w:rPr>
        <w:rFonts w:hint="default"/>
        <w:sz w:val="24"/>
        <w:szCs w:val="20"/>
      </w:rPr>
    </w:lvl>
    <w:lvl w:ilvl="1">
      <w:start w:val="1"/>
      <w:numFmt w:val="bullet"/>
      <w:lvlRestart w:val="0"/>
      <w:lvlText w:val=""/>
      <w:lvlJc w:val="left"/>
      <w:pPr>
        <w:ind w:left="720" w:hanging="360"/>
      </w:pPr>
      <w:rPr>
        <w:rFonts w:ascii="Wingdings" w:hAnsi="Wingdings" w:cs="Wingdings" w:hint="default"/>
        <w:sz w:val="19"/>
        <w:szCs w:val="21"/>
      </w:rPr>
    </w:lvl>
    <w:lvl w:ilvl="2">
      <w:start w:val="1"/>
      <w:numFmt w:val="bullet"/>
      <w:lvlText w:val=""/>
      <w:lvlJc w:val="left"/>
      <w:pPr>
        <w:ind w:left="1080" w:hanging="360"/>
      </w:pPr>
      <w:rPr>
        <w:rFonts w:ascii="Wingdings 3" w:hAnsi="Wingdings 3" w:cs="Wingdings" w:hint="default"/>
        <w:sz w:val="19"/>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66CF5505"/>
    <w:multiLevelType w:val="multilevel"/>
    <w:tmpl w:val="2160B50C"/>
    <w:lvl w:ilvl="0">
      <w:start w:val="1"/>
      <w:numFmt w:val="bullet"/>
      <w:lvlText w:val=""/>
      <w:lvlJc w:val="left"/>
      <w:pPr>
        <w:ind w:left="360" w:hanging="360"/>
      </w:pPr>
      <w:rPr>
        <w:rFonts w:ascii="Wingdings" w:hAnsi="Wingdings" w:cs="Times New Roman" w:hint="default"/>
        <w:sz w:val="19"/>
        <w:szCs w:val="20"/>
      </w:rPr>
    </w:lvl>
    <w:lvl w:ilvl="1">
      <w:start w:val="1"/>
      <w:numFmt w:val="bullet"/>
      <w:lvlText w:val=""/>
      <w:lvlJc w:val="left"/>
      <w:pPr>
        <w:ind w:left="720" w:hanging="360"/>
      </w:pPr>
      <w:rPr>
        <w:rFonts w:ascii="Wingdings" w:hAnsi="Wingdings" w:cs="Wingdings" w:hint="default"/>
        <w:sz w:val="17"/>
        <w:szCs w:val="21"/>
      </w:rPr>
    </w:lvl>
    <w:lvl w:ilvl="2">
      <w:start w:val="1"/>
      <w:numFmt w:val="bullet"/>
      <w:lvlText w:val=""/>
      <w:lvlJc w:val="left"/>
      <w:pPr>
        <w:ind w:left="1080" w:hanging="360"/>
      </w:pPr>
      <w:rPr>
        <w:rFonts w:ascii="Wingdings 3" w:hAnsi="Wingdings 3" w:cs="Wingdings" w:hint="default"/>
        <w:sz w:val="19"/>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693F683C"/>
    <w:multiLevelType w:val="multilevel"/>
    <w:tmpl w:val="2160B50C"/>
    <w:lvl w:ilvl="0">
      <w:start w:val="1"/>
      <w:numFmt w:val="bullet"/>
      <w:lvlText w:val=""/>
      <w:lvlJc w:val="left"/>
      <w:pPr>
        <w:ind w:left="360" w:hanging="360"/>
      </w:pPr>
      <w:rPr>
        <w:rFonts w:ascii="Wingdings" w:hAnsi="Wingdings" w:cs="Times New Roman" w:hint="default"/>
        <w:sz w:val="19"/>
        <w:szCs w:val="20"/>
      </w:rPr>
    </w:lvl>
    <w:lvl w:ilvl="1">
      <w:start w:val="1"/>
      <w:numFmt w:val="bullet"/>
      <w:lvlText w:val=""/>
      <w:lvlJc w:val="left"/>
      <w:pPr>
        <w:ind w:left="720" w:hanging="360"/>
      </w:pPr>
      <w:rPr>
        <w:rFonts w:ascii="Wingdings" w:hAnsi="Wingdings" w:cs="Wingdings" w:hint="default"/>
        <w:sz w:val="17"/>
        <w:szCs w:val="21"/>
      </w:rPr>
    </w:lvl>
    <w:lvl w:ilvl="2">
      <w:start w:val="1"/>
      <w:numFmt w:val="bullet"/>
      <w:lvlText w:val=""/>
      <w:lvlJc w:val="left"/>
      <w:pPr>
        <w:ind w:left="1080" w:hanging="360"/>
      </w:pPr>
      <w:rPr>
        <w:rFonts w:ascii="Wingdings 3" w:hAnsi="Wingdings 3" w:cs="Wingdings" w:hint="default"/>
        <w:sz w:val="19"/>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6A620246"/>
    <w:multiLevelType w:val="multilevel"/>
    <w:tmpl w:val="2160B50C"/>
    <w:lvl w:ilvl="0">
      <w:start w:val="1"/>
      <w:numFmt w:val="bullet"/>
      <w:lvlText w:val=""/>
      <w:lvlJc w:val="left"/>
      <w:pPr>
        <w:ind w:left="360" w:hanging="360"/>
      </w:pPr>
      <w:rPr>
        <w:rFonts w:ascii="Wingdings" w:hAnsi="Wingdings" w:cs="Times New Roman" w:hint="default"/>
        <w:sz w:val="19"/>
        <w:szCs w:val="20"/>
      </w:rPr>
    </w:lvl>
    <w:lvl w:ilvl="1">
      <w:start w:val="1"/>
      <w:numFmt w:val="bullet"/>
      <w:lvlText w:val=""/>
      <w:lvlJc w:val="left"/>
      <w:pPr>
        <w:ind w:left="720" w:hanging="360"/>
      </w:pPr>
      <w:rPr>
        <w:rFonts w:ascii="Wingdings" w:hAnsi="Wingdings" w:cs="Wingdings" w:hint="default"/>
        <w:sz w:val="17"/>
        <w:szCs w:val="21"/>
      </w:rPr>
    </w:lvl>
    <w:lvl w:ilvl="2">
      <w:start w:val="1"/>
      <w:numFmt w:val="bullet"/>
      <w:lvlText w:val=""/>
      <w:lvlJc w:val="left"/>
      <w:pPr>
        <w:ind w:left="1080" w:hanging="360"/>
      </w:pPr>
      <w:rPr>
        <w:rFonts w:ascii="Wingdings 3" w:hAnsi="Wingdings 3" w:cs="Wingdings" w:hint="default"/>
        <w:sz w:val="19"/>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6A8C59CA"/>
    <w:multiLevelType w:val="multilevel"/>
    <w:tmpl w:val="1262BFE6"/>
    <w:lvl w:ilvl="0">
      <w:start w:val="1"/>
      <w:numFmt w:val="bullet"/>
      <w:lvlText w:val=""/>
      <w:lvlJc w:val="left"/>
      <w:pPr>
        <w:ind w:left="360" w:hanging="360"/>
      </w:pPr>
      <w:rPr>
        <w:rFonts w:ascii="Wingdings" w:hAnsi="Wingdings" w:cs="Wingdings" w:hint="default"/>
        <w:sz w:val="19"/>
        <w:szCs w:val="20"/>
      </w:rPr>
    </w:lvl>
    <w:lvl w:ilvl="1">
      <w:start w:val="1"/>
      <w:numFmt w:val="bullet"/>
      <w:lvlRestart w:val="0"/>
      <w:lvlText w:val=""/>
      <w:lvlJc w:val="left"/>
      <w:pPr>
        <w:ind w:left="720" w:hanging="360"/>
      </w:pPr>
      <w:rPr>
        <w:rFonts w:ascii="Wingdings" w:hAnsi="Wingdings" w:cs="Wingdings" w:hint="default"/>
        <w:sz w:val="19"/>
        <w:szCs w:val="21"/>
      </w:rPr>
    </w:lvl>
    <w:lvl w:ilvl="2">
      <w:start w:val="1"/>
      <w:numFmt w:val="bullet"/>
      <w:lvlText w:val=""/>
      <w:lvlJc w:val="left"/>
      <w:pPr>
        <w:ind w:left="1080" w:hanging="360"/>
      </w:pPr>
      <w:rPr>
        <w:rFonts w:ascii="Wingdings 3" w:hAnsi="Wingdings 3" w:cs="Wingdings" w:hint="default"/>
        <w:sz w:val="19"/>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6AAF12D6"/>
    <w:multiLevelType w:val="multilevel"/>
    <w:tmpl w:val="1F9C0798"/>
    <w:lvl w:ilvl="0">
      <w:start w:val="1"/>
      <w:numFmt w:val="decimal"/>
      <w:lvlText w:val="%1."/>
      <w:lvlJc w:val="left"/>
      <w:pPr>
        <w:ind w:left="360" w:hanging="360"/>
      </w:pPr>
      <w:rPr>
        <w:rFonts w:hint="default"/>
        <w:sz w:val="24"/>
        <w:szCs w:val="20"/>
      </w:rPr>
    </w:lvl>
    <w:lvl w:ilvl="1">
      <w:start w:val="1"/>
      <w:numFmt w:val="bullet"/>
      <w:lvlText w:val=""/>
      <w:lvlJc w:val="left"/>
      <w:pPr>
        <w:ind w:left="720" w:hanging="360"/>
      </w:pPr>
      <w:rPr>
        <w:rFonts w:ascii="Wingdings 3" w:hAnsi="Wingdings 3" w:cs="Times New Roman" w:hint="default"/>
        <w:sz w:val="21"/>
        <w:szCs w:val="20"/>
      </w:rPr>
    </w:lvl>
    <w:lvl w:ilvl="2">
      <w:start w:val="1"/>
      <w:numFmt w:val="bullet"/>
      <w:lvlRestart w:val="0"/>
      <w:lvlText w:val=""/>
      <w:lvlJc w:val="left"/>
      <w:pPr>
        <w:ind w:left="1008" w:hanging="288"/>
      </w:pPr>
      <w:rPr>
        <w:rFonts w:ascii="Wingdings" w:hAnsi="Wingdings" w:cs="Times New Roman" w:hint="default"/>
        <w:sz w:val="20"/>
        <w:szCs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6B613B34"/>
    <w:multiLevelType w:val="multilevel"/>
    <w:tmpl w:val="5A6E8180"/>
    <w:lvl w:ilvl="0">
      <w:start w:val="1"/>
      <w:numFmt w:val="decimal"/>
      <w:lvlText w:val="%1."/>
      <w:lvlJc w:val="left"/>
      <w:pPr>
        <w:ind w:left="360" w:hanging="360"/>
      </w:pPr>
      <w:rPr>
        <w:rFonts w:hint="default"/>
        <w:sz w:val="24"/>
        <w:szCs w:val="20"/>
      </w:rPr>
    </w:lvl>
    <w:lvl w:ilvl="1">
      <w:start w:val="1"/>
      <w:numFmt w:val="bullet"/>
      <w:lvlRestart w:val="0"/>
      <w:lvlText w:val=""/>
      <w:lvlJc w:val="left"/>
      <w:pPr>
        <w:ind w:left="720" w:hanging="360"/>
      </w:pPr>
      <w:rPr>
        <w:rFonts w:ascii="Wingdings" w:hAnsi="Wingdings" w:cs="Wingdings" w:hint="default"/>
        <w:sz w:val="19"/>
        <w:szCs w:val="21"/>
      </w:rPr>
    </w:lvl>
    <w:lvl w:ilvl="2">
      <w:start w:val="1"/>
      <w:numFmt w:val="bullet"/>
      <w:lvlRestart w:val="0"/>
      <w:lvlText w:val=""/>
      <w:lvlJc w:val="left"/>
      <w:pPr>
        <w:ind w:left="1080" w:hanging="360"/>
      </w:pPr>
      <w:rPr>
        <w:rFonts w:ascii="Wingdings" w:hAnsi="Wingdings" w:cs="Wingdings" w:hint="default"/>
        <w:sz w:val="16"/>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6B697725"/>
    <w:multiLevelType w:val="multilevel"/>
    <w:tmpl w:val="EA86BC94"/>
    <w:name w:val="Examples List22222222"/>
    <w:lvl w:ilvl="0">
      <w:start w:val="1"/>
      <w:numFmt w:val="decimal"/>
      <w:lvlText w:val="%1."/>
      <w:lvlJc w:val="left"/>
      <w:pPr>
        <w:ind w:left="360" w:hanging="360"/>
      </w:pPr>
      <w:rPr>
        <w:rFonts w:hint="default"/>
        <w:sz w:val="24"/>
        <w:szCs w:val="20"/>
      </w:rPr>
    </w:lvl>
    <w:lvl w:ilvl="1">
      <w:start w:val="1"/>
      <w:numFmt w:val="bullet"/>
      <w:lvlRestart w:val="0"/>
      <w:lvlText w:val=""/>
      <w:lvlJc w:val="left"/>
      <w:pPr>
        <w:ind w:left="720" w:hanging="360"/>
      </w:pPr>
      <w:rPr>
        <w:rFonts w:ascii="Wingdings" w:hAnsi="Wingdings" w:cs="Times New Roman" w:hint="default"/>
        <w:sz w:val="20"/>
        <w:szCs w:val="21"/>
      </w:rPr>
    </w:lvl>
    <w:lvl w:ilvl="2">
      <w:start w:val="1"/>
      <w:numFmt w:val="bullet"/>
      <w:lvlRestart w:val="0"/>
      <w:lvlText w:val=""/>
      <w:lvlJc w:val="left"/>
      <w:pPr>
        <w:ind w:left="1080" w:hanging="360"/>
      </w:pPr>
      <w:rPr>
        <w:rFonts w:ascii="Wingdings" w:hAnsi="Wingdings" w:cs="Wingdings" w:hint="default"/>
        <w:sz w:val="16"/>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6C4A1DDE"/>
    <w:multiLevelType w:val="multilevel"/>
    <w:tmpl w:val="1F9C0798"/>
    <w:lvl w:ilvl="0">
      <w:start w:val="1"/>
      <w:numFmt w:val="decimal"/>
      <w:lvlText w:val="%1."/>
      <w:lvlJc w:val="left"/>
      <w:pPr>
        <w:ind w:left="360" w:hanging="360"/>
      </w:pPr>
      <w:rPr>
        <w:rFonts w:hint="default"/>
        <w:sz w:val="24"/>
        <w:szCs w:val="20"/>
      </w:rPr>
    </w:lvl>
    <w:lvl w:ilvl="1">
      <w:start w:val="1"/>
      <w:numFmt w:val="bullet"/>
      <w:lvlText w:val=""/>
      <w:lvlJc w:val="left"/>
      <w:pPr>
        <w:ind w:left="720" w:hanging="360"/>
      </w:pPr>
      <w:rPr>
        <w:rFonts w:ascii="Wingdings 3" w:hAnsi="Wingdings 3" w:cs="Times New Roman" w:hint="default"/>
        <w:sz w:val="21"/>
        <w:szCs w:val="20"/>
      </w:rPr>
    </w:lvl>
    <w:lvl w:ilvl="2">
      <w:start w:val="1"/>
      <w:numFmt w:val="bullet"/>
      <w:lvlRestart w:val="0"/>
      <w:lvlText w:val=""/>
      <w:lvlJc w:val="left"/>
      <w:pPr>
        <w:ind w:left="1008" w:hanging="288"/>
      </w:pPr>
      <w:rPr>
        <w:rFonts w:ascii="Wingdings" w:hAnsi="Wingdings" w:cs="Times New Roman" w:hint="default"/>
        <w:sz w:val="20"/>
        <w:szCs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6C78073D"/>
    <w:multiLevelType w:val="multilevel"/>
    <w:tmpl w:val="2160B50C"/>
    <w:lvl w:ilvl="0">
      <w:start w:val="1"/>
      <w:numFmt w:val="bullet"/>
      <w:lvlText w:val=""/>
      <w:lvlJc w:val="left"/>
      <w:pPr>
        <w:ind w:left="360" w:hanging="360"/>
      </w:pPr>
      <w:rPr>
        <w:rFonts w:ascii="Wingdings" w:hAnsi="Wingdings" w:cs="Times New Roman" w:hint="default"/>
        <w:sz w:val="19"/>
        <w:szCs w:val="20"/>
      </w:rPr>
    </w:lvl>
    <w:lvl w:ilvl="1">
      <w:start w:val="1"/>
      <w:numFmt w:val="bullet"/>
      <w:lvlText w:val=""/>
      <w:lvlJc w:val="left"/>
      <w:pPr>
        <w:ind w:left="720" w:hanging="360"/>
      </w:pPr>
      <w:rPr>
        <w:rFonts w:ascii="Wingdings" w:hAnsi="Wingdings" w:cs="Wingdings" w:hint="default"/>
        <w:sz w:val="17"/>
        <w:szCs w:val="21"/>
      </w:rPr>
    </w:lvl>
    <w:lvl w:ilvl="2">
      <w:start w:val="1"/>
      <w:numFmt w:val="bullet"/>
      <w:lvlText w:val=""/>
      <w:lvlJc w:val="left"/>
      <w:pPr>
        <w:ind w:left="1080" w:hanging="360"/>
      </w:pPr>
      <w:rPr>
        <w:rFonts w:ascii="Wingdings 3" w:hAnsi="Wingdings 3" w:cs="Wingdings" w:hint="default"/>
        <w:sz w:val="19"/>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6CC464ED"/>
    <w:multiLevelType w:val="multilevel"/>
    <w:tmpl w:val="5A6E8180"/>
    <w:lvl w:ilvl="0">
      <w:start w:val="1"/>
      <w:numFmt w:val="decimal"/>
      <w:lvlText w:val="%1."/>
      <w:lvlJc w:val="left"/>
      <w:pPr>
        <w:ind w:left="360" w:hanging="360"/>
      </w:pPr>
      <w:rPr>
        <w:rFonts w:hint="default"/>
        <w:sz w:val="24"/>
        <w:szCs w:val="20"/>
      </w:rPr>
    </w:lvl>
    <w:lvl w:ilvl="1">
      <w:start w:val="1"/>
      <w:numFmt w:val="bullet"/>
      <w:lvlRestart w:val="0"/>
      <w:lvlText w:val=""/>
      <w:lvlJc w:val="left"/>
      <w:pPr>
        <w:ind w:left="720" w:hanging="360"/>
      </w:pPr>
      <w:rPr>
        <w:rFonts w:ascii="Wingdings" w:hAnsi="Wingdings" w:cs="Wingdings" w:hint="default"/>
        <w:sz w:val="19"/>
        <w:szCs w:val="21"/>
      </w:rPr>
    </w:lvl>
    <w:lvl w:ilvl="2">
      <w:start w:val="1"/>
      <w:numFmt w:val="bullet"/>
      <w:lvlRestart w:val="0"/>
      <w:lvlText w:val=""/>
      <w:lvlJc w:val="left"/>
      <w:pPr>
        <w:ind w:left="1080" w:hanging="360"/>
      </w:pPr>
      <w:rPr>
        <w:rFonts w:ascii="Wingdings" w:hAnsi="Wingdings" w:cs="Wingdings" w:hint="default"/>
        <w:sz w:val="16"/>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6D465683"/>
    <w:multiLevelType w:val="multilevel"/>
    <w:tmpl w:val="1F9C0798"/>
    <w:lvl w:ilvl="0">
      <w:start w:val="1"/>
      <w:numFmt w:val="decimal"/>
      <w:lvlText w:val="%1."/>
      <w:lvlJc w:val="left"/>
      <w:pPr>
        <w:ind w:left="360" w:hanging="360"/>
      </w:pPr>
      <w:rPr>
        <w:rFonts w:hint="default"/>
        <w:sz w:val="24"/>
        <w:szCs w:val="20"/>
      </w:rPr>
    </w:lvl>
    <w:lvl w:ilvl="1">
      <w:start w:val="1"/>
      <w:numFmt w:val="bullet"/>
      <w:lvlText w:val=""/>
      <w:lvlJc w:val="left"/>
      <w:pPr>
        <w:ind w:left="720" w:hanging="360"/>
      </w:pPr>
      <w:rPr>
        <w:rFonts w:ascii="Wingdings 3" w:hAnsi="Wingdings 3" w:cs="Times New Roman" w:hint="default"/>
        <w:sz w:val="21"/>
        <w:szCs w:val="20"/>
      </w:rPr>
    </w:lvl>
    <w:lvl w:ilvl="2">
      <w:start w:val="1"/>
      <w:numFmt w:val="bullet"/>
      <w:lvlRestart w:val="0"/>
      <w:lvlText w:val=""/>
      <w:lvlJc w:val="left"/>
      <w:pPr>
        <w:ind w:left="1008" w:hanging="288"/>
      </w:pPr>
      <w:rPr>
        <w:rFonts w:ascii="Wingdings" w:hAnsi="Wingdings" w:cs="Times New Roman" w:hint="default"/>
        <w:sz w:val="20"/>
        <w:szCs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6DB163CB"/>
    <w:multiLevelType w:val="hybridMultilevel"/>
    <w:tmpl w:val="68CE425C"/>
    <w:lvl w:ilvl="0" w:tplc="3ED03986">
      <w:start w:val="1"/>
      <w:numFmt w:val="lowerLetter"/>
      <w:lvlText w:val="%1)"/>
      <w:lvlJc w:val="left"/>
      <w:pPr>
        <w:ind w:left="720" w:hanging="360"/>
      </w:pPr>
    </w:lvl>
    <w:lvl w:ilvl="1" w:tplc="2474E0B4" w:tentative="1">
      <w:start w:val="1"/>
      <w:numFmt w:val="lowerLetter"/>
      <w:lvlText w:val="%2."/>
      <w:lvlJc w:val="left"/>
      <w:pPr>
        <w:ind w:left="1440" w:hanging="360"/>
      </w:pPr>
    </w:lvl>
    <w:lvl w:ilvl="2" w:tplc="0B0E6CD8" w:tentative="1">
      <w:start w:val="1"/>
      <w:numFmt w:val="lowerRoman"/>
      <w:lvlText w:val="%3."/>
      <w:lvlJc w:val="right"/>
      <w:pPr>
        <w:ind w:left="2160" w:hanging="180"/>
      </w:pPr>
    </w:lvl>
    <w:lvl w:ilvl="3" w:tplc="36B8A132" w:tentative="1">
      <w:start w:val="1"/>
      <w:numFmt w:val="decimal"/>
      <w:lvlText w:val="%4."/>
      <w:lvlJc w:val="left"/>
      <w:pPr>
        <w:ind w:left="2880" w:hanging="360"/>
      </w:pPr>
    </w:lvl>
    <w:lvl w:ilvl="4" w:tplc="6DC48CB8" w:tentative="1">
      <w:start w:val="1"/>
      <w:numFmt w:val="lowerLetter"/>
      <w:lvlText w:val="%5."/>
      <w:lvlJc w:val="left"/>
      <w:pPr>
        <w:ind w:left="3600" w:hanging="360"/>
      </w:pPr>
    </w:lvl>
    <w:lvl w:ilvl="5" w:tplc="F2228318" w:tentative="1">
      <w:start w:val="1"/>
      <w:numFmt w:val="lowerRoman"/>
      <w:lvlText w:val="%6."/>
      <w:lvlJc w:val="right"/>
      <w:pPr>
        <w:ind w:left="4320" w:hanging="180"/>
      </w:pPr>
    </w:lvl>
    <w:lvl w:ilvl="6" w:tplc="D6F88A40" w:tentative="1">
      <w:start w:val="1"/>
      <w:numFmt w:val="decimal"/>
      <w:lvlText w:val="%7."/>
      <w:lvlJc w:val="left"/>
      <w:pPr>
        <w:ind w:left="5040" w:hanging="360"/>
      </w:pPr>
    </w:lvl>
    <w:lvl w:ilvl="7" w:tplc="1CC2BF6E" w:tentative="1">
      <w:start w:val="1"/>
      <w:numFmt w:val="lowerLetter"/>
      <w:lvlText w:val="%8."/>
      <w:lvlJc w:val="left"/>
      <w:pPr>
        <w:ind w:left="5760" w:hanging="360"/>
      </w:pPr>
    </w:lvl>
    <w:lvl w:ilvl="8" w:tplc="5D7E483C" w:tentative="1">
      <w:start w:val="1"/>
      <w:numFmt w:val="lowerRoman"/>
      <w:lvlText w:val="%9."/>
      <w:lvlJc w:val="right"/>
      <w:pPr>
        <w:ind w:left="6480" w:hanging="180"/>
      </w:pPr>
    </w:lvl>
  </w:abstractNum>
  <w:abstractNum w:abstractNumId="151" w15:restartNumberingAfterBreak="0">
    <w:nsid w:val="6F431FF0"/>
    <w:multiLevelType w:val="multilevel"/>
    <w:tmpl w:val="EB18C090"/>
    <w:name w:val="Bullet Number Bullet III22"/>
    <w:lvl w:ilvl="0">
      <w:start w:val="1"/>
      <w:numFmt w:val="bullet"/>
      <w:lvlText w:val=""/>
      <w:lvlJc w:val="left"/>
      <w:pPr>
        <w:ind w:left="720" w:hanging="360"/>
      </w:pPr>
      <w:rPr>
        <w:rFonts w:ascii="Wingdings 3" w:hAnsi="Wingdings 3" w:cs="Wingdings 3" w:hint="default"/>
        <w:sz w:val="20"/>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3" w:hAnsi="Wingdings 3" w:hint="default"/>
        <w:sz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2" w15:restartNumberingAfterBreak="0">
    <w:nsid w:val="6F6710CD"/>
    <w:multiLevelType w:val="hybridMultilevel"/>
    <w:tmpl w:val="95160710"/>
    <w:lvl w:ilvl="0" w:tplc="99FAB4C8">
      <w:start w:val="1"/>
      <w:numFmt w:val="bullet"/>
      <w:lvlText w:val=""/>
      <w:lvlJc w:val="left"/>
      <w:pPr>
        <w:ind w:left="180" w:hanging="360"/>
      </w:pPr>
      <w:rPr>
        <w:rFonts w:ascii="Wingdings" w:hAnsi="Wingdings" w:cs="Wingdings" w:hint="default"/>
        <w:sz w:val="19"/>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53" w15:restartNumberingAfterBreak="0">
    <w:nsid w:val="6F903137"/>
    <w:multiLevelType w:val="hybridMultilevel"/>
    <w:tmpl w:val="123865A6"/>
    <w:name w:val="Examples List22222222"/>
    <w:lvl w:ilvl="0" w:tplc="8900659E">
      <w:start w:val="1"/>
      <w:numFmt w:val="bullet"/>
      <w:lvlText w:val=""/>
      <w:lvlJc w:val="left"/>
      <w:pPr>
        <w:ind w:left="1350" w:hanging="360"/>
      </w:pPr>
      <w:rPr>
        <w:rFonts w:ascii="Wingdings 3" w:hAnsi="Wingdings 3"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54" w15:restartNumberingAfterBreak="0">
    <w:nsid w:val="70327DD2"/>
    <w:multiLevelType w:val="hybridMultilevel"/>
    <w:tmpl w:val="6AC699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1C15913"/>
    <w:multiLevelType w:val="multilevel"/>
    <w:tmpl w:val="7A46556E"/>
    <w:name w:val="Examples List222222"/>
    <w:lvl w:ilvl="0">
      <w:start w:val="1"/>
      <w:numFmt w:val="bullet"/>
      <w:lvlText w:val=""/>
      <w:lvlJc w:val="left"/>
      <w:pPr>
        <w:ind w:left="360" w:hanging="360"/>
      </w:pPr>
      <w:rPr>
        <w:rFonts w:ascii="Wingdings" w:hAnsi="Wingdings" w:cs="Wingdings" w:hint="default"/>
        <w:sz w:val="19"/>
        <w:szCs w:val="20"/>
      </w:rPr>
    </w:lvl>
    <w:lvl w:ilvl="1">
      <w:start w:val="1"/>
      <w:numFmt w:val="bullet"/>
      <w:lvlRestart w:val="0"/>
      <w:lvlText w:val=""/>
      <w:lvlJc w:val="left"/>
      <w:pPr>
        <w:ind w:left="720" w:hanging="360"/>
      </w:pPr>
      <w:rPr>
        <w:rFonts w:ascii="Wingdings" w:hAnsi="Wingdings" w:cs="Times New Roman" w:hint="default"/>
        <w:sz w:val="20"/>
        <w:szCs w:val="21"/>
      </w:rPr>
    </w:lvl>
    <w:lvl w:ilvl="2">
      <w:start w:val="1"/>
      <w:numFmt w:val="bullet"/>
      <w:lvlRestart w:val="0"/>
      <w:lvlText w:val=""/>
      <w:lvlJc w:val="left"/>
      <w:pPr>
        <w:ind w:left="1080" w:hanging="360"/>
      </w:pPr>
      <w:rPr>
        <w:rFonts w:ascii="Wingdings" w:hAnsi="Wingdings" w:cs="Wingdings" w:hint="default"/>
        <w:sz w:val="16"/>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6" w15:restartNumberingAfterBreak="0">
    <w:nsid w:val="724D3432"/>
    <w:multiLevelType w:val="multilevel"/>
    <w:tmpl w:val="1F9C0798"/>
    <w:lvl w:ilvl="0">
      <w:start w:val="1"/>
      <w:numFmt w:val="decimal"/>
      <w:lvlText w:val="%1."/>
      <w:lvlJc w:val="left"/>
      <w:pPr>
        <w:ind w:left="360" w:hanging="360"/>
      </w:pPr>
      <w:rPr>
        <w:rFonts w:hint="default"/>
        <w:sz w:val="24"/>
        <w:szCs w:val="20"/>
      </w:rPr>
    </w:lvl>
    <w:lvl w:ilvl="1">
      <w:start w:val="1"/>
      <w:numFmt w:val="bullet"/>
      <w:lvlText w:val=""/>
      <w:lvlJc w:val="left"/>
      <w:pPr>
        <w:ind w:left="720" w:hanging="360"/>
      </w:pPr>
      <w:rPr>
        <w:rFonts w:ascii="Wingdings 3" w:hAnsi="Wingdings 3" w:cs="Times New Roman" w:hint="default"/>
        <w:sz w:val="21"/>
        <w:szCs w:val="20"/>
      </w:rPr>
    </w:lvl>
    <w:lvl w:ilvl="2">
      <w:start w:val="1"/>
      <w:numFmt w:val="bullet"/>
      <w:lvlRestart w:val="0"/>
      <w:lvlText w:val=""/>
      <w:lvlJc w:val="left"/>
      <w:pPr>
        <w:ind w:left="1008" w:hanging="288"/>
      </w:pPr>
      <w:rPr>
        <w:rFonts w:ascii="Wingdings" w:hAnsi="Wingdings" w:cs="Times New Roman" w:hint="default"/>
        <w:sz w:val="20"/>
        <w:szCs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7" w15:restartNumberingAfterBreak="0">
    <w:nsid w:val="72F567A8"/>
    <w:multiLevelType w:val="multilevel"/>
    <w:tmpl w:val="138C465A"/>
    <w:lvl w:ilvl="0">
      <w:start w:val="1"/>
      <w:numFmt w:val="decimal"/>
      <w:lvlText w:val="%1."/>
      <w:lvlJc w:val="left"/>
      <w:pPr>
        <w:ind w:left="360" w:hanging="360"/>
      </w:pPr>
      <w:rPr>
        <w:rFonts w:hint="default"/>
        <w:sz w:val="24"/>
        <w:szCs w:val="20"/>
      </w:rPr>
    </w:lvl>
    <w:lvl w:ilvl="1">
      <w:start w:val="1"/>
      <w:numFmt w:val="bullet"/>
      <w:lvlRestart w:val="0"/>
      <w:lvlText w:val=""/>
      <w:lvlJc w:val="left"/>
      <w:pPr>
        <w:ind w:left="720" w:hanging="360"/>
      </w:pPr>
      <w:rPr>
        <w:rFonts w:ascii="Wingdings 3" w:hAnsi="Wingdings 3" w:cs="Times New Roman" w:hint="default"/>
        <w:szCs w:val="20"/>
      </w:rPr>
    </w:lvl>
    <w:lvl w:ilvl="2">
      <w:start w:val="1"/>
      <w:numFmt w:val="bullet"/>
      <w:lvlRestart w:val="0"/>
      <w:lvlText w:val=""/>
      <w:lvlJc w:val="left"/>
      <w:pPr>
        <w:ind w:left="1008" w:hanging="288"/>
      </w:pPr>
      <w:rPr>
        <w:rFonts w:ascii="Wingdings" w:hAnsi="Wingdings" w:cs="Times New Roman" w:hint="default"/>
        <w:sz w:val="20"/>
        <w:szCs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8" w15:restartNumberingAfterBreak="0">
    <w:nsid w:val="73C644C3"/>
    <w:multiLevelType w:val="multilevel"/>
    <w:tmpl w:val="5A6E8180"/>
    <w:lvl w:ilvl="0">
      <w:start w:val="1"/>
      <w:numFmt w:val="decimal"/>
      <w:lvlText w:val="%1."/>
      <w:lvlJc w:val="left"/>
      <w:pPr>
        <w:ind w:left="360" w:hanging="360"/>
      </w:pPr>
      <w:rPr>
        <w:rFonts w:hint="default"/>
        <w:sz w:val="24"/>
        <w:szCs w:val="20"/>
      </w:rPr>
    </w:lvl>
    <w:lvl w:ilvl="1">
      <w:start w:val="1"/>
      <w:numFmt w:val="bullet"/>
      <w:lvlRestart w:val="0"/>
      <w:lvlText w:val=""/>
      <w:lvlJc w:val="left"/>
      <w:pPr>
        <w:ind w:left="720" w:hanging="360"/>
      </w:pPr>
      <w:rPr>
        <w:rFonts w:ascii="Wingdings" w:hAnsi="Wingdings" w:cs="Wingdings" w:hint="default"/>
        <w:sz w:val="19"/>
        <w:szCs w:val="21"/>
      </w:rPr>
    </w:lvl>
    <w:lvl w:ilvl="2">
      <w:start w:val="1"/>
      <w:numFmt w:val="bullet"/>
      <w:lvlRestart w:val="0"/>
      <w:lvlText w:val=""/>
      <w:lvlJc w:val="left"/>
      <w:pPr>
        <w:ind w:left="1080" w:hanging="360"/>
      </w:pPr>
      <w:rPr>
        <w:rFonts w:ascii="Wingdings" w:hAnsi="Wingdings" w:cs="Wingdings" w:hint="default"/>
        <w:sz w:val="16"/>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9" w15:restartNumberingAfterBreak="0">
    <w:nsid w:val="753D6859"/>
    <w:multiLevelType w:val="multilevel"/>
    <w:tmpl w:val="2160B50C"/>
    <w:lvl w:ilvl="0">
      <w:start w:val="1"/>
      <w:numFmt w:val="bullet"/>
      <w:lvlText w:val=""/>
      <w:lvlJc w:val="left"/>
      <w:pPr>
        <w:ind w:left="360" w:hanging="360"/>
      </w:pPr>
      <w:rPr>
        <w:rFonts w:ascii="Wingdings" w:hAnsi="Wingdings" w:cs="Times New Roman" w:hint="default"/>
        <w:sz w:val="19"/>
        <w:szCs w:val="20"/>
      </w:rPr>
    </w:lvl>
    <w:lvl w:ilvl="1">
      <w:start w:val="1"/>
      <w:numFmt w:val="bullet"/>
      <w:lvlText w:val=""/>
      <w:lvlJc w:val="left"/>
      <w:pPr>
        <w:ind w:left="720" w:hanging="360"/>
      </w:pPr>
      <w:rPr>
        <w:rFonts w:ascii="Wingdings" w:hAnsi="Wingdings" w:cs="Wingdings" w:hint="default"/>
        <w:sz w:val="17"/>
        <w:szCs w:val="21"/>
      </w:rPr>
    </w:lvl>
    <w:lvl w:ilvl="2">
      <w:start w:val="1"/>
      <w:numFmt w:val="bullet"/>
      <w:lvlText w:val=""/>
      <w:lvlJc w:val="left"/>
      <w:pPr>
        <w:ind w:left="1080" w:hanging="360"/>
      </w:pPr>
      <w:rPr>
        <w:rFonts w:ascii="Wingdings 3" w:hAnsi="Wingdings 3" w:cs="Wingdings" w:hint="default"/>
        <w:sz w:val="19"/>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0" w15:restartNumberingAfterBreak="0">
    <w:nsid w:val="76EA52D6"/>
    <w:multiLevelType w:val="multilevel"/>
    <w:tmpl w:val="5A6E8180"/>
    <w:lvl w:ilvl="0">
      <w:start w:val="1"/>
      <w:numFmt w:val="decimal"/>
      <w:lvlText w:val="%1."/>
      <w:lvlJc w:val="left"/>
      <w:pPr>
        <w:ind w:left="360" w:hanging="360"/>
      </w:pPr>
      <w:rPr>
        <w:rFonts w:hint="default"/>
        <w:sz w:val="24"/>
        <w:szCs w:val="20"/>
      </w:rPr>
    </w:lvl>
    <w:lvl w:ilvl="1">
      <w:start w:val="1"/>
      <w:numFmt w:val="bullet"/>
      <w:lvlRestart w:val="0"/>
      <w:lvlText w:val=""/>
      <w:lvlJc w:val="left"/>
      <w:pPr>
        <w:ind w:left="720" w:hanging="360"/>
      </w:pPr>
      <w:rPr>
        <w:rFonts w:ascii="Wingdings" w:hAnsi="Wingdings" w:cs="Wingdings" w:hint="default"/>
        <w:sz w:val="19"/>
        <w:szCs w:val="21"/>
      </w:rPr>
    </w:lvl>
    <w:lvl w:ilvl="2">
      <w:start w:val="1"/>
      <w:numFmt w:val="bullet"/>
      <w:lvlRestart w:val="0"/>
      <w:lvlText w:val=""/>
      <w:lvlJc w:val="left"/>
      <w:pPr>
        <w:ind w:left="1080" w:hanging="360"/>
      </w:pPr>
      <w:rPr>
        <w:rFonts w:ascii="Wingdings" w:hAnsi="Wingdings" w:cs="Wingdings" w:hint="default"/>
        <w:sz w:val="16"/>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1" w15:restartNumberingAfterBreak="0">
    <w:nsid w:val="777342AF"/>
    <w:multiLevelType w:val="multilevel"/>
    <w:tmpl w:val="D1E6F5E8"/>
    <w:lvl w:ilvl="0">
      <w:start w:val="1"/>
      <w:numFmt w:val="bullet"/>
      <w:lvlText w:val=""/>
      <w:lvlJc w:val="left"/>
      <w:pPr>
        <w:ind w:left="360" w:hanging="360"/>
      </w:pPr>
      <w:rPr>
        <w:rFonts w:ascii="Wingdings" w:hAnsi="Wingdings" w:cs="Wingdings" w:hint="default"/>
        <w:sz w:val="19"/>
        <w:szCs w:val="20"/>
      </w:rPr>
    </w:lvl>
    <w:lvl w:ilvl="1">
      <w:start w:val="1"/>
      <w:numFmt w:val="bullet"/>
      <w:lvlRestart w:val="0"/>
      <w:lvlText w:val=""/>
      <w:lvlJc w:val="left"/>
      <w:pPr>
        <w:ind w:left="720" w:hanging="360"/>
      </w:pPr>
      <w:rPr>
        <w:rFonts w:ascii="Wingdings" w:hAnsi="Wingdings" w:cs="Wingdings" w:hint="default"/>
        <w:sz w:val="19"/>
        <w:szCs w:val="21"/>
      </w:rPr>
    </w:lvl>
    <w:lvl w:ilvl="2">
      <w:start w:val="1"/>
      <w:numFmt w:val="bullet"/>
      <w:lvlText w:val=""/>
      <w:lvlJc w:val="left"/>
      <w:pPr>
        <w:ind w:left="1080" w:hanging="360"/>
      </w:pPr>
      <w:rPr>
        <w:rFonts w:ascii="Wingdings 3" w:hAnsi="Wingdings 3" w:cs="Wingdings" w:hint="default"/>
        <w:sz w:val="19"/>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2" w15:restartNumberingAfterBreak="0">
    <w:nsid w:val="778B73B6"/>
    <w:multiLevelType w:val="multilevel"/>
    <w:tmpl w:val="2160B50C"/>
    <w:lvl w:ilvl="0">
      <w:start w:val="1"/>
      <w:numFmt w:val="bullet"/>
      <w:lvlText w:val=""/>
      <w:lvlJc w:val="left"/>
      <w:pPr>
        <w:ind w:left="360" w:hanging="360"/>
      </w:pPr>
      <w:rPr>
        <w:rFonts w:ascii="Wingdings" w:hAnsi="Wingdings" w:cs="Times New Roman" w:hint="default"/>
        <w:sz w:val="19"/>
        <w:szCs w:val="20"/>
      </w:rPr>
    </w:lvl>
    <w:lvl w:ilvl="1">
      <w:start w:val="1"/>
      <w:numFmt w:val="bullet"/>
      <w:lvlText w:val=""/>
      <w:lvlJc w:val="left"/>
      <w:pPr>
        <w:ind w:left="720" w:hanging="360"/>
      </w:pPr>
      <w:rPr>
        <w:rFonts w:ascii="Wingdings" w:hAnsi="Wingdings" w:cs="Wingdings" w:hint="default"/>
        <w:sz w:val="17"/>
        <w:szCs w:val="21"/>
      </w:rPr>
    </w:lvl>
    <w:lvl w:ilvl="2">
      <w:start w:val="1"/>
      <w:numFmt w:val="bullet"/>
      <w:lvlText w:val=""/>
      <w:lvlJc w:val="left"/>
      <w:pPr>
        <w:ind w:left="1080" w:hanging="360"/>
      </w:pPr>
      <w:rPr>
        <w:rFonts w:ascii="Wingdings 3" w:hAnsi="Wingdings 3" w:cs="Wingdings" w:hint="default"/>
        <w:sz w:val="19"/>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3" w15:restartNumberingAfterBreak="0">
    <w:nsid w:val="78064837"/>
    <w:multiLevelType w:val="multilevel"/>
    <w:tmpl w:val="009CCDC6"/>
    <w:lvl w:ilvl="0">
      <w:start w:val="1"/>
      <w:numFmt w:val="decimal"/>
      <w:lvlText w:val="%1."/>
      <w:lvlJc w:val="left"/>
      <w:pPr>
        <w:ind w:left="360" w:hanging="360"/>
      </w:pPr>
      <w:rPr>
        <w:rFonts w:hint="default"/>
        <w:sz w:val="24"/>
        <w:szCs w:val="20"/>
      </w:rPr>
    </w:lvl>
    <w:lvl w:ilvl="1">
      <w:start w:val="1"/>
      <w:numFmt w:val="bullet"/>
      <w:lvlRestart w:val="0"/>
      <w:lvlText w:val=""/>
      <w:lvlJc w:val="left"/>
      <w:pPr>
        <w:ind w:left="720" w:hanging="360"/>
      </w:pPr>
      <w:rPr>
        <w:rFonts w:ascii="Wingdings" w:hAnsi="Wingdings" w:cs="Wingdings" w:hint="default"/>
        <w:sz w:val="19"/>
        <w:szCs w:val="21"/>
      </w:rPr>
    </w:lvl>
    <w:lvl w:ilvl="2">
      <w:start w:val="1"/>
      <w:numFmt w:val="bullet"/>
      <w:lvlText w:val=""/>
      <w:lvlJc w:val="left"/>
      <w:pPr>
        <w:ind w:left="1080" w:hanging="360"/>
      </w:pPr>
      <w:rPr>
        <w:rFonts w:ascii="Wingdings 3" w:hAnsi="Wingdings 3" w:cs="Wingdings 3" w:hint="default"/>
        <w:sz w:val="16"/>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4" w15:restartNumberingAfterBreak="0">
    <w:nsid w:val="7A7C27B0"/>
    <w:multiLevelType w:val="multilevel"/>
    <w:tmpl w:val="9BFA3C24"/>
    <w:lvl w:ilvl="0">
      <w:start w:val="1"/>
      <w:numFmt w:val="bullet"/>
      <w:lvlText w:val=""/>
      <w:lvlJc w:val="left"/>
      <w:pPr>
        <w:ind w:left="720" w:hanging="360"/>
      </w:pPr>
      <w:rPr>
        <w:rFonts w:ascii="Wingdings" w:hAnsi="Wingdings" w:cs="Wingdings" w:hint="default"/>
        <w:sz w:val="19"/>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65" w15:restartNumberingAfterBreak="0">
    <w:nsid w:val="7AF43AD5"/>
    <w:multiLevelType w:val="multilevel"/>
    <w:tmpl w:val="1F9C0798"/>
    <w:lvl w:ilvl="0">
      <w:start w:val="1"/>
      <w:numFmt w:val="decimal"/>
      <w:lvlText w:val="%1."/>
      <w:lvlJc w:val="left"/>
      <w:pPr>
        <w:ind w:left="360" w:hanging="360"/>
      </w:pPr>
      <w:rPr>
        <w:rFonts w:hint="default"/>
        <w:sz w:val="24"/>
        <w:szCs w:val="20"/>
      </w:rPr>
    </w:lvl>
    <w:lvl w:ilvl="1">
      <w:start w:val="1"/>
      <w:numFmt w:val="bullet"/>
      <w:lvlText w:val=""/>
      <w:lvlJc w:val="left"/>
      <w:pPr>
        <w:ind w:left="720" w:hanging="360"/>
      </w:pPr>
      <w:rPr>
        <w:rFonts w:ascii="Wingdings 3" w:hAnsi="Wingdings 3" w:cs="Times New Roman" w:hint="default"/>
        <w:sz w:val="21"/>
        <w:szCs w:val="20"/>
      </w:rPr>
    </w:lvl>
    <w:lvl w:ilvl="2">
      <w:start w:val="1"/>
      <w:numFmt w:val="bullet"/>
      <w:lvlRestart w:val="0"/>
      <w:lvlText w:val=""/>
      <w:lvlJc w:val="left"/>
      <w:pPr>
        <w:ind w:left="1008" w:hanging="288"/>
      </w:pPr>
      <w:rPr>
        <w:rFonts w:ascii="Wingdings" w:hAnsi="Wingdings" w:cs="Times New Roman" w:hint="default"/>
        <w:sz w:val="20"/>
        <w:szCs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6" w15:restartNumberingAfterBreak="0">
    <w:nsid w:val="7BFB2FA3"/>
    <w:multiLevelType w:val="multilevel"/>
    <w:tmpl w:val="1F9C0798"/>
    <w:lvl w:ilvl="0">
      <w:start w:val="1"/>
      <w:numFmt w:val="decimal"/>
      <w:lvlText w:val="%1."/>
      <w:lvlJc w:val="left"/>
      <w:pPr>
        <w:ind w:left="360" w:hanging="360"/>
      </w:pPr>
      <w:rPr>
        <w:rFonts w:hint="default"/>
        <w:sz w:val="24"/>
        <w:szCs w:val="20"/>
      </w:rPr>
    </w:lvl>
    <w:lvl w:ilvl="1">
      <w:start w:val="1"/>
      <w:numFmt w:val="bullet"/>
      <w:lvlText w:val=""/>
      <w:lvlJc w:val="left"/>
      <w:pPr>
        <w:ind w:left="720" w:hanging="360"/>
      </w:pPr>
      <w:rPr>
        <w:rFonts w:ascii="Wingdings 3" w:hAnsi="Wingdings 3" w:cs="Times New Roman" w:hint="default"/>
        <w:sz w:val="21"/>
        <w:szCs w:val="20"/>
      </w:rPr>
    </w:lvl>
    <w:lvl w:ilvl="2">
      <w:start w:val="1"/>
      <w:numFmt w:val="bullet"/>
      <w:lvlRestart w:val="0"/>
      <w:lvlText w:val=""/>
      <w:lvlJc w:val="left"/>
      <w:pPr>
        <w:ind w:left="1008" w:hanging="288"/>
      </w:pPr>
      <w:rPr>
        <w:rFonts w:ascii="Wingdings" w:hAnsi="Wingdings" w:cs="Times New Roman" w:hint="default"/>
        <w:sz w:val="20"/>
        <w:szCs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7" w15:restartNumberingAfterBreak="0">
    <w:nsid w:val="7C657CF7"/>
    <w:multiLevelType w:val="multilevel"/>
    <w:tmpl w:val="2160B50C"/>
    <w:lvl w:ilvl="0">
      <w:start w:val="1"/>
      <w:numFmt w:val="bullet"/>
      <w:lvlText w:val=""/>
      <w:lvlJc w:val="left"/>
      <w:pPr>
        <w:ind w:left="360" w:hanging="360"/>
      </w:pPr>
      <w:rPr>
        <w:rFonts w:ascii="Wingdings" w:hAnsi="Wingdings" w:cs="Times New Roman" w:hint="default"/>
        <w:sz w:val="19"/>
        <w:szCs w:val="20"/>
      </w:rPr>
    </w:lvl>
    <w:lvl w:ilvl="1">
      <w:start w:val="1"/>
      <w:numFmt w:val="bullet"/>
      <w:lvlText w:val=""/>
      <w:lvlJc w:val="left"/>
      <w:pPr>
        <w:ind w:left="720" w:hanging="360"/>
      </w:pPr>
      <w:rPr>
        <w:rFonts w:ascii="Wingdings" w:hAnsi="Wingdings" w:cs="Wingdings" w:hint="default"/>
        <w:sz w:val="17"/>
        <w:szCs w:val="21"/>
      </w:rPr>
    </w:lvl>
    <w:lvl w:ilvl="2">
      <w:start w:val="1"/>
      <w:numFmt w:val="bullet"/>
      <w:lvlText w:val=""/>
      <w:lvlJc w:val="left"/>
      <w:pPr>
        <w:ind w:left="1080" w:hanging="360"/>
      </w:pPr>
      <w:rPr>
        <w:rFonts w:ascii="Wingdings 3" w:hAnsi="Wingdings 3" w:cs="Wingdings" w:hint="default"/>
        <w:sz w:val="19"/>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8" w15:restartNumberingAfterBreak="0">
    <w:nsid w:val="7E3F7EB3"/>
    <w:multiLevelType w:val="multilevel"/>
    <w:tmpl w:val="5A6E8180"/>
    <w:lvl w:ilvl="0">
      <w:start w:val="1"/>
      <w:numFmt w:val="decimal"/>
      <w:lvlText w:val="%1."/>
      <w:lvlJc w:val="left"/>
      <w:pPr>
        <w:ind w:left="360" w:hanging="360"/>
      </w:pPr>
      <w:rPr>
        <w:rFonts w:hint="default"/>
        <w:sz w:val="24"/>
        <w:szCs w:val="20"/>
      </w:rPr>
    </w:lvl>
    <w:lvl w:ilvl="1">
      <w:start w:val="1"/>
      <w:numFmt w:val="bullet"/>
      <w:lvlRestart w:val="0"/>
      <w:lvlText w:val=""/>
      <w:lvlJc w:val="left"/>
      <w:pPr>
        <w:ind w:left="720" w:hanging="360"/>
      </w:pPr>
      <w:rPr>
        <w:rFonts w:ascii="Wingdings" w:hAnsi="Wingdings" w:cs="Wingdings" w:hint="default"/>
        <w:sz w:val="19"/>
        <w:szCs w:val="21"/>
      </w:rPr>
    </w:lvl>
    <w:lvl w:ilvl="2">
      <w:start w:val="1"/>
      <w:numFmt w:val="bullet"/>
      <w:lvlRestart w:val="0"/>
      <w:lvlText w:val=""/>
      <w:lvlJc w:val="left"/>
      <w:pPr>
        <w:ind w:left="1080" w:hanging="360"/>
      </w:pPr>
      <w:rPr>
        <w:rFonts w:ascii="Wingdings" w:hAnsi="Wingdings" w:cs="Wingdings" w:hint="default"/>
        <w:sz w:val="16"/>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9" w15:restartNumberingAfterBreak="0">
    <w:nsid w:val="7EB005E6"/>
    <w:multiLevelType w:val="multilevel"/>
    <w:tmpl w:val="83D28D70"/>
    <w:name w:val="Bullet Number Bullet II"/>
    <w:lvl w:ilvl="0">
      <w:start w:val="1"/>
      <w:numFmt w:val="bullet"/>
      <w:lvlText w:val=""/>
      <w:lvlJc w:val="left"/>
      <w:pPr>
        <w:ind w:left="720" w:hanging="360"/>
      </w:pPr>
      <w:rPr>
        <w:rFonts w:ascii="Wingdings" w:hAnsi="Wingdings" w:cs="Times New Roman" w:hint="default"/>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3" w:hAnsi="Wingdings 3" w:cs="Wingdings 3" w:hint="default"/>
        <w:sz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0" w15:restartNumberingAfterBreak="0">
    <w:nsid w:val="7F1944F2"/>
    <w:multiLevelType w:val="hybridMultilevel"/>
    <w:tmpl w:val="CBDEBA10"/>
    <w:lvl w:ilvl="0" w:tplc="A046262C">
      <w:start w:val="1"/>
      <w:numFmt w:val="decimal"/>
      <w:lvlText w:val="%1."/>
      <w:lvlJc w:val="left"/>
      <w:pPr>
        <w:ind w:left="360" w:hanging="360"/>
      </w:pPr>
    </w:lvl>
    <w:lvl w:ilvl="1" w:tplc="B9F22ABA">
      <w:start w:val="1"/>
      <w:numFmt w:val="lowerLetter"/>
      <w:lvlText w:val="%2."/>
      <w:lvlJc w:val="left"/>
      <w:pPr>
        <w:ind w:left="1080" w:hanging="360"/>
      </w:pPr>
    </w:lvl>
    <w:lvl w:ilvl="2" w:tplc="A09CF6EA" w:tentative="1">
      <w:start w:val="1"/>
      <w:numFmt w:val="lowerRoman"/>
      <w:lvlText w:val="%3."/>
      <w:lvlJc w:val="right"/>
      <w:pPr>
        <w:ind w:left="1800" w:hanging="180"/>
      </w:pPr>
    </w:lvl>
    <w:lvl w:ilvl="3" w:tplc="3712161A" w:tentative="1">
      <w:start w:val="1"/>
      <w:numFmt w:val="decimal"/>
      <w:lvlText w:val="%4."/>
      <w:lvlJc w:val="left"/>
      <w:pPr>
        <w:ind w:left="2520" w:hanging="360"/>
      </w:pPr>
    </w:lvl>
    <w:lvl w:ilvl="4" w:tplc="6C905652" w:tentative="1">
      <w:start w:val="1"/>
      <w:numFmt w:val="lowerLetter"/>
      <w:lvlText w:val="%5."/>
      <w:lvlJc w:val="left"/>
      <w:pPr>
        <w:ind w:left="3240" w:hanging="360"/>
      </w:pPr>
    </w:lvl>
    <w:lvl w:ilvl="5" w:tplc="E55223A2" w:tentative="1">
      <w:start w:val="1"/>
      <w:numFmt w:val="lowerRoman"/>
      <w:lvlText w:val="%6."/>
      <w:lvlJc w:val="right"/>
      <w:pPr>
        <w:ind w:left="3960" w:hanging="180"/>
      </w:pPr>
    </w:lvl>
    <w:lvl w:ilvl="6" w:tplc="71F648BE" w:tentative="1">
      <w:start w:val="1"/>
      <w:numFmt w:val="decimal"/>
      <w:lvlText w:val="%7."/>
      <w:lvlJc w:val="left"/>
      <w:pPr>
        <w:ind w:left="4680" w:hanging="360"/>
      </w:pPr>
    </w:lvl>
    <w:lvl w:ilvl="7" w:tplc="2276682E" w:tentative="1">
      <w:start w:val="1"/>
      <w:numFmt w:val="lowerLetter"/>
      <w:lvlText w:val="%8."/>
      <w:lvlJc w:val="left"/>
      <w:pPr>
        <w:ind w:left="5400" w:hanging="360"/>
      </w:pPr>
    </w:lvl>
    <w:lvl w:ilvl="8" w:tplc="3C0629EC" w:tentative="1">
      <w:start w:val="1"/>
      <w:numFmt w:val="lowerRoman"/>
      <w:lvlText w:val="%9."/>
      <w:lvlJc w:val="right"/>
      <w:pPr>
        <w:ind w:left="6120" w:hanging="180"/>
      </w:pPr>
    </w:lvl>
  </w:abstractNum>
  <w:abstractNum w:abstractNumId="171" w15:restartNumberingAfterBreak="0">
    <w:nsid w:val="7F496A00"/>
    <w:multiLevelType w:val="multilevel"/>
    <w:tmpl w:val="2772AA20"/>
    <w:lvl w:ilvl="0">
      <w:start w:val="1"/>
      <w:numFmt w:val="bullet"/>
      <w:lvlText w:val=""/>
      <w:lvlJc w:val="left"/>
      <w:pPr>
        <w:ind w:left="360" w:hanging="360"/>
      </w:pPr>
      <w:rPr>
        <w:rFonts w:ascii="Wingdings" w:hAnsi="Wingdings" w:cs="Wingdings" w:hint="default"/>
        <w:sz w:val="19"/>
        <w:szCs w:val="20"/>
      </w:rPr>
    </w:lvl>
    <w:lvl w:ilvl="1">
      <w:start w:val="1"/>
      <w:numFmt w:val="bullet"/>
      <w:lvlRestart w:val="0"/>
      <w:lvlText w:val=""/>
      <w:lvlJc w:val="left"/>
      <w:pPr>
        <w:ind w:left="720" w:hanging="360"/>
      </w:pPr>
      <w:rPr>
        <w:rFonts w:ascii="Wingdings" w:hAnsi="Wingdings" w:cs="Wingdings" w:hint="default"/>
        <w:sz w:val="19"/>
        <w:szCs w:val="21"/>
      </w:rPr>
    </w:lvl>
    <w:lvl w:ilvl="2">
      <w:start w:val="1"/>
      <w:numFmt w:val="bullet"/>
      <w:lvlText w:val=""/>
      <w:lvlJc w:val="left"/>
      <w:pPr>
        <w:ind w:left="1080" w:hanging="360"/>
      </w:pPr>
      <w:rPr>
        <w:rFonts w:ascii="Wingdings 3" w:hAnsi="Wingdings 3" w:cs="Wingdings" w:hint="default"/>
        <w:sz w:val="19"/>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2" w15:restartNumberingAfterBreak="0">
    <w:nsid w:val="7FF243A8"/>
    <w:multiLevelType w:val="multilevel"/>
    <w:tmpl w:val="5A6E8180"/>
    <w:lvl w:ilvl="0">
      <w:start w:val="1"/>
      <w:numFmt w:val="decimal"/>
      <w:lvlText w:val="%1."/>
      <w:lvlJc w:val="left"/>
      <w:pPr>
        <w:ind w:left="360" w:hanging="360"/>
      </w:pPr>
      <w:rPr>
        <w:rFonts w:hint="default"/>
        <w:sz w:val="24"/>
        <w:szCs w:val="20"/>
      </w:rPr>
    </w:lvl>
    <w:lvl w:ilvl="1">
      <w:start w:val="1"/>
      <w:numFmt w:val="bullet"/>
      <w:lvlRestart w:val="0"/>
      <w:lvlText w:val=""/>
      <w:lvlJc w:val="left"/>
      <w:pPr>
        <w:ind w:left="720" w:hanging="360"/>
      </w:pPr>
      <w:rPr>
        <w:rFonts w:ascii="Wingdings" w:hAnsi="Wingdings" w:cs="Wingdings" w:hint="default"/>
        <w:sz w:val="19"/>
        <w:szCs w:val="21"/>
      </w:rPr>
    </w:lvl>
    <w:lvl w:ilvl="2">
      <w:start w:val="1"/>
      <w:numFmt w:val="bullet"/>
      <w:lvlRestart w:val="0"/>
      <w:lvlText w:val=""/>
      <w:lvlJc w:val="left"/>
      <w:pPr>
        <w:ind w:left="1080" w:hanging="360"/>
      </w:pPr>
      <w:rPr>
        <w:rFonts w:ascii="Wingdings" w:hAnsi="Wingdings" w:cs="Wingdings" w:hint="default"/>
        <w:sz w:val="16"/>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6"/>
  </w:num>
  <w:num w:numId="2">
    <w:abstractNumId w:val="48"/>
    <w:lvlOverride w:ilvl="0">
      <w:lvl w:ilvl="0">
        <w:start w:val="1"/>
        <w:numFmt w:val="decimal"/>
        <w:lvlText w:val="%1."/>
        <w:lvlJc w:val="left"/>
        <w:pPr>
          <w:ind w:left="360" w:hanging="360"/>
        </w:pPr>
        <w:rPr>
          <w:rFonts w:hint="default"/>
          <w:sz w:val="24"/>
          <w:szCs w:val="20"/>
        </w:rPr>
      </w:lvl>
    </w:lvlOverride>
    <w:lvlOverride w:ilvl="1">
      <w:lvl w:ilvl="1">
        <w:start w:val="1"/>
        <w:numFmt w:val="bullet"/>
        <w:lvlRestart w:val="0"/>
        <w:lvlText w:val=""/>
        <w:lvlJc w:val="left"/>
        <w:pPr>
          <w:ind w:left="720" w:hanging="360"/>
        </w:pPr>
        <w:rPr>
          <w:rFonts w:ascii="Wingdings" w:hAnsi="Wingdings" w:cs="Wingdings" w:hint="default"/>
          <w:sz w:val="19"/>
          <w:szCs w:val="21"/>
        </w:rPr>
      </w:lvl>
    </w:lvlOverride>
    <w:lvlOverride w:ilvl="2">
      <w:lvl w:ilvl="2">
        <w:start w:val="1"/>
        <w:numFmt w:val="bullet"/>
        <w:lvlRestart w:val="0"/>
        <w:lvlText w:val=""/>
        <w:lvlJc w:val="left"/>
        <w:pPr>
          <w:ind w:left="1080" w:hanging="360"/>
        </w:pPr>
        <w:rPr>
          <w:rFonts w:ascii="Wingdings" w:hAnsi="Wingdings" w:cs="Wingdings" w:hint="default"/>
          <w:sz w:val="16"/>
          <w:szCs w:val="20"/>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
    <w:abstractNumId w:val="93"/>
  </w:num>
  <w:num w:numId="4">
    <w:abstractNumId w:val="150"/>
  </w:num>
  <w:num w:numId="5">
    <w:abstractNumId w:val="15"/>
  </w:num>
  <w:num w:numId="6">
    <w:abstractNumId w:val="126"/>
  </w:num>
  <w:num w:numId="7">
    <w:abstractNumId w:val="133"/>
  </w:num>
  <w:num w:numId="8">
    <w:abstractNumId w:val="170"/>
  </w:num>
  <w:num w:numId="9">
    <w:abstractNumId w:val="18"/>
  </w:num>
  <w:num w:numId="10">
    <w:abstractNumId w:val="84"/>
  </w:num>
  <w:num w:numId="11">
    <w:abstractNumId w:val="80"/>
  </w:num>
  <w:num w:numId="12">
    <w:abstractNumId w:val="17"/>
  </w:num>
  <w:num w:numId="13">
    <w:abstractNumId w:val="83"/>
  </w:num>
  <w:num w:numId="14">
    <w:abstractNumId w:val="51"/>
  </w:num>
  <w:num w:numId="15">
    <w:abstractNumId w:val="97"/>
  </w:num>
  <w:num w:numId="16">
    <w:abstractNumId w:val="110"/>
  </w:num>
  <w:num w:numId="17">
    <w:abstractNumId w:val="41"/>
  </w:num>
  <w:num w:numId="18">
    <w:abstractNumId w:val="172"/>
  </w:num>
  <w:num w:numId="19">
    <w:abstractNumId w:val="114"/>
  </w:num>
  <w:num w:numId="20">
    <w:abstractNumId w:val="24"/>
  </w:num>
  <w:num w:numId="21">
    <w:abstractNumId w:val="9"/>
  </w:num>
  <w:num w:numId="22">
    <w:abstractNumId w:val="147"/>
  </w:num>
  <w:num w:numId="23">
    <w:abstractNumId w:val="157"/>
  </w:num>
  <w:num w:numId="24">
    <w:abstractNumId w:val="136"/>
  </w:num>
  <w:num w:numId="25">
    <w:abstractNumId w:val="35"/>
  </w:num>
  <w:num w:numId="26">
    <w:abstractNumId w:val="68"/>
  </w:num>
  <w:num w:numId="27">
    <w:abstractNumId w:val="111"/>
  </w:num>
  <w:num w:numId="28">
    <w:abstractNumId w:val="109"/>
  </w:num>
  <w:num w:numId="29">
    <w:abstractNumId w:val="115"/>
  </w:num>
  <w:num w:numId="30">
    <w:abstractNumId w:val="118"/>
  </w:num>
  <w:num w:numId="31">
    <w:abstractNumId w:val="155"/>
  </w:num>
  <w:num w:numId="32">
    <w:abstractNumId w:val="36"/>
  </w:num>
  <w:num w:numId="33">
    <w:abstractNumId w:val="153"/>
  </w:num>
  <w:num w:numId="34">
    <w:abstractNumId w:val="145"/>
  </w:num>
  <w:num w:numId="35">
    <w:abstractNumId w:val="72"/>
  </w:num>
  <w:num w:numId="36">
    <w:abstractNumId w:val="171"/>
  </w:num>
  <w:num w:numId="37">
    <w:abstractNumId w:val="128"/>
  </w:num>
  <w:num w:numId="38">
    <w:abstractNumId w:val="161"/>
  </w:num>
  <w:num w:numId="39">
    <w:abstractNumId w:val="20"/>
  </w:num>
  <w:num w:numId="40">
    <w:abstractNumId w:val="142"/>
  </w:num>
  <w:num w:numId="41">
    <w:abstractNumId w:val="32"/>
  </w:num>
  <w:num w:numId="42">
    <w:abstractNumId w:val="44"/>
  </w:num>
  <w:num w:numId="43">
    <w:abstractNumId w:val="164"/>
  </w:num>
  <w:num w:numId="44">
    <w:abstractNumId w:val="138"/>
  </w:num>
  <w:num w:numId="45">
    <w:abstractNumId w:val="149"/>
  </w:num>
  <w:num w:numId="46">
    <w:abstractNumId w:val="122"/>
  </w:num>
  <w:num w:numId="47">
    <w:abstractNumId w:val="25"/>
  </w:num>
  <w:num w:numId="48">
    <w:abstractNumId w:val="60"/>
  </w:num>
  <w:num w:numId="49">
    <w:abstractNumId w:val="55"/>
  </w:num>
  <w:num w:numId="50">
    <w:abstractNumId w:val="113"/>
  </w:num>
  <w:num w:numId="51">
    <w:abstractNumId w:val="45"/>
  </w:num>
  <w:num w:numId="52">
    <w:abstractNumId w:val="135"/>
  </w:num>
  <w:num w:numId="53">
    <w:abstractNumId w:val="71"/>
  </w:num>
  <w:num w:numId="54">
    <w:abstractNumId w:val="158"/>
  </w:num>
  <w:num w:numId="55">
    <w:abstractNumId w:val="144"/>
  </w:num>
  <w:num w:numId="56">
    <w:abstractNumId w:val="73"/>
  </w:num>
  <w:num w:numId="57">
    <w:abstractNumId w:val="79"/>
  </w:num>
  <w:num w:numId="58">
    <w:abstractNumId w:val="105"/>
  </w:num>
  <w:num w:numId="59">
    <w:abstractNumId w:val="11"/>
  </w:num>
  <w:num w:numId="60">
    <w:abstractNumId w:val="26"/>
  </w:num>
  <w:num w:numId="61">
    <w:abstractNumId w:val="163"/>
  </w:num>
  <w:num w:numId="62">
    <w:abstractNumId w:val="58"/>
  </w:num>
  <w:num w:numId="63">
    <w:abstractNumId w:val="31"/>
  </w:num>
  <w:num w:numId="64">
    <w:abstractNumId w:val="13"/>
  </w:num>
  <w:num w:numId="65">
    <w:abstractNumId w:val="33"/>
  </w:num>
  <w:num w:numId="66">
    <w:abstractNumId w:val="104"/>
  </w:num>
  <w:num w:numId="67">
    <w:abstractNumId w:val="152"/>
  </w:num>
  <w:num w:numId="68">
    <w:abstractNumId w:val="124"/>
  </w:num>
  <w:num w:numId="69">
    <w:abstractNumId w:val="43"/>
  </w:num>
  <w:num w:numId="70">
    <w:abstractNumId w:val="66"/>
  </w:num>
  <w:num w:numId="71">
    <w:abstractNumId w:val="148"/>
  </w:num>
  <w:num w:numId="72">
    <w:abstractNumId w:val="103"/>
  </w:num>
  <w:num w:numId="73">
    <w:abstractNumId w:val="141"/>
  </w:num>
  <w:num w:numId="74">
    <w:abstractNumId w:val="21"/>
  </w:num>
  <w:num w:numId="75">
    <w:abstractNumId w:val="12"/>
  </w:num>
  <w:num w:numId="76">
    <w:abstractNumId w:val="40"/>
  </w:num>
  <w:num w:numId="77">
    <w:abstractNumId w:val="120"/>
  </w:num>
  <w:num w:numId="78">
    <w:abstractNumId w:val="131"/>
  </w:num>
  <w:num w:numId="79">
    <w:abstractNumId w:val="76"/>
  </w:num>
  <w:num w:numId="80">
    <w:abstractNumId w:val="10"/>
  </w:num>
  <w:num w:numId="81">
    <w:abstractNumId w:val="96"/>
  </w:num>
  <w:num w:numId="82">
    <w:abstractNumId w:val="156"/>
  </w:num>
  <w:num w:numId="83">
    <w:abstractNumId w:val="129"/>
  </w:num>
  <w:num w:numId="84">
    <w:abstractNumId w:val="38"/>
  </w:num>
  <w:num w:numId="85">
    <w:abstractNumId w:val="160"/>
  </w:num>
  <w:num w:numId="86">
    <w:abstractNumId w:val="19"/>
  </w:num>
  <w:num w:numId="87">
    <w:abstractNumId w:val="159"/>
  </w:num>
  <w:num w:numId="88">
    <w:abstractNumId w:val="95"/>
  </w:num>
  <w:num w:numId="89">
    <w:abstractNumId w:val="98"/>
  </w:num>
  <w:num w:numId="90">
    <w:abstractNumId w:val="54"/>
  </w:num>
  <w:num w:numId="91">
    <w:abstractNumId w:val="121"/>
  </w:num>
  <w:num w:numId="92">
    <w:abstractNumId w:val="130"/>
  </w:num>
  <w:num w:numId="93">
    <w:abstractNumId w:val="106"/>
  </w:num>
  <w:num w:numId="94">
    <w:abstractNumId w:val="154"/>
  </w:num>
  <w:num w:numId="95">
    <w:abstractNumId w:val="63"/>
  </w:num>
  <w:num w:numId="96">
    <w:abstractNumId w:val="30"/>
  </w:num>
  <w:num w:numId="97">
    <w:abstractNumId w:val="62"/>
  </w:num>
  <w:num w:numId="98">
    <w:abstractNumId w:val="59"/>
  </w:num>
  <w:num w:numId="99">
    <w:abstractNumId w:val="139"/>
  </w:num>
  <w:num w:numId="100">
    <w:abstractNumId w:val="82"/>
  </w:num>
  <w:num w:numId="101">
    <w:abstractNumId w:val="42"/>
  </w:num>
  <w:num w:numId="102">
    <w:abstractNumId w:val="37"/>
  </w:num>
  <w:num w:numId="103">
    <w:abstractNumId w:val="108"/>
  </w:num>
  <w:num w:numId="104">
    <w:abstractNumId w:val="27"/>
  </w:num>
  <w:num w:numId="105">
    <w:abstractNumId w:val="123"/>
  </w:num>
  <w:num w:numId="106">
    <w:abstractNumId w:val="119"/>
  </w:num>
  <w:num w:numId="107">
    <w:abstractNumId w:val="92"/>
  </w:num>
  <w:num w:numId="108">
    <w:abstractNumId w:val="61"/>
  </w:num>
  <w:num w:numId="109">
    <w:abstractNumId w:val="166"/>
  </w:num>
  <w:num w:numId="110">
    <w:abstractNumId w:val="69"/>
  </w:num>
  <w:num w:numId="111">
    <w:abstractNumId w:val="85"/>
  </w:num>
  <w:num w:numId="112">
    <w:abstractNumId w:val="75"/>
  </w:num>
  <w:num w:numId="113">
    <w:abstractNumId w:val="165"/>
  </w:num>
  <w:num w:numId="114">
    <w:abstractNumId w:val="146"/>
  </w:num>
  <w:num w:numId="115">
    <w:abstractNumId w:val="78"/>
  </w:num>
  <w:num w:numId="116">
    <w:abstractNumId w:val="127"/>
  </w:num>
  <w:num w:numId="117">
    <w:abstractNumId w:val="22"/>
  </w:num>
  <w:num w:numId="118">
    <w:abstractNumId w:val="132"/>
  </w:num>
  <w:num w:numId="119">
    <w:abstractNumId w:val="47"/>
  </w:num>
  <w:num w:numId="120">
    <w:abstractNumId w:val="112"/>
  </w:num>
  <w:num w:numId="121">
    <w:abstractNumId w:val="134"/>
  </w:num>
  <w:num w:numId="122">
    <w:abstractNumId w:val="34"/>
  </w:num>
  <w:num w:numId="123">
    <w:abstractNumId w:val="140"/>
  </w:num>
  <w:num w:numId="124">
    <w:abstractNumId w:val="49"/>
  </w:num>
  <w:num w:numId="125">
    <w:abstractNumId w:val="101"/>
  </w:num>
  <w:num w:numId="126">
    <w:abstractNumId w:val="70"/>
  </w:num>
  <w:num w:numId="127">
    <w:abstractNumId w:val="90"/>
  </w:num>
  <w:num w:numId="128">
    <w:abstractNumId w:val="29"/>
  </w:num>
  <w:num w:numId="129">
    <w:abstractNumId w:val="143"/>
  </w:num>
  <w:num w:numId="130">
    <w:abstractNumId w:val="81"/>
  </w:num>
  <w:num w:numId="131">
    <w:abstractNumId w:val="168"/>
  </w:num>
  <w:num w:numId="132">
    <w:abstractNumId w:val="94"/>
  </w:num>
  <w:num w:numId="133">
    <w:abstractNumId w:val="52"/>
  </w:num>
  <w:num w:numId="134">
    <w:abstractNumId w:val="89"/>
  </w:num>
  <w:num w:numId="135">
    <w:abstractNumId w:val="162"/>
  </w:num>
  <w:num w:numId="136">
    <w:abstractNumId w:val="167"/>
  </w:num>
  <w:num w:numId="137">
    <w:abstractNumId w:val="107"/>
  </w:num>
  <w:num w:numId="138">
    <w:abstractNumId w:val="86"/>
  </w:num>
  <w:num w:numId="139">
    <w:abstractNumId w:val="53"/>
  </w:num>
  <w:num w:numId="140">
    <w:abstractNumId w:val="16"/>
  </w:num>
  <w:num w:numId="141">
    <w:abstractNumId w:val="50"/>
  </w:num>
  <w:num w:numId="142">
    <w:abstractNumId w:val="57"/>
  </w:num>
  <w:num w:numId="143">
    <w:abstractNumId w:val="67"/>
  </w:num>
  <w:num w:numId="144">
    <w:abstractNumId w:val="87"/>
  </w:num>
  <w:num w:numId="145">
    <w:abstractNumId w:val="39"/>
  </w:num>
  <w:num w:numId="146">
    <w:abstractNumId w:val="23"/>
  </w:num>
  <w:num w:numId="147">
    <w:abstractNumId w:val="0"/>
  </w:num>
  <w:num w:numId="148">
    <w:abstractNumId w:val="1"/>
  </w:num>
  <w:num w:numId="149">
    <w:abstractNumId w:val="2"/>
  </w:num>
  <w:num w:numId="150">
    <w:abstractNumId w:val="3"/>
  </w:num>
  <w:num w:numId="151">
    <w:abstractNumId w:val="8"/>
  </w:num>
  <w:num w:numId="152">
    <w:abstractNumId w:val="4"/>
  </w:num>
  <w:num w:numId="153">
    <w:abstractNumId w:val="5"/>
  </w:num>
  <w:num w:numId="154">
    <w:abstractNumId w:val="6"/>
  </w:num>
  <w:num w:numId="155">
    <w:abstractNumId w:val="7"/>
  </w:num>
  <w:num w:numId="156">
    <w:abstractNumId w:val="88"/>
  </w:num>
  <w:num w:numId="157">
    <w:abstractNumId w:val="100"/>
  </w:num>
  <w:num w:numId="158">
    <w:abstractNumId w:val="64"/>
  </w:num>
  <w:num w:numId="159">
    <w:abstractNumId w:val="117"/>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CIXUIbUpj4ni5+SR+i/LtzqxsgWLTzMJDxHisUDpPstWtflJ+cA2q0pi2psP9HkwtdBTSA4US+Dqyago6vYwbQ==" w:salt="NgcEfUv4FXXmCBs1Yret8g=="/>
  <w:defaultTabStop w:val="720"/>
  <w:characterSpacingControl w:val="doNotCompress"/>
  <w:hdrShapeDefaults>
    <o:shapedefaults v:ext="edit" spidmax="2049"/>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DF9"/>
    <w:rsid w:val="00000AB5"/>
    <w:rsid w:val="00000B36"/>
    <w:rsid w:val="00006AA9"/>
    <w:rsid w:val="00006AF8"/>
    <w:rsid w:val="00006BE6"/>
    <w:rsid w:val="00010C80"/>
    <w:rsid w:val="000115E5"/>
    <w:rsid w:val="00011970"/>
    <w:rsid w:val="00015171"/>
    <w:rsid w:val="00015E32"/>
    <w:rsid w:val="00020452"/>
    <w:rsid w:val="000235B0"/>
    <w:rsid w:val="00023F7F"/>
    <w:rsid w:val="00024E2F"/>
    <w:rsid w:val="00026C56"/>
    <w:rsid w:val="00030AA1"/>
    <w:rsid w:val="00033312"/>
    <w:rsid w:val="000334CD"/>
    <w:rsid w:val="000340A9"/>
    <w:rsid w:val="0003520C"/>
    <w:rsid w:val="00035F9B"/>
    <w:rsid w:val="000415F7"/>
    <w:rsid w:val="00041C72"/>
    <w:rsid w:val="00042B82"/>
    <w:rsid w:val="00044652"/>
    <w:rsid w:val="00052020"/>
    <w:rsid w:val="00052B5C"/>
    <w:rsid w:val="00052BBE"/>
    <w:rsid w:val="00057356"/>
    <w:rsid w:val="00057B1C"/>
    <w:rsid w:val="000603B5"/>
    <w:rsid w:val="00061311"/>
    <w:rsid w:val="0006231A"/>
    <w:rsid w:val="00062BAC"/>
    <w:rsid w:val="00064014"/>
    <w:rsid w:val="0006613D"/>
    <w:rsid w:val="000670A4"/>
    <w:rsid w:val="000674A1"/>
    <w:rsid w:val="00071E30"/>
    <w:rsid w:val="00072F68"/>
    <w:rsid w:val="00073B97"/>
    <w:rsid w:val="00074728"/>
    <w:rsid w:val="0007627F"/>
    <w:rsid w:val="0008133F"/>
    <w:rsid w:val="00082961"/>
    <w:rsid w:val="00085C0A"/>
    <w:rsid w:val="00087B0F"/>
    <w:rsid w:val="00087CCD"/>
    <w:rsid w:val="00091C9B"/>
    <w:rsid w:val="00091C9E"/>
    <w:rsid w:val="00092AD2"/>
    <w:rsid w:val="000932E6"/>
    <w:rsid w:val="00095B5A"/>
    <w:rsid w:val="000A0A69"/>
    <w:rsid w:val="000A113F"/>
    <w:rsid w:val="000A13DC"/>
    <w:rsid w:val="000A1661"/>
    <w:rsid w:val="000A5194"/>
    <w:rsid w:val="000A5EC5"/>
    <w:rsid w:val="000B1C08"/>
    <w:rsid w:val="000B39E5"/>
    <w:rsid w:val="000B4D75"/>
    <w:rsid w:val="000B66FE"/>
    <w:rsid w:val="000B6F4C"/>
    <w:rsid w:val="000B7452"/>
    <w:rsid w:val="000B7EDC"/>
    <w:rsid w:val="000C2F9A"/>
    <w:rsid w:val="000C390A"/>
    <w:rsid w:val="000C4448"/>
    <w:rsid w:val="000C4D76"/>
    <w:rsid w:val="000C6B9A"/>
    <w:rsid w:val="000D2346"/>
    <w:rsid w:val="000D251E"/>
    <w:rsid w:val="000D4663"/>
    <w:rsid w:val="000D525E"/>
    <w:rsid w:val="000D6BA0"/>
    <w:rsid w:val="000E13B9"/>
    <w:rsid w:val="000E167C"/>
    <w:rsid w:val="000E27F1"/>
    <w:rsid w:val="000E28C8"/>
    <w:rsid w:val="000E2F2F"/>
    <w:rsid w:val="000E3642"/>
    <w:rsid w:val="000E742B"/>
    <w:rsid w:val="000E7D93"/>
    <w:rsid w:val="000F07AB"/>
    <w:rsid w:val="000F105A"/>
    <w:rsid w:val="000F6C39"/>
    <w:rsid w:val="000F7A65"/>
    <w:rsid w:val="000F7CAF"/>
    <w:rsid w:val="00102445"/>
    <w:rsid w:val="00102F46"/>
    <w:rsid w:val="0011246B"/>
    <w:rsid w:val="00114070"/>
    <w:rsid w:val="00114D96"/>
    <w:rsid w:val="00114EB7"/>
    <w:rsid w:val="00115938"/>
    <w:rsid w:val="00116487"/>
    <w:rsid w:val="00121216"/>
    <w:rsid w:val="00131886"/>
    <w:rsid w:val="00133259"/>
    <w:rsid w:val="0013438C"/>
    <w:rsid w:val="00137456"/>
    <w:rsid w:val="00137B6E"/>
    <w:rsid w:val="0014106C"/>
    <w:rsid w:val="00141536"/>
    <w:rsid w:val="00141F58"/>
    <w:rsid w:val="0014285F"/>
    <w:rsid w:val="00142E06"/>
    <w:rsid w:val="0014419D"/>
    <w:rsid w:val="00152105"/>
    <w:rsid w:val="00152437"/>
    <w:rsid w:val="001538CC"/>
    <w:rsid w:val="00154E78"/>
    <w:rsid w:val="0015702B"/>
    <w:rsid w:val="00161B31"/>
    <w:rsid w:val="0016259A"/>
    <w:rsid w:val="0016304D"/>
    <w:rsid w:val="0016422B"/>
    <w:rsid w:val="00165101"/>
    <w:rsid w:val="00166C0A"/>
    <w:rsid w:val="001714E3"/>
    <w:rsid w:val="00175783"/>
    <w:rsid w:val="00175E54"/>
    <w:rsid w:val="00175EF5"/>
    <w:rsid w:val="00175FDC"/>
    <w:rsid w:val="00177A74"/>
    <w:rsid w:val="00177A8A"/>
    <w:rsid w:val="00177D54"/>
    <w:rsid w:val="00180479"/>
    <w:rsid w:val="0018197A"/>
    <w:rsid w:val="00182940"/>
    <w:rsid w:val="001850E0"/>
    <w:rsid w:val="00186187"/>
    <w:rsid w:val="00186F67"/>
    <w:rsid w:val="00191B25"/>
    <w:rsid w:val="00192C0B"/>
    <w:rsid w:val="001930CB"/>
    <w:rsid w:val="001935C6"/>
    <w:rsid w:val="001949AC"/>
    <w:rsid w:val="001968DC"/>
    <w:rsid w:val="00196956"/>
    <w:rsid w:val="001A0D59"/>
    <w:rsid w:val="001A2518"/>
    <w:rsid w:val="001A3EC1"/>
    <w:rsid w:val="001A4099"/>
    <w:rsid w:val="001B0B2E"/>
    <w:rsid w:val="001B316B"/>
    <w:rsid w:val="001C34D9"/>
    <w:rsid w:val="001C5448"/>
    <w:rsid w:val="001D3DF9"/>
    <w:rsid w:val="001D3E0F"/>
    <w:rsid w:val="001D40F6"/>
    <w:rsid w:val="001E4FAF"/>
    <w:rsid w:val="001E61AE"/>
    <w:rsid w:val="001E762D"/>
    <w:rsid w:val="001F0AC5"/>
    <w:rsid w:val="001F1DE8"/>
    <w:rsid w:val="001F3291"/>
    <w:rsid w:val="001F38FD"/>
    <w:rsid w:val="001F7F81"/>
    <w:rsid w:val="00202679"/>
    <w:rsid w:val="00202866"/>
    <w:rsid w:val="00205C6B"/>
    <w:rsid w:val="00206BE6"/>
    <w:rsid w:val="00210112"/>
    <w:rsid w:val="0021102E"/>
    <w:rsid w:val="00211E23"/>
    <w:rsid w:val="002124CD"/>
    <w:rsid w:val="002145FA"/>
    <w:rsid w:val="002154F8"/>
    <w:rsid w:val="002174FD"/>
    <w:rsid w:val="0022195F"/>
    <w:rsid w:val="002231EE"/>
    <w:rsid w:val="002239A3"/>
    <w:rsid w:val="002239DE"/>
    <w:rsid w:val="00225FD3"/>
    <w:rsid w:val="00227565"/>
    <w:rsid w:val="00227C57"/>
    <w:rsid w:val="002304C9"/>
    <w:rsid w:val="00231EB0"/>
    <w:rsid w:val="002332A2"/>
    <w:rsid w:val="00233FEA"/>
    <w:rsid w:val="0023442F"/>
    <w:rsid w:val="00240E6D"/>
    <w:rsid w:val="0024126B"/>
    <w:rsid w:val="00243BD4"/>
    <w:rsid w:val="00243C97"/>
    <w:rsid w:val="00243CBD"/>
    <w:rsid w:val="002464CA"/>
    <w:rsid w:val="00251DE3"/>
    <w:rsid w:val="00251F04"/>
    <w:rsid w:val="00255A17"/>
    <w:rsid w:val="00260C73"/>
    <w:rsid w:val="00264396"/>
    <w:rsid w:val="00264C86"/>
    <w:rsid w:val="00265B98"/>
    <w:rsid w:val="00266557"/>
    <w:rsid w:val="002724D6"/>
    <w:rsid w:val="002756F3"/>
    <w:rsid w:val="00275CDD"/>
    <w:rsid w:val="00275EFC"/>
    <w:rsid w:val="0027634F"/>
    <w:rsid w:val="002772C9"/>
    <w:rsid w:val="002776AA"/>
    <w:rsid w:val="002778A4"/>
    <w:rsid w:val="00277CD2"/>
    <w:rsid w:val="002802C6"/>
    <w:rsid w:val="002850EF"/>
    <w:rsid w:val="00291E2C"/>
    <w:rsid w:val="00293323"/>
    <w:rsid w:val="00295972"/>
    <w:rsid w:val="002A0627"/>
    <w:rsid w:val="002A0ED7"/>
    <w:rsid w:val="002A11E2"/>
    <w:rsid w:val="002A4C8D"/>
    <w:rsid w:val="002B1A44"/>
    <w:rsid w:val="002B2E95"/>
    <w:rsid w:val="002B2FD5"/>
    <w:rsid w:val="002B341C"/>
    <w:rsid w:val="002B77D9"/>
    <w:rsid w:val="002B7A4E"/>
    <w:rsid w:val="002C0158"/>
    <w:rsid w:val="002C157A"/>
    <w:rsid w:val="002C7600"/>
    <w:rsid w:val="002D2315"/>
    <w:rsid w:val="002D42BF"/>
    <w:rsid w:val="002D48ED"/>
    <w:rsid w:val="002D50B8"/>
    <w:rsid w:val="002D6DE3"/>
    <w:rsid w:val="002E0D00"/>
    <w:rsid w:val="002E15EC"/>
    <w:rsid w:val="002E164B"/>
    <w:rsid w:val="002E278B"/>
    <w:rsid w:val="002E337A"/>
    <w:rsid w:val="002E4652"/>
    <w:rsid w:val="002E7346"/>
    <w:rsid w:val="002F22AD"/>
    <w:rsid w:val="002F42F4"/>
    <w:rsid w:val="002F678F"/>
    <w:rsid w:val="002F7205"/>
    <w:rsid w:val="00302D59"/>
    <w:rsid w:val="00303177"/>
    <w:rsid w:val="003040D7"/>
    <w:rsid w:val="00306DD5"/>
    <w:rsid w:val="00306F2B"/>
    <w:rsid w:val="0031241A"/>
    <w:rsid w:val="0031450C"/>
    <w:rsid w:val="00321F69"/>
    <w:rsid w:val="0032289A"/>
    <w:rsid w:val="003242E9"/>
    <w:rsid w:val="00324A13"/>
    <w:rsid w:val="00331E9C"/>
    <w:rsid w:val="00335BF3"/>
    <w:rsid w:val="003400B0"/>
    <w:rsid w:val="00342B9F"/>
    <w:rsid w:val="00343A3E"/>
    <w:rsid w:val="0034509E"/>
    <w:rsid w:val="003466E1"/>
    <w:rsid w:val="00347054"/>
    <w:rsid w:val="003473CF"/>
    <w:rsid w:val="00347D77"/>
    <w:rsid w:val="00350AF0"/>
    <w:rsid w:val="003529E8"/>
    <w:rsid w:val="00353ED5"/>
    <w:rsid w:val="00356063"/>
    <w:rsid w:val="003634E1"/>
    <w:rsid w:val="00364F87"/>
    <w:rsid w:val="00366665"/>
    <w:rsid w:val="00366B50"/>
    <w:rsid w:val="00366C86"/>
    <w:rsid w:val="00367A2D"/>
    <w:rsid w:val="00367F0A"/>
    <w:rsid w:val="003714CD"/>
    <w:rsid w:val="00375FCA"/>
    <w:rsid w:val="003812DB"/>
    <w:rsid w:val="003817E8"/>
    <w:rsid w:val="00381B2F"/>
    <w:rsid w:val="00382156"/>
    <w:rsid w:val="00382AF3"/>
    <w:rsid w:val="00382DE4"/>
    <w:rsid w:val="0038420E"/>
    <w:rsid w:val="00385596"/>
    <w:rsid w:val="003906F1"/>
    <w:rsid w:val="00392395"/>
    <w:rsid w:val="0039241B"/>
    <w:rsid w:val="0039265E"/>
    <w:rsid w:val="00392B35"/>
    <w:rsid w:val="00392F96"/>
    <w:rsid w:val="003A0C66"/>
    <w:rsid w:val="003A12D5"/>
    <w:rsid w:val="003A2485"/>
    <w:rsid w:val="003A518F"/>
    <w:rsid w:val="003A5224"/>
    <w:rsid w:val="003A7FC8"/>
    <w:rsid w:val="003B035B"/>
    <w:rsid w:val="003B0F67"/>
    <w:rsid w:val="003B24F8"/>
    <w:rsid w:val="003B31DC"/>
    <w:rsid w:val="003B4C1C"/>
    <w:rsid w:val="003B73F0"/>
    <w:rsid w:val="003C257F"/>
    <w:rsid w:val="003C284C"/>
    <w:rsid w:val="003C40CD"/>
    <w:rsid w:val="003C576F"/>
    <w:rsid w:val="003C6133"/>
    <w:rsid w:val="003D62AE"/>
    <w:rsid w:val="003D749F"/>
    <w:rsid w:val="003E44B1"/>
    <w:rsid w:val="003E5DE5"/>
    <w:rsid w:val="003E727A"/>
    <w:rsid w:val="003F0438"/>
    <w:rsid w:val="003F52C6"/>
    <w:rsid w:val="003F63C6"/>
    <w:rsid w:val="003F6A3A"/>
    <w:rsid w:val="00401238"/>
    <w:rsid w:val="00403477"/>
    <w:rsid w:val="00411A5D"/>
    <w:rsid w:val="00411EB3"/>
    <w:rsid w:val="004142BA"/>
    <w:rsid w:val="004143A7"/>
    <w:rsid w:val="00414E33"/>
    <w:rsid w:val="00417440"/>
    <w:rsid w:val="00417BF6"/>
    <w:rsid w:val="00420B03"/>
    <w:rsid w:val="00434807"/>
    <w:rsid w:val="00434FAC"/>
    <w:rsid w:val="00435B2A"/>
    <w:rsid w:val="00436C54"/>
    <w:rsid w:val="00437CF6"/>
    <w:rsid w:val="00445828"/>
    <w:rsid w:val="004458E9"/>
    <w:rsid w:val="00447A50"/>
    <w:rsid w:val="00450246"/>
    <w:rsid w:val="004523B1"/>
    <w:rsid w:val="00455C0D"/>
    <w:rsid w:val="00460B78"/>
    <w:rsid w:val="00460FF2"/>
    <w:rsid w:val="00467EBB"/>
    <w:rsid w:val="004707D5"/>
    <w:rsid w:val="00473B73"/>
    <w:rsid w:val="00474441"/>
    <w:rsid w:val="0047552F"/>
    <w:rsid w:val="004772E6"/>
    <w:rsid w:val="00480593"/>
    <w:rsid w:val="004836FF"/>
    <w:rsid w:val="00486D76"/>
    <w:rsid w:val="00491096"/>
    <w:rsid w:val="00491748"/>
    <w:rsid w:val="0049253C"/>
    <w:rsid w:val="004935B5"/>
    <w:rsid w:val="00493824"/>
    <w:rsid w:val="00495025"/>
    <w:rsid w:val="00497420"/>
    <w:rsid w:val="004A0BDA"/>
    <w:rsid w:val="004A3066"/>
    <w:rsid w:val="004A3C45"/>
    <w:rsid w:val="004A4678"/>
    <w:rsid w:val="004A57E2"/>
    <w:rsid w:val="004A6713"/>
    <w:rsid w:val="004A6940"/>
    <w:rsid w:val="004A6F29"/>
    <w:rsid w:val="004B1B7D"/>
    <w:rsid w:val="004B2ACC"/>
    <w:rsid w:val="004B4499"/>
    <w:rsid w:val="004B4BB2"/>
    <w:rsid w:val="004C09B0"/>
    <w:rsid w:val="004C24B5"/>
    <w:rsid w:val="004C28F7"/>
    <w:rsid w:val="004C53B6"/>
    <w:rsid w:val="004C6669"/>
    <w:rsid w:val="004C7141"/>
    <w:rsid w:val="004C7710"/>
    <w:rsid w:val="004C7889"/>
    <w:rsid w:val="004D1B44"/>
    <w:rsid w:val="004D3006"/>
    <w:rsid w:val="004D4618"/>
    <w:rsid w:val="004D4E77"/>
    <w:rsid w:val="004E29B2"/>
    <w:rsid w:val="004E2A2B"/>
    <w:rsid w:val="004E2A73"/>
    <w:rsid w:val="004E3F71"/>
    <w:rsid w:val="004E4C9C"/>
    <w:rsid w:val="004E4E38"/>
    <w:rsid w:val="004E6423"/>
    <w:rsid w:val="004F20B5"/>
    <w:rsid w:val="004F5FC4"/>
    <w:rsid w:val="004F7E60"/>
    <w:rsid w:val="0050024E"/>
    <w:rsid w:val="00501157"/>
    <w:rsid w:val="00502077"/>
    <w:rsid w:val="00502878"/>
    <w:rsid w:val="00503728"/>
    <w:rsid w:val="005053F8"/>
    <w:rsid w:val="00505A56"/>
    <w:rsid w:val="00506677"/>
    <w:rsid w:val="00507EFA"/>
    <w:rsid w:val="00507FCA"/>
    <w:rsid w:val="0051091C"/>
    <w:rsid w:val="005137BB"/>
    <w:rsid w:val="00514AAC"/>
    <w:rsid w:val="00515E9A"/>
    <w:rsid w:val="00520B51"/>
    <w:rsid w:val="00520F4E"/>
    <w:rsid w:val="0052195B"/>
    <w:rsid w:val="00521D6C"/>
    <w:rsid w:val="00522526"/>
    <w:rsid w:val="0052673E"/>
    <w:rsid w:val="005276C5"/>
    <w:rsid w:val="00531986"/>
    <w:rsid w:val="005326E2"/>
    <w:rsid w:val="00532954"/>
    <w:rsid w:val="00533BC9"/>
    <w:rsid w:val="0053756D"/>
    <w:rsid w:val="00545A88"/>
    <w:rsid w:val="00552F30"/>
    <w:rsid w:val="00553DF8"/>
    <w:rsid w:val="00555712"/>
    <w:rsid w:val="00555A69"/>
    <w:rsid w:val="005616E6"/>
    <w:rsid w:val="00565D3E"/>
    <w:rsid w:val="00565DD1"/>
    <w:rsid w:val="005661A2"/>
    <w:rsid w:val="00567A8E"/>
    <w:rsid w:val="00572758"/>
    <w:rsid w:val="00573119"/>
    <w:rsid w:val="00573521"/>
    <w:rsid w:val="00573C31"/>
    <w:rsid w:val="005746B9"/>
    <w:rsid w:val="00577F33"/>
    <w:rsid w:val="00580167"/>
    <w:rsid w:val="00580728"/>
    <w:rsid w:val="00580898"/>
    <w:rsid w:val="005828E2"/>
    <w:rsid w:val="00585BE0"/>
    <w:rsid w:val="00585DA5"/>
    <w:rsid w:val="00587895"/>
    <w:rsid w:val="00593D1C"/>
    <w:rsid w:val="00595CAB"/>
    <w:rsid w:val="00597627"/>
    <w:rsid w:val="005A02B8"/>
    <w:rsid w:val="005A1E7D"/>
    <w:rsid w:val="005A20BF"/>
    <w:rsid w:val="005A2720"/>
    <w:rsid w:val="005A3291"/>
    <w:rsid w:val="005A6AFF"/>
    <w:rsid w:val="005A75E0"/>
    <w:rsid w:val="005B070C"/>
    <w:rsid w:val="005B0C6B"/>
    <w:rsid w:val="005B1703"/>
    <w:rsid w:val="005B2101"/>
    <w:rsid w:val="005B25D0"/>
    <w:rsid w:val="005B4DCF"/>
    <w:rsid w:val="005B7432"/>
    <w:rsid w:val="005C16C9"/>
    <w:rsid w:val="005C16F9"/>
    <w:rsid w:val="005C258B"/>
    <w:rsid w:val="005C48F5"/>
    <w:rsid w:val="005C6E4C"/>
    <w:rsid w:val="005D0B72"/>
    <w:rsid w:val="005D140E"/>
    <w:rsid w:val="005D1A99"/>
    <w:rsid w:val="005D1FA1"/>
    <w:rsid w:val="005D501D"/>
    <w:rsid w:val="005D729C"/>
    <w:rsid w:val="005E00EF"/>
    <w:rsid w:val="005E00FF"/>
    <w:rsid w:val="005E401F"/>
    <w:rsid w:val="005E42F2"/>
    <w:rsid w:val="005E4518"/>
    <w:rsid w:val="005E473E"/>
    <w:rsid w:val="005E5A76"/>
    <w:rsid w:val="005E64AD"/>
    <w:rsid w:val="005E65FB"/>
    <w:rsid w:val="005E684E"/>
    <w:rsid w:val="005E7C07"/>
    <w:rsid w:val="005F04E9"/>
    <w:rsid w:val="005F0E52"/>
    <w:rsid w:val="005F68E5"/>
    <w:rsid w:val="0060005C"/>
    <w:rsid w:val="00601D29"/>
    <w:rsid w:val="0060474A"/>
    <w:rsid w:val="00604B25"/>
    <w:rsid w:val="00607D40"/>
    <w:rsid w:val="006106CD"/>
    <w:rsid w:val="00610794"/>
    <w:rsid w:val="00610EE5"/>
    <w:rsid w:val="00612ED4"/>
    <w:rsid w:val="006135FF"/>
    <w:rsid w:val="00613676"/>
    <w:rsid w:val="0062112C"/>
    <w:rsid w:val="0062388A"/>
    <w:rsid w:val="006257E3"/>
    <w:rsid w:val="00626B27"/>
    <w:rsid w:val="00626EDA"/>
    <w:rsid w:val="006273F3"/>
    <w:rsid w:val="0063313A"/>
    <w:rsid w:val="0063368C"/>
    <w:rsid w:val="00633D6C"/>
    <w:rsid w:val="00635D09"/>
    <w:rsid w:val="00637C50"/>
    <w:rsid w:val="006404A3"/>
    <w:rsid w:val="006414C6"/>
    <w:rsid w:val="006419F3"/>
    <w:rsid w:val="00645CFA"/>
    <w:rsid w:val="00645D4E"/>
    <w:rsid w:val="00646546"/>
    <w:rsid w:val="00647406"/>
    <w:rsid w:val="00647B2B"/>
    <w:rsid w:val="00651146"/>
    <w:rsid w:val="00651D06"/>
    <w:rsid w:val="00652014"/>
    <w:rsid w:val="006543FA"/>
    <w:rsid w:val="006549B4"/>
    <w:rsid w:val="0065741F"/>
    <w:rsid w:val="0065789E"/>
    <w:rsid w:val="00660249"/>
    <w:rsid w:val="006604A3"/>
    <w:rsid w:val="006612DD"/>
    <w:rsid w:val="00662900"/>
    <w:rsid w:val="00666110"/>
    <w:rsid w:val="00666417"/>
    <w:rsid w:val="00666D37"/>
    <w:rsid w:val="006705B0"/>
    <w:rsid w:val="006716E8"/>
    <w:rsid w:val="006717BF"/>
    <w:rsid w:val="00672473"/>
    <w:rsid w:val="006747E6"/>
    <w:rsid w:val="006753A6"/>
    <w:rsid w:val="0067641C"/>
    <w:rsid w:val="006767AD"/>
    <w:rsid w:val="00677DAD"/>
    <w:rsid w:val="00680DC9"/>
    <w:rsid w:val="006827CE"/>
    <w:rsid w:val="00682B37"/>
    <w:rsid w:val="00685306"/>
    <w:rsid w:val="006857D1"/>
    <w:rsid w:val="00687312"/>
    <w:rsid w:val="00687955"/>
    <w:rsid w:val="00693608"/>
    <w:rsid w:val="00693B84"/>
    <w:rsid w:val="00693E55"/>
    <w:rsid w:val="00694775"/>
    <w:rsid w:val="00697944"/>
    <w:rsid w:val="00697DA0"/>
    <w:rsid w:val="006A0AC5"/>
    <w:rsid w:val="006A0C19"/>
    <w:rsid w:val="006A2415"/>
    <w:rsid w:val="006A328F"/>
    <w:rsid w:val="006A423E"/>
    <w:rsid w:val="006A4B08"/>
    <w:rsid w:val="006A608C"/>
    <w:rsid w:val="006A6105"/>
    <w:rsid w:val="006A6D2D"/>
    <w:rsid w:val="006A7059"/>
    <w:rsid w:val="006B003B"/>
    <w:rsid w:val="006B04CA"/>
    <w:rsid w:val="006B1A61"/>
    <w:rsid w:val="006B1AC1"/>
    <w:rsid w:val="006B1BB7"/>
    <w:rsid w:val="006B2C04"/>
    <w:rsid w:val="006B300D"/>
    <w:rsid w:val="006B4158"/>
    <w:rsid w:val="006B4F5F"/>
    <w:rsid w:val="006B661E"/>
    <w:rsid w:val="006B72FD"/>
    <w:rsid w:val="006C170C"/>
    <w:rsid w:val="006C2543"/>
    <w:rsid w:val="006C50B7"/>
    <w:rsid w:val="006D2E31"/>
    <w:rsid w:val="006D4967"/>
    <w:rsid w:val="006D6D8E"/>
    <w:rsid w:val="006D7A8E"/>
    <w:rsid w:val="006E47CF"/>
    <w:rsid w:val="006E585E"/>
    <w:rsid w:val="006E5A53"/>
    <w:rsid w:val="006E5C53"/>
    <w:rsid w:val="006E5D8B"/>
    <w:rsid w:val="006E6012"/>
    <w:rsid w:val="006E732C"/>
    <w:rsid w:val="006F346B"/>
    <w:rsid w:val="006F5368"/>
    <w:rsid w:val="0070068E"/>
    <w:rsid w:val="00701421"/>
    <w:rsid w:val="007026B6"/>
    <w:rsid w:val="0070270B"/>
    <w:rsid w:val="0070323F"/>
    <w:rsid w:val="00703314"/>
    <w:rsid w:val="00703E9E"/>
    <w:rsid w:val="007040E9"/>
    <w:rsid w:val="007046E7"/>
    <w:rsid w:val="007050A6"/>
    <w:rsid w:val="007121D7"/>
    <w:rsid w:val="00712F4B"/>
    <w:rsid w:val="00713CB7"/>
    <w:rsid w:val="007143C3"/>
    <w:rsid w:val="00714E4C"/>
    <w:rsid w:val="007154F1"/>
    <w:rsid w:val="007157FA"/>
    <w:rsid w:val="00717E2B"/>
    <w:rsid w:val="0072003B"/>
    <w:rsid w:val="00720715"/>
    <w:rsid w:val="007215A6"/>
    <w:rsid w:val="00721AE8"/>
    <w:rsid w:val="007222A3"/>
    <w:rsid w:val="00723A59"/>
    <w:rsid w:val="0072434B"/>
    <w:rsid w:val="00724E97"/>
    <w:rsid w:val="007264FE"/>
    <w:rsid w:val="0072699A"/>
    <w:rsid w:val="00726C5D"/>
    <w:rsid w:val="00732EAB"/>
    <w:rsid w:val="00734701"/>
    <w:rsid w:val="00736671"/>
    <w:rsid w:val="007377A9"/>
    <w:rsid w:val="00743375"/>
    <w:rsid w:val="00744085"/>
    <w:rsid w:val="00744D9B"/>
    <w:rsid w:val="0074530B"/>
    <w:rsid w:val="0074754E"/>
    <w:rsid w:val="00747611"/>
    <w:rsid w:val="0075235D"/>
    <w:rsid w:val="007526F0"/>
    <w:rsid w:val="007547CA"/>
    <w:rsid w:val="00754C1E"/>
    <w:rsid w:val="00757B7C"/>
    <w:rsid w:val="007665E1"/>
    <w:rsid w:val="00766F37"/>
    <w:rsid w:val="0077040A"/>
    <w:rsid w:val="00771F63"/>
    <w:rsid w:val="007727D1"/>
    <w:rsid w:val="00774455"/>
    <w:rsid w:val="007747A9"/>
    <w:rsid w:val="00774B6C"/>
    <w:rsid w:val="0077653A"/>
    <w:rsid w:val="0077722D"/>
    <w:rsid w:val="007773C7"/>
    <w:rsid w:val="00780CEB"/>
    <w:rsid w:val="00781963"/>
    <w:rsid w:val="00782308"/>
    <w:rsid w:val="00782F12"/>
    <w:rsid w:val="0078371A"/>
    <w:rsid w:val="00783C7C"/>
    <w:rsid w:val="007843C9"/>
    <w:rsid w:val="007849A5"/>
    <w:rsid w:val="0079267D"/>
    <w:rsid w:val="00792F02"/>
    <w:rsid w:val="00793B46"/>
    <w:rsid w:val="00797C12"/>
    <w:rsid w:val="007A020E"/>
    <w:rsid w:val="007A3A22"/>
    <w:rsid w:val="007A3B0A"/>
    <w:rsid w:val="007A42FD"/>
    <w:rsid w:val="007A4AD9"/>
    <w:rsid w:val="007A58B2"/>
    <w:rsid w:val="007A76DF"/>
    <w:rsid w:val="007B2316"/>
    <w:rsid w:val="007B23B0"/>
    <w:rsid w:val="007B2F64"/>
    <w:rsid w:val="007B646A"/>
    <w:rsid w:val="007B7686"/>
    <w:rsid w:val="007C17A4"/>
    <w:rsid w:val="007C249B"/>
    <w:rsid w:val="007C3EAA"/>
    <w:rsid w:val="007C47F2"/>
    <w:rsid w:val="007C63BA"/>
    <w:rsid w:val="007C7713"/>
    <w:rsid w:val="007D3CDA"/>
    <w:rsid w:val="007D4329"/>
    <w:rsid w:val="007D55E0"/>
    <w:rsid w:val="007D67BD"/>
    <w:rsid w:val="007D6AD2"/>
    <w:rsid w:val="007D735C"/>
    <w:rsid w:val="007D74AD"/>
    <w:rsid w:val="007E10F3"/>
    <w:rsid w:val="007E1752"/>
    <w:rsid w:val="007E33BC"/>
    <w:rsid w:val="007E626D"/>
    <w:rsid w:val="007E6993"/>
    <w:rsid w:val="007E6E9B"/>
    <w:rsid w:val="007F093A"/>
    <w:rsid w:val="007F22C8"/>
    <w:rsid w:val="007F24A4"/>
    <w:rsid w:val="007F2E9D"/>
    <w:rsid w:val="007F31C3"/>
    <w:rsid w:val="007F42CB"/>
    <w:rsid w:val="007F4385"/>
    <w:rsid w:val="007F4CF0"/>
    <w:rsid w:val="008003B5"/>
    <w:rsid w:val="008013CA"/>
    <w:rsid w:val="0080258A"/>
    <w:rsid w:val="00803F31"/>
    <w:rsid w:val="00812B48"/>
    <w:rsid w:val="00812D82"/>
    <w:rsid w:val="00813474"/>
    <w:rsid w:val="00814A44"/>
    <w:rsid w:val="0081626D"/>
    <w:rsid w:val="00820CD2"/>
    <w:rsid w:val="008216DF"/>
    <w:rsid w:val="00822C56"/>
    <w:rsid w:val="008246E7"/>
    <w:rsid w:val="0082645F"/>
    <w:rsid w:val="0083045B"/>
    <w:rsid w:val="008304B7"/>
    <w:rsid w:val="008332B2"/>
    <w:rsid w:val="00834343"/>
    <w:rsid w:val="008366ED"/>
    <w:rsid w:val="00836BCC"/>
    <w:rsid w:val="00840601"/>
    <w:rsid w:val="0084223E"/>
    <w:rsid w:val="00842309"/>
    <w:rsid w:val="00845213"/>
    <w:rsid w:val="00846F25"/>
    <w:rsid w:val="008507F0"/>
    <w:rsid w:val="008528D5"/>
    <w:rsid w:val="00855844"/>
    <w:rsid w:val="00855D95"/>
    <w:rsid w:val="00861591"/>
    <w:rsid w:val="0086218C"/>
    <w:rsid w:val="008632DB"/>
    <w:rsid w:val="00864647"/>
    <w:rsid w:val="00864832"/>
    <w:rsid w:val="008711A8"/>
    <w:rsid w:val="00876EBD"/>
    <w:rsid w:val="00877E26"/>
    <w:rsid w:val="0088055D"/>
    <w:rsid w:val="0088145C"/>
    <w:rsid w:val="008862FE"/>
    <w:rsid w:val="008918BB"/>
    <w:rsid w:val="00892DB7"/>
    <w:rsid w:val="00893933"/>
    <w:rsid w:val="00894879"/>
    <w:rsid w:val="00895704"/>
    <w:rsid w:val="008963C0"/>
    <w:rsid w:val="008A4B14"/>
    <w:rsid w:val="008A6063"/>
    <w:rsid w:val="008B1D7D"/>
    <w:rsid w:val="008B3494"/>
    <w:rsid w:val="008C4956"/>
    <w:rsid w:val="008D2B6F"/>
    <w:rsid w:val="008D354B"/>
    <w:rsid w:val="008D7763"/>
    <w:rsid w:val="008E50C2"/>
    <w:rsid w:val="008E73AD"/>
    <w:rsid w:val="008E7FA3"/>
    <w:rsid w:val="008F418B"/>
    <w:rsid w:val="008F43F9"/>
    <w:rsid w:val="008F4635"/>
    <w:rsid w:val="008F5ED5"/>
    <w:rsid w:val="0090079C"/>
    <w:rsid w:val="009011C8"/>
    <w:rsid w:val="0090140A"/>
    <w:rsid w:val="00903835"/>
    <w:rsid w:val="00907C3D"/>
    <w:rsid w:val="00913CD9"/>
    <w:rsid w:val="009143E6"/>
    <w:rsid w:val="009157EB"/>
    <w:rsid w:val="00915A3F"/>
    <w:rsid w:val="00915EE3"/>
    <w:rsid w:val="00916DBC"/>
    <w:rsid w:val="0091795D"/>
    <w:rsid w:val="00923B5E"/>
    <w:rsid w:val="00923C1A"/>
    <w:rsid w:val="00923E14"/>
    <w:rsid w:val="009260C9"/>
    <w:rsid w:val="0093332E"/>
    <w:rsid w:val="00935532"/>
    <w:rsid w:val="009405A0"/>
    <w:rsid w:val="00941A8D"/>
    <w:rsid w:val="00941DC9"/>
    <w:rsid w:val="00944267"/>
    <w:rsid w:val="00944BA2"/>
    <w:rsid w:val="00945C3C"/>
    <w:rsid w:val="0094756C"/>
    <w:rsid w:val="00947C54"/>
    <w:rsid w:val="00950F17"/>
    <w:rsid w:val="00951482"/>
    <w:rsid w:val="00952028"/>
    <w:rsid w:val="00957F95"/>
    <w:rsid w:val="00962D76"/>
    <w:rsid w:val="00966C37"/>
    <w:rsid w:val="00970569"/>
    <w:rsid w:val="009709D0"/>
    <w:rsid w:val="00971295"/>
    <w:rsid w:val="00971EB7"/>
    <w:rsid w:val="00972820"/>
    <w:rsid w:val="009735A5"/>
    <w:rsid w:val="009768C6"/>
    <w:rsid w:val="009773E1"/>
    <w:rsid w:val="0098156B"/>
    <w:rsid w:val="009823CB"/>
    <w:rsid w:val="009840FE"/>
    <w:rsid w:val="00984AF5"/>
    <w:rsid w:val="00984E8F"/>
    <w:rsid w:val="00986122"/>
    <w:rsid w:val="0098629E"/>
    <w:rsid w:val="00986CB8"/>
    <w:rsid w:val="00987DE6"/>
    <w:rsid w:val="0099204C"/>
    <w:rsid w:val="00992421"/>
    <w:rsid w:val="009937FE"/>
    <w:rsid w:val="0099619A"/>
    <w:rsid w:val="00996D38"/>
    <w:rsid w:val="009A2509"/>
    <w:rsid w:val="009B0EDD"/>
    <w:rsid w:val="009B2962"/>
    <w:rsid w:val="009B3286"/>
    <w:rsid w:val="009B7A2E"/>
    <w:rsid w:val="009C5499"/>
    <w:rsid w:val="009C5874"/>
    <w:rsid w:val="009C7B3B"/>
    <w:rsid w:val="009D1602"/>
    <w:rsid w:val="009D1F5B"/>
    <w:rsid w:val="009D6503"/>
    <w:rsid w:val="009E0DBD"/>
    <w:rsid w:val="009E4611"/>
    <w:rsid w:val="009F4EAF"/>
    <w:rsid w:val="009F54D9"/>
    <w:rsid w:val="009F56F7"/>
    <w:rsid w:val="009F6EE3"/>
    <w:rsid w:val="00A00EA3"/>
    <w:rsid w:val="00A03A95"/>
    <w:rsid w:val="00A042E4"/>
    <w:rsid w:val="00A078EC"/>
    <w:rsid w:val="00A10CA5"/>
    <w:rsid w:val="00A12EF9"/>
    <w:rsid w:val="00A16811"/>
    <w:rsid w:val="00A16E82"/>
    <w:rsid w:val="00A20995"/>
    <w:rsid w:val="00A2364F"/>
    <w:rsid w:val="00A258D0"/>
    <w:rsid w:val="00A25F85"/>
    <w:rsid w:val="00A33166"/>
    <w:rsid w:val="00A34370"/>
    <w:rsid w:val="00A34EA0"/>
    <w:rsid w:val="00A36776"/>
    <w:rsid w:val="00A41071"/>
    <w:rsid w:val="00A415F8"/>
    <w:rsid w:val="00A43142"/>
    <w:rsid w:val="00A43320"/>
    <w:rsid w:val="00A43A27"/>
    <w:rsid w:val="00A43E39"/>
    <w:rsid w:val="00A44A88"/>
    <w:rsid w:val="00A44FBA"/>
    <w:rsid w:val="00A45BC5"/>
    <w:rsid w:val="00A471B3"/>
    <w:rsid w:val="00A47E40"/>
    <w:rsid w:val="00A50985"/>
    <w:rsid w:val="00A524AA"/>
    <w:rsid w:val="00A55434"/>
    <w:rsid w:val="00A55D72"/>
    <w:rsid w:val="00A55EDA"/>
    <w:rsid w:val="00A55F80"/>
    <w:rsid w:val="00A564ED"/>
    <w:rsid w:val="00A57561"/>
    <w:rsid w:val="00A64CBE"/>
    <w:rsid w:val="00A64D3D"/>
    <w:rsid w:val="00A64EA5"/>
    <w:rsid w:val="00A65DA9"/>
    <w:rsid w:val="00A6697D"/>
    <w:rsid w:val="00A66FC9"/>
    <w:rsid w:val="00A731AC"/>
    <w:rsid w:val="00A73DE7"/>
    <w:rsid w:val="00A80023"/>
    <w:rsid w:val="00A82E08"/>
    <w:rsid w:val="00A85D5F"/>
    <w:rsid w:val="00A87A9E"/>
    <w:rsid w:val="00A911B5"/>
    <w:rsid w:val="00A91639"/>
    <w:rsid w:val="00A92920"/>
    <w:rsid w:val="00A962F9"/>
    <w:rsid w:val="00AA0D9C"/>
    <w:rsid w:val="00AA0F77"/>
    <w:rsid w:val="00AA672E"/>
    <w:rsid w:val="00AA736F"/>
    <w:rsid w:val="00AB1266"/>
    <w:rsid w:val="00AB1978"/>
    <w:rsid w:val="00AC0166"/>
    <w:rsid w:val="00AC1A75"/>
    <w:rsid w:val="00AC1C49"/>
    <w:rsid w:val="00AC4FDC"/>
    <w:rsid w:val="00AC610D"/>
    <w:rsid w:val="00AC75B3"/>
    <w:rsid w:val="00AD030F"/>
    <w:rsid w:val="00AD09B7"/>
    <w:rsid w:val="00AD23D1"/>
    <w:rsid w:val="00AD29C7"/>
    <w:rsid w:val="00AD3810"/>
    <w:rsid w:val="00AD46A2"/>
    <w:rsid w:val="00AD725D"/>
    <w:rsid w:val="00AD7ECC"/>
    <w:rsid w:val="00AE0D72"/>
    <w:rsid w:val="00AE21B3"/>
    <w:rsid w:val="00AE2F3C"/>
    <w:rsid w:val="00AF0285"/>
    <w:rsid w:val="00AF0FE3"/>
    <w:rsid w:val="00AF1371"/>
    <w:rsid w:val="00AF28E0"/>
    <w:rsid w:val="00AF2EAC"/>
    <w:rsid w:val="00AF386B"/>
    <w:rsid w:val="00AF6963"/>
    <w:rsid w:val="00B00C64"/>
    <w:rsid w:val="00B04026"/>
    <w:rsid w:val="00B10B5A"/>
    <w:rsid w:val="00B11A2C"/>
    <w:rsid w:val="00B1674C"/>
    <w:rsid w:val="00B17C4D"/>
    <w:rsid w:val="00B21D6C"/>
    <w:rsid w:val="00B221CC"/>
    <w:rsid w:val="00B2463C"/>
    <w:rsid w:val="00B25836"/>
    <w:rsid w:val="00B26BFF"/>
    <w:rsid w:val="00B26CBB"/>
    <w:rsid w:val="00B27391"/>
    <w:rsid w:val="00B30211"/>
    <w:rsid w:val="00B3031C"/>
    <w:rsid w:val="00B315AE"/>
    <w:rsid w:val="00B32090"/>
    <w:rsid w:val="00B3255F"/>
    <w:rsid w:val="00B3695D"/>
    <w:rsid w:val="00B41310"/>
    <w:rsid w:val="00B41383"/>
    <w:rsid w:val="00B4176A"/>
    <w:rsid w:val="00B42EA1"/>
    <w:rsid w:val="00B45B3C"/>
    <w:rsid w:val="00B45FDF"/>
    <w:rsid w:val="00B467B4"/>
    <w:rsid w:val="00B50D86"/>
    <w:rsid w:val="00B51C11"/>
    <w:rsid w:val="00B52473"/>
    <w:rsid w:val="00B5358E"/>
    <w:rsid w:val="00B56343"/>
    <w:rsid w:val="00B57E04"/>
    <w:rsid w:val="00B6164F"/>
    <w:rsid w:val="00B61DC3"/>
    <w:rsid w:val="00B61E22"/>
    <w:rsid w:val="00B62BC1"/>
    <w:rsid w:val="00B67266"/>
    <w:rsid w:val="00B7315B"/>
    <w:rsid w:val="00B731E9"/>
    <w:rsid w:val="00B743FD"/>
    <w:rsid w:val="00B7486B"/>
    <w:rsid w:val="00B75E24"/>
    <w:rsid w:val="00B81440"/>
    <w:rsid w:val="00B816E5"/>
    <w:rsid w:val="00B8641A"/>
    <w:rsid w:val="00B86F5C"/>
    <w:rsid w:val="00B90241"/>
    <w:rsid w:val="00B90992"/>
    <w:rsid w:val="00B90FBF"/>
    <w:rsid w:val="00B91FFA"/>
    <w:rsid w:val="00B92BF0"/>
    <w:rsid w:val="00B92DE1"/>
    <w:rsid w:val="00B94798"/>
    <w:rsid w:val="00B94B1F"/>
    <w:rsid w:val="00BA199A"/>
    <w:rsid w:val="00BA3356"/>
    <w:rsid w:val="00BA4353"/>
    <w:rsid w:val="00BA7093"/>
    <w:rsid w:val="00BA7D81"/>
    <w:rsid w:val="00BB0225"/>
    <w:rsid w:val="00BB0CC8"/>
    <w:rsid w:val="00BB1FF2"/>
    <w:rsid w:val="00BB73F8"/>
    <w:rsid w:val="00BB7A8B"/>
    <w:rsid w:val="00BC05B4"/>
    <w:rsid w:val="00BC14E7"/>
    <w:rsid w:val="00BC229E"/>
    <w:rsid w:val="00BC5F3D"/>
    <w:rsid w:val="00BD1012"/>
    <w:rsid w:val="00BD19A1"/>
    <w:rsid w:val="00BD1EF4"/>
    <w:rsid w:val="00BD3738"/>
    <w:rsid w:val="00BD4604"/>
    <w:rsid w:val="00BD4D38"/>
    <w:rsid w:val="00BD5896"/>
    <w:rsid w:val="00BD6091"/>
    <w:rsid w:val="00BD6F3F"/>
    <w:rsid w:val="00BE191C"/>
    <w:rsid w:val="00BE54ED"/>
    <w:rsid w:val="00BF31D7"/>
    <w:rsid w:val="00BF51BC"/>
    <w:rsid w:val="00BF5E6B"/>
    <w:rsid w:val="00C00402"/>
    <w:rsid w:val="00C03F69"/>
    <w:rsid w:val="00C06A34"/>
    <w:rsid w:val="00C077E9"/>
    <w:rsid w:val="00C078AD"/>
    <w:rsid w:val="00C11C89"/>
    <w:rsid w:val="00C135B6"/>
    <w:rsid w:val="00C13A7B"/>
    <w:rsid w:val="00C1523A"/>
    <w:rsid w:val="00C17D0E"/>
    <w:rsid w:val="00C21767"/>
    <w:rsid w:val="00C23B05"/>
    <w:rsid w:val="00C31258"/>
    <w:rsid w:val="00C322D2"/>
    <w:rsid w:val="00C32671"/>
    <w:rsid w:val="00C32D53"/>
    <w:rsid w:val="00C33BDD"/>
    <w:rsid w:val="00C346B8"/>
    <w:rsid w:val="00C352F5"/>
    <w:rsid w:val="00C35365"/>
    <w:rsid w:val="00C35536"/>
    <w:rsid w:val="00C361D7"/>
    <w:rsid w:val="00C36236"/>
    <w:rsid w:val="00C41991"/>
    <w:rsid w:val="00C4248B"/>
    <w:rsid w:val="00C4610F"/>
    <w:rsid w:val="00C47972"/>
    <w:rsid w:val="00C5154C"/>
    <w:rsid w:val="00C51D54"/>
    <w:rsid w:val="00C51FD3"/>
    <w:rsid w:val="00C53938"/>
    <w:rsid w:val="00C556BD"/>
    <w:rsid w:val="00C55847"/>
    <w:rsid w:val="00C60642"/>
    <w:rsid w:val="00C615ED"/>
    <w:rsid w:val="00C628F6"/>
    <w:rsid w:val="00C638AA"/>
    <w:rsid w:val="00C6414A"/>
    <w:rsid w:val="00C65B54"/>
    <w:rsid w:val="00C66E10"/>
    <w:rsid w:val="00C6784A"/>
    <w:rsid w:val="00C70366"/>
    <w:rsid w:val="00C72F27"/>
    <w:rsid w:val="00C73314"/>
    <w:rsid w:val="00C73E2C"/>
    <w:rsid w:val="00C74100"/>
    <w:rsid w:val="00C74FD8"/>
    <w:rsid w:val="00C77B70"/>
    <w:rsid w:val="00C82987"/>
    <w:rsid w:val="00C86734"/>
    <w:rsid w:val="00C9039F"/>
    <w:rsid w:val="00C92122"/>
    <w:rsid w:val="00C93A77"/>
    <w:rsid w:val="00C94E2E"/>
    <w:rsid w:val="00CA0C76"/>
    <w:rsid w:val="00CA267A"/>
    <w:rsid w:val="00CA26C2"/>
    <w:rsid w:val="00CA2E3F"/>
    <w:rsid w:val="00CA45AA"/>
    <w:rsid w:val="00CA7787"/>
    <w:rsid w:val="00CB1FA5"/>
    <w:rsid w:val="00CB21E4"/>
    <w:rsid w:val="00CB26F5"/>
    <w:rsid w:val="00CB5A22"/>
    <w:rsid w:val="00CB7FC1"/>
    <w:rsid w:val="00CC061B"/>
    <w:rsid w:val="00CC0886"/>
    <w:rsid w:val="00CC2DE5"/>
    <w:rsid w:val="00CC57B9"/>
    <w:rsid w:val="00CC7B57"/>
    <w:rsid w:val="00CD00E1"/>
    <w:rsid w:val="00CD18AA"/>
    <w:rsid w:val="00CD2E14"/>
    <w:rsid w:val="00CD34C5"/>
    <w:rsid w:val="00CE06CB"/>
    <w:rsid w:val="00CE08B2"/>
    <w:rsid w:val="00CE0EBE"/>
    <w:rsid w:val="00CE152F"/>
    <w:rsid w:val="00CE1CCF"/>
    <w:rsid w:val="00CE2337"/>
    <w:rsid w:val="00CE3935"/>
    <w:rsid w:val="00CE3FED"/>
    <w:rsid w:val="00CE455B"/>
    <w:rsid w:val="00CE4AE7"/>
    <w:rsid w:val="00CE5230"/>
    <w:rsid w:val="00CF084A"/>
    <w:rsid w:val="00CF24DC"/>
    <w:rsid w:val="00CF7175"/>
    <w:rsid w:val="00D0026F"/>
    <w:rsid w:val="00D007CF"/>
    <w:rsid w:val="00D00830"/>
    <w:rsid w:val="00D01E6C"/>
    <w:rsid w:val="00D030CD"/>
    <w:rsid w:val="00D048D3"/>
    <w:rsid w:val="00D05DBB"/>
    <w:rsid w:val="00D07BFD"/>
    <w:rsid w:val="00D110EC"/>
    <w:rsid w:val="00D11418"/>
    <w:rsid w:val="00D11A90"/>
    <w:rsid w:val="00D12317"/>
    <w:rsid w:val="00D24635"/>
    <w:rsid w:val="00D26517"/>
    <w:rsid w:val="00D278D7"/>
    <w:rsid w:val="00D3059F"/>
    <w:rsid w:val="00D31AA0"/>
    <w:rsid w:val="00D404A2"/>
    <w:rsid w:val="00D412A6"/>
    <w:rsid w:val="00D412E1"/>
    <w:rsid w:val="00D43CC2"/>
    <w:rsid w:val="00D44CFA"/>
    <w:rsid w:val="00D4561C"/>
    <w:rsid w:val="00D46AFF"/>
    <w:rsid w:val="00D4772B"/>
    <w:rsid w:val="00D47C9C"/>
    <w:rsid w:val="00D53076"/>
    <w:rsid w:val="00D5357E"/>
    <w:rsid w:val="00D5663C"/>
    <w:rsid w:val="00D60D2E"/>
    <w:rsid w:val="00D63B62"/>
    <w:rsid w:val="00D71243"/>
    <w:rsid w:val="00D71972"/>
    <w:rsid w:val="00D731F8"/>
    <w:rsid w:val="00D73ABC"/>
    <w:rsid w:val="00D74524"/>
    <w:rsid w:val="00D7664A"/>
    <w:rsid w:val="00D80559"/>
    <w:rsid w:val="00D806F3"/>
    <w:rsid w:val="00D80FEF"/>
    <w:rsid w:val="00D826BE"/>
    <w:rsid w:val="00D82F5E"/>
    <w:rsid w:val="00D833EB"/>
    <w:rsid w:val="00D84281"/>
    <w:rsid w:val="00D85FB0"/>
    <w:rsid w:val="00D878D8"/>
    <w:rsid w:val="00D87A38"/>
    <w:rsid w:val="00D90322"/>
    <w:rsid w:val="00D90491"/>
    <w:rsid w:val="00D90501"/>
    <w:rsid w:val="00D909EE"/>
    <w:rsid w:val="00D90DDC"/>
    <w:rsid w:val="00D91A59"/>
    <w:rsid w:val="00D956DC"/>
    <w:rsid w:val="00D97643"/>
    <w:rsid w:val="00DA132F"/>
    <w:rsid w:val="00DA179A"/>
    <w:rsid w:val="00DA231A"/>
    <w:rsid w:val="00DA34D0"/>
    <w:rsid w:val="00DA3F8B"/>
    <w:rsid w:val="00DA5199"/>
    <w:rsid w:val="00DA57B8"/>
    <w:rsid w:val="00DA5AD7"/>
    <w:rsid w:val="00DA64D8"/>
    <w:rsid w:val="00DA7226"/>
    <w:rsid w:val="00DB0620"/>
    <w:rsid w:val="00DB2DC5"/>
    <w:rsid w:val="00DB4D41"/>
    <w:rsid w:val="00DB547E"/>
    <w:rsid w:val="00DB6DAA"/>
    <w:rsid w:val="00DC5851"/>
    <w:rsid w:val="00DC6972"/>
    <w:rsid w:val="00DD04BA"/>
    <w:rsid w:val="00DD11B0"/>
    <w:rsid w:val="00DD2745"/>
    <w:rsid w:val="00DD3B1D"/>
    <w:rsid w:val="00DD4741"/>
    <w:rsid w:val="00DD5E2E"/>
    <w:rsid w:val="00DD7195"/>
    <w:rsid w:val="00DE19F9"/>
    <w:rsid w:val="00DE23B2"/>
    <w:rsid w:val="00DE4B14"/>
    <w:rsid w:val="00DE4CE2"/>
    <w:rsid w:val="00DE4DDA"/>
    <w:rsid w:val="00DE603C"/>
    <w:rsid w:val="00DF029B"/>
    <w:rsid w:val="00DF0B50"/>
    <w:rsid w:val="00DF555A"/>
    <w:rsid w:val="00DF6D85"/>
    <w:rsid w:val="00E03ACF"/>
    <w:rsid w:val="00E03C20"/>
    <w:rsid w:val="00E06F90"/>
    <w:rsid w:val="00E1303C"/>
    <w:rsid w:val="00E13443"/>
    <w:rsid w:val="00E205FB"/>
    <w:rsid w:val="00E22F0B"/>
    <w:rsid w:val="00E23F10"/>
    <w:rsid w:val="00E32FA0"/>
    <w:rsid w:val="00E35E5E"/>
    <w:rsid w:val="00E36739"/>
    <w:rsid w:val="00E36F02"/>
    <w:rsid w:val="00E3738F"/>
    <w:rsid w:val="00E433B1"/>
    <w:rsid w:val="00E4587E"/>
    <w:rsid w:val="00E45B2A"/>
    <w:rsid w:val="00E45BEC"/>
    <w:rsid w:val="00E52685"/>
    <w:rsid w:val="00E538CD"/>
    <w:rsid w:val="00E54992"/>
    <w:rsid w:val="00E54BAB"/>
    <w:rsid w:val="00E54C4D"/>
    <w:rsid w:val="00E55523"/>
    <w:rsid w:val="00E5629B"/>
    <w:rsid w:val="00E613B8"/>
    <w:rsid w:val="00E65D87"/>
    <w:rsid w:val="00E715AA"/>
    <w:rsid w:val="00E71C81"/>
    <w:rsid w:val="00E72AEE"/>
    <w:rsid w:val="00E80B07"/>
    <w:rsid w:val="00E8145C"/>
    <w:rsid w:val="00E816E2"/>
    <w:rsid w:val="00E85D5B"/>
    <w:rsid w:val="00E86A87"/>
    <w:rsid w:val="00E93875"/>
    <w:rsid w:val="00E95885"/>
    <w:rsid w:val="00E95958"/>
    <w:rsid w:val="00E97ECA"/>
    <w:rsid w:val="00EA115F"/>
    <w:rsid w:val="00EA356A"/>
    <w:rsid w:val="00EA3855"/>
    <w:rsid w:val="00EA4D14"/>
    <w:rsid w:val="00EA7669"/>
    <w:rsid w:val="00EB0327"/>
    <w:rsid w:val="00EB23B1"/>
    <w:rsid w:val="00EB47CD"/>
    <w:rsid w:val="00EB5236"/>
    <w:rsid w:val="00EB5B59"/>
    <w:rsid w:val="00EB5E5B"/>
    <w:rsid w:val="00EB7719"/>
    <w:rsid w:val="00EC080F"/>
    <w:rsid w:val="00EC09DC"/>
    <w:rsid w:val="00EC0E57"/>
    <w:rsid w:val="00EC13D0"/>
    <w:rsid w:val="00EC2A9D"/>
    <w:rsid w:val="00EC5331"/>
    <w:rsid w:val="00EC7351"/>
    <w:rsid w:val="00ED140A"/>
    <w:rsid w:val="00ED27C0"/>
    <w:rsid w:val="00ED529F"/>
    <w:rsid w:val="00ED5D01"/>
    <w:rsid w:val="00EE24E5"/>
    <w:rsid w:val="00EE4DC0"/>
    <w:rsid w:val="00EE60EE"/>
    <w:rsid w:val="00EF007D"/>
    <w:rsid w:val="00EF056B"/>
    <w:rsid w:val="00EF075C"/>
    <w:rsid w:val="00EF0863"/>
    <w:rsid w:val="00EF096A"/>
    <w:rsid w:val="00EF25DB"/>
    <w:rsid w:val="00EF370B"/>
    <w:rsid w:val="00EF7A4E"/>
    <w:rsid w:val="00F00A75"/>
    <w:rsid w:val="00F01ECB"/>
    <w:rsid w:val="00F0564D"/>
    <w:rsid w:val="00F0745C"/>
    <w:rsid w:val="00F075AA"/>
    <w:rsid w:val="00F104D9"/>
    <w:rsid w:val="00F120C8"/>
    <w:rsid w:val="00F12254"/>
    <w:rsid w:val="00F2092A"/>
    <w:rsid w:val="00F25C2E"/>
    <w:rsid w:val="00F26BA6"/>
    <w:rsid w:val="00F27113"/>
    <w:rsid w:val="00F27494"/>
    <w:rsid w:val="00F3261F"/>
    <w:rsid w:val="00F32DF9"/>
    <w:rsid w:val="00F409EC"/>
    <w:rsid w:val="00F41CD4"/>
    <w:rsid w:val="00F45068"/>
    <w:rsid w:val="00F4567A"/>
    <w:rsid w:val="00F47423"/>
    <w:rsid w:val="00F47562"/>
    <w:rsid w:val="00F47897"/>
    <w:rsid w:val="00F52F92"/>
    <w:rsid w:val="00F53E33"/>
    <w:rsid w:val="00F541D7"/>
    <w:rsid w:val="00F632E8"/>
    <w:rsid w:val="00F638F0"/>
    <w:rsid w:val="00F656CC"/>
    <w:rsid w:val="00F72A3E"/>
    <w:rsid w:val="00F72E35"/>
    <w:rsid w:val="00F748BC"/>
    <w:rsid w:val="00F77479"/>
    <w:rsid w:val="00F77A3C"/>
    <w:rsid w:val="00F81F68"/>
    <w:rsid w:val="00F82C4A"/>
    <w:rsid w:val="00F8379C"/>
    <w:rsid w:val="00F8423C"/>
    <w:rsid w:val="00F84F24"/>
    <w:rsid w:val="00F86B4D"/>
    <w:rsid w:val="00F90494"/>
    <w:rsid w:val="00F957E8"/>
    <w:rsid w:val="00F95830"/>
    <w:rsid w:val="00FA28C4"/>
    <w:rsid w:val="00FA3299"/>
    <w:rsid w:val="00FA33DE"/>
    <w:rsid w:val="00FA349B"/>
    <w:rsid w:val="00FA3BEF"/>
    <w:rsid w:val="00FA67EE"/>
    <w:rsid w:val="00FA69A6"/>
    <w:rsid w:val="00FB1366"/>
    <w:rsid w:val="00FB1F08"/>
    <w:rsid w:val="00FB3E26"/>
    <w:rsid w:val="00FB3E92"/>
    <w:rsid w:val="00FB4AC4"/>
    <w:rsid w:val="00FB5267"/>
    <w:rsid w:val="00FB58E8"/>
    <w:rsid w:val="00FB7485"/>
    <w:rsid w:val="00FC37F6"/>
    <w:rsid w:val="00FC5248"/>
    <w:rsid w:val="00FC6088"/>
    <w:rsid w:val="00FC64B0"/>
    <w:rsid w:val="00FD07FE"/>
    <w:rsid w:val="00FD1BEF"/>
    <w:rsid w:val="00FD257B"/>
    <w:rsid w:val="00FD6FE3"/>
    <w:rsid w:val="00FD7ACA"/>
    <w:rsid w:val="00FE25C0"/>
    <w:rsid w:val="00FE2816"/>
    <w:rsid w:val="00FE3A91"/>
    <w:rsid w:val="00FE3E21"/>
    <w:rsid w:val="00FE4B6D"/>
    <w:rsid w:val="00FE4F2B"/>
    <w:rsid w:val="00FE7F0C"/>
    <w:rsid w:val="00FF0002"/>
    <w:rsid w:val="00FF27E7"/>
    <w:rsid w:val="00FF4495"/>
    <w:rsid w:val="00FF7C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C0CFA"/>
  <w15:docId w15:val="{AD0E2BC7-9F5B-CC4A-868B-A2B5210F2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2DC5"/>
    <w:pPr>
      <w:spacing w:before="120" w:after="120"/>
    </w:pPr>
    <w:rPr>
      <w:rFonts w:asciiTheme="majorHAnsi" w:hAnsiTheme="majorHAnsi"/>
      <w:lang w:val="en-US"/>
    </w:rPr>
  </w:style>
  <w:style w:type="paragraph" w:styleId="Heading1">
    <w:name w:val="heading 1"/>
    <w:basedOn w:val="Normal"/>
    <w:next w:val="Normal"/>
    <w:link w:val="Heading1Char"/>
    <w:rsid w:val="00552F30"/>
    <w:pPr>
      <w:keepNext/>
      <w:keepLines/>
      <w:spacing w:before="0" w:after="0"/>
      <w:outlineLvl w:val="0"/>
    </w:pPr>
    <w:rPr>
      <w:rFonts w:ascii="Calibri" w:eastAsia="Calibri" w:hAnsi="Calibri" w:cs="Calibri"/>
      <w:b/>
      <w:color w:val="E36C0A" w:themeColor="accent6" w:themeShade="BF"/>
      <w:sz w:val="36"/>
      <w:szCs w:val="32"/>
      <w:lang w:val="en-GB"/>
    </w:rPr>
  </w:style>
  <w:style w:type="paragraph" w:styleId="Heading2">
    <w:name w:val="heading 2"/>
    <w:basedOn w:val="Normal"/>
    <w:next w:val="Normal"/>
    <w:link w:val="Heading2Char"/>
    <w:rsid w:val="005A2720"/>
    <w:pPr>
      <w:spacing w:before="240" w:after="240"/>
      <w:outlineLvl w:val="1"/>
    </w:pPr>
    <w:rPr>
      <w:rFonts w:eastAsia="Helvetica Neue"/>
      <w:b/>
      <w:color w:val="E36C0A" w:themeColor="accent6" w:themeShade="BF"/>
      <w:kern w:val="24"/>
      <w:sz w:val="32"/>
      <w:szCs w:val="32"/>
    </w:rPr>
  </w:style>
  <w:style w:type="paragraph" w:styleId="Heading3">
    <w:name w:val="heading 3"/>
    <w:basedOn w:val="Normal"/>
    <w:next w:val="Normal"/>
    <w:link w:val="Heading3Char"/>
    <w:rsid w:val="005A2720"/>
    <w:pPr>
      <w:keepNext/>
      <w:keepLines/>
      <w:spacing w:before="360"/>
      <w:outlineLvl w:val="2"/>
    </w:pPr>
    <w:rPr>
      <w:rFonts w:ascii="Calibri" w:eastAsia="Calibri" w:hAnsi="Calibri" w:cs="Calibri"/>
      <w:b/>
      <w:kern w:val="18"/>
      <w:sz w:val="30"/>
      <w:szCs w:val="30"/>
      <w:lang w:val="en-GB"/>
    </w:rPr>
  </w:style>
  <w:style w:type="paragraph" w:styleId="Heading4">
    <w:name w:val="heading 4"/>
    <w:basedOn w:val="Normal"/>
    <w:next w:val="Normal"/>
    <w:link w:val="Heading4Char"/>
    <w:rsid w:val="00693E55"/>
    <w:pPr>
      <w:spacing w:before="360"/>
      <w:outlineLvl w:val="3"/>
    </w:pPr>
    <w:rPr>
      <w:b/>
      <w:sz w:val="28"/>
      <w:lang w:val="en-GB"/>
    </w:rPr>
  </w:style>
  <w:style w:type="paragraph" w:styleId="Heading5">
    <w:name w:val="heading 5"/>
    <w:basedOn w:val="Normal"/>
    <w:next w:val="Normal"/>
    <w:link w:val="Heading5Char"/>
    <w:pPr>
      <w:keepNext/>
      <w:keepLines/>
      <w:spacing w:before="220" w:after="40"/>
      <w:outlineLvl w:val="4"/>
    </w:pPr>
    <w:rPr>
      <w:b/>
      <w:sz w:val="22"/>
      <w:szCs w:val="22"/>
      <w:lang w:val="en-GB"/>
    </w:rPr>
  </w:style>
  <w:style w:type="paragraph" w:styleId="Heading6">
    <w:name w:val="heading 6"/>
    <w:basedOn w:val="Normal"/>
    <w:next w:val="Normal"/>
    <w:link w:val="Heading6Char"/>
    <w:pPr>
      <w:keepNext/>
      <w:keepLines/>
      <w:spacing w:before="200" w:after="40"/>
      <w:outlineLvl w:val="5"/>
    </w:pPr>
    <w:rPr>
      <w:b/>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pPr>
      <w:pBdr>
        <w:bottom w:val="single" w:sz="8" w:space="4" w:color="4F81BD"/>
      </w:pBdr>
      <w:spacing w:after="300"/>
      <w:contextualSpacing/>
      <w:jc w:val="both"/>
    </w:pPr>
    <w:rPr>
      <w:rFonts w:ascii="Times" w:eastAsia="Times" w:hAnsi="Times" w:cs="Times"/>
      <w:color w:val="17365D"/>
      <w:sz w:val="28"/>
      <w:szCs w:val="28"/>
      <w:lang w:val="en-GB"/>
    </w:rPr>
  </w:style>
  <w:style w:type="paragraph" w:styleId="Subtitle">
    <w:name w:val="Subtitle"/>
    <w:basedOn w:val="Normal"/>
    <w:next w:val="Normal"/>
    <w:link w:val="SubtitleChar"/>
    <w:pPr>
      <w:spacing w:after="200"/>
      <w:ind w:left="360"/>
      <w:jc w:val="both"/>
    </w:pPr>
    <w:rPr>
      <w:color w:val="4F81BD"/>
      <w:lang w:val="en-GB"/>
    </w:r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semiHidden/>
    <w:unhideWhenUsed/>
    <w:rPr>
      <w:sz w:val="20"/>
      <w:szCs w:val="20"/>
      <w:lang w:val="en-GB"/>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756F3"/>
    <w:rPr>
      <w:sz w:val="18"/>
      <w:szCs w:val="18"/>
      <w:lang w:val="en-GB"/>
    </w:rPr>
  </w:style>
  <w:style w:type="character" w:customStyle="1" w:styleId="BalloonTextChar">
    <w:name w:val="Balloon Text Char"/>
    <w:basedOn w:val="DefaultParagraphFont"/>
    <w:link w:val="BalloonText"/>
    <w:uiPriority w:val="99"/>
    <w:semiHidden/>
    <w:rsid w:val="002756F3"/>
    <w:rPr>
      <w:sz w:val="18"/>
      <w:szCs w:val="18"/>
    </w:rPr>
  </w:style>
  <w:style w:type="paragraph" w:styleId="CommentSubject">
    <w:name w:val="annotation subject"/>
    <w:basedOn w:val="CommentText"/>
    <w:next w:val="CommentText"/>
    <w:link w:val="CommentSubjectChar"/>
    <w:uiPriority w:val="99"/>
    <w:semiHidden/>
    <w:unhideWhenUsed/>
    <w:rsid w:val="00565D3E"/>
    <w:rPr>
      <w:b/>
      <w:bCs/>
    </w:rPr>
  </w:style>
  <w:style w:type="character" w:customStyle="1" w:styleId="CommentSubjectChar">
    <w:name w:val="Comment Subject Char"/>
    <w:basedOn w:val="CommentTextChar"/>
    <w:link w:val="CommentSubject"/>
    <w:uiPriority w:val="99"/>
    <w:semiHidden/>
    <w:rsid w:val="00565D3E"/>
    <w:rPr>
      <w:b/>
      <w:bCs/>
      <w:sz w:val="20"/>
      <w:szCs w:val="20"/>
    </w:rPr>
  </w:style>
  <w:style w:type="paragraph" w:styleId="Revision">
    <w:name w:val="Revision"/>
    <w:hidden/>
    <w:uiPriority w:val="99"/>
    <w:semiHidden/>
    <w:rsid w:val="00565D3E"/>
  </w:style>
  <w:style w:type="paragraph" w:styleId="FootnoteText">
    <w:name w:val="footnote text"/>
    <w:basedOn w:val="Normal"/>
    <w:link w:val="FootnoteTextChar"/>
    <w:uiPriority w:val="99"/>
    <w:semiHidden/>
    <w:unhideWhenUsed/>
    <w:rsid w:val="00C322D2"/>
    <w:rPr>
      <w:sz w:val="20"/>
      <w:szCs w:val="20"/>
      <w:lang w:val="en-GB"/>
    </w:rPr>
  </w:style>
  <w:style w:type="character" w:customStyle="1" w:styleId="FootnoteTextChar">
    <w:name w:val="Footnote Text Char"/>
    <w:basedOn w:val="DefaultParagraphFont"/>
    <w:link w:val="FootnoteText"/>
    <w:uiPriority w:val="99"/>
    <w:semiHidden/>
    <w:rsid w:val="00C322D2"/>
    <w:rPr>
      <w:sz w:val="20"/>
      <w:szCs w:val="20"/>
    </w:rPr>
  </w:style>
  <w:style w:type="character" w:styleId="FootnoteReference">
    <w:name w:val="footnote reference"/>
    <w:basedOn w:val="DefaultParagraphFont"/>
    <w:uiPriority w:val="99"/>
    <w:semiHidden/>
    <w:unhideWhenUsed/>
    <w:rsid w:val="00C322D2"/>
    <w:rPr>
      <w:vertAlign w:val="superscript"/>
    </w:rPr>
  </w:style>
  <w:style w:type="character" w:styleId="Hyperlink">
    <w:name w:val="Hyperlink"/>
    <w:basedOn w:val="DefaultParagraphFont"/>
    <w:uiPriority w:val="99"/>
    <w:unhideWhenUsed/>
    <w:rsid w:val="00D731F8"/>
    <w:rPr>
      <w:color w:val="0000FF" w:themeColor="hyperlink"/>
      <w:u w:val="single"/>
    </w:rPr>
  </w:style>
  <w:style w:type="character" w:customStyle="1" w:styleId="UnresolvedMention1">
    <w:name w:val="Unresolved Mention1"/>
    <w:basedOn w:val="DefaultParagraphFont"/>
    <w:uiPriority w:val="99"/>
    <w:semiHidden/>
    <w:unhideWhenUsed/>
    <w:rsid w:val="00D731F8"/>
    <w:rPr>
      <w:color w:val="808080"/>
      <w:shd w:val="clear" w:color="auto" w:fill="E6E6E6"/>
    </w:rPr>
  </w:style>
  <w:style w:type="paragraph" w:styleId="EndnoteText">
    <w:name w:val="endnote text"/>
    <w:basedOn w:val="Normal"/>
    <w:link w:val="EndnoteTextChar"/>
    <w:uiPriority w:val="99"/>
    <w:unhideWhenUsed/>
    <w:rsid w:val="008D7763"/>
    <w:pPr>
      <w:pBdr>
        <w:top w:val="nil"/>
        <w:left w:val="nil"/>
        <w:bottom w:val="nil"/>
        <w:right w:val="nil"/>
        <w:between w:val="nil"/>
      </w:pBdr>
      <w:spacing w:after="240" w:line="260" w:lineRule="exact"/>
      <w:ind w:left="-81" w:right="-540" w:hanging="279"/>
    </w:pPr>
    <w:rPr>
      <w:rFonts w:eastAsia="Helvetica Neue" w:cstheme="majorHAnsi"/>
    </w:rPr>
  </w:style>
  <w:style w:type="character" w:customStyle="1" w:styleId="EndnoteTextChar">
    <w:name w:val="Endnote Text Char"/>
    <w:basedOn w:val="DefaultParagraphFont"/>
    <w:link w:val="EndnoteText"/>
    <w:uiPriority w:val="99"/>
    <w:rsid w:val="008D7763"/>
    <w:rPr>
      <w:rFonts w:asciiTheme="majorHAnsi" w:eastAsia="Helvetica Neue" w:hAnsiTheme="majorHAnsi" w:cstheme="majorHAnsi"/>
      <w:lang w:val="en-US"/>
    </w:rPr>
  </w:style>
  <w:style w:type="paragraph" w:styleId="ListParagraph">
    <w:name w:val="List Paragraph"/>
    <w:basedOn w:val="List"/>
    <w:uiPriority w:val="34"/>
    <w:qFormat/>
    <w:rsid w:val="00166C0A"/>
    <w:pPr>
      <w:ind w:left="0" w:firstLine="0"/>
      <w:contextualSpacing w:val="0"/>
    </w:pPr>
    <w:rPr>
      <w:lang w:val="en-GB"/>
    </w:rPr>
  </w:style>
  <w:style w:type="paragraph" w:styleId="Header">
    <w:name w:val="header"/>
    <w:basedOn w:val="Normal"/>
    <w:link w:val="HeaderChar"/>
    <w:uiPriority w:val="99"/>
    <w:unhideWhenUsed/>
    <w:rsid w:val="00CE455B"/>
    <w:pPr>
      <w:tabs>
        <w:tab w:val="center" w:pos="4680"/>
        <w:tab w:val="right" w:pos="9360"/>
      </w:tabs>
    </w:pPr>
    <w:rPr>
      <w:lang w:val="en-GB"/>
    </w:rPr>
  </w:style>
  <w:style w:type="character" w:customStyle="1" w:styleId="HeaderChar">
    <w:name w:val="Header Char"/>
    <w:basedOn w:val="DefaultParagraphFont"/>
    <w:link w:val="Header"/>
    <w:uiPriority w:val="99"/>
    <w:rsid w:val="00CE455B"/>
  </w:style>
  <w:style w:type="paragraph" w:styleId="Footer">
    <w:name w:val="footer"/>
    <w:basedOn w:val="Normal"/>
    <w:link w:val="FooterChar"/>
    <w:uiPriority w:val="99"/>
    <w:unhideWhenUsed/>
    <w:rsid w:val="00CE455B"/>
    <w:pPr>
      <w:tabs>
        <w:tab w:val="center" w:pos="4680"/>
        <w:tab w:val="right" w:pos="9360"/>
      </w:tabs>
    </w:pPr>
    <w:rPr>
      <w:lang w:val="en-GB"/>
    </w:rPr>
  </w:style>
  <w:style w:type="character" w:customStyle="1" w:styleId="FooterChar">
    <w:name w:val="Footer Char"/>
    <w:basedOn w:val="DefaultParagraphFont"/>
    <w:link w:val="Footer"/>
    <w:uiPriority w:val="99"/>
    <w:rsid w:val="00CE455B"/>
  </w:style>
  <w:style w:type="character" w:styleId="FollowedHyperlink">
    <w:name w:val="FollowedHyperlink"/>
    <w:basedOn w:val="DefaultParagraphFont"/>
    <w:uiPriority w:val="99"/>
    <w:semiHidden/>
    <w:unhideWhenUsed/>
    <w:rsid w:val="00FB3E92"/>
    <w:rPr>
      <w:color w:val="800080" w:themeColor="followedHyperlink"/>
      <w:u w:val="single"/>
    </w:rPr>
  </w:style>
  <w:style w:type="paragraph" w:styleId="HTMLPreformatted">
    <w:name w:val="HTML Preformatted"/>
    <w:basedOn w:val="Normal"/>
    <w:link w:val="HTMLPreformattedChar"/>
    <w:uiPriority w:val="99"/>
    <w:semiHidden/>
    <w:unhideWhenUsed/>
    <w:rsid w:val="00041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0415F7"/>
    <w:rPr>
      <w:rFonts w:ascii="Courier New" w:hAnsi="Courier New" w:cs="Courier New"/>
      <w:sz w:val="20"/>
      <w:szCs w:val="20"/>
      <w:lang w:val="en-US"/>
    </w:rPr>
  </w:style>
  <w:style w:type="character" w:styleId="Emphasis">
    <w:name w:val="Emphasis"/>
    <w:basedOn w:val="DefaultParagraphFont"/>
    <w:uiPriority w:val="20"/>
    <w:qFormat/>
    <w:rsid w:val="0070068E"/>
    <w:rPr>
      <w:i/>
      <w:iCs/>
    </w:rPr>
  </w:style>
  <w:style w:type="character" w:styleId="EndnoteReference">
    <w:name w:val="endnote reference"/>
    <w:basedOn w:val="DefaultParagraphFont"/>
    <w:uiPriority w:val="99"/>
    <w:unhideWhenUsed/>
    <w:rsid w:val="00202866"/>
    <w:rPr>
      <w:vertAlign w:val="superscript"/>
    </w:rPr>
  </w:style>
  <w:style w:type="character" w:styleId="PageNumber">
    <w:name w:val="page number"/>
    <w:basedOn w:val="DefaultParagraphFont"/>
    <w:uiPriority w:val="99"/>
    <w:semiHidden/>
    <w:unhideWhenUsed/>
    <w:rsid w:val="00BB0225"/>
  </w:style>
  <w:style w:type="character" w:styleId="UnresolvedMention">
    <w:name w:val="Unresolved Mention"/>
    <w:basedOn w:val="DefaultParagraphFont"/>
    <w:uiPriority w:val="99"/>
    <w:semiHidden/>
    <w:unhideWhenUsed/>
    <w:rsid w:val="005D1FA1"/>
    <w:rPr>
      <w:color w:val="605E5C"/>
      <w:shd w:val="clear" w:color="auto" w:fill="E1DFDD"/>
    </w:rPr>
  </w:style>
  <w:style w:type="character" w:customStyle="1" w:styleId="Heading1Char">
    <w:name w:val="Heading 1 Char"/>
    <w:basedOn w:val="DefaultParagraphFont"/>
    <w:link w:val="Heading1"/>
    <w:rsid w:val="00552F30"/>
    <w:rPr>
      <w:rFonts w:ascii="Calibri" w:eastAsia="Calibri" w:hAnsi="Calibri" w:cs="Calibri"/>
      <w:b/>
      <w:color w:val="E36C0A" w:themeColor="accent6" w:themeShade="BF"/>
      <w:sz w:val="36"/>
      <w:szCs w:val="32"/>
    </w:rPr>
  </w:style>
  <w:style w:type="character" w:customStyle="1" w:styleId="Heading2Char">
    <w:name w:val="Heading 2 Char"/>
    <w:basedOn w:val="DefaultParagraphFont"/>
    <w:link w:val="Heading2"/>
    <w:rsid w:val="005A2720"/>
    <w:rPr>
      <w:rFonts w:asciiTheme="majorHAnsi" w:eastAsia="Helvetica Neue" w:hAnsiTheme="majorHAnsi"/>
      <w:b/>
      <w:color w:val="E36C0A" w:themeColor="accent6" w:themeShade="BF"/>
      <w:kern w:val="24"/>
      <w:sz w:val="32"/>
      <w:szCs w:val="32"/>
      <w:lang w:val="en-US"/>
    </w:rPr>
  </w:style>
  <w:style w:type="character" w:customStyle="1" w:styleId="Heading3Char">
    <w:name w:val="Heading 3 Char"/>
    <w:basedOn w:val="DefaultParagraphFont"/>
    <w:link w:val="Heading3"/>
    <w:rsid w:val="005A2720"/>
    <w:rPr>
      <w:rFonts w:ascii="Calibri" w:eastAsia="Calibri" w:hAnsi="Calibri" w:cs="Calibri"/>
      <w:b/>
      <w:kern w:val="18"/>
      <w:sz w:val="30"/>
      <w:szCs w:val="30"/>
    </w:rPr>
  </w:style>
  <w:style w:type="character" w:customStyle="1" w:styleId="Heading4Char">
    <w:name w:val="Heading 4 Char"/>
    <w:basedOn w:val="DefaultParagraphFont"/>
    <w:link w:val="Heading4"/>
    <w:rsid w:val="00693E55"/>
    <w:rPr>
      <w:rFonts w:asciiTheme="majorHAnsi" w:hAnsiTheme="majorHAnsi"/>
      <w:b/>
      <w:sz w:val="28"/>
    </w:rPr>
  </w:style>
  <w:style w:type="character" w:customStyle="1" w:styleId="Heading5Char">
    <w:name w:val="Heading 5 Char"/>
    <w:basedOn w:val="DefaultParagraphFont"/>
    <w:link w:val="Heading5"/>
    <w:rsid w:val="00952028"/>
    <w:rPr>
      <w:b/>
      <w:sz w:val="22"/>
      <w:szCs w:val="22"/>
    </w:rPr>
  </w:style>
  <w:style w:type="character" w:customStyle="1" w:styleId="Heading6Char">
    <w:name w:val="Heading 6 Char"/>
    <w:basedOn w:val="DefaultParagraphFont"/>
    <w:link w:val="Heading6"/>
    <w:rsid w:val="00952028"/>
    <w:rPr>
      <w:b/>
      <w:sz w:val="20"/>
      <w:szCs w:val="20"/>
    </w:rPr>
  </w:style>
  <w:style w:type="character" w:customStyle="1" w:styleId="TitleChar">
    <w:name w:val="Title Char"/>
    <w:basedOn w:val="DefaultParagraphFont"/>
    <w:link w:val="Title"/>
    <w:rsid w:val="00952028"/>
    <w:rPr>
      <w:rFonts w:ascii="Times" w:eastAsia="Times" w:hAnsi="Times" w:cs="Times"/>
      <w:color w:val="17365D"/>
      <w:sz w:val="28"/>
      <w:szCs w:val="28"/>
    </w:rPr>
  </w:style>
  <w:style w:type="character" w:customStyle="1" w:styleId="SubtitleChar">
    <w:name w:val="Subtitle Char"/>
    <w:basedOn w:val="DefaultParagraphFont"/>
    <w:link w:val="Subtitle"/>
    <w:rsid w:val="00952028"/>
    <w:rPr>
      <w:color w:val="4F81BD"/>
    </w:rPr>
  </w:style>
  <w:style w:type="paragraph" w:styleId="ListBullet">
    <w:name w:val="List Bullet"/>
    <w:uiPriority w:val="99"/>
    <w:unhideWhenUsed/>
    <w:rsid w:val="002D42BF"/>
    <w:pPr>
      <w:numPr>
        <w:numId w:val="11"/>
      </w:numPr>
      <w:spacing w:before="120" w:after="120"/>
    </w:pPr>
    <w:rPr>
      <w:rFonts w:asciiTheme="majorHAnsi" w:eastAsia="Helvetica Neue" w:hAnsiTheme="majorHAnsi"/>
      <w:lang w:val="en-US"/>
    </w:rPr>
  </w:style>
  <w:style w:type="paragraph" w:customStyle="1" w:styleId="UNFPAheading1">
    <w:name w:val="UNFPA heading 1"/>
    <w:basedOn w:val="Heading1"/>
    <w:qFormat/>
    <w:rsid w:val="00353ED5"/>
    <w:pPr>
      <w:jc w:val="center"/>
    </w:pPr>
    <w:rPr>
      <w:rFonts w:ascii="Arial" w:eastAsia="Helvetica Neue" w:hAnsi="Arial" w:cs="Arial"/>
      <w:b w:val="0"/>
      <w:color w:val="000000"/>
    </w:rPr>
  </w:style>
  <w:style w:type="paragraph" w:customStyle="1" w:styleId="UNFPAheading2">
    <w:name w:val="UNFPA heading 2"/>
    <w:basedOn w:val="Heading2"/>
    <w:qFormat/>
    <w:rsid w:val="00353ED5"/>
    <w:pPr>
      <w:outlineLvl w:val="0"/>
    </w:pPr>
    <w:rPr>
      <w:rFonts w:ascii="Arial" w:hAnsi="Arial" w:cs="Arial"/>
      <w:b w:val="0"/>
      <w:smallCaps/>
    </w:rPr>
  </w:style>
  <w:style w:type="paragraph" w:customStyle="1" w:styleId="UNFPAheading3">
    <w:name w:val="UNFPA heading 3"/>
    <w:basedOn w:val="Heading3"/>
    <w:qFormat/>
    <w:rsid w:val="00353ED5"/>
    <w:pPr>
      <w:ind w:firstLine="720"/>
    </w:pPr>
    <w:rPr>
      <w:rFonts w:ascii="Arial" w:eastAsia="Helvetica Neue" w:hAnsi="Arial" w:cs="Arial"/>
      <w:b w:val="0"/>
      <w:color w:val="000000"/>
    </w:rPr>
  </w:style>
  <w:style w:type="paragraph" w:customStyle="1" w:styleId="UNFPAheading4">
    <w:name w:val="UNFPA heading 4"/>
    <w:basedOn w:val="Heading4"/>
    <w:qFormat/>
    <w:rsid w:val="007F42CB"/>
    <w:pPr>
      <w:widowControl w:val="0"/>
      <w:pBdr>
        <w:top w:val="nil"/>
        <w:left w:val="nil"/>
        <w:bottom w:val="nil"/>
        <w:right w:val="nil"/>
        <w:between w:val="nil"/>
      </w:pBdr>
      <w:tabs>
        <w:tab w:val="left" w:pos="4076"/>
      </w:tabs>
      <w:outlineLvl w:val="0"/>
    </w:pPr>
    <w:rPr>
      <w:rFonts w:ascii="Arial" w:eastAsia="Helvetica Neue" w:hAnsi="Arial" w:cs="Arial"/>
      <w:b w:val="0"/>
      <w:i/>
      <w:color w:val="000000"/>
    </w:rPr>
  </w:style>
  <w:style w:type="numbering" w:customStyle="1" w:styleId="Unbulletedlist">
    <w:name w:val="Unbulleted list"/>
    <w:uiPriority w:val="99"/>
    <w:rsid w:val="00D5357E"/>
    <w:pPr>
      <w:numPr>
        <w:numId w:val="1"/>
      </w:numPr>
    </w:pPr>
  </w:style>
  <w:style w:type="character" w:styleId="IntenseReference">
    <w:name w:val="Intense Reference"/>
    <w:basedOn w:val="DefaultParagraphFont"/>
    <w:uiPriority w:val="32"/>
    <w:qFormat/>
    <w:rsid w:val="00D5357E"/>
    <w:rPr>
      <w:rFonts w:asciiTheme="majorHAnsi" w:hAnsiTheme="majorHAnsi"/>
      <w:b w:val="0"/>
      <w:bCs/>
      <w:caps w:val="0"/>
      <w:smallCaps w:val="0"/>
      <w:color w:val="943634" w:themeColor="accent2" w:themeShade="BF"/>
      <w:spacing w:val="5"/>
      <w:sz w:val="24"/>
      <w:bdr w:val="single" w:sz="8" w:space="0" w:color="auto"/>
    </w:rPr>
  </w:style>
  <w:style w:type="paragraph" w:customStyle="1" w:styleId="Style1">
    <w:name w:val="Style1"/>
    <w:basedOn w:val="Normal"/>
    <w:qFormat/>
    <w:rsid w:val="009773E1"/>
    <w:pPr>
      <w:shd w:val="clear" w:color="auto" w:fill="DBE5F1" w:themeFill="accent1" w:themeFillTint="33"/>
      <w:outlineLvl w:val="0"/>
    </w:pPr>
  </w:style>
  <w:style w:type="paragraph" w:customStyle="1" w:styleId="multilist">
    <w:name w:val="multi list"/>
    <w:basedOn w:val="Normal"/>
    <w:qFormat/>
    <w:rsid w:val="003A2485"/>
    <w:pPr>
      <w:pBdr>
        <w:top w:val="single" w:sz="4" w:space="1" w:color="auto"/>
        <w:left w:val="single" w:sz="4" w:space="4" w:color="auto"/>
        <w:bottom w:val="single" w:sz="4" w:space="1" w:color="auto"/>
        <w:right w:val="single" w:sz="4" w:space="4" w:color="auto"/>
      </w:pBdr>
    </w:pPr>
    <w:rPr>
      <w:b/>
      <w:bCs/>
    </w:rPr>
  </w:style>
  <w:style w:type="paragraph" w:customStyle="1" w:styleId="FalseTextBox">
    <w:name w:val="False Text Box"/>
    <w:basedOn w:val="Normal"/>
    <w:qFormat/>
    <w:rsid w:val="003A2485"/>
    <w:pPr>
      <w:pBdr>
        <w:top w:val="single" w:sz="4" w:space="5" w:color="auto"/>
        <w:left w:val="single" w:sz="4" w:space="5" w:color="auto"/>
        <w:bottom w:val="single" w:sz="4" w:space="5" w:color="auto"/>
        <w:right w:val="single" w:sz="4" w:space="5" w:color="auto"/>
      </w:pBdr>
      <w:ind w:left="180"/>
    </w:pPr>
    <w:rPr>
      <w:rFonts w:eastAsia="Helvetica Neue"/>
      <w:b/>
      <w:u w:val="single"/>
    </w:rPr>
  </w:style>
  <w:style w:type="numbering" w:customStyle="1" w:styleId="PlainList">
    <w:name w:val="Plain List"/>
    <w:uiPriority w:val="99"/>
    <w:rsid w:val="00EA3855"/>
    <w:pPr>
      <w:numPr>
        <w:numId w:val="10"/>
      </w:numPr>
    </w:pPr>
  </w:style>
  <w:style w:type="paragraph" w:styleId="List">
    <w:name w:val="List"/>
    <w:basedOn w:val="Normal"/>
    <w:uiPriority w:val="99"/>
    <w:semiHidden/>
    <w:unhideWhenUsed/>
    <w:rsid w:val="00EA3855"/>
    <w:pPr>
      <w:ind w:left="360" w:hanging="360"/>
      <w:contextualSpacing/>
    </w:pPr>
  </w:style>
  <w:style w:type="paragraph" w:styleId="TOCHeading">
    <w:name w:val="TOC Heading"/>
    <w:basedOn w:val="Heading1"/>
    <w:next w:val="Normal"/>
    <w:uiPriority w:val="39"/>
    <w:unhideWhenUsed/>
    <w:qFormat/>
    <w:rsid w:val="008D2B6F"/>
    <w:pPr>
      <w:spacing w:before="480" w:line="276" w:lineRule="auto"/>
      <w:outlineLvl w:val="9"/>
    </w:pPr>
    <w:rPr>
      <w:rFonts w:asciiTheme="majorHAnsi" w:eastAsiaTheme="majorEastAsia" w:hAnsiTheme="majorHAnsi" w:cstheme="majorBidi"/>
      <w:bCs/>
      <w:color w:val="365F91" w:themeColor="accent1" w:themeShade="BF"/>
      <w:sz w:val="28"/>
      <w:szCs w:val="28"/>
      <w:lang w:val="en-US"/>
    </w:rPr>
  </w:style>
  <w:style w:type="paragraph" w:styleId="TOC1">
    <w:name w:val="toc 1"/>
    <w:basedOn w:val="Normal"/>
    <w:next w:val="Normal"/>
    <w:uiPriority w:val="39"/>
    <w:unhideWhenUsed/>
    <w:rsid w:val="006257E3"/>
    <w:pPr>
      <w:spacing w:before="240" w:after="40"/>
      <w:ind w:left="-274" w:right="-994"/>
    </w:pPr>
    <w:rPr>
      <w:rFonts w:eastAsia="Helvetica Neue"/>
      <w:b/>
      <w:bCs/>
      <w:color w:val="E36C0A" w:themeColor="accent6" w:themeShade="BF"/>
      <w:kern w:val="26"/>
      <w:sz w:val="26"/>
      <w:szCs w:val="26"/>
    </w:rPr>
  </w:style>
  <w:style w:type="paragraph" w:styleId="TOC2">
    <w:name w:val="toc 2"/>
    <w:basedOn w:val="Normal"/>
    <w:next w:val="Normal"/>
    <w:autoRedefine/>
    <w:uiPriority w:val="39"/>
    <w:unhideWhenUsed/>
    <w:rsid w:val="008D2B6F"/>
    <w:pPr>
      <w:ind w:left="240"/>
    </w:pPr>
    <w:rPr>
      <w:rFonts w:asciiTheme="minorHAnsi" w:hAnsiTheme="minorHAnsi"/>
      <w:b/>
      <w:bCs/>
      <w:sz w:val="22"/>
      <w:szCs w:val="26"/>
    </w:rPr>
  </w:style>
  <w:style w:type="paragraph" w:styleId="TOC3">
    <w:name w:val="toc 3"/>
    <w:basedOn w:val="Normal"/>
    <w:next w:val="Normal"/>
    <w:autoRedefine/>
    <w:uiPriority w:val="39"/>
    <w:unhideWhenUsed/>
    <w:rsid w:val="008D2B6F"/>
    <w:pPr>
      <w:ind w:left="480"/>
    </w:pPr>
    <w:rPr>
      <w:rFonts w:asciiTheme="minorHAnsi" w:hAnsiTheme="minorHAnsi"/>
      <w:sz w:val="20"/>
    </w:rPr>
  </w:style>
  <w:style w:type="paragraph" w:styleId="TOC4">
    <w:name w:val="toc 4"/>
    <w:basedOn w:val="Normal"/>
    <w:next w:val="Normal"/>
    <w:autoRedefine/>
    <w:uiPriority w:val="39"/>
    <w:unhideWhenUsed/>
    <w:rsid w:val="008D2B6F"/>
    <w:pPr>
      <w:ind w:left="720"/>
    </w:pPr>
    <w:rPr>
      <w:rFonts w:asciiTheme="minorHAnsi" w:hAnsiTheme="minorHAnsi"/>
      <w:sz w:val="20"/>
    </w:rPr>
  </w:style>
  <w:style w:type="paragraph" w:styleId="TOC5">
    <w:name w:val="toc 5"/>
    <w:basedOn w:val="Normal"/>
    <w:next w:val="Normal"/>
    <w:autoRedefine/>
    <w:uiPriority w:val="39"/>
    <w:unhideWhenUsed/>
    <w:rsid w:val="008D2B6F"/>
    <w:pPr>
      <w:ind w:left="960"/>
    </w:pPr>
    <w:rPr>
      <w:rFonts w:asciiTheme="minorHAnsi" w:hAnsiTheme="minorHAnsi"/>
      <w:sz w:val="20"/>
    </w:rPr>
  </w:style>
  <w:style w:type="paragraph" w:styleId="TOC6">
    <w:name w:val="toc 6"/>
    <w:basedOn w:val="Normal"/>
    <w:next w:val="Normal"/>
    <w:autoRedefine/>
    <w:uiPriority w:val="39"/>
    <w:unhideWhenUsed/>
    <w:rsid w:val="008D2B6F"/>
    <w:pPr>
      <w:ind w:left="1200"/>
    </w:pPr>
    <w:rPr>
      <w:rFonts w:asciiTheme="minorHAnsi" w:hAnsiTheme="minorHAnsi"/>
      <w:sz w:val="20"/>
    </w:rPr>
  </w:style>
  <w:style w:type="paragraph" w:styleId="TOC7">
    <w:name w:val="toc 7"/>
    <w:basedOn w:val="Normal"/>
    <w:next w:val="Normal"/>
    <w:autoRedefine/>
    <w:uiPriority w:val="39"/>
    <w:unhideWhenUsed/>
    <w:rsid w:val="008D2B6F"/>
    <w:pPr>
      <w:ind w:left="1440"/>
    </w:pPr>
    <w:rPr>
      <w:rFonts w:asciiTheme="minorHAnsi" w:hAnsiTheme="minorHAnsi"/>
      <w:sz w:val="20"/>
    </w:rPr>
  </w:style>
  <w:style w:type="paragraph" w:styleId="TOC8">
    <w:name w:val="toc 8"/>
    <w:basedOn w:val="Normal"/>
    <w:next w:val="Normal"/>
    <w:autoRedefine/>
    <w:uiPriority w:val="39"/>
    <w:unhideWhenUsed/>
    <w:rsid w:val="008D2B6F"/>
    <w:pPr>
      <w:ind w:left="1680"/>
    </w:pPr>
    <w:rPr>
      <w:rFonts w:asciiTheme="minorHAnsi" w:hAnsiTheme="minorHAnsi"/>
      <w:sz w:val="20"/>
    </w:rPr>
  </w:style>
  <w:style w:type="paragraph" w:styleId="TOC9">
    <w:name w:val="toc 9"/>
    <w:basedOn w:val="Normal"/>
    <w:next w:val="Normal"/>
    <w:autoRedefine/>
    <w:uiPriority w:val="39"/>
    <w:unhideWhenUsed/>
    <w:rsid w:val="008D2B6F"/>
    <w:pPr>
      <w:ind w:left="1920"/>
    </w:pPr>
    <w:rPr>
      <w:rFonts w:asciiTheme="minorHAnsi" w:hAnsiTheme="minorHAnsi"/>
      <w:sz w:val="20"/>
    </w:rPr>
  </w:style>
  <w:style w:type="character" w:customStyle="1" w:styleId="Bold">
    <w:name w:val="Bold"/>
    <w:basedOn w:val="DefaultParagraphFont"/>
    <w:uiPriority w:val="1"/>
    <w:qFormat/>
    <w:rsid w:val="008D2B6F"/>
    <w:rPr>
      <w:rFonts w:eastAsia="Helvetica Neue"/>
      <w:b/>
    </w:rPr>
  </w:style>
  <w:style w:type="paragraph" w:customStyle="1" w:styleId="BoldListHeader">
    <w:name w:val="Bold List Header"/>
    <w:basedOn w:val="Normal"/>
    <w:qFormat/>
    <w:rsid w:val="00A85D5F"/>
    <w:pPr>
      <w:spacing w:after="0"/>
    </w:pPr>
    <w:rPr>
      <w:b/>
      <w:bCs/>
    </w:rPr>
  </w:style>
  <w:style w:type="paragraph" w:customStyle="1" w:styleId="6ptabove12ptbelow">
    <w:name w:val="6pt above 12 pt below"/>
    <w:qFormat/>
    <w:rsid w:val="00C1523A"/>
    <w:pPr>
      <w:snapToGrid w:val="0"/>
      <w:spacing w:before="120"/>
    </w:pPr>
    <w:rPr>
      <w:rFonts w:asciiTheme="majorHAnsi" w:eastAsia="Helvetica Neue" w:hAnsiTheme="majorHAnsi"/>
      <w:lang w:val="en-US"/>
    </w:rPr>
  </w:style>
  <w:style w:type="numbering" w:customStyle="1" w:styleId="Multi-LevelList1">
    <w:name w:val="Multi-Level List &gt; 1 &gt;"/>
    <w:uiPriority w:val="99"/>
    <w:rsid w:val="00C1523A"/>
    <w:pPr>
      <w:numPr>
        <w:numId w:val="13"/>
      </w:numPr>
    </w:pPr>
  </w:style>
  <w:style w:type="paragraph" w:customStyle="1" w:styleId="GuidelinesforAction">
    <w:name w:val="Guidelines for Action"/>
    <w:basedOn w:val="Heading3"/>
    <w:qFormat/>
    <w:rsid w:val="00E22F0B"/>
    <w:pPr>
      <w:spacing w:before="480"/>
    </w:pPr>
  </w:style>
  <w:style w:type="paragraph" w:customStyle="1" w:styleId="TextBoxIndicator">
    <w:name w:val="Text Box Indicator"/>
    <w:basedOn w:val="Normal"/>
    <w:qFormat/>
    <w:rsid w:val="00A92920"/>
    <w:pPr>
      <w:jc w:val="center"/>
    </w:pPr>
    <w:rPr>
      <w:rFonts w:eastAsia="Helvetica Neue"/>
      <w:b/>
      <w:bCs/>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185761">
      <w:bodyDiv w:val="1"/>
      <w:marLeft w:val="0"/>
      <w:marRight w:val="0"/>
      <w:marTop w:val="0"/>
      <w:marBottom w:val="0"/>
      <w:divBdr>
        <w:top w:val="none" w:sz="0" w:space="0" w:color="auto"/>
        <w:left w:val="none" w:sz="0" w:space="0" w:color="auto"/>
        <w:bottom w:val="none" w:sz="0" w:space="0" w:color="auto"/>
        <w:right w:val="none" w:sz="0" w:space="0" w:color="auto"/>
      </w:divBdr>
    </w:div>
    <w:div w:id="126050400">
      <w:bodyDiv w:val="1"/>
      <w:marLeft w:val="0"/>
      <w:marRight w:val="0"/>
      <w:marTop w:val="0"/>
      <w:marBottom w:val="0"/>
      <w:divBdr>
        <w:top w:val="none" w:sz="0" w:space="0" w:color="auto"/>
        <w:left w:val="none" w:sz="0" w:space="0" w:color="auto"/>
        <w:bottom w:val="none" w:sz="0" w:space="0" w:color="auto"/>
        <w:right w:val="none" w:sz="0" w:space="0" w:color="auto"/>
      </w:divBdr>
    </w:div>
    <w:div w:id="176387559">
      <w:bodyDiv w:val="1"/>
      <w:marLeft w:val="0"/>
      <w:marRight w:val="0"/>
      <w:marTop w:val="0"/>
      <w:marBottom w:val="0"/>
      <w:divBdr>
        <w:top w:val="none" w:sz="0" w:space="0" w:color="auto"/>
        <w:left w:val="none" w:sz="0" w:space="0" w:color="auto"/>
        <w:bottom w:val="none" w:sz="0" w:space="0" w:color="auto"/>
        <w:right w:val="none" w:sz="0" w:space="0" w:color="auto"/>
      </w:divBdr>
    </w:div>
    <w:div w:id="301934299">
      <w:bodyDiv w:val="1"/>
      <w:marLeft w:val="0"/>
      <w:marRight w:val="0"/>
      <w:marTop w:val="0"/>
      <w:marBottom w:val="0"/>
      <w:divBdr>
        <w:top w:val="none" w:sz="0" w:space="0" w:color="auto"/>
        <w:left w:val="none" w:sz="0" w:space="0" w:color="auto"/>
        <w:bottom w:val="none" w:sz="0" w:space="0" w:color="auto"/>
        <w:right w:val="none" w:sz="0" w:space="0" w:color="auto"/>
      </w:divBdr>
    </w:div>
    <w:div w:id="335303329">
      <w:bodyDiv w:val="1"/>
      <w:marLeft w:val="0"/>
      <w:marRight w:val="0"/>
      <w:marTop w:val="0"/>
      <w:marBottom w:val="0"/>
      <w:divBdr>
        <w:top w:val="none" w:sz="0" w:space="0" w:color="auto"/>
        <w:left w:val="none" w:sz="0" w:space="0" w:color="auto"/>
        <w:bottom w:val="none" w:sz="0" w:space="0" w:color="auto"/>
        <w:right w:val="none" w:sz="0" w:space="0" w:color="auto"/>
      </w:divBdr>
    </w:div>
    <w:div w:id="406343760">
      <w:bodyDiv w:val="1"/>
      <w:marLeft w:val="0"/>
      <w:marRight w:val="0"/>
      <w:marTop w:val="0"/>
      <w:marBottom w:val="0"/>
      <w:divBdr>
        <w:top w:val="none" w:sz="0" w:space="0" w:color="auto"/>
        <w:left w:val="none" w:sz="0" w:space="0" w:color="auto"/>
        <w:bottom w:val="none" w:sz="0" w:space="0" w:color="auto"/>
        <w:right w:val="none" w:sz="0" w:space="0" w:color="auto"/>
      </w:divBdr>
    </w:div>
    <w:div w:id="693578246">
      <w:bodyDiv w:val="1"/>
      <w:marLeft w:val="0"/>
      <w:marRight w:val="0"/>
      <w:marTop w:val="0"/>
      <w:marBottom w:val="0"/>
      <w:divBdr>
        <w:top w:val="none" w:sz="0" w:space="0" w:color="auto"/>
        <w:left w:val="none" w:sz="0" w:space="0" w:color="auto"/>
        <w:bottom w:val="none" w:sz="0" w:space="0" w:color="auto"/>
        <w:right w:val="none" w:sz="0" w:space="0" w:color="auto"/>
      </w:divBdr>
    </w:div>
    <w:div w:id="810485294">
      <w:bodyDiv w:val="1"/>
      <w:marLeft w:val="0"/>
      <w:marRight w:val="0"/>
      <w:marTop w:val="0"/>
      <w:marBottom w:val="0"/>
      <w:divBdr>
        <w:top w:val="none" w:sz="0" w:space="0" w:color="auto"/>
        <w:left w:val="none" w:sz="0" w:space="0" w:color="auto"/>
        <w:bottom w:val="none" w:sz="0" w:space="0" w:color="auto"/>
        <w:right w:val="none" w:sz="0" w:space="0" w:color="auto"/>
      </w:divBdr>
    </w:div>
    <w:div w:id="816072628">
      <w:bodyDiv w:val="1"/>
      <w:marLeft w:val="0"/>
      <w:marRight w:val="0"/>
      <w:marTop w:val="0"/>
      <w:marBottom w:val="0"/>
      <w:divBdr>
        <w:top w:val="none" w:sz="0" w:space="0" w:color="auto"/>
        <w:left w:val="none" w:sz="0" w:space="0" w:color="auto"/>
        <w:bottom w:val="none" w:sz="0" w:space="0" w:color="auto"/>
        <w:right w:val="none" w:sz="0" w:space="0" w:color="auto"/>
      </w:divBdr>
    </w:div>
    <w:div w:id="857543485">
      <w:bodyDiv w:val="1"/>
      <w:marLeft w:val="0"/>
      <w:marRight w:val="0"/>
      <w:marTop w:val="0"/>
      <w:marBottom w:val="0"/>
      <w:divBdr>
        <w:top w:val="none" w:sz="0" w:space="0" w:color="auto"/>
        <w:left w:val="none" w:sz="0" w:space="0" w:color="auto"/>
        <w:bottom w:val="none" w:sz="0" w:space="0" w:color="auto"/>
        <w:right w:val="none" w:sz="0" w:space="0" w:color="auto"/>
      </w:divBdr>
    </w:div>
    <w:div w:id="901913669">
      <w:bodyDiv w:val="1"/>
      <w:marLeft w:val="0"/>
      <w:marRight w:val="0"/>
      <w:marTop w:val="0"/>
      <w:marBottom w:val="0"/>
      <w:divBdr>
        <w:top w:val="none" w:sz="0" w:space="0" w:color="auto"/>
        <w:left w:val="none" w:sz="0" w:space="0" w:color="auto"/>
        <w:bottom w:val="none" w:sz="0" w:space="0" w:color="auto"/>
        <w:right w:val="none" w:sz="0" w:space="0" w:color="auto"/>
      </w:divBdr>
    </w:div>
    <w:div w:id="1039358262">
      <w:bodyDiv w:val="1"/>
      <w:marLeft w:val="0"/>
      <w:marRight w:val="0"/>
      <w:marTop w:val="0"/>
      <w:marBottom w:val="0"/>
      <w:divBdr>
        <w:top w:val="none" w:sz="0" w:space="0" w:color="auto"/>
        <w:left w:val="none" w:sz="0" w:space="0" w:color="auto"/>
        <w:bottom w:val="none" w:sz="0" w:space="0" w:color="auto"/>
        <w:right w:val="none" w:sz="0" w:space="0" w:color="auto"/>
      </w:divBdr>
    </w:div>
    <w:div w:id="1138183994">
      <w:bodyDiv w:val="1"/>
      <w:marLeft w:val="0"/>
      <w:marRight w:val="0"/>
      <w:marTop w:val="0"/>
      <w:marBottom w:val="0"/>
      <w:divBdr>
        <w:top w:val="none" w:sz="0" w:space="0" w:color="auto"/>
        <w:left w:val="none" w:sz="0" w:space="0" w:color="auto"/>
        <w:bottom w:val="none" w:sz="0" w:space="0" w:color="auto"/>
        <w:right w:val="none" w:sz="0" w:space="0" w:color="auto"/>
      </w:divBdr>
    </w:div>
    <w:div w:id="1193615224">
      <w:bodyDiv w:val="1"/>
      <w:marLeft w:val="0"/>
      <w:marRight w:val="0"/>
      <w:marTop w:val="0"/>
      <w:marBottom w:val="0"/>
      <w:divBdr>
        <w:top w:val="none" w:sz="0" w:space="0" w:color="auto"/>
        <w:left w:val="none" w:sz="0" w:space="0" w:color="auto"/>
        <w:bottom w:val="none" w:sz="0" w:space="0" w:color="auto"/>
        <w:right w:val="none" w:sz="0" w:space="0" w:color="auto"/>
      </w:divBdr>
    </w:div>
    <w:div w:id="1366952818">
      <w:bodyDiv w:val="1"/>
      <w:marLeft w:val="0"/>
      <w:marRight w:val="0"/>
      <w:marTop w:val="0"/>
      <w:marBottom w:val="0"/>
      <w:divBdr>
        <w:top w:val="none" w:sz="0" w:space="0" w:color="auto"/>
        <w:left w:val="none" w:sz="0" w:space="0" w:color="auto"/>
        <w:bottom w:val="none" w:sz="0" w:space="0" w:color="auto"/>
        <w:right w:val="none" w:sz="0" w:space="0" w:color="auto"/>
      </w:divBdr>
    </w:div>
    <w:div w:id="1677419391">
      <w:bodyDiv w:val="1"/>
      <w:marLeft w:val="0"/>
      <w:marRight w:val="0"/>
      <w:marTop w:val="0"/>
      <w:marBottom w:val="0"/>
      <w:divBdr>
        <w:top w:val="none" w:sz="0" w:space="0" w:color="auto"/>
        <w:left w:val="none" w:sz="0" w:space="0" w:color="auto"/>
        <w:bottom w:val="none" w:sz="0" w:space="0" w:color="auto"/>
        <w:right w:val="none" w:sz="0" w:space="0" w:color="auto"/>
      </w:divBdr>
    </w:div>
    <w:div w:id="1924993581">
      <w:bodyDiv w:val="1"/>
      <w:marLeft w:val="0"/>
      <w:marRight w:val="0"/>
      <w:marTop w:val="0"/>
      <w:marBottom w:val="0"/>
      <w:divBdr>
        <w:top w:val="none" w:sz="0" w:space="0" w:color="auto"/>
        <w:left w:val="none" w:sz="0" w:space="0" w:color="auto"/>
        <w:bottom w:val="none" w:sz="0" w:space="0" w:color="auto"/>
        <w:right w:val="none" w:sz="0" w:space="0" w:color="auto"/>
      </w:divBdr>
    </w:div>
    <w:div w:id="2002735615">
      <w:bodyDiv w:val="1"/>
      <w:marLeft w:val="0"/>
      <w:marRight w:val="0"/>
      <w:marTop w:val="0"/>
      <w:marBottom w:val="0"/>
      <w:divBdr>
        <w:top w:val="none" w:sz="0" w:space="0" w:color="auto"/>
        <w:left w:val="none" w:sz="0" w:space="0" w:color="auto"/>
        <w:bottom w:val="none" w:sz="0" w:space="0" w:color="auto"/>
        <w:right w:val="none" w:sz="0" w:space="0" w:color="auto"/>
      </w:divBdr>
    </w:div>
    <w:div w:id="2026978468">
      <w:bodyDiv w:val="1"/>
      <w:marLeft w:val="0"/>
      <w:marRight w:val="0"/>
      <w:marTop w:val="0"/>
      <w:marBottom w:val="0"/>
      <w:divBdr>
        <w:top w:val="none" w:sz="0" w:space="0" w:color="auto"/>
        <w:left w:val="none" w:sz="0" w:space="0" w:color="auto"/>
        <w:bottom w:val="none" w:sz="0" w:space="0" w:color="auto"/>
        <w:right w:val="none" w:sz="0" w:space="0" w:color="auto"/>
      </w:divBdr>
    </w:div>
    <w:div w:id="2079672585">
      <w:bodyDiv w:val="1"/>
      <w:marLeft w:val="0"/>
      <w:marRight w:val="0"/>
      <w:marTop w:val="0"/>
      <w:marBottom w:val="0"/>
      <w:divBdr>
        <w:top w:val="none" w:sz="0" w:space="0" w:color="auto"/>
        <w:left w:val="none" w:sz="0" w:space="0" w:color="auto"/>
        <w:bottom w:val="none" w:sz="0" w:space="0" w:color="auto"/>
        <w:right w:val="none" w:sz="0" w:space="0" w:color="auto"/>
      </w:divBdr>
    </w:div>
    <w:div w:id="21439578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omenenabled.org/pdfs/issues_paper_srr_women_and_girls_with_disabilities_final.pdf" TargetMode="External"/><Relationship Id="rId26" Type="http://schemas.openxmlformats.org/officeDocument/2006/relationships/hyperlink" Target="https://www.guttmacher.org/fact-sheet/induced-abortion-worldwide" TargetMode="External"/><Relationship Id="rId39" Type="http://schemas.openxmlformats.org/officeDocument/2006/relationships/hyperlink" Target="https://plan-international.org/publications/protect-us" TargetMode="External"/><Relationship Id="rId21" Type="http://schemas.openxmlformats.org/officeDocument/2006/relationships/hyperlink" Target="http://coco-net.org/wp-content/uploads/2016/01/Access-Checklist-EN.pdf" TargetMode="External"/><Relationship Id="rId34" Type="http://schemas.openxmlformats.org/officeDocument/2006/relationships/hyperlink" Target="http://www.icasa.org/index.aspx?PageID=1045" TargetMode="External"/><Relationship Id="rId42" Type="http://schemas.openxmlformats.org/officeDocument/2006/relationships/hyperlink" Target="https://www.measureevaluation.org/resources/tools/gender/violence-against-women-and-girls-compendium-of-indicators" TargetMode="External"/><Relationship Id="rId47" Type="http://schemas.openxmlformats.org/officeDocument/2006/relationships/hyperlink" Target="http://www.unfpa.org/publications/strengthening-civil-society-organizations-and-government-partnerships-scale-approaches" TargetMode="External"/><Relationship Id="rId50" Type="http://schemas.openxmlformats.org/officeDocument/2006/relationships/hyperlink" Target="http://www.unfpa.org/sites/default/files/pubpdf/GBVIE.Minimum.Standards.Publication.FINAL.ENG.pdf" TargetMode="External"/><Relationship Id="rId55" Type="http://schemas.openxmlformats.org/officeDocument/2006/relationships/hyperlink" Target="http://www.unfpa.org/publications/promoting-sexual-and-reproductive-health-persons-disabilities" TargetMode="External"/><Relationship Id="rId63" Type="http://schemas.openxmlformats.org/officeDocument/2006/relationships/hyperlink" Target="https://www.endabusepwd.org/publications/guide-for-creating-trauma-informed-organizations/" TargetMode="External"/><Relationship Id="rId68" Type="http://schemas.openxmlformats.org/officeDocument/2006/relationships/hyperlink" Target="http://www.who.int/maternal_child_adolescent/documents/newborn-health-recommendations/en/" TargetMode="External"/><Relationship Id="rId76" Type="http://schemas.openxmlformats.org/officeDocument/2006/relationships/hyperlink" Target="http://www.who.int/reproductivehealth/publications/unsafe_abortion/clinical-practice-safe-abortion/en/" TargetMode="External"/><Relationship Id="rId84" Type="http://schemas.openxmlformats.org/officeDocument/2006/relationships/hyperlink" Target="http://ww.who.int/maternal_child_adolescent/documents/who_fch_rhr_0311/en/" TargetMode="External"/><Relationship Id="rId89" Type="http://schemas.openxmlformats.org/officeDocument/2006/relationships/hyperlink" Target="https://www.womensrefugeecommission.org/component/zdocs/document/download/1173" TargetMode="External"/><Relationship Id="rId7" Type="http://schemas.openxmlformats.org/officeDocument/2006/relationships/endnotes" Target="endnotes.xml"/><Relationship Id="rId71" Type="http://schemas.openxmlformats.org/officeDocument/2006/relationships/hyperlink" Target="http://apps.who.int/iris/bitstream/handle/10665/250796/9789241549912-eng.pdf?sequence=1"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helancet.com/journals/lancet/article/PIIS0140-6736(18)30293-9/fulltext?code=lancet-site" TargetMode="External"/><Relationship Id="rId29" Type="http://schemas.openxmlformats.org/officeDocument/2006/relationships/hyperlink" Target="https://www.figo.org/sites/default/files/uploads/wg-publications/fistula/FIGO_Global_Competency-Based_Fistula_Surgery_Training_Manual_0.pdf" TargetMode="External"/><Relationship Id="rId11" Type="http://schemas.openxmlformats.org/officeDocument/2006/relationships/footer" Target="footer2.xml"/><Relationship Id="rId24" Type="http://schemas.openxmlformats.org/officeDocument/2006/relationships/hyperlink" Target="http://www.fddc.org/sites/default/files/file/publications/Sexuality%20Guide-Educators-English.pdf" TargetMode="External"/><Relationship Id="rId32" Type="http://schemas.openxmlformats.org/officeDocument/2006/relationships/hyperlink" Target="https://interagencystandingcommittee.org/system/files/legacy_files/IASC%20RG%20doc%20health%20audience.pdf" TargetMode="External"/><Relationship Id="rId37" Type="http://schemas.openxmlformats.org/officeDocument/2006/relationships/hyperlink" Target="https://www.vera.org/publications/measuring-capacity-to-serve-survivors-with-disabilities" TargetMode="External"/><Relationship Id="rId40" Type="http://schemas.openxmlformats.org/officeDocument/2006/relationships/hyperlink" Target="http://www.unfpa.org.uy/userfiles/informacion/items/972_pdf.pdf" TargetMode="External"/><Relationship Id="rId45" Type="http://schemas.openxmlformats.org/officeDocument/2006/relationships/hyperlink" Target="http://www.un.org/esa/socdev/documents/disability/Toolkit/Access-to-justice.pdf" TargetMode="External"/><Relationship Id="rId53" Type="http://schemas.openxmlformats.org/officeDocument/2006/relationships/hyperlink" Target="http://www.unfpa.org/publications/addressing-violence-against-women-and-girls-sexual-and-reproductive-health-services" TargetMode="External"/><Relationship Id="rId58" Type="http://schemas.openxmlformats.org/officeDocument/2006/relationships/hyperlink" Target="http://www.unhcr.org/en-us/publications/manuals/4ec3c81c9/working-persons-disabilities-forced-displacement.html" TargetMode="External"/><Relationship Id="rId66" Type="http://schemas.openxmlformats.org/officeDocument/2006/relationships/hyperlink" Target="http://apps.who.int/iris/bitstream/10665/254634/1/WHO-RHR-17.03-eng.pdf?ua=1" TargetMode="External"/><Relationship Id="rId74" Type="http://schemas.openxmlformats.org/officeDocument/2006/relationships/hyperlink" Target="http://www.who.int/reproductivehealth/publications/unsafe_abortion/sa_legal_policy_considerations/en/" TargetMode="External"/><Relationship Id="rId79" Type="http://schemas.openxmlformats.org/officeDocument/2006/relationships/hyperlink" Target="http://apps.who.int/iris/bitstream/10665/90369/1/9789241506243_eng.pdf" TargetMode="External"/><Relationship Id="rId87" Type="http://schemas.openxmlformats.org/officeDocument/2006/relationships/hyperlink" Target="https://www.womensrefugeecommission.org/populations/disabilities/research-and-resources/1443-humanitarian-facilitators-guide" TargetMode="External"/><Relationship Id="rId5" Type="http://schemas.openxmlformats.org/officeDocument/2006/relationships/webSettings" Target="webSettings.xml"/><Relationship Id="rId61" Type="http://schemas.openxmlformats.org/officeDocument/2006/relationships/hyperlink" Target="http://vkc.mc.vanderbilt.edu/etoolkit/" TargetMode="External"/><Relationship Id="rId82" Type="http://schemas.openxmlformats.org/officeDocument/2006/relationships/hyperlink" Target="http://apps.who.int/iris/bitstream/10665/70914/1/9789241548434_eng.pdf?ua=1" TargetMode="External"/><Relationship Id="rId90" Type="http://schemas.openxmlformats.org/officeDocument/2006/relationships/hyperlink" Target="https://www.womensrefugeecommission.org/component/zdocs/document/945-building-capacity-for-disability-inclusion-gender-based-violence-gbv-programming-in-humanitarian-settings" TargetMode="External"/><Relationship Id="rId19" Type="http://schemas.openxmlformats.org/officeDocument/2006/relationships/hyperlink" Target="https://wscadv.org/wp-content/uploads/2015/06/protocol_disability_identification.pdf" TargetMode="External"/><Relationship Id="rId14" Type="http://schemas.openxmlformats.org/officeDocument/2006/relationships/image" Target="media/image4.jpeg"/><Relationship Id="rId22" Type="http://schemas.openxmlformats.org/officeDocument/2006/relationships/hyperlink" Target="https://www.stanfield.com/product/circles-curriculum-bundle-w1037-3/" TargetMode="External"/><Relationship Id="rId27" Type="http://schemas.openxmlformats.org/officeDocument/2006/relationships/hyperlink" Target="https://admin.makingitwork-crpd.org/sites/default/files/2018-06/MIW_GenderAndDisability_Report-June2018.pdf" TargetMode="External"/><Relationship Id="rId30" Type="http://schemas.openxmlformats.org/officeDocument/2006/relationships/hyperlink" Target="https://interagencystandingcommittee.org/system/files/2015-iasc-gender-based-violence-guidelines_lo-res.pdf" TargetMode="External"/><Relationship Id="rId35" Type="http://schemas.openxmlformats.org/officeDocument/2006/relationships/hyperlink" Target="http://www.icasa.org/docs/illinois%20imagines/mini%20module%204%20education%20guide.pdf" TargetMode="External"/><Relationship Id="rId43" Type="http://schemas.openxmlformats.org/officeDocument/2006/relationships/hyperlink" Target="http://blog.sexualityanddisability.org/" TargetMode="External"/><Relationship Id="rId48" Type="http://schemas.openxmlformats.org/officeDocument/2006/relationships/hyperlink" Target="http://www.unfpa.org/publications/adolescent-boys-and-young-men" TargetMode="External"/><Relationship Id="rId56" Type="http://schemas.openxmlformats.org/officeDocument/2006/relationships/hyperlink" Target="http://www.unfpa.org/publications/make-it-matter" TargetMode="External"/><Relationship Id="rId64" Type="http://schemas.openxmlformats.org/officeDocument/2006/relationships/hyperlink" Target="https://www.whiteribbonalliance.org/respectfulcare" TargetMode="External"/><Relationship Id="rId69" Type="http://schemas.openxmlformats.org/officeDocument/2006/relationships/hyperlink" Target="http://apps.who.int/iris/bitstream/handle/10665/254826/9789241512091-eng.pdf?sequence=1" TargetMode="External"/><Relationship Id="rId77" Type="http://schemas.openxmlformats.org/officeDocument/2006/relationships/hyperlink" Target="http://www.who.int/reproductivehealth/publications/cancers/cervical-cancer-guide/en/" TargetMode="External"/><Relationship Id="rId8" Type="http://schemas.openxmlformats.org/officeDocument/2006/relationships/image" Target="media/image1.jpeg"/><Relationship Id="rId51" Type="http://schemas.openxmlformats.org/officeDocument/2006/relationships/hyperlink" Target="http://www.ohchr.org/Documents/Publications/NHRIHandbook.pdf" TargetMode="External"/><Relationship Id="rId72" Type="http://schemas.openxmlformats.org/officeDocument/2006/relationships/hyperlink" Target="http://www.who.int/reproductivehealth/publications/family_planning/hr-contraceptive-service-delivery/en/" TargetMode="External"/><Relationship Id="rId80" Type="http://schemas.openxmlformats.org/officeDocument/2006/relationships/hyperlink" Target="http://apps.who.int/iris/bitstream/10665/85240/1/9789241548595_eng.pdf" TargetMode="External"/><Relationship Id="rId85" Type="http://schemas.openxmlformats.org/officeDocument/2006/relationships/hyperlink" Target="https://www.acog.org/About-ACOG/ACOG-Departments/Women-with-Disabilities"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69.89.31.83/~disabio5/wp-content/uploads/2012/09/FHT-access-chklst-24-Jun-111.pdf" TargetMode="External"/><Relationship Id="rId25" Type="http://schemas.openxmlformats.org/officeDocument/2006/relationships/hyperlink" Target="http://www.dawncanada.net/main/wp-content/uploads/2014/10/Our-Heath-Matters.pdf" TargetMode="External"/><Relationship Id="rId33" Type="http://schemas.openxmlformats.org/officeDocument/2006/relationships/hyperlink" Target="http://iawg.net/minimum-initial-service-package" TargetMode="External"/><Relationship Id="rId38" Type="http://schemas.openxmlformats.org/officeDocument/2006/relationships/hyperlink" Target="http://www.pacificdisability.org/getattachment/Resources/PDF-Resources/Toolkit-on-Eliminating-Violence-Against-Women-And-Girls-With-Disabilities-In-Fiji-(1).pdf.aspx" TargetMode="External"/><Relationship Id="rId46" Type="http://schemas.openxmlformats.org/officeDocument/2006/relationships/hyperlink" Target="http://www.unaids.org/sites/default/files/media_asset/ITGSE_en.pdf" TargetMode="External"/><Relationship Id="rId59" Type="http://schemas.openxmlformats.org/officeDocument/2006/relationships/hyperlink" Target="https://www.unicef.org/publications/files/Ending_Violence_Against_Children_Six_strategies_for_action_EN_9_Oct_2014.pdf" TargetMode="External"/><Relationship Id="rId67" Type="http://schemas.openxmlformats.org/officeDocument/2006/relationships/hyperlink" Target="http://www.who.int/maternal_child_adolescent/documents/maternal-health-recommendations/en/" TargetMode="External"/><Relationship Id="rId20" Type="http://schemas.openxmlformats.org/officeDocument/2006/relationships/hyperlink" Target="http://share-netinternational.org/everybody-matters/" TargetMode="External"/><Relationship Id="rId41" Type="http://schemas.openxmlformats.org/officeDocument/2006/relationships/hyperlink" Target="http://safeaustin.org/wp-content/uploads/2013/12/Law-Enforcement-Curriculum-packaged.pdf" TargetMode="External"/><Relationship Id="rId54" Type="http://schemas.openxmlformats.org/officeDocument/2006/relationships/hyperlink" Target="http://www.unfpa.org/publications/adolescent-sexual-and-reproductive-health-toolkit-humanitarian-settings" TargetMode="External"/><Relationship Id="rId62" Type="http://schemas.openxmlformats.org/officeDocument/2006/relationships/hyperlink" Target="http://vkc.mc.vanderbilt.edu/healthybodies/index.html" TargetMode="External"/><Relationship Id="rId70" Type="http://schemas.openxmlformats.org/officeDocument/2006/relationships/hyperlink" Target="http://apps.who.int/iris/bitstream/handle/10665/259489/9789241513005-eng.pdf?sequence=1" TargetMode="External"/><Relationship Id="rId75" Type="http://schemas.openxmlformats.org/officeDocument/2006/relationships/hyperlink" Target="http://www.who.int/maternal_child_adolescent/documents/health-promotion-interventions/en/" TargetMode="External"/><Relationship Id="rId83" Type="http://schemas.openxmlformats.org/officeDocument/2006/relationships/hyperlink" Target="http://www.who.int.disabilities/world_report/2011/en/index.html" TargetMode="External"/><Relationship Id="rId88" Type="http://schemas.openxmlformats.org/officeDocument/2006/relationships/hyperlink" Target="https://www.womensrefugeecommission.org/populations/disabilities/research-and-resources/1289-youth-disabilities-toolkit" TargetMode="External"/><Relationship Id="rId91" Type="http://schemas.openxmlformats.org/officeDocument/2006/relationships/hyperlink" Target="https://www.womensrefugeecommission.org/disabilities/disability-inclusio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dolescentkit.org/" TargetMode="External"/><Relationship Id="rId23" Type="http://schemas.openxmlformats.org/officeDocument/2006/relationships/hyperlink" Target="http://banteaysrei.info/wp-content/uploads/2013/03/A-Community-Training-Toolkit-EN.pdf" TargetMode="External"/><Relationship Id="rId28" Type="http://schemas.openxmlformats.org/officeDocument/2006/relationships/hyperlink" Target="http://www.figo.org/sites/default/files/uploads/wg-publications/ethics/English%20Ethical%20Issues%20in%20Obstetrics%20and%20Gynecology.pdf" TargetMode="External"/><Relationship Id="rId36" Type="http://schemas.openxmlformats.org/officeDocument/2006/relationships/hyperlink" Target="http://www.srhr-ask-us.org/wp-content/uploads/2018/09/3-Access-for-everybody_Guide.pdf" TargetMode="External"/><Relationship Id="rId49" Type="http://schemas.openxmlformats.org/officeDocument/2006/relationships/hyperlink" Target="http://www.unfpa.org/publications/essential-services-package-women-and-girls-subject-violence" TargetMode="External"/><Relationship Id="rId57" Type="http://schemas.openxmlformats.org/officeDocument/2006/relationships/hyperlink" Target="https://www.unfpa.org/sites/default/files/resource-pdf/MISP_Objectives.pdf" TargetMode="External"/><Relationship Id="rId10" Type="http://schemas.openxmlformats.org/officeDocument/2006/relationships/footer" Target="footer1.xml"/><Relationship Id="rId31" Type="http://schemas.openxmlformats.org/officeDocument/2006/relationships/hyperlink" Target="http://www.who.int/mental_health/emergencies/guidelines_iasc_mental_health_psychosocial_june_2007.pdf" TargetMode="External"/><Relationship Id="rId44" Type="http://schemas.openxmlformats.org/officeDocument/2006/relationships/hyperlink" Target="http://www.unaids.org/sites/default/files/media_asset/Agenda-zero-discrimination-healthcare_en.pdf" TargetMode="External"/><Relationship Id="rId52" Type="http://schemas.openxmlformats.org/officeDocument/2006/relationships/hyperlink" Target="http://www.unfpa.org/sites/default/files/pubpdf/UNFPA_OperationalGuidance_WEB3.pdf" TargetMode="External"/><Relationship Id="rId60" Type="http://schemas.openxmlformats.org/officeDocument/2006/relationships/hyperlink" Target="https://www.unicef.org/disabilities/files/Take_Us_Seriously.pdf" TargetMode="External"/><Relationship Id="rId65" Type="http://schemas.openxmlformats.org/officeDocument/2006/relationships/hyperlink" Target="http://apps.who.int/iris/bitstream/handle/10665/260178/9789241550215-eng.pdf?sequence=1" TargetMode="External"/><Relationship Id="rId73" Type="http://schemas.openxmlformats.org/officeDocument/2006/relationships/hyperlink" Target="http://www.who.int/maternal_child_adolescent/documents/imca-essential-practice-guide/en/" TargetMode="External"/><Relationship Id="rId78" Type="http://schemas.openxmlformats.org/officeDocument/2006/relationships/hyperlink" Target="http://www.who.int/maternal_child_adolescent/documents/9789241547628/en/" TargetMode="External"/><Relationship Id="rId81" Type="http://schemas.openxmlformats.org/officeDocument/2006/relationships/hyperlink" Target="http://www.who.int/maternal_child_adolescent/documents/adolescent_friendly_services/en/" TargetMode="External"/><Relationship Id="rId86" Type="http://schemas.openxmlformats.org/officeDocument/2006/relationships/hyperlink" Target="http://wwda.org.au/wp-content/uploads/2013/12/More_Than_Just_A_Ramp.pdf" TargetMode="External"/><Relationship Id="rId4" Type="http://schemas.openxmlformats.org/officeDocument/2006/relationships/settings" Target="settings.xml"/><Relationship Id="rId9" Type="http://schemas.openxmlformats.org/officeDocument/2006/relationships/image" Target="media/image2.jpg"/></Relationships>
</file>

<file path=word/_rels/endnotes.xml.rels><?xml version="1.0" encoding="UTF-8" standalone="yes"?>
<Relationships xmlns="http://schemas.openxmlformats.org/package/2006/relationships"><Relationship Id="rId117" Type="http://schemas.openxmlformats.org/officeDocument/2006/relationships/hyperlink" Target="https://plan-international.org/publications/protect-us" TargetMode="External"/><Relationship Id="rId21" Type="http://schemas.openxmlformats.org/officeDocument/2006/relationships/hyperlink" Target="http://www.cbm.org/article/downloads/78851/CBM_Inclusion_Made_Easy_-_complete_guide.pdf" TargetMode="External"/><Relationship Id="rId42" Type="http://schemas.openxmlformats.org/officeDocument/2006/relationships/hyperlink" Target="http://www2.ohchr.org/english/issues/women/docs/A.HRC.20.5.pdf" TargetMode="External"/><Relationship Id="rId63" Type="http://schemas.openxmlformats.org/officeDocument/2006/relationships/hyperlink" Target="http://www.ifrc.org/Global/Documents/Secretariat/Shelter/All-under-one-roof_EN.pdf" TargetMode="External"/><Relationship Id="rId84" Type="http://schemas.openxmlformats.org/officeDocument/2006/relationships/hyperlink" Target="http://safeaustin.org/wp-content/uploads/2013/12/Law-Enforcement-Curriculum-packaged.pdf" TargetMode="External"/><Relationship Id="rId138" Type="http://schemas.openxmlformats.org/officeDocument/2006/relationships/hyperlink" Target="https://www.driadvocacy.org/wp-content/uploads/Mexico-report-English-web.pdf" TargetMode="External"/><Relationship Id="rId159" Type="http://schemas.openxmlformats.org/officeDocument/2006/relationships/hyperlink" Target="https://www.whiteribbonalliance.org/respectfulcare" TargetMode="External"/><Relationship Id="rId170" Type="http://schemas.openxmlformats.org/officeDocument/2006/relationships/hyperlink" Target="https://www.stanfield.com/product/circles-curriculum-bundle-w1037-3/" TargetMode="External"/><Relationship Id="rId191" Type="http://schemas.openxmlformats.org/officeDocument/2006/relationships/hyperlink" Target="http://www.who.int/reproductivehealth/publications/unsafe_abortion/sa_legal_policy_considerations/en/" TargetMode="External"/><Relationship Id="rId205" Type="http://schemas.openxmlformats.org/officeDocument/2006/relationships/hyperlink" Target="http://www.unfpa.org/publications/adolescent-boys-and-young-men" TargetMode="External"/><Relationship Id="rId226" Type="http://schemas.openxmlformats.org/officeDocument/2006/relationships/hyperlink" Target="http://www.unfpa.org/sites/default/files/pub-pdf/UNFPA_OperationalGuidance_WEB3.pdf" TargetMode="External"/><Relationship Id="rId107" Type="http://schemas.openxmlformats.org/officeDocument/2006/relationships/hyperlink" Target="http://laodisabledwomen.com/about-us-2/" TargetMode="External"/><Relationship Id="rId11" Type="http://schemas.openxmlformats.org/officeDocument/2006/relationships/hyperlink" Target="https://www.womensrefugeecommission.org/images/zdocs/GBV_and_disability_field_visit_findings_022513.pdf" TargetMode="External"/><Relationship Id="rId32" Type="http://schemas.openxmlformats.org/officeDocument/2006/relationships/hyperlink" Target="http://www.un.org/disabilities/documents/WHS/HRCart11SGR.docx" TargetMode="External"/><Relationship Id="rId53" Type="http://schemas.openxmlformats.org/officeDocument/2006/relationships/hyperlink" Target="http://dx.doi.org/10.1080/13552074.2016.1194031" TargetMode="External"/><Relationship Id="rId74" Type="http://schemas.openxmlformats.org/officeDocument/2006/relationships/hyperlink" Target="http://apps.who.int/iris/bitstream/10665/42495/1/9241545615_eng.pdf" TargetMode="External"/><Relationship Id="rId128" Type="http://schemas.openxmlformats.org/officeDocument/2006/relationships/hyperlink" Target="http://hesperian.org/books-and-resources/" TargetMode="External"/><Relationship Id="rId149" Type="http://schemas.openxmlformats.org/officeDocument/2006/relationships/hyperlink" Target="http://www.unfpa.org/sites/default/files/resource-pdf/UNGA71_-_Intensifying_Efforts_to_End_Obstetric_Fistula_A-71-306.pdf" TargetMode="External"/><Relationship Id="rId5" Type="http://schemas.openxmlformats.org/officeDocument/2006/relationships/hyperlink" Target="http://www.refworld.org/docid/538855b24.html" TargetMode="External"/><Relationship Id="rId95" Type="http://schemas.openxmlformats.org/officeDocument/2006/relationships/hyperlink" Target="http://www.icasa.org/docs/illinois%20imagines/mini%20module%204%20education%20guide.pdf" TargetMode="External"/><Relationship Id="rId160" Type="http://schemas.openxmlformats.org/officeDocument/2006/relationships/hyperlink" Target="http://www.who.int/maternal_child_adolescent/documents/imca-essential-practice-guide/en/" TargetMode="External"/><Relationship Id="rId181" Type="http://schemas.openxmlformats.org/officeDocument/2006/relationships/hyperlink" Target="http://apps.who.int/iris/bitstream/10665/254634/1/WHO-RHR-17.03-eng.pdf?ua=1" TargetMode="External"/><Relationship Id="rId216" Type="http://schemas.openxmlformats.org/officeDocument/2006/relationships/hyperlink" Target="http://www2.ohchr.org/english/issues/women/docs/A.HRC.20.5.pdf" TargetMode="External"/><Relationship Id="rId237" Type="http://schemas.openxmlformats.org/officeDocument/2006/relationships/hyperlink" Target="http://apps.who.int/iris/bitstream/10665/43795/1/9789241596046_eng.pdf" TargetMode="External"/><Relationship Id="rId22" Type="http://schemas.openxmlformats.org/officeDocument/2006/relationships/hyperlink" Target="http://www.cbm.org/article/downloads/78851/CBM_Inclusion_Made_Easy_-_complete_guide.pdf" TargetMode="External"/><Relationship Id="rId43" Type="http://schemas.openxmlformats.org/officeDocument/2006/relationships/hyperlink" Target="https://www.k4health.org/toolkits/communitybasedfp/expanding-contraceptive-choice-underserved-through-delivery-mobile" TargetMode="External"/><Relationship Id="rId64" Type="http://schemas.openxmlformats.org/officeDocument/2006/relationships/hyperlink" Target="http://coco-net.org/wp-content/uploads/2016/01/Access-Checklist-EN.pdf" TargetMode="External"/><Relationship Id="rId118" Type="http://schemas.openxmlformats.org/officeDocument/2006/relationships/hyperlink" Target="http://www.savethechildren.org.uk/sites/default/files/docs/out_of_the_shadows_5.pdf" TargetMode="External"/><Relationship Id="rId139" Type="http://schemas.openxmlformats.org/officeDocument/2006/relationships/hyperlink" Target="https://www.hrw.org/news/2011/11/10/sterilization-women-and-girls-disabilities" TargetMode="External"/><Relationship Id="rId85" Type="http://schemas.openxmlformats.org/officeDocument/2006/relationships/hyperlink" Target="https://nuwoduganda.org/2017/05/19/paralegals-supporting-girls-and-women-with-disabilities/" TargetMode="External"/><Relationship Id="rId150" Type="http://schemas.openxmlformats.org/officeDocument/2006/relationships/hyperlink" Target="http://apps.who.int/iris/bitstream/handle/10665/43343/9241593679_eng.pdf?sequence=1" TargetMode="External"/><Relationship Id="rId171" Type="http://schemas.openxmlformats.org/officeDocument/2006/relationships/hyperlink" Target="http://blog.sexualityanddisability.org/" TargetMode="External"/><Relationship Id="rId192" Type="http://schemas.openxmlformats.org/officeDocument/2006/relationships/hyperlink" Target="file:///D:\Users\alr\Downloads\AEDIO-E18_lr.pdf" TargetMode="External"/><Relationship Id="rId206" Type="http://schemas.openxmlformats.org/officeDocument/2006/relationships/hyperlink" Target="http://www.who.int/maternal_child_adolescent/documents/adolescent_friendly_services/en/" TargetMode="External"/><Relationship Id="rId227" Type="http://schemas.openxmlformats.org/officeDocument/2006/relationships/hyperlink" Target="https://www.unfpa.org/sites/default/files/pub-pdf/MarryingTooYoung.pdf" TargetMode="External"/><Relationship Id="rId201" Type="http://schemas.openxmlformats.org/officeDocument/2006/relationships/hyperlink" Target="http://www.cddh.monashhealth.org/wp-content/uploads/2016/11/pap-tests-the-plain-facts.pdf" TargetMode="External"/><Relationship Id="rId222" Type="http://schemas.openxmlformats.org/officeDocument/2006/relationships/hyperlink" Target="https://www.guttmacher.org/report/measuring-adolescent-womens-sexual-and-reproductive-health-within-rights-based-framework" TargetMode="External"/><Relationship Id="rId243" Type="http://schemas.openxmlformats.org/officeDocument/2006/relationships/hyperlink" Target="http://www2.ohchr.org/english/issues/women/docs/A.HRC.20.5.pdf" TargetMode="External"/><Relationship Id="rId12" Type="http://schemas.openxmlformats.org/officeDocument/2006/relationships/hyperlink" Target="https://iwhc.org/wp-content/uploads/2013/11/essential-package-sexual-reproductive-health-rights.pdf" TargetMode="External"/><Relationship Id="rId17" Type="http://schemas.openxmlformats.org/officeDocument/2006/relationships/hyperlink" Target="http://www.unfpa.org/publications/promoting-sexual-and-reproductive-health-persons-disabilities" TargetMode="External"/><Relationship Id="rId33" Type="http://schemas.openxmlformats.org/officeDocument/2006/relationships/hyperlink" Target="http://humanitariandisabilitycharter.org/" TargetMode="External"/><Relationship Id="rId38" Type="http://schemas.openxmlformats.org/officeDocument/2006/relationships/hyperlink" Target="http://mptf.undp.org/document/download/18125" TargetMode="External"/><Relationship Id="rId59" Type="http://schemas.openxmlformats.org/officeDocument/2006/relationships/hyperlink" Target="https://www.iso.org/standard/50498.html" TargetMode="External"/><Relationship Id="rId103" Type="http://schemas.openxmlformats.org/officeDocument/2006/relationships/hyperlink" Target="https://www.law.georgetown.edu/academics/centers-institutes/human-rights-institute/our-work/research/upload/Perspectives-on-Human-Rights-Rosenthal.pdf" TargetMode="External"/><Relationship Id="rId108" Type="http://schemas.openxmlformats.org/officeDocument/2006/relationships/hyperlink" Target="https://www.hrw.org/news/2014/12/03/india-women-disabilities-locked-away-and-abused" TargetMode="External"/><Relationship Id="rId124" Type="http://schemas.openxmlformats.org/officeDocument/2006/relationships/hyperlink" Target="https://www.unicef.org/publications/index_71514.html" TargetMode="External"/><Relationship Id="rId129" Type="http://schemas.openxmlformats.org/officeDocument/2006/relationships/hyperlink" Target="http://womenenabled.org/pdfs/issues_paper_srr_women_and_girls_with_disabilities_final.pdf" TargetMode="External"/><Relationship Id="rId54" Type="http://schemas.openxmlformats.org/officeDocument/2006/relationships/hyperlink" Target="http://www.ohchr.org/Documents/Publications/Factsheet31.pdf" TargetMode="External"/><Relationship Id="rId70" Type="http://schemas.openxmlformats.org/officeDocument/2006/relationships/hyperlink" Target="http://apps.who.int/iris/bitstream/10665/85240/1/9789241548595_eng.pdf" TargetMode="External"/><Relationship Id="rId75" Type="http://schemas.openxmlformats.org/officeDocument/2006/relationships/hyperlink" Target="http://banteaysrei.info/wp-content/uploads/2013/03/A-Community-Training-Toolkit-EN.pdf" TargetMode="External"/><Relationship Id="rId91" Type="http://schemas.openxmlformats.org/officeDocument/2006/relationships/hyperlink" Target="http://wwda.org.au/wp-content/uploads/2013/12/More_Than_Just_A_Ramp.pdf" TargetMode="External"/><Relationship Id="rId96" Type="http://schemas.openxmlformats.org/officeDocument/2006/relationships/hyperlink" Target="https://www.endabusepwd.org/publications/guide-for-creating-trauma-informed-organizations/" TargetMode="External"/><Relationship Id="rId140" Type="http://schemas.openxmlformats.org/officeDocument/2006/relationships/hyperlink" Target="http://www.who.int/reproductivehealth/publications/gender_rights/eliminating-forced-sterilization/en/" TargetMode="External"/><Relationship Id="rId145" Type="http://schemas.openxmlformats.org/officeDocument/2006/relationships/hyperlink" Target="http://www.figo.org/sites/default/files/uploads/wg-publications/ethics/English%20Ethical%20Issues%20in%20Obstetrics%20and%20Gynecology.pdf" TargetMode="External"/><Relationship Id="rId161" Type="http://schemas.openxmlformats.org/officeDocument/2006/relationships/hyperlink" Target="http://www.unfpa.org/sites/default/files/resource-pdf/Intercultural%20Sexual%20and%20Reproductive%20Health%20-%20Case%20Stories.pdf" TargetMode="External"/><Relationship Id="rId166" Type="http://schemas.openxmlformats.org/officeDocument/2006/relationships/hyperlink" Target="https://www.nice.org.uk/Media/Default/Standards-and-indicators/indicator-menu-update-aug-16.pdf" TargetMode="External"/><Relationship Id="rId182" Type="http://schemas.openxmlformats.org/officeDocument/2006/relationships/hyperlink" Target="https://www.unfpa.org/sites/default/files/pub-pdf/uarh_report_2010.pdf" TargetMode="External"/><Relationship Id="rId187" Type="http://schemas.openxmlformats.org/officeDocument/2006/relationships/hyperlink" Target="http://www.who.int/reproductivehealth/publications/gender_rights/Ex-Summ-srhr-women-hiv/en/" TargetMode="External"/><Relationship Id="rId217" Type="http://schemas.openxmlformats.org/officeDocument/2006/relationships/hyperlink" Target="http://decimeloami.com/web/" TargetMode="External"/><Relationship Id="rId1" Type="http://schemas.openxmlformats.org/officeDocument/2006/relationships/hyperlink" Target="https://www.unicef.org/disabilities/files/Take_Us_Seriously.pdf" TargetMode="External"/><Relationship Id="rId6" Type="http://schemas.openxmlformats.org/officeDocument/2006/relationships/hyperlink" Target="http://www.unfpa.org/publications/essential-services-package-women-and-girls-subject-violence" TargetMode="External"/><Relationship Id="rId212" Type="http://schemas.openxmlformats.org/officeDocument/2006/relationships/hyperlink" Target="http://www.huffingtonpost.ca/sabrina-rubli/tanzanian-girls-with-disabilities_b_15537396.html" TargetMode="External"/><Relationship Id="rId233" Type="http://schemas.openxmlformats.org/officeDocument/2006/relationships/hyperlink" Target="https://interagencystandingcommittee.org/system/files/2015-iasc-gender-based-violence-guidelines_lo-res.pdf" TargetMode="External"/><Relationship Id="rId238" Type="http://schemas.openxmlformats.org/officeDocument/2006/relationships/hyperlink" Target="http://apps.who.int/iris/bitstream/10665/42788/1/924154628X.pdf" TargetMode="External"/><Relationship Id="rId23" Type="http://schemas.openxmlformats.org/officeDocument/2006/relationships/hyperlink" Target="http://www.unhcr.org/en-us/publications/manuals/4ec3c81c9/working-persons-disabilities-forced-displacement.html" TargetMode="External"/><Relationship Id="rId28" Type="http://schemas.openxmlformats.org/officeDocument/2006/relationships/hyperlink" Target="http://supporteddecisions.org/wp-content/uploads/2016/11/Evaluation-Year-2-Report_HSRI-2016_FINAL-2-1.pdf" TargetMode="External"/><Relationship Id="rId49" Type="http://schemas.openxmlformats.org/officeDocument/2006/relationships/hyperlink" Target="http://www.who.int/disabilities/technology/en/" TargetMode="External"/><Relationship Id="rId114" Type="http://schemas.openxmlformats.org/officeDocument/2006/relationships/hyperlink" Target="http://www.unfpa.org/publications/adolescent-sexual-and-reproductive-health-toolkit-humanitarian-settings" TargetMode="External"/><Relationship Id="rId119" Type="http://schemas.openxmlformats.org/officeDocument/2006/relationships/hyperlink" Target="https://www.womensrefugeecommission.org/disabilities/resources/1289-youth-disabilities-toolkit" TargetMode="External"/><Relationship Id="rId44" Type="http://schemas.openxmlformats.org/officeDocument/2006/relationships/hyperlink" Target="http://www.who.int/reproductivehealth/publications/family_planning/hr-contraceptive-service-delivery/en/" TargetMode="External"/><Relationship Id="rId60" Type="http://schemas.openxmlformats.org/officeDocument/2006/relationships/hyperlink" Target="http://www.adaptivedesign.org/copy-of-vision-mission-practices" TargetMode="External"/><Relationship Id="rId65" Type="http://schemas.openxmlformats.org/officeDocument/2006/relationships/hyperlink" Target="https://www.womensrefugeecommission.org/?option=com_zdocs&amp;view=document&amp;id=1173" TargetMode="External"/><Relationship Id="rId81" Type="http://schemas.openxmlformats.org/officeDocument/2006/relationships/hyperlink" Target="https://wscadv.org/wp-content/uploads/2015/06/protocol_disability_screening.pdf" TargetMode="External"/><Relationship Id="rId86" Type="http://schemas.openxmlformats.org/officeDocument/2006/relationships/hyperlink" Target="http://www.capementalhealth.co.za/save.html" TargetMode="External"/><Relationship Id="rId130" Type="http://schemas.openxmlformats.org/officeDocument/2006/relationships/hyperlink" Target="http://iawg.net/minimum-initial-service-package" TargetMode="External"/><Relationship Id="rId135" Type="http://schemas.openxmlformats.org/officeDocument/2006/relationships/hyperlink" Target="http://www.unfpa.org/resources/engaging-men-sexual-and-reproductive-health-and-rights-including-family-planning" TargetMode="External"/><Relationship Id="rId151" Type="http://schemas.openxmlformats.org/officeDocument/2006/relationships/hyperlink" Target="https://www.figo.org/sites/default/files/uploads/wg-publications/fistula/FIGO_Global_Competency-Based_Fistula_Surgery_Training_Manual_0.pdf" TargetMode="External"/><Relationship Id="rId156" Type="http://schemas.openxmlformats.org/officeDocument/2006/relationships/hyperlink" Target="https://www.unicef.org/publications/index_71514.html" TargetMode="External"/><Relationship Id="rId177" Type="http://schemas.openxmlformats.org/officeDocument/2006/relationships/hyperlink" Target="http://vkc.mc.vanderbilt.edu/healthybodies/index.html" TargetMode="External"/><Relationship Id="rId198" Type="http://schemas.openxmlformats.org/officeDocument/2006/relationships/hyperlink" Target="https://www.nice.org.uk/guidance/qs129" TargetMode="External"/><Relationship Id="rId172" Type="http://schemas.openxmlformats.org/officeDocument/2006/relationships/hyperlink" Target="http://workshop.sexualityanddisability.org/2015/07/handloom-tactile-body-models-and-condom-training/" TargetMode="External"/><Relationship Id="rId193" Type="http://schemas.openxmlformats.org/officeDocument/2006/relationships/hyperlink" Target="http://www.dawncanada.net/main/wp-content/uploads/2014/10/Our-Heath-Matters.pdf" TargetMode="External"/><Relationship Id="rId202" Type="http://schemas.openxmlformats.org/officeDocument/2006/relationships/hyperlink" Target="http://www.who.int/bulletin/volumes/87/1/07-050138/en/" TargetMode="External"/><Relationship Id="rId207" Type="http://schemas.openxmlformats.org/officeDocument/2006/relationships/hyperlink" Target="http://apps.who.int/iris/bitstream/10665/255418/1/WHO-FWC-MCA-17.05-eng.pdf?ua" TargetMode="External"/><Relationship Id="rId223" Type="http://schemas.openxmlformats.org/officeDocument/2006/relationships/hyperlink" Target="http://www.cgdev.org/doc/ghprn/Start_with_a_Girl-Indicators%20Paper.pdf" TargetMode="External"/><Relationship Id="rId228" Type="http://schemas.openxmlformats.org/officeDocument/2006/relationships/hyperlink" Target="https://documents-dds-ny.un.org/doc/UNDOC/GEN/N06/419/74/PDF/N0641974.pdf?OpenElement" TargetMode="External"/><Relationship Id="rId244" Type="http://schemas.openxmlformats.org/officeDocument/2006/relationships/hyperlink" Target="https://interagencystandingcommittee.org/system/files/2015-iasc-gender-based-violence-guidelines_lo-res.pdf" TargetMode="External"/><Relationship Id="rId13" Type="http://schemas.openxmlformats.org/officeDocument/2006/relationships/hyperlink" Target="https://www.guttmacher.org/fact-sheet/induced-abortion-worldwide" TargetMode="External"/><Relationship Id="rId18" Type="http://schemas.openxmlformats.org/officeDocument/2006/relationships/hyperlink" Target="https://www.womensrefugeecommission.org/disabilities/disability-inclusion" TargetMode="External"/><Relationship Id="rId39" Type="http://schemas.openxmlformats.org/officeDocument/2006/relationships/hyperlink" Target="https://www.womensrefugeecommission.org/populations/disabilities/research-and-resources/1289-youth-disabilities-toolkit" TargetMode="External"/><Relationship Id="rId109" Type="http://schemas.openxmlformats.org/officeDocument/2006/relationships/hyperlink" Target="http://www.dawncanada.net/main/wp-content/uploads/2014/03/English-Violence-January-2014.pdf" TargetMode="External"/><Relationship Id="rId34" Type="http://schemas.openxmlformats.org/officeDocument/2006/relationships/hyperlink" Target="http://hesperian.org/books-and-resources/" TargetMode="External"/><Relationship Id="rId50" Type="http://schemas.openxmlformats.org/officeDocument/2006/relationships/hyperlink" Target="http://apps.who.int/iris/bitstream/10665/207694/1/WHO_EMP_PHI_2016.01_eng.pdf?ua=1" TargetMode="External"/><Relationship Id="rId55" Type="http://schemas.openxmlformats.org/officeDocument/2006/relationships/hyperlink" Target="https://www.womensrefugeecommission.org/?option=com_zdocs&amp;view=document&amp;id=1173" TargetMode="External"/><Relationship Id="rId76" Type="http://schemas.openxmlformats.org/officeDocument/2006/relationships/hyperlink" Target="http://www.pacificdisability.org/getattachment/Resources/PDF-Resources/Toolkit-on-Eliminating-Violence-Against-Women-And-Girls-With-Disabilities-In-Fiji-(1).pdf.aspx" TargetMode="External"/><Relationship Id="rId97" Type="http://schemas.openxmlformats.org/officeDocument/2006/relationships/hyperlink" Target="https://www.womensrefugeecommission.org/?option=com_zdocs&amp;view=document&amp;id=1173" TargetMode="External"/><Relationship Id="rId104" Type="http://schemas.openxmlformats.org/officeDocument/2006/relationships/hyperlink" Target="http://www.dawncanada.net/main/wp-content/uploads/2014/03/English-Violence-January-2014.pdf" TargetMode="External"/><Relationship Id="rId120" Type="http://schemas.openxmlformats.org/officeDocument/2006/relationships/hyperlink" Target="http://www.gpcwd.org/endviolence.html" TargetMode="External"/><Relationship Id="rId125" Type="http://schemas.openxmlformats.org/officeDocument/2006/relationships/hyperlink" Target="http://www.girlsnotbrides.org/wp-content/uploads/2014/09/APEP-Preliminary-List-of-Recommended-Indicators-8-29-14.pdf" TargetMode="External"/><Relationship Id="rId141" Type="http://schemas.openxmlformats.org/officeDocument/2006/relationships/hyperlink" Target="http://www.who.int/reproductivehealth/publications/gender_rights/eliminating-forced-sterilization/en/" TargetMode="External"/><Relationship Id="rId146" Type="http://schemas.openxmlformats.org/officeDocument/2006/relationships/hyperlink" Target="https://www.hhrjournal.org/2016/11/international-human-rights-and-the-mistreatment-of-women-during-childbirth/" TargetMode="External"/><Relationship Id="rId167" Type="http://schemas.openxmlformats.org/officeDocument/2006/relationships/hyperlink" Target="http://www.unfpa.org/sites/default/files/pub-pdf/UNFPA_OperationalGuidance_WEB3.pdf" TargetMode="External"/><Relationship Id="rId188" Type="http://schemas.openxmlformats.org/officeDocument/2006/relationships/hyperlink" Target="http://www.unfpa.org/sites/default/files/pub-pdf/HIV_SRH_Programming_Integrated_Service_Delivery_Case_Studies_1.pdf" TargetMode="External"/><Relationship Id="rId7" Type="http://schemas.openxmlformats.org/officeDocument/2006/relationships/hyperlink" Target="http://undocs.org/A/67/227" TargetMode="External"/><Relationship Id="rId71" Type="http://schemas.openxmlformats.org/officeDocument/2006/relationships/hyperlink" Target="https://documents-dds-ny.un.org/doc/UNDOC/GEN/N06/419/74/PDF/N0641974.pdf?OpenElement" TargetMode="External"/><Relationship Id="rId92" Type="http://schemas.openxmlformats.org/officeDocument/2006/relationships/hyperlink" Target="https://www.endabusepwd.org/publications/project-care-advocate-guide-safety-planning-disabilities/" TargetMode="External"/><Relationship Id="rId162" Type="http://schemas.openxmlformats.org/officeDocument/2006/relationships/hyperlink" Target="http://apps.who.int/iris/bitstream/handle/10665/250796/9789241549912-eng.pdf?sequence=1" TargetMode="External"/><Relationship Id="rId183" Type="http://schemas.openxmlformats.org/officeDocument/2006/relationships/hyperlink" Target="http://www.unfpa.org/publications/make-it-matter" TargetMode="External"/><Relationship Id="rId213" Type="http://schemas.openxmlformats.org/officeDocument/2006/relationships/hyperlink" Target="https://www.femmeinternational.org/our-work/" TargetMode="External"/><Relationship Id="rId218" Type="http://schemas.openxmlformats.org/officeDocument/2006/relationships/hyperlink" Target="http://www.who.int/maternal_child_adolescent/documents/core_competencies/en/" TargetMode="External"/><Relationship Id="rId234" Type="http://schemas.openxmlformats.org/officeDocument/2006/relationships/hyperlink" Target="http://apps.who.int/iris/bitstream/10665/85240/1/9789241548595_eng.pdf" TargetMode="External"/><Relationship Id="rId239" Type="http://schemas.openxmlformats.org/officeDocument/2006/relationships/hyperlink" Target="https://documents-dds-ny.un.org/doc/UNDOC/GEN/N06/419/74/PDF/N0641974.pdf?OpenElement" TargetMode="External"/><Relationship Id="rId2" Type="http://schemas.openxmlformats.org/officeDocument/2006/relationships/hyperlink" Target="http://www.who.int/mediacentre/factsheets/fs352/en/" TargetMode="External"/><Relationship Id="rId29" Type="http://schemas.openxmlformats.org/officeDocument/2006/relationships/hyperlink" Target="http://supporteddecisions.org/pilot-project/" TargetMode="External"/><Relationship Id="rId24" Type="http://schemas.openxmlformats.org/officeDocument/2006/relationships/hyperlink" Target="http://www.figo.org/sites/default/files/uploads/wg-publications/ethics/English%20Ethical%20Issues%20in%20Obstetrics%20and%20Gynecology.pdf" TargetMode="External"/><Relationship Id="rId40" Type="http://schemas.openxmlformats.org/officeDocument/2006/relationships/hyperlink" Target="https://www.acog.org/About-ACOG/ACOG-Departments/Women-with-Disabilities" TargetMode="External"/><Relationship Id="rId45" Type="http://schemas.openxmlformats.org/officeDocument/2006/relationships/hyperlink" Target="http://www.unfpa.org/publications/essential-services-package-women-and-girls-subject-violence" TargetMode="External"/><Relationship Id="rId66" Type="http://schemas.openxmlformats.org/officeDocument/2006/relationships/hyperlink" Target="http://www2.ohchr.org/english/issues/women/docs/A.HRC.20.5.pdf" TargetMode="External"/><Relationship Id="rId87" Type="http://schemas.openxmlformats.org/officeDocument/2006/relationships/hyperlink" Target="http://www.un.org/esa/socdev/documents/disability/Toolkit/Access-to-justice.pdf" TargetMode="External"/><Relationship Id="rId110" Type="http://schemas.openxmlformats.org/officeDocument/2006/relationships/hyperlink" Target="https://www.driadvocacy.org/wp-content/uploads/Sin-Justicia-MexRep_21_Abr_english-1.pdf" TargetMode="External"/><Relationship Id="rId115" Type="http://schemas.openxmlformats.org/officeDocument/2006/relationships/hyperlink" Target="http://www.un.org/womenwatch/daw/vaw/handbook/Supplement-to-Handbook-English.pdf" TargetMode="External"/><Relationship Id="rId131" Type="http://schemas.openxmlformats.org/officeDocument/2006/relationships/hyperlink" Target="http://iawg.net/resource/misp-rh-kit-calculators/" TargetMode="External"/><Relationship Id="rId136" Type="http://schemas.openxmlformats.org/officeDocument/2006/relationships/hyperlink" Target="http://www.who.int/reproductivehealth/publications/family_planning/hr-contraceptive-service-delivery/en/" TargetMode="External"/><Relationship Id="rId157" Type="http://schemas.openxmlformats.org/officeDocument/2006/relationships/hyperlink" Target="http://www.who.int/maternal_child_adolescent/documents/who_fch_rhr_0311/en/" TargetMode="External"/><Relationship Id="rId178" Type="http://schemas.openxmlformats.org/officeDocument/2006/relationships/hyperlink" Target="http://www.fddc.org/sites/default/files/file/publications/Sexuality%20Guide-Educators-English.pdf" TargetMode="External"/><Relationship Id="rId61" Type="http://schemas.openxmlformats.org/officeDocument/2006/relationships/hyperlink" Target="https://www.youtube.com/user/adaptivedesignnyc/feed" TargetMode="External"/><Relationship Id="rId82" Type="http://schemas.openxmlformats.org/officeDocument/2006/relationships/hyperlink" Target="https://www.vera.org/publications/measuring-capacity-to-serve-survivors-with-disabilities" TargetMode="External"/><Relationship Id="rId152" Type="http://schemas.openxmlformats.org/officeDocument/2006/relationships/hyperlink" Target="http://www.who.int/maternal_child_adolescent/documents/maternal-health-recommendations/en/" TargetMode="External"/><Relationship Id="rId173" Type="http://schemas.openxmlformats.org/officeDocument/2006/relationships/hyperlink" Target="http://decimeloami.com/web/" TargetMode="External"/><Relationship Id="rId194" Type="http://schemas.openxmlformats.org/officeDocument/2006/relationships/hyperlink" Target="http://www.cddh.monashhealth.org/wp-content/uploads/2016/11/supporting-women-gp.pdf" TargetMode="External"/><Relationship Id="rId199" Type="http://schemas.openxmlformats.org/officeDocument/2006/relationships/hyperlink" Target="file:///D:\Users\alr\Downloads\AEDIO-E18_lr.pdf" TargetMode="External"/><Relationship Id="rId203" Type="http://schemas.openxmlformats.org/officeDocument/2006/relationships/hyperlink" Target="http://apps.who.int/iris/bitstream/10665/70914/1/9789241548434_eng.pdf?ua=1" TargetMode="External"/><Relationship Id="rId208" Type="http://schemas.openxmlformats.org/officeDocument/2006/relationships/hyperlink" Target="http://apps.who.int/iris/bitstream/10665/183935/1/9789241549332_vol1_eng.pdf?ua=1" TargetMode="External"/><Relationship Id="rId229" Type="http://schemas.openxmlformats.org/officeDocument/2006/relationships/hyperlink" Target="http://www.who.int/mediacentre/factsheets/fs241/en/" TargetMode="External"/><Relationship Id="rId19" Type="http://schemas.openxmlformats.org/officeDocument/2006/relationships/hyperlink" Target="https://www.womensrefugeecommission.org/component/zdocs/document/945-building-capacity-for-disability-inclusion-gender-based-violence-gbv-programming-in-humanitarian-settings" TargetMode="External"/><Relationship Id="rId224" Type="http://schemas.openxmlformats.org/officeDocument/2006/relationships/hyperlink" Target="https://www.who.int/reproductivehealth/publications/cancers/cervical-cancer-guide/en/" TargetMode="External"/><Relationship Id="rId240" Type="http://schemas.openxmlformats.org/officeDocument/2006/relationships/hyperlink" Target="http://www.wnusp.net/documents/WNUSP_CRPD_Manual.pdf" TargetMode="External"/><Relationship Id="rId245" Type="http://schemas.openxmlformats.org/officeDocument/2006/relationships/hyperlink" Target="https://documents-dds-ny.un.org/doc/UNDOC/GEN/N06/419/74/PDF/N0641974.pdf?OpenElement" TargetMode="External"/><Relationship Id="rId14" Type="http://schemas.openxmlformats.org/officeDocument/2006/relationships/hyperlink" Target="http://womenenabled.org/pdfs/Ortoleva%20Stephanie%20%20Lewis%20Hope%20et%20al%20Forgotten%20Sisters%20-%20A%20Report%20on%20ViolenceAgainst%20Women%20%20Girls%20with%20Disabilities%20August%2020%202012.pdf?attredirects=0" TargetMode="External"/><Relationship Id="rId30" Type="http://schemas.openxmlformats.org/officeDocument/2006/relationships/hyperlink" Target="http://www.nidus.ca/?page_id=46" TargetMode="External"/><Relationship Id="rId35" Type="http://schemas.openxmlformats.org/officeDocument/2006/relationships/hyperlink" Target="http://www.redi.org.ar/index.php" TargetMode="External"/><Relationship Id="rId56" Type="http://schemas.openxmlformats.org/officeDocument/2006/relationships/hyperlink" Target="http://www.un.org/esa/socdev/documents/disability/Toolkit/Access-to-justice.pdf" TargetMode="External"/><Relationship Id="rId77" Type="http://schemas.openxmlformats.org/officeDocument/2006/relationships/hyperlink" Target="http://womenenabled.org/pdfs/issues_paper_srr_women_and_girls_with_disabilities_final.pdf" TargetMode="External"/><Relationship Id="rId100" Type="http://schemas.openxmlformats.org/officeDocument/2006/relationships/hyperlink" Target="http://www.europarl.europa.eu/sides/getDoc.do?pubRef=-//EP//NONSGML+REPORT+A5-2004-0102+0+DOC+PDF+V0//EN" TargetMode="External"/><Relationship Id="rId105" Type="http://schemas.openxmlformats.org/officeDocument/2006/relationships/hyperlink" Target="http://www.who.int/disabilities/violence/en/" TargetMode="External"/><Relationship Id="rId126" Type="http://schemas.openxmlformats.org/officeDocument/2006/relationships/hyperlink" Target="http://www.ohchr.org/Documents/Publications/NHRIHandbook.pdf" TargetMode="External"/><Relationship Id="rId147" Type="http://schemas.openxmlformats.org/officeDocument/2006/relationships/hyperlink" Target="https://www.whiteribbonalliance.org/respectfulcare" TargetMode="External"/><Relationship Id="rId168" Type="http://schemas.openxmlformats.org/officeDocument/2006/relationships/hyperlink" Target="http://www.unaids.org/sites/default/files/media_asset/ITGSE_en.pdf" TargetMode="External"/><Relationship Id="rId8" Type="http://schemas.openxmlformats.org/officeDocument/2006/relationships/hyperlink" Target="http://www2.ohchr.org/english/issues/women/docs/A.HRC.20.5.pdf" TargetMode="External"/><Relationship Id="rId51" Type="http://schemas.openxmlformats.org/officeDocument/2006/relationships/hyperlink" Target="http://69.89.31.83/~disabio5/wp-content/uploads/2012/09/FHT-access-chklst-24-Jun-111.pdf" TargetMode="External"/><Relationship Id="rId72" Type="http://schemas.openxmlformats.org/officeDocument/2006/relationships/hyperlink" Target="https://interagencystandingcommittee.org/system/files/2015-iasc-gender-based-violence-guidelines_lo-res.pdf" TargetMode="External"/><Relationship Id="rId93" Type="http://schemas.openxmlformats.org/officeDocument/2006/relationships/hyperlink" Target="https://www.unfpa.org/sites/default/files/pub-pdf/FGMC-humanrights.pdf" TargetMode="External"/><Relationship Id="rId98" Type="http://schemas.openxmlformats.org/officeDocument/2006/relationships/hyperlink" Target="https://interagencystandingcommittee.org/system/files/legacy_files/IASC%20RG%20doc%20health%20audience.pdf" TargetMode="External"/><Relationship Id="rId121" Type="http://schemas.openxmlformats.org/officeDocument/2006/relationships/hyperlink" Target="http://www.who.int/maternal_child_adolescent/documents/adolescent_friendly_services/en/" TargetMode="External"/><Relationship Id="rId142" Type="http://schemas.openxmlformats.org/officeDocument/2006/relationships/hyperlink" Target="https://www.driadvocacy.org/wp-content/uploads/Sin-Justicia-MexRep_21_Abr_english-1.pdf" TargetMode="External"/><Relationship Id="rId163" Type="http://schemas.openxmlformats.org/officeDocument/2006/relationships/hyperlink" Target="http://apps.who.int/iris/bitstream/handle/10665/260178/9789241550215-eng.pdf?sequence=1" TargetMode="External"/><Relationship Id="rId184" Type="http://schemas.openxmlformats.org/officeDocument/2006/relationships/hyperlink" Target="http://www.unaids.org/sites/default/files/media_asset/Agenda-zero-discrimination-healthcare_en.pdf" TargetMode="External"/><Relationship Id="rId189" Type="http://schemas.openxmlformats.org/officeDocument/2006/relationships/hyperlink" Target="http://apps.who.int/iris/bitstream/handle/10665/259489/9789241513005-eng.pdf?sequence=1" TargetMode="External"/><Relationship Id="rId219" Type="http://schemas.openxmlformats.org/officeDocument/2006/relationships/hyperlink" Target="http://www.who.int/reproductivehealth/publications/emergencies/field_manual/en/" TargetMode="External"/><Relationship Id="rId3" Type="http://schemas.openxmlformats.org/officeDocument/2006/relationships/hyperlink" Target="http://www.who.int.disabilities/world_report/2011/en/index.html" TargetMode="External"/><Relationship Id="rId214" Type="http://schemas.openxmlformats.org/officeDocument/2006/relationships/hyperlink" Target="http://adolescentkit.org/" TargetMode="External"/><Relationship Id="rId230" Type="http://schemas.openxmlformats.org/officeDocument/2006/relationships/hyperlink" Target="http://www.unfpa.org/publications/implementation-international-and-regional-human-rights-framework-elimination-female" TargetMode="External"/><Relationship Id="rId235" Type="http://schemas.openxmlformats.org/officeDocument/2006/relationships/hyperlink" Target="http://www.who.int/healthsystems/Glossary_January2011.pdf" TargetMode="External"/><Relationship Id="rId25" Type="http://schemas.openxmlformats.org/officeDocument/2006/relationships/hyperlink" Target="http://www.unfpa.org/publications/adolescent-sexual-and-reproductive-health-toolkit-humanitarian-settings" TargetMode="External"/><Relationship Id="rId46" Type="http://schemas.openxmlformats.org/officeDocument/2006/relationships/hyperlink" Target="https://www.light-for-the-world.org/sites/lfdw_org/files/download_files/her_body_her_rights_web.pdf" TargetMode="External"/><Relationship Id="rId67" Type="http://schemas.openxmlformats.org/officeDocument/2006/relationships/hyperlink" Target="https://www.msh.org/sites/msh.org/files/we_decide_infographic.pdf" TargetMode="External"/><Relationship Id="rId116" Type="http://schemas.openxmlformats.org/officeDocument/2006/relationships/hyperlink" Target="https://www.unicef.org/videoaudio/PDFs/UNICEF_Violence_Against_Disabled_Children_Report_Distributed_Version.pdf" TargetMode="External"/><Relationship Id="rId137" Type="http://schemas.openxmlformats.org/officeDocument/2006/relationships/hyperlink" Target="http://wwda.org.au/wp-content/uploads/2013/12/Sterilisation_AWHNConf_May2013.pdf" TargetMode="External"/><Relationship Id="rId158" Type="http://schemas.openxmlformats.org/officeDocument/2006/relationships/hyperlink" Target="http://www.healthpolicyproject.com/pubs/189_RMCGuideFINAL.pdf" TargetMode="External"/><Relationship Id="rId20" Type="http://schemas.openxmlformats.org/officeDocument/2006/relationships/hyperlink" Target="http://www.endvawnow.org/uploads/modules/pdf/1325624043.pdf" TargetMode="External"/><Relationship Id="rId41" Type="http://schemas.openxmlformats.org/officeDocument/2006/relationships/hyperlink" Target="https://www.womensrefugeecommission.org/populations/disabilities/research-and-resources/1443-humanitarian-facilitators-guide" TargetMode="External"/><Relationship Id="rId62" Type="http://schemas.openxmlformats.org/officeDocument/2006/relationships/hyperlink" Target="http://www.unhcr.org/en-us/protection/women/3f696bcc4/sexual-gender-based-violence-against-refugees-returnees-internally-displaced.html" TargetMode="External"/><Relationship Id="rId83" Type="http://schemas.openxmlformats.org/officeDocument/2006/relationships/hyperlink" Target="http://undocs.org/A/67/227" TargetMode="External"/><Relationship Id="rId88" Type="http://schemas.openxmlformats.org/officeDocument/2006/relationships/hyperlink" Target="http://www.osce.org/odihr/68082?download=true" TargetMode="External"/><Relationship Id="rId111" Type="http://schemas.openxmlformats.org/officeDocument/2006/relationships/hyperlink" Target="http://mptf.undp.org/document/download/16578" TargetMode="External"/><Relationship Id="rId132" Type="http://schemas.openxmlformats.org/officeDocument/2006/relationships/hyperlink" Target="http://www.who.int/medicines/publications/annual-reports/emp_annual-report2016/en/" TargetMode="External"/><Relationship Id="rId153" Type="http://schemas.openxmlformats.org/officeDocument/2006/relationships/hyperlink" Target="http://www.who.int/maternal_child_adolescent/documents/newborn-health-recommendations/en/" TargetMode="External"/><Relationship Id="rId174" Type="http://schemas.openxmlformats.org/officeDocument/2006/relationships/hyperlink" Target="http://www.unfpa.org/publications/adolescent-boys-and-young-men" TargetMode="External"/><Relationship Id="rId179" Type="http://schemas.openxmlformats.org/officeDocument/2006/relationships/hyperlink" Target="http://www2.warwick.ac.uk/fac/soc/sociology/staff/sypgbj/accessible_research_summary_second_draft_repaired.pdf" TargetMode="External"/><Relationship Id="rId195" Type="http://schemas.openxmlformats.org/officeDocument/2006/relationships/hyperlink" Target="http://www.who.int/reproductivehealth/publications/unsafe_abortion/clinical-practice-safe-abortion/en/" TargetMode="External"/><Relationship Id="rId209" Type="http://schemas.openxmlformats.org/officeDocument/2006/relationships/hyperlink" Target="http://share-netinternational.org/everybody-matters/" TargetMode="External"/><Relationship Id="rId190" Type="http://schemas.openxmlformats.org/officeDocument/2006/relationships/hyperlink" Target="http://apps.who.int/iris/bitstream/10665/44529/1/9789241501118_eng.pdf" TargetMode="External"/><Relationship Id="rId204" Type="http://schemas.openxmlformats.org/officeDocument/2006/relationships/hyperlink" Target="http://www.who.int/reproductivehealth/publications/unsafe_abortion/sa_legal_policy_considerations/en/" TargetMode="External"/><Relationship Id="rId220" Type="http://schemas.openxmlformats.org/officeDocument/2006/relationships/hyperlink" Target="https://www.unfpa.org/sites/default/files/resource-pdf/MISP_Objectives.pdf" TargetMode="External"/><Relationship Id="rId225" Type="http://schemas.openxmlformats.org/officeDocument/2006/relationships/hyperlink" Target="http://vkc.mc.vanderbilt.edu/etoolkit/general-issues/informed-consent/" TargetMode="External"/><Relationship Id="rId241" Type="http://schemas.openxmlformats.org/officeDocument/2006/relationships/hyperlink" Target="http://www.who.int/reproductivehealth/topics/sexual_health/sh_definitions/en/" TargetMode="External"/><Relationship Id="rId246" Type="http://schemas.openxmlformats.org/officeDocument/2006/relationships/hyperlink" Target="https://www.unfpa.org/sites/default/files/pub-pdf/Girlhood_not_motherhood_final_web.pdf" TargetMode="External"/><Relationship Id="rId15" Type="http://schemas.openxmlformats.org/officeDocument/2006/relationships/hyperlink" Target="https://www.womensrefugeecommission.org/resources/document/609-disabilities-among-refugees-and-conflict-affected-populations" TargetMode="External"/><Relationship Id="rId36" Type="http://schemas.openxmlformats.org/officeDocument/2006/relationships/hyperlink" Target="https://www.dss.gov.au/women/programs-services/reducing-violence/fact-sheet-how-the-third-action-plan-supports-women-with-disability" TargetMode="External"/><Relationship Id="rId57" Type="http://schemas.openxmlformats.org/officeDocument/2006/relationships/hyperlink" Target="https://www.endabusepwd.org/publications/safety-first-initiative-accessibility-and-responsiveness-review-tool/" TargetMode="External"/><Relationship Id="rId106" Type="http://schemas.openxmlformats.org/officeDocument/2006/relationships/hyperlink" Target="https://www.sense.org.uk/sites/default/files/11636-FriendshipReport-Sngl-MR.pdf" TargetMode="External"/><Relationship Id="rId127" Type="http://schemas.openxmlformats.org/officeDocument/2006/relationships/hyperlink" Target="https://www.thelancet.com/journals/lancet/article/PIIS0140-6736(18)30293-9/fulltext?code=lancet-site" TargetMode="External"/><Relationship Id="rId10" Type="http://schemas.openxmlformats.org/officeDocument/2006/relationships/hyperlink" Target="https://www.hrw.org/report/2010/08/26/if-we-werent-human/discrimination-and-violence-against-women-disabilities-northern" TargetMode="External"/><Relationship Id="rId31" Type="http://schemas.openxmlformats.org/officeDocument/2006/relationships/hyperlink" Target="http://www.ohchr.org/Documents/Publications/HR_in_armed_conflict.pdf" TargetMode="External"/><Relationship Id="rId52" Type="http://schemas.openxmlformats.org/officeDocument/2006/relationships/hyperlink" Target="http://www.unfpa.org/sites/default/files/pub-pdf/ICPD_beyond2014_EN.pdf" TargetMode="External"/><Relationship Id="rId73" Type="http://schemas.openxmlformats.org/officeDocument/2006/relationships/hyperlink" Target="http://www.unfpa.org/publications/addressing-violence-against-women-and-girls-sexual-and-reproductive-health-services" TargetMode="External"/><Relationship Id="rId78" Type="http://schemas.openxmlformats.org/officeDocument/2006/relationships/hyperlink" Target="http://www.unfpa.org/publications/essential-services-package-women-and-girls-subject-violence" TargetMode="External"/><Relationship Id="rId94" Type="http://schemas.openxmlformats.org/officeDocument/2006/relationships/hyperlink" Target="https://interagencystandingcommittee.org/system/files/legacy_files/IASC%20RG%20doc%20health%20audience.pdf" TargetMode="External"/><Relationship Id="rId99" Type="http://schemas.openxmlformats.org/officeDocument/2006/relationships/hyperlink" Target="http://www.who.int/disabilities/violence/en/" TargetMode="External"/><Relationship Id="rId101" Type="http://schemas.openxmlformats.org/officeDocument/2006/relationships/hyperlink" Target="https://www.sos-childrensvillages.org/getmedia/345ec018-7dd1-4ad1-a387-48fdabfb7297/From-a-whisper-to-a-shout-A4-EN-WEB-final.pdf" TargetMode="External"/><Relationship Id="rId122" Type="http://schemas.openxmlformats.org/officeDocument/2006/relationships/hyperlink" Target="https://www.unicef.org/publications/files/Ending_Violence_Against_Children_Six_strategies_for_action_EN_9_Oct_2014.pdf" TargetMode="External"/><Relationship Id="rId143" Type="http://schemas.openxmlformats.org/officeDocument/2006/relationships/hyperlink" Target="file:///D:\Users\alr\Downloads\AEDIG-E18_lr.pdf" TargetMode="External"/><Relationship Id="rId148" Type="http://schemas.openxmlformats.org/officeDocument/2006/relationships/hyperlink" Target="http://www.unfpa.org/obstetric-fistula" TargetMode="External"/><Relationship Id="rId164" Type="http://schemas.openxmlformats.org/officeDocument/2006/relationships/hyperlink" Target="http://www.who.int/woman_child_accountability/progress_information/recommendation2/en/" TargetMode="External"/><Relationship Id="rId169" Type="http://schemas.openxmlformats.org/officeDocument/2006/relationships/hyperlink" Target="http://www.unfpa.org.uy/userfiles/informacion/items/972_pdf.pdf" TargetMode="External"/><Relationship Id="rId185" Type="http://schemas.openxmlformats.org/officeDocument/2006/relationships/hyperlink" Target="http://apps.who.int/iris/bitstream/10665/246296/1/WHO-RHR-16.09-eng.pdf?ua=1" TargetMode="External"/><Relationship Id="rId4" Type="http://schemas.openxmlformats.org/officeDocument/2006/relationships/hyperlink" Target="https://social.un.org/youthyear/docs/Fact%20sheet%20youth%20with%20disabilities.pdf" TargetMode="External"/><Relationship Id="rId9" Type="http://schemas.openxmlformats.org/officeDocument/2006/relationships/hyperlink" Target="http://womenenabled.org/pdfs/issues_paper_srr_women_and_girls_with_disabilities_final.pdf" TargetMode="External"/><Relationship Id="rId180" Type="http://schemas.openxmlformats.org/officeDocument/2006/relationships/hyperlink" Target="http://www.unfpa.org/sites/default/files/pub-pdf/UNFPA_OperationalGuidance_WEB3.pdf" TargetMode="External"/><Relationship Id="rId210" Type="http://schemas.openxmlformats.org/officeDocument/2006/relationships/hyperlink" Target="https://www.dsscotland.org.uk/wordpress/wp-content/uploads/2016/02/Lets-talk-Periods.pdf" TargetMode="External"/><Relationship Id="rId215" Type="http://schemas.openxmlformats.org/officeDocument/2006/relationships/hyperlink" Target="https://www.unicef.org/disabilities/files/Take_Us_Seriously.pdf" TargetMode="External"/><Relationship Id="rId236" Type="http://schemas.openxmlformats.org/officeDocument/2006/relationships/hyperlink" Target="http://www.unfpa.org/emergencies" TargetMode="External"/><Relationship Id="rId26" Type="http://schemas.openxmlformats.org/officeDocument/2006/relationships/hyperlink" Target="https://www.womensrefugeecommission.org/?option=com_zdocs&amp;view=document&amp;id=1173" TargetMode="External"/><Relationship Id="rId231" Type="http://schemas.openxmlformats.org/officeDocument/2006/relationships/hyperlink" Target="http://www.unfpa.org/publications/essential-services-package-women-and-girls-subject-violence" TargetMode="External"/><Relationship Id="rId47" Type="http://schemas.openxmlformats.org/officeDocument/2006/relationships/hyperlink" Target="http://apps.who.int/iris/bitstream/handle/10665/259489/9789241513005-eng.pdf?sequence=1" TargetMode="External"/><Relationship Id="rId68" Type="http://schemas.openxmlformats.org/officeDocument/2006/relationships/hyperlink" Target="https://www.unicef.org/publications/files/SWCR2013_ENG_Lo_res_24_Apr_2013.pdf" TargetMode="External"/><Relationship Id="rId89" Type="http://schemas.openxmlformats.org/officeDocument/2006/relationships/hyperlink" Target="http://reliefweb.int/report/zimbabwe/access-justice-disabled-women" TargetMode="External"/><Relationship Id="rId112" Type="http://schemas.openxmlformats.org/officeDocument/2006/relationships/hyperlink" Target="http://www.who.int/disabilities/violence/en/" TargetMode="External"/><Relationship Id="rId133" Type="http://schemas.openxmlformats.org/officeDocument/2006/relationships/hyperlink" Target="http://apps.who.int/iris/bitstream/handle/10665/254826/9789241512091-eng.pdf?sequence=1" TargetMode="External"/><Relationship Id="rId154" Type="http://schemas.openxmlformats.org/officeDocument/2006/relationships/hyperlink" Target="http://www.who.int/maternal_child_adolescent/documents/9789241547628/en/" TargetMode="External"/><Relationship Id="rId175" Type="http://schemas.openxmlformats.org/officeDocument/2006/relationships/hyperlink" Target="http://www.unfpa.org/publications/strengthening-civil-society-organizations-and-government-partnerships-scale-approaches" TargetMode="External"/><Relationship Id="rId196" Type="http://schemas.openxmlformats.org/officeDocument/2006/relationships/hyperlink" Target="http://apps.who.int/iris/bitstream/10665/70914/1/9789241548434_eng.pdf?ua=1" TargetMode="External"/><Relationship Id="rId200" Type="http://schemas.openxmlformats.org/officeDocument/2006/relationships/hyperlink" Target="http://www.menstruationresearch.org/2015/05/28/menstrual-management-for-women-with-disabilities-menstrual-hygiene-taboos-and-menstrual-cycle-awareness/" TargetMode="External"/><Relationship Id="rId16" Type="http://schemas.openxmlformats.org/officeDocument/2006/relationships/hyperlink" Target="https://www.vera.org/publications/measuring-capacity-to-serve-survivors-with-disabilities" TargetMode="External"/><Relationship Id="rId221" Type="http://schemas.openxmlformats.org/officeDocument/2006/relationships/hyperlink" Target="http://iawg.net/minimum-initial-service-package" TargetMode="External"/><Relationship Id="rId242" Type="http://schemas.openxmlformats.org/officeDocument/2006/relationships/hyperlink" Target="http://www.unfpa.org/publications/essential-services-package-women-and-girls-subject-violence" TargetMode="External"/><Relationship Id="rId37" Type="http://schemas.openxmlformats.org/officeDocument/2006/relationships/hyperlink" Target="http://www.who.int/medicines/publications/annual-reports/emp_annual-report2016/en/" TargetMode="External"/><Relationship Id="rId58" Type="http://schemas.openxmlformats.org/officeDocument/2006/relationships/hyperlink" Target="https://www.endabusepwd.org/publications/safety-first-initiative-accessibility-and-responsiveness-review-scoring-tool/" TargetMode="External"/><Relationship Id="rId79" Type="http://schemas.openxmlformats.org/officeDocument/2006/relationships/hyperlink" Target="http://www.icasa.org/index.aspx?PageID=1045" TargetMode="External"/><Relationship Id="rId102" Type="http://schemas.openxmlformats.org/officeDocument/2006/relationships/hyperlink" Target="http://www.ohchr.org/EN/HRBodies/HRC/RegularSessions/Session28/Documents/A_HRC_28_68_E.doc" TargetMode="External"/><Relationship Id="rId123" Type="http://schemas.openxmlformats.org/officeDocument/2006/relationships/hyperlink" Target="http://www.un.org/womenwatch/daw/vaw/handbook/Supplement-to-Handbook-English.pdf" TargetMode="External"/><Relationship Id="rId144" Type="http://schemas.openxmlformats.org/officeDocument/2006/relationships/hyperlink" Target="http://www.who.int/reproductivehealth/publications/family_planning/MEC-5/en/" TargetMode="External"/><Relationship Id="rId90" Type="http://schemas.openxmlformats.org/officeDocument/2006/relationships/hyperlink" Target="http://www.un.org/womenwatch/ianwge/taskforces/vaw/Fiji_VAW_Assessment_2008.pdf" TargetMode="External"/><Relationship Id="rId165" Type="http://schemas.openxmlformats.org/officeDocument/2006/relationships/hyperlink" Target="http://apps.who.int/iris/bitstream/handle/10665/250796/9789241549912-eng.pdf?sequence=1" TargetMode="External"/><Relationship Id="rId186" Type="http://schemas.openxmlformats.org/officeDocument/2006/relationships/hyperlink" Target="http://www.who.int/reproductivehealth/publications/cancers/cervical-cancer-guide/en/" TargetMode="External"/><Relationship Id="rId211" Type="http://schemas.openxmlformats.org/officeDocument/2006/relationships/hyperlink" Target="https://www.nps.org.au/australian-prescriber/articles/menstrual-issues-for-women-with-intellectual-disability" TargetMode="External"/><Relationship Id="rId232" Type="http://schemas.openxmlformats.org/officeDocument/2006/relationships/hyperlink" Target="http://www.unwomen.org/-/media/headquarters/attachments/sections/library/publications/2013/1/informal-justice-systems-charting-a-course-for-human-rights-based-engagement.pdf?la=en&amp;vs=5500" TargetMode="External"/><Relationship Id="rId27" Type="http://schemas.openxmlformats.org/officeDocument/2006/relationships/hyperlink" Target="http://vkc.mc.vanderbilt.edu/etoolkit/general-issues/informed-consent/" TargetMode="External"/><Relationship Id="rId48" Type="http://schemas.openxmlformats.org/officeDocument/2006/relationships/hyperlink" Target="http://apps.who.int/iris/bitstream/10665/136101/1/WHO_RHR_14.26_eng.pdf?ua=1" TargetMode="External"/><Relationship Id="rId69" Type="http://schemas.openxmlformats.org/officeDocument/2006/relationships/hyperlink" Target="https://interagencystandingcommittee.org/system/files/2015-iasc-gender-based-violence-guidelines_lo-res.pdf" TargetMode="External"/><Relationship Id="rId113" Type="http://schemas.openxmlformats.org/officeDocument/2006/relationships/hyperlink" Target="http://www.unfpa.org/publications/make-it-matter" TargetMode="External"/><Relationship Id="rId134" Type="http://schemas.openxmlformats.org/officeDocument/2006/relationships/hyperlink" Target="http://apps.who.int/iris/bitstream/handle/10665/260156/9780999203705-eng.pdf?sequence=1&amp;isAllowed=y" TargetMode="External"/><Relationship Id="rId80" Type="http://schemas.openxmlformats.org/officeDocument/2006/relationships/hyperlink" Target="http://www.unfpa.org/publications/gender-based-violence" TargetMode="External"/><Relationship Id="rId155" Type="http://schemas.openxmlformats.org/officeDocument/2006/relationships/hyperlink" Target="http://www.who.int/maternal_child_adolescent/documents/health-promotion-interventions/en/" TargetMode="External"/><Relationship Id="rId176" Type="http://schemas.openxmlformats.org/officeDocument/2006/relationships/hyperlink" Target="http://arrow.org.my/publication/afc-disability-srhr/" TargetMode="External"/><Relationship Id="rId197" Type="http://schemas.openxmlformats.org/officeDocument/2006/relationships/hyperlink" Target="http://www.who.int/mental_health/emergencies/guidelines_iasc_mental_health_psychosocial_june_200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05372-19A6-489F-BAB9-0D9910B31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196</Pages>
  <Words>61426</Words>
  <Characters>350129</Characters>
  <Application>Microsoft Office Word</Application>
  <DocSecurity>8</DocSecurity>
  <Lines>2917</Lines>
  <Paragraphs>821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Leyla Sharafi</dc:creator>
  <cp:keywords/>
  <dc:description/>
  <cp:lastModifiedBy>Amy Pace</cp:lastModifiedBy>
  <cp:revision>3</cp:revision>
  <dcterms:created xsi:type="dcterms:W3CDTF">2019-08-21T12:30:00Z</dcterms:created>
  <dcterms:modified xsi:type="dcterms:W3CDTF">2019-08-21T12:31:00Z</dcterms:modified>
</cp:coreProperties>
</file>